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0334EA8">
      <w:pPr>
        <w:tabs>
          <w:tab w:val="clear" w:pos="480"/>
        </w:tabs>
        <w:spacing w:line="300" w:lineRule="exact"/>
        <w:ind w:firstLine="0" w:firstLineChars="0"/>
        <w:rPr>
          <w:sz w:val="21"/>
        </w:rPr>
      </w:pPr>
      <w:bookmarkStart w:id="322" w:name="_GoBack"/>
      <w:bookmarkEnd w:id="322"/>
      <w:r>
        <w:rPr>
          <w:rFonts w:hint="eastAsia"/>
          <w:sz w:val="21"/>
        </w:rPr>
        <w:t xml:space="preserve"> </w:t>
      </w:r>
    </w:p>
    <w:p w14:paraId="6B5D3934">
      <w:pPr>
        <w:tabs>
          <w:tab w:val="clear" w:pos="480"/>
        </w:tabs>
        <w:spacing w:line="300" w:lineRule="exact"/>
        <w:ind w:firstLine="5670" w:firstLineChars="2700"/>
        <w:rPr>
          <w:sz w:val="21"/>
        </w:rPr>
      </w:pPr>
    </w:p>
    <w:p w14:paraId="7268663D">
      <w:pPr>
        <w:tabs>
          <w:tab w:val="clear" w:pos="480"/>
        </w:tabs>
        <w:spacing w:line="400" w:lineRule="exact"/>
        <w:ind w:firstLine="0" w:firstLineChars="0"/>
        <w:jc w:val="center"/>
        <w:rPr>
          <w:sz w:val="48"/>
          <w:szCs w:val="48"/>
        </w:rPr>
      </w:pPr>
    </w:p>
    <w:p w14:paraId="2A273729">
      <w:pPr>
        <w:tabs>
          <w:tab w:val="clear" w:pos="480"/>
        </w:tabs>
        <w:autoSpaceDE w:val="0"/>
        <w:autoSpaceDN w:val="0"/>
        <w:adjustRightInd w:val="0"/>
        <w:ind w:firstLine="0" w:firstLineChars="0"/>
        <w:jc w:val="center"/>
        <w:outlineLvl w:val="0"/>
        <w:rPr>
          <w:rFonts w:eastAsia="华文新魏"/>
          <w:b/>
          <w:bCs/>
          <w:sz w:val="48"/>
          <w:szCs w:val="48"/>
          <w:lang w:val="zh-CN"/>
        </w:rPr>
      </w:pPr>
      <w:bookmarkStart w:id="0" w:name="_Toc143799347"/>
      <w:r>
        <w:rPr>
          <w:rFonts w:hint="eastAsia" w:eastAsia="华文新魏"/>
          <w:b/>
          <w:bCs/>
          <w:sz w:val="48"/>
          <w:szCs w:val="48"/>
          <w:lang w:val="zh-CN"/>
        </w:rPr>
        <w:t>衡阳县杉桥风电场</w:t>
      </w:r>
      <w:bookmarkEnd w:id="0"/>
      <w:r>
        <w:rPr>
          <w:rFonts w:hint="eastAsia" w:eastAsia="华文新魏"/>
          <w:b/>
          <w:bCs/>
          <w:sz w:val="48"/>
          <w:szCs w:val="48"/>
          <w:lang w:val="zh-CN"/>
        </w:rPr>
        <w:t>工程</w:t>
      </w:r>
    </w:p>
    <w:p w14:paraId="3D7BE341">
      <w:pPr>
        <w:tabs>
          <w:tab w:val="clear" w:pos="480"/>
        </w:tabs>
        <w:autoSpaceDE w:val="0"/>
        <w:autoSpaceDN w:val="0"/>
        <w:adjustRightInd w:val="0"/>
        <w:ind w:firstLine="0" w:firstLineChars="0"/>
        <w:jc w:val="center"/>
        <w:outlineLvl w:val="0"/>
        <w:rPr>
          <w:rFonts w:eastAsia="华文新魏"/>
          <w:b/>
          <w:bCs/>
          <w:sz w:val="48"/>
          <w:szCs w:val="48"/>
          <w:lang w:val="zh-CN"/>
        </w:rPr>
      </w:pPr>
      <w:bookmarkStart w:id="1" w:name="_Toc143799348"/>
      <w:bookmarkStart w:id="2" w:name="_Toc116978931"/>
      <w:bookmarkStart w:id="3" w:name="_Toc123715611"/>
      <w:bookmarkStart w:id="4" w:name="_Toc116978034"/>
      <w:bookmarkStart w:id="5" w:name="_Toc116977964"/>
      <w:r>
        <w:rPr>
          <w:rFonts w:eastAsia="华文新魏"/>
          <w:b/>
          <w:bCs/>
          <w:sz w:val="48"/>
          <w:szCs w:val="48"/>
          <w:lang w:val="zh-CN"/>
        </w:rPr>
        <w:t>环境影响报告书</w:t>
      </w:r>
      <w:bookmarkEnd w:id="1"/>
      <w:bookmarkEnd w:id="2"/>
      <w:bookmarkEnd w:id="3"/>
      <w:bookmarkEnd w:id="4"/>
      <w:bookmarkEnd w:id="5"/>
    </w:p>
    <w:p w14:paraId="54CA19C4">
      <w:pPr>
        <w:tabs>
          <w:tab w:val="clear" w:pos="480"/>
        </w:tabs>
        <w:ind w:firstLine="321" w:firstLineChars="100"/>
        <w:rPr>
          <w:b/>
          <w:sz w:val="32"/>
          <w:szCs w:val="32"/>
        </w:rPr>
      </w:pPr>
    </w:p>
    <w:p w14:paraId="684B5648">
      <w:pPr>
        <w:tabs>
          <w:tab w:val="right" w:leader="middleDot" w:pos="9062"/>
          <w:tab w:val="clear" w:pos="480"/>
        </w:tabs>
        <w:spacing w:line="360" w:lineRule="exact"/>
        <w:ind w:left="480" w:leftChars="200" w:firstLine="0" w:firstLineChars="0"/>
        <w:rPr>
          <w:sz w:val="21"/>
        </w:rPr>
      </w:pPr>
    </w:p>
    <w:p w14:paraId="2D39FF72">
      <w:pPr>
        <w:tabs>
          <w:tab w:val="clear" w:pos="480"/>
        </w:tabs>
        <w:spacing w:line="240" w:lineRule="auto"/>
        <w:ind w:firstLine="0" w:firstLineChars="0"/>
        <w:rPr>
          <w:sz w:val="21"/>
        </w:rPr>
      </w:pPr>
    </w:p>
    <w:p w14:paraId="2509727C">
      <w:pPr>
        <w:tabs>
          <w:tab w:val="right" w:leader="middleDot" w:pos="9062"/>
          <w:tab w:val="clear" w:pos="480"/>
        </w:tabs>
        <w:spacing w:line="360" w:lineRule="exact"/>
        <w:ind w:left="480" w:leftChars="200" w:firstLine="0" w:firstLineChars="0"/>
        <w:rPr>
          <w:sz w:val="21"/>
        </w:rPr>
      </w:pPr>
    </w:p>
    <w:p w14:paraId="7679D01E">
      <w:pPr>
        <w:tabs>
          <w:tab w:val="clear" w:pos="480"/>
        </w:tabs>
        <w:ind w:firstLine="321" w:firstLineChars="100"/>
        <w:rPr>
          <w:b/>
          <w:sz w:val="32"/>
          <w:szCs w:val="32"/>
        </w:rPr>
      </w:pPr>
    </w:p>
    <w:p w14:paraId="3A31FD45">
      <w:pPr>
        <w:tabs>
          <w:tab w:val="clear" w:pos="480"/>
        </w:tabs>
        <w:spacing w:line="200" w:lineRule="exact"/>
        <w:ind w:firstLine="0" w:firstLineChars="0"/>
        <w:rPr>
          <w:b/>
          <w:sz w:val="32"/>
          <w:szCs w:val="32"/>
        </w:rPr>
      </w:pPr>
    </w:p>
    <w:p w14:paraId="2ACE08F9">
      <w:pPr>
        <w:tabs>
          <w:tab w:val="clear" w:pos="480"/>
        </w:tabs>
        <w:spacing w:line="200" w:lineRule="exact"/>
        <w:ind w:firstLine="0" w:firstLineChars="0"/>
        <w:rPr>
          <w:b/>
          <w:sz w:val="32"/>
          <w:szCs w:val="32"/>
        </w:rPr>
      </w:pPr>
    </w:p>
    <w:p w14:paraId="3D3B082E">
      <w:pPr>
        <w:tabs>
          <w:tab w:val="clear" w:pos="480"/>
        </w:tabs>
        <w:spacing w:line="200" w:lineRule="exact"/>
        <w:ind w:firstLine="0" w:firstLineChars="0"/>
        <w:rPr>
          <w:b/>
          <w:sz w:val="32"/>
          <w:szCs w:val="32"/>
        </w:rPr>
      </w:pPr>
    </w:p>
    <w:p w14:paraId="1CB5B0BE">
      <w:pPr>
        <w:tabs>
          <w:tab w:val="clear" w:pos="480"/>
        </w:tabs>
        <w:spacing w:line="200" w:lineRule="exact"/>
        <w:ind w:firstLine="0" w:firstLineChars="0"/>
        <w:rPr>
          <w:b/>
          <w:sz w:val="32"/>
          <w:szCs w:val="32"/>
        </w:rPr>
      </w:pPr>
    </w:p>
    <w:p w14:paraId="014A2F4F">
      <w:pPr>
        <w:tabs>
          <w:tab w:val="clear" w:pos="480"/>
        </w:tabs>
        <w:ind w:firstLine="0" w:firstLineChars="0"/>
        <w:rPr>
          <w:b/>
          <w:sz w:val="32"/>
          <w:szCs w:val="32"/>
        </w:rPr>
      </w:pPr>
    </w:p>
    <w:p w14:paraId="1605ABB7">
      <w:pPr>
        <w:tabs>
          <w:tab w:val="clear" w:pos="480"/>
        </w:tabs>
        <w:ind w:firstLine="0" w:firstLineChars="0"/>
        <w:rPr>
          <w:b/>
          <w:sz w:val="32"/>
          <w:szCs w:val="32"/>
        </w:rPr>
      </w:pPr>
    </w:p>
    <w:p w14:paraId="72993FEE">
      <w:pPr>
        <w:tabs>
          <w:tab w:val="right" w:leader="middleDot" w:pos="9062"/>
          <w:tab w:val="clear" w:pos="480"/>
        </w:tabs>
        <w:spacing w:line="360" w:lineRule="exact"/>
        <w:ind w:left="480" w:leftChars="200" w:firstLine="0" w:firstLineChars="0"/>
        <w:rPr>
          <w:sz w:val="21"/>
        </w:rPr>
      </w:pPr>
    </w:p>
    <w:p w14:paraId="7C36787E">
      <w:pPr>
        <w:tabs>
          <w:tab w:val="clear" w:pos="480"/>
        </w:tabs>
        <w:spacing w:line="240" w:lineRule="auto"/>
        <w:ind w:firstLine="0" w:firstLineChars="0"/>
        <w:rPr>
          <w:sz w:val="21"/>
        </w:rPr>
      </w:pPr>
    </w:p>
    <w:p w14:paraId="50B97913">
      <w:pPr>
        <w:tabs>
          <w:tab w:val="right" w:leader="middleDot" w:pos="9062"/>
          <w:tab w:val="clear" w:pos="480"/>
        </w:tabs>
        <w:spacing w:line="360" w:lineRule="exact"/>
        <w:ind w:left="480" w:leftChars="200" w:firstLine="0" w:firstLineChars="0"/>
        <w:rPr>
          <w:sz w:val="21"/>
        </w:rPr>
      </w:pPr>
    </w:p>
    <w:p w14:paraId="7666BF1E">
      <w:pPr>
        <w:tabs>
          <w:tab w:val="clear" w:pos="480"/>
        </w:tabs>
        <w:spacing w:line="240" w:lineRule="auto"/>
        <w:ind w:firstLine="0" w:firstLineChars="0"/>
        <w:rPr>
          <w:sz w:val="21"/>
        </w:rPr>
      </w:pPr>
    </w:p>
    <w:p w14:paraId="5EBECD58">
      <w:pPr>
        <w:tabs>
          <w:tab w:val="right" w:leader="middleDot" w:pos="9062"/>
          <w:tab w:val="clear" w:pos="480"/>
        </w:tabs>
        <w:spacing w:line="360" w:lineRule="exact"/>
        <w:ind w:left="480" w:leftChars="200" w:firstLine="0" w:firstLineChars="0"/>
        <w:rPr>
          <w:sz w:val="21"/>
        </w:rPr>
      </w:pPr>
    </w:p>
    <w:p w14:paraId="58D89517">
      <w:pPr>
        <w:tabs>
          <w:tab w:val="clear" w:pos="480"/>
        </w:tabs>
        <w:autoSpaceDE w:val="0"/>
        <w:autoSpaceDN w:val="0"/>
        <w:adjustRightInd w:val="0"/>
        <w:ind w:firstLine="0" w:firstLineChars="0"/>
        <w:jc w:val="left"/>
        <w:rPr>
          <w:b/>
          <w:kern w:val="0"/>
          <w:sz w:val="32"/>
          <w:szCs w:val="32"/>
        </w:rPr>
      </w:pPr>
    </w:p>
    <w:p w14:paraId="07DC7152">
      <w:pPr>
        <w:tabs>
          <w:tab w:val="clear" w:pos="480"/>
        </w:tabs>
        <w:autoSpaceDE w:val="0"/>
        <w:autoSpaceDN w:val="0"/>
        <w:adjustRightInd w:val="0"/>
        <w:ind w:firstLine="0" w:firstLineChars="0"/>
        <w:jc w:val="center"/>
        <w:rPr>
          <w:b/>
          <w:sz w:val="32"/>
          <w:szCs w:val="32"/>
        </w:rPr>
      </w:pPr>
      <w:r>
        <w:rPr>
          <w:b/>
          <w:sz w:val="32"/>
          <w:szCs w:val="32"/>
        </w:rPr>
        <w:t>建设单位</w:t>
      </w:r>
      <w:r>
        <w:rPr>
          <w:rFonts w:hint="eastAsia"/>
          <w:b/>
          <w:sz w:val="32"/>
          <w:szCs w:val="32"/>
        </w:rPr>
        <w:t>：湘投能源（衡阳）有限公司</w:t>
      </w:r>
    </w:p>
    <w:p w14:paraId="2EF401B9">
      <w:pPr>
        <w:tabs>
          <w:tab w:val="clear" w:pos="480"/>
        </w:tabs>
        <w:autoSpaceDE w:val="0"/>
        <w:autoSpaceDN w:val="0"/>
        <w:adjustRightInd w:val="0"/>
        <w:ind w:firstLine="0" w:firstLineChars="0"/>
        <w:jc w:val="center"/>
        <w:rPr>
          <w:b/>
          <w:sz w:val="32"/>
          <w:szCs w:val="32"/>
        </w:rPr>
      </w:pPr>
      <w:r>
        <w:rPr>
          <w:rFonts w:hint="eastAsia"/>
          <w:b/>
          <w:sz w:val="32"/>
          <w:szCs w:val="32"/>
        </w:rPr>
        <w:t>编制单位：湖南天瑶环境技术有限公司</w:t>
      </w:r>
    </w:p>
    <w:p w14:paraId="61F2F31E">
      <w:pPr>
        <w:tabs>
          <w:tab w:val="clear" w:pos="480"/>
        </w:tabs>
        <w:autoSpaceDE w:val="0"/>
        <w:autoSpaceDN w:val="0"/>
        <w:adjustRightInd w:val="0"/>
        <w:ind w:firstLine="0" w:firstLineChars="0"/>
        <w:jc w:val="center"/>
        <w:rPr>
          <w:b/>
          <w:sz w:val="32"/>
          <w:szCs w:val="32"/>
        </w:rPr>
      </w:pPr>
      <w:r>
        <w:rPr>
          <w:b/>
          <w:sz w:val="32"/>
          <w:szCs w:val="32"/>
        </w:rPr>
        <w:t>二零二</w:t>
      </w:r>
      <w:r>
        <w:rPr>
          <w:rFonts w:hint="eastAsia"/>
          <w:b/>
          <w:sz w:val="32"/>
          <w:szCs w:val="32"/>
        </w:rPr>
        <w:t>四年二</w:t>
      </w:r>
      <w:r>
        <w:rPr>
          <w:b/>
          <w:sz w:val="32"/>
          <w:szCs w:val="32"/>
        </w:rPr>
        <w:t>月</w:t>
      </w:r>
    </w:p>
    <w:p w14:paraId="4DFD9F4B">
      <w:pPr>
        <w:spacing w:line="240" w:lineRule="auto"/>
        <w:ind w:firstLine="422"/>
        <w:jc w:val="center"/>
        <w:rPr>
          <w:b/>
          <w:bCs/>
          <w:sz w:val="21"/>
          <w:szCs w:val="21"/>
        </w:rPr>
        <w:sectPr>
          <w:headerReference r:id="rId7" w:type="first"/>
          <w:footerReference r:id="rId10" w:type="first"/>
          <w:headerReference r:id="rId5" w:type="default"/>
          <w:footerReference r:id="rId8" w:type="default"/>
          <w:headerReference r:id="rId6" w:type="even"/>
          <w:footerReference r:id="rId9" w:type="even"/>
          <w:pgSz w:w="11905" w:h="16838"/>
          <w:pgMar w:top="1417" w:right="1417" w:bottom="1417" w:left="1417" w:header="851" w:footer="992" w:gutter="0"/>
          <w:pgNumType w:start="1"/>
          <w:cols w:space="0" w:num="1"/>
          <w:docGrid w:type="lines" w:linePitch="333" w:charSpace="0"/>
        </w:sectPr>
      </w:pPr>
    </w:p>
    <w:p w14:paraId="1706D7D1">
      <w:pPr>
        <w:spacing w:line="240" w:lineRule="auto"/>
        <w:ind w:firstLine="602"/>
        <w:jc w:val="center"/>
        <w:rPr>
          <w:b/>
          <w:bCs/>
          <w:sz w:val="30"/>
          <w:szCs w:val="30"/>
        </w:rPr>
      </w:pPr>
      <w:r>
        <w:rPr>
          <w:b/>
          <w:bCs/>
          <w:sz w:val="30"/>
          <w:szCs w:val="30"/>
        </w:rPr>
        <w:t>目</w:t>
      </w:r>
      <w:r>
        <w:rPr>
          <w:rFonts w:hint="eastAsia"/>
          <w:b/>
          <w:bCs/>
          <w:sz w:val="30"/>
          <w:szCs w:val="30"/>
        </w:rPr>
        <w:t xml:space="preserve"> </w:t>
      </w:r>
      <w:r>
        <w:rPr>
          <w:b/>
          <w:bCs/>
          <w:sz w:val="30"/>
          <w:szCs w:val="30"/>
        </w:rPr>
        <w:t>录</w:t>
      </w:r>
    </w:p>
    <w:p w14:paraId="4015B747">
      <w:pPr>
        <w:pStyle w:val="59"/>
        <w:tabs>
          <w:tab w:val="right" w:leader="dot" w:pos="8301"/>
        </w:tabs>
        <w:adjustRightInd w:val="0"/>
        <w:snapToGrid w:val="0"/>
        <w:spacing w:before="0" w:after="0" w:line="240" w:lineRule="auto"/>
        <w:ind w:firstLine="420"/>
        <w:rPr>
          <w:b w:val="0"/>
          <w:bCs w:val="0"/>
          <w:caps w:val="0"/>
          <w:sz w:val="21"/>
          <w:szCs w:val="21"/>
          <w14:ligatures w14:val="standardContextual"/>
        </w:rPr>
      </w:pPr>
      <w:r>
        <w:rPr>
          <w:b w:val="0"/>
          <w:bCs w:val="0"/>
          <w:sz w:val="21"/>
          <w:szCs w:val="21"/>
        </w:rPr>
        <w:fldChar w:fldCharType="begin"/>
      </w:r>
      <w:r>
        <w:rPr>
          <w:b w:val="0"/>
          <w:bCs w:val="0"/>
          <w:sz w:val="21"/>
          <w:szCs w:val="21"/>
        </w:rPr>
        <w:instrText xml:space="preserve"> TOC \o "1-2" \h \z \u </w:instrText>
      </w:r>
      <w:r>
        <w:rPr>
          <w:b w:val="0"/>
          <w:bCs w:val="0"/>
          <w:sz w:val="21"/>
          <w:szCs w:val="21"/>
        </w:rPr>
        <w:fldChar w:fldCharType="separate"/>
      </w:r>
      <w:r>
        <w:fldChar w:fldCharType="begin"/>
      </w:r>
      <w:r>
        <w:instrText xml:space="preserve"> HYPERLINK \l "_Toc143799349" </w:instrText>
      </w:r>
      <w:r>
        <w:fldChar w:fldCharType="separate"/>
      </w:r>
      <w:r>
        <w:rPr>
          <w:rStyle w:val="144"/>
          <w:b w:val="0"/>
          <w:bCs w:val="0"/>
          <w:color w:val="auto"/>
          <w:sz w:val="21"/>
          <w:szCs w:val="21"/>
          <w:u w:val="none"/>
        </w:rPr>
        <w:t>1概 述</w:t>
      </w:r>
      <w:r>
        <w:rPr>
          <w:b w:val="0"/>
          <w:bCs w:val="0"/>
          <w:sz w:val="21"/>
          <w:szCs w:val="21"/>
        </w:rPr>
        <w:tab/>
      </w:r>
      <w:r>
        <w:rPr>
          <w:b w:val="0"/>
          <w:bCs w:val="0"/>
          <w:sz w:val="21"/>
          <w:szCs w:val="21"/>
        </w:rPr>
        <w:fldChar w:fldCharType="begin"/>
      </w:r>
      <w:r>
        <w:rPr>
          <w:b w:val="0"/>
          <w:bCs w:val="0"/>
          <w:sz w:val="21"/>
          <w:szCs w:val="21"/>
        </w:rPr>
        <w:instrText xml:space="preserve"> PAGEREF _Toc143799349 \h </w:instrText>
      </w:r>
      <w:r>
        <w:rPr>
          <w:b w:val="0"/>
          <w:bCs w:val="0"/>
          <w:sz w:val="21"/>
          <w:szCs w:val="21"/>
        </w:rPr>
        <w:fldChar w:fldCharType="separate"/>
      </w:r>
      <w:r>
        <w:rPr>
          <w:b w:val="0"/>
          <w:bCs w:val="0"/>
          <w:sz w:val="21"/>
          <w:szCs w:val="21"/>
        </w:rPr>
        <w:t>1</w:t>
      </w:r>
      <w:r>
        <w:rPr>
          <w:b w:val="0"/>
          <w:bCs w:val="0"/>
          <w:sz w:val="21"/>
          <w:szCs w:val="21"/>
        </w:rPr>
        <w:fldChar w:fldCharType="end"/>
      </w:r>
      <w:r>
        <w:rPr>
          <w:b w:val="0"/>
          <w:bCs w:val="0"/>
          <w:sz w:val="21"/>
          <w:szCs w:val="21"/>
        </w:rPr>
        <w:fldChar w:fldCharType="end"/>
      </w:r>
    </w:p>
    <w:p w14:paraId="1C24FFC1">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"_Toc143799350" </w:instrText>
      </w:r>
      <w:r>
        <w:fldChar w:fldCharType="separate"/>
      </w:r>
      <w:r>
        <w:rPr>
          <w:rStyle w:val="144"/>
          <w:color w:val="auto"/>
          <w:sz w:val="21"/>
          <w:szCs w:val="21"/>
          <w:u w:val="none"/>
        </w:rPr>
        <w:t>1.1 项目由来</w:t>
      </w:r>
      <w:r>
        <w:rPr>
          <w:sz w:val="21"/>
          <w:szCs w:val="21"/>
        </w:rPr>
        <w:tab/>
      </w:r>
      <w:r>
        <w:rPr>
          <w:sz w:val="21"/>
          <w:szCs w:val="21"/>
        </w:rPr>
        <w:fldChar w:fldCharType="begin"/>
      </w:r>
      <w:r>
        <w:rPr>
          <w:sz w:val="21"/>
          <w:szCs w:val="21"/>
        </w:rPr>
        <w:instrText xml:space="preserve"> PAGEREF _Toc143799350 \h </w:instrText>
      </w:r>
      <w:r>
        <w:rPr>
          <w:sz w:val="21"/>
          <w:szCs w:val="21"/>
        </w:rPr>
        <w:fldChar w:fldCharType="separate"/>
      </w:r>
      <w:r>
        <w:rPr>
          <w:sz w:val="21"/>
          <w:szCs w:val="21"/>
        </w:rPr>
        <w:t>1</w:t>
      </w:r>
      <w:r>
        <w:rPr>
          <w:sz w:val="21"/>
          <w:szCs w:val="21"/>
        </w:rPr>
        <w:fldChar w:fldCharType="end"/>
      </w:r>
      <w:r>
        <w:rPr>
          <w:sz w:val="21"/>
          <w:szCs w:val="21"/>
        </w:rPr>
        <w:fldChar w:fldCharType="end"/>
      </w:r>
    </w:p>
    <w:p w14:paraId="5274443D">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"_Toc143799351" </w:instrText>
      </w:r>
      <w:r>
        <w:fldChar w:fldCharType="separate"/>
      </w:r>
      <w:r>
        <w:rPr>
          <w:rStyle w:val="144"/>
          <w:color w:val="auto"/>
          <w:sz w:val="21"/>
          <w:szCs w:val="21"/>
          <w:u w:val="none"/>
        </w:rPr>
        <w:t>1.2 建设项目特点</w:t>
      </w:r>
      <w:r>
        <w:rPr>
          <w:sz w:val="21"/>
          <w:szCs w:val="21"/>
        </w:rPr>
        <w:tab/>
      </w:r>
      <w:r>
        <w:rPr>
          <w:sz w:val="21"/>
          <w:szCs w:val="21"/>
        </w:rPr>
        <w:fldChar w:fldCharType="begin"/>
      </w:r>
      <w:r>
        <w:rPr>
          <w:sz w:val="21"/>
          <w:szCs w:val="21"/>
        </w:rPr>
        <w:instrText xml:space="preserve"> PAGEREF _Toc143799351 \h </w:instrText>
      </w:r>
      <w:r>
        <w:rPr>
          <w:sz w:val="21"/>
          <w:szCs w:val="21"/>
        </w:rPr>
        <w:fldChar w:fldCharType="separate"/>
      </w:r>
      <w:r>
        <w:rPr>
          <w:sz w:val="21"/>
          <w:szCs w:val="21"/>
        </w:rPr>
        <w:t>2</w:t>
      </w:r>
      <w:r>
        <w:rPr>
          <w:sz w:val="21"/>
          <w:szCs w:val="21"/>
        </w:rPr>
        <w:fldChar w:fldCharType="end"/>
      </w:r>
      <w:r>
        <w:rPr>
          <w:sz w:val="21"/>
          <w:szCs w:val="21"/>
        </w:rPr>
        <w:fldChar w:fldCharType="end"/>
      </w:r>
    </w:p>
    <w:p w14:paraId="516AA9AE">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"_Toc143799352" </w:instrText>
      </w:r>
      <w:r>
        <w:fldChar w:fldCharType="separate"/>
      </w:r>
      <w:r>
        <w:rPr>
          <w:rStyle w:val="144"/>
          <w:color w:val="auto"/>
          <w:sz w:val="21"/>
          <w:szCs w:val="21"/>
          <w:u w:val="none"/>
        </w:rPr>
        <w:t>1.3 环境影响评价过程</w:t>
      </w:r>
      <w:r>
        <w:rPr>
          <w:sz w:val="21"/>
          <w:szCs w:val="21"/>
        </w:rPr>
        <w:tab/>
      </w:r>
      <w:r>
        <w:rPr>
          <w:sz w:val="21"/>
          <w:szCs w:val="21"/>
        </w:rPr>
        <w:fldChar w:fldCharType="begin"/>
      </w:r>
      <w:r>
        <w:rPr>
          <w:sz w:val="21"/>
          <w:szCs w:val="21"/>
        </w:rPr>
        <w:instrText xml:space="preserve"> PAGEREF _Toc143799352 \h </w:instrText>
      </w:r>
      <w:r>
        <w:rPr>
          <w:sz w:val="21"/>
          <w:szCs w:val="21"/>
        </w:rPr>
        <w:fldChar w:fldCharType="separate"/>
      </w:r>
      <w:r>
        <w:rPr>
          <w:sz w:val="21"/>
          <w:szCs w:val="21"/>
        </w:rPr>
        <w:t>2</w:t>
      </w:r>
      <w:r>
        <w:rPr>
          <w:sz w:val="21"/>
          <w:szCs w:val="21"/>
        </w:rPr>
        <w:fldChar w:fldCharType="end"/>
      </w:r>
      <w:r>
        <w:rPr>
          <w:sz w:val="21"/>
          <w:szCs w:val="21"/>
        </w:rPr>
        <w:fldChar w:fldCharType="end"/>
      </w:r>
    </w:p>
    <w:p w14:paraId="03FC6A08">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"_Toc143799353" </w:instrText>
      </w:r>
      <w:r>
        <w:fldChar w:fldCharType="separate"/>
      </w:r>
      <w:r>
        <w:rPr>
          <w:rStyle w:val="144"/>
          <w:color w:val="auto"/>
          <w:sz w:val="21"/>
          <w:szCs w:val="21"/>
          <w:u w:val="none"/>
        </w:rPr>
        <w:t>1.4 分析判定相关情况</w:t>
      </w:r>
      <w:r>
        <w:rPr>
          <w:sz w:val="21"/>
          <w:szCs w:val="21"/>
        </w:rPr>
        <w:tab/>
      </w:r>
      <w:r>
        <w:rPr>
          <w:sz w:val="21"/>
          <w:szCs w:val="21"/>
        </w:rPr>
        <w:fldChar w:fldCharType="begin"/>
      </w:r>
      <w:r>
        <w:rPr>
          <w:sz w:val="21"/>
          <w:szCs w:val="21"/>
        </w:rPr>
        <w:instrText xml:space="preserve"> PAGEREF _Toc143799353 \h </w:instrText>
      </w:r>
      <w:r>
        <w:rPr>
          <w:sz w:val="21"/>
          <w:szCs w:val="21"/>
        </w:rPr>
        <w:fldChar w:fldCharType="separate"/>
      </w:r>
      <w:r>
        <w:rPr>
          <w:sz w:val="21"/>
          <w:szCs w:val="21"/>
        </w:rPr>
        <w:t>4</w:t>
      </w:r>
      <w:r>
        <w:rPr>
          <w:sz w:val="21"/>
          <w:szCs w:val="21"/>
        </w:rPr>
        <w:fldChar w:fldCharType="end"/>
      </w:r>
      <w:r>
        <w:rPr>
          <w:sz w:val="21"/>
          <w:szCs w:val="21"/>
        </w:rPr>
        <w:fldChar w:fldCharType="end"/>
      </w:r>
    </w:p>
    <w:p w14:paraId="057C650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"_Toc143799354" </w:instrText>
      </w:r>
      <w:r>
        <w:fldChar w:fldCharType="separate"/>
      </w:r>
      <w:r>
        <w:rPr>
          <w:rStyle w:val="144"/>
          <w:color w:val="auto"/>
          <w:sz w:val="21"/>
          <w:szCs w:val="21"/>
          <w:u w:val="none"/>
        </w:rPr>
        <w:t>1.5 项目关注的主要环境问题及环境影响</w:t>
      </w:r>
      <w:r>
        <w:rPr>
          <w:sz w:val="21"/>
          <w:szCs w:val="21"/>
        </w:rPr>
        <w:tab/>
      </w:r>
      <w:r>
        <w:rPr>
          <w:sz w:val="21"/>
          <w:szCs w:val="21"/>
        </w:rPr>
        <w:fldChar w:fldCharType="begin"/>
      </w:r>
      <w:r>
        <w:rPr>
          <w:sz w:val="21"/>
          <w:szCs w:val="21"/>
        </w:rPr>
        <w:instrText xml:space="preserve"> PAGEREF _Toc143799354 \h </w:instrText>
      </w:r>
      <w:r>
        <w:rPr>
          <w:sz w:val="21"/>
          <w:szCs w:val="21"/>
        </w:rPr>
        <w:fldChar w:fldCharType="separate"/>
      </w:r>
      <w:r>
        <w:rPr>
          <w:sz w:val="21"/>
          <w:szCs w:val="21"/>
        </w:rPr>
        <w:t>5</w:t>
      </w:r>
      <w:r>
        <w:rPr>
          <w:sz w:val="21"/>
          <w:szCs w:val="21"/>
        </w:rPr>
        <w:fldChar w:fldCharType="end"/>
      </w:r>
      <w:r>
        <w:rPr>
          <w:sz w:val="21"/>
          <w:szCs w:val="21"/>
        </w:rPr>
        <w:fldChar w:fldCharType="end"/>
      </w:r>
    </w:p>
    <w:p w14:paraId="103BEF19">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"_Toc143799355" </w:instrText>
      </w:r>
      <w:r>
        <w:fldChar w:fldCharType="separate"/>
      </w:r>
      <w:r>
        <w:rPr>
          <w:rStyle w:val="144"/>
          <w:color w:val="auto"/>
          <w:sz w:val="21"/>
          <w:szCs w:val="21"/>
          <w:u w:val="none"/>
        </w:rPr>
        <w:t>1.6 环境影响评价主要结论</w:t>
      </w:r>
      <w:r>
        <w:rPr>
          <w:sz w:val="21"/>
          <w:szCs w:val="21"/>
        </w:rPr>
        <w:tab/>
      </w:r>
      <w:r>
        <w:rPr>
          <w:sz w:val="21"/>
          <w:szCs w:val="21"/>
        </w:rPr>
        <w:fldChar w:fldCharType="begin"/>
      </w:r>
      <w:r>
        <w:rPr>
          <w:sz w:val="21"/>
          <w:szCs w:val="21"/>
        </w:rPr>
        <w:instrText xml:space="preserve"> PAGEREF _Toc143799355 \h </w:instrText>
      </w:r>
      <w:r>
        <w:rPr>
          <w:sz w:val="21"/>
          <w:szCs w:val="21"/>
        </w:rPr>
        <w:fldChar w:fldCharType="separate"/>
      </w:r>
      <w:r>
        <w:rPr>
          <w:sz w:val="21"/>
          <w:szCs w:val="21"/>
        </w:rPr>
        <w:t>5</w:t>
      </w:r>
      <w:r>
        <w:rPr>
          <w:sz w:val="21"/>
          <w:szCs w:val="21"/>
        </w:rPr>
        <w:fldChar w:fldCharType="end"/>
      </w:r>
      <w:r>
        <w:rPr>
          <w:sz w:val="21"/>
          <w:szCs w:val="21"/>
        </w:rPr>
        <w:fldChar w:fldCharType="end"/>
      </w:r>
    </w:p>
    <w:p w14:paraId="66503EBD">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"_Toc143799356" </w:instrText>
      </w:r>
      <w:r>
        <w:fldChar w:fldCharType="separate"/>
      </w:r>
      <w:r>
        <w:rPr>
          <w:rStyle w:val="144"/>
          <w:b w:val="0"/>
          <w:bCs w:val="0"/>
          <w:color w:val="auto"/>
          <w:sz w:val="21"/>
          <w:szCs w:val="21"/>
          <w:u w:val="none"/>
        </w:rPr>
        <w:t>2总则</w:t>
      </w:r>
      <w:r>
        <w:rPr>
          <w:b w:val="0"/>
          <w:bCs w:val="0"/>
          <w:sz w:val="21"/>
          <w:szCs w:val="21"/>
        </w:rPr>
        <w:tab/>
      </w:r>
      <w:r>
        <w:rPr>
          <w:b w:val="0"/>
          <w:bCs w:val="0"/>
          <w:sz w:val="21"/>
          <w:szCs w:val="21"/>
        </w:rPr>
        <w:fldChar w:fldCharType="begin"/>
      </w:r>
      <w:r>
        <w:rPr>
          <w:b w:val="0"/>
          <w:bCs w:val="0"/>
          <w:sz w:val="21"/>
          <w:szCs w:val="21"/>
        </w:rPr>
        <w:instrText xml:space="preserve"> PAGEREF _Toc143799356 \h </w:instrText>
      </w:r>
      <w:r>
        <w:rPr>
          <w:b w:val="0"/>
          <w:bCs w:val="0"/>
          <w:sz w:val="21"/>
          <w:szCs w:val="21"/>
        </w:rPr>
        <w:fldChar w:fldCharType="separate"/>
      </w:r>
      <w:r>
        <w:rPr>
          <w:b w:val="0"/>
          <w:bCs w:val="0"/>
          <w:sz w:val="21"/>
          <w:szCs w:val="21"/>
        </w:rPr>
        <w:t>6</w:t>
      </w:r>
      <w:r>
        <w:rPr>
          <w:b w:val="0"/>
          <w:bCs w:val="0"/>
          <w:sz w:val="21"/>
          <w:szCs w:val="21"/>
        </w:rPr>
        <w:fldChar w:fldCharType="end"/>
      </w:r>
      <w:r>
        <w:rPr>
          <w:b w:val="0"/>
          <w:bCs w:val="0"/>
          <w:sz w:val="21"/>
          <w:szCs w:val="21"/>
        </w:rPr>
        <w:fldChar w:fldCharType="end"/>
      </w:r>
    </w:p>
    <w:p w14:paraId="2F83BC6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"_Toc143799357" </w:instrText>
      </w:r>
      <w:r>
        <w:fldChar w:fldCharType="separate"/>
      </w:r>
      <w:r>
        <w:rPr>
          <w:rStyle w:val="144"/>
          <w:color w:val="auto"/>
          <w:sz w:val="21"/>
          <w:szCs w:val="21"/>
          <w:u w:val="none"/>
        </w:rPr>
        <w:t>2.1编制依据</w:t>
      </w:r>
      <w:r>
        <w:rPr>
          <w:sz w:val="21"/>
          <w:szCs w:val="21"/>
        </w:rPr>
        <w:tab/>
      </w:r>
      <w:r>
        <w:rPr>
          <w:sz w:val="21"/>
          <w:szCs w:val="21"/>
        </w:rPr>
        <w:fldChar w:fldCharType="begin"/>
      </w:r>
      <w:r>
        <w:rPr>
          <w:sz w:val="21"/>
          <w:szCs w:val="21"/>
        </w:rPr>
        <w:instrText xml:space="preserve"> PAGEREF _Toc143799357 \h </w:instrText>
      </w:r>
      <w:r>
        <w:rPr>
          <w:sz w:val="21"/>
          <w:szCs w:val="21"/>
        </w:rPr>
        <w:fldChar w:fldCharType="separate"/>
      </w:r>
      <w:r>
        <w:rPr>
          <w:sz w:val="21"/>
          <w:szCs w:val="21"/>
        </w:rPr>
        <w:t>6</w:t>
      </w:r>
      <w:r>
        <w:rPr>
          <w:sz w:val="21"/>
          <w:szCs w:val="21"/>
        </w:rPr>
        <w:fldChar w:fldCharType="end"/>
      </w:r>
      <w:r>
        <w:rPr>
          <w:sz w:val="21"/>
          <w:szCs w:val="21"/>
        </w:rPr>
        <w:fldChar w:fldCharType="end"/>
      </w:r>
    </w:p>
    <w:p w14:paraId="6BDF1919">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"_Toc143799358" </w:instrText>
      </w:r>
      <w:r>
        <w:fldChar w:fldCharType="separate"/>
      </w:r>
      <w:r>
        <w:rPr>
          <w:rStyle w:val="144"/>
          <w:color w:val="auto"/>
          <w:sz w:val="21"/>
          <w:szCs w:val="21"/>
          <w:u w:val="none"/>
        </w:rPr>
        <w:t>2.2环境影响识别和评价因子筛选</w:t>
      </w:r>
      <w:r>
        <w:rPr>
          <w:sz w:val="21"/>
          <w:szCs w:val="21"/>
        </w:rPr>
        <w:tab/>
      </w:r>
      <w:r>
        <w:rPr>
          <w:sz w:val="21"/>
          <w:szCs w:val="21"/>
        </w:rPr>
        <w:fldChar w:fldCharType="begin"/>
      </w:r>
      <w:r>
        <w:rPr>
          <w:sz w:val="21"/>
          <w:szCs w:val="21"/>
        </w:rPr>
        <w:instrText xml:space="preserve"> PAGEREF _Toc143799358 \h </w:instrText>
      </w:r>
      <w:r>
        <w:rPr>
          <w:sz w:val="21"/>
          <w:szCs w:val="21"/>
        </w:rPr>
        <w:fldChar w:fldCharType="separate"/>
      </w:r>
      <w:r>
        <w:rPr>
          <w:sz w:val="21"/>
          <w:szCs w:val="21"/>
        </w:rPr>
        <w:t>9</w:t>
      </w:r>
      <w:r>
        <w:rPr>
          <w:sz w:val="21"/>
          <w:szCs w:val="21"/>
        </w:rPr>
        <w:fldChar w:fldCharType="end"/>
      </w:r>
      <w:r>
        <w:rPr>
          <w:sz w:val="21"/>
          <w:szCs w:val="21"/>
        </w:rPr>
        <w:fldChar w:fldCharType="end"/>
      </w:r>
    </w:p>
    <w:p w14:paraId="68D2CCF0">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"_Toc143799359" </w:instrText>
      </w:r>
      <w:r>
        <w:fldChar w:fldCharType="separate"/>
      </w:r>
      <w:r>
        <w:rPr>
          <w:rStyle w:val="144"/>
          <w:color w:val="auto"/>
          <w:sz w:val="21"/>
          <w:szCs w:val="21"/>
          <w:u w:val="none"/>
        </w:rPr>
        <w:t>2.3评价重点</w:t>
      </w:r>
      <w:r>
        <w:rPr>
          <w:sz w:val="21"/>
          <w:szCs w:val="21"/>
        </w:rPr>
        <w:tab/>
      </w:r>
      <w:r>
        <w:rPr>
          <w:sz w:val="21"/>
          <w:szCs w:val="21"/>
        </w:rPr>
        <w:fldChar w:fldCharType="begin"/>
      </w:r>
      <w:r>
        <w:rPr>
          <w:sz w:val="21"/>
          <w:szCs w:val="21"/>
        </w:rPr>
        <w:instrText xml:space="preserve"> PAGEREF _Toc143799359 \h </w:instrText>
      </w:r>
      <w:r>
        <w:rPr>
          <w:sz w:val="21"/>
          <w:szCs w:val="21"/>
        </w:rPr>
        <w:fldChar w:fldCharType="separate"/>
      </w:r>
      <w:r>
        <w:rPr>
          <w:sz w:val="21"/>
          <w:szCs w:val="21"/>
        </w:rPr>
        <w:t>11</w:t>
      </w:r>
      <w:r>
        <w:rPr>
          <w:sz w:val="21"/>
          <w:szCs w:val="21"/>
        </w:rPr>
        <w:fldChar w:fldCharType="end"/>
      </w:r>
      <w:r>
        <w:rPr>
          <w:sz w:val="21"/>
          <w:szCs w:val="21"/>
        </w:rPr>
        <w:fldChar w:fldCharType="end"/>
      </w:r>
    </w:p>
    <w:p w14:paraId="7A0D12F0">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"_Toc143799360" </w:instrText>
      </w:r>
      <w:r>
        <w:fldChar w:fldCharType="separate"/>
      </w:r>
      <w:r>
        <w:rPr>
          <w:rStyle w:val="144"/>
          <w:color w:val="auto"/>
          <w:sz w:val="21"/>
          <w:szCs w:val="21"/>
          <w:u w:val="none"/>
        </w:rPr>
        <w:t>2.4评价标准</w:t>
      </w:r>
      <w:r>
        <w:rPr>
          <w:sz w:val="21"/>
          <w:szCs w:val="21"/>
        </w:rPr>
        <w:tab/>
      </w:r>
      <w:r>
        <w:rPr>
          <w:sz w:val="21"/>
          <w:szCs w:val="21"/>
        </w:rPr>
        <w:fldChar w:fldCharType="begin"/>
      </w:r>
      <w:r>
        <w:rPr>
          <w:sz w:val="21"/>
          <w:szCs w:val="21"/>
        </w:rPr>
        <w:instrText xml:space="preserve"> PAGEREF _Toc143799360 \h </w:instrText>
      </w:r>
      <w:r>
        <w:rPr>
          <w:sz w:val="21"/>
          <w:szCs w:val="21"/>
        </w:rPr>
        <w:fldChar w:fldCharType="separate"/>
      </w:r>
      <w:r>
        <w:rPr>
          <w:sz w:val="21"/>
          <w:szCs w:val="21"/>
        </w:rPr>
        <w:t>11</w:t>
      </w:r>
      <w:r>
        <w:rPr>
          <w:sz w:val="21"/>
          <w:szCs w:val="21"/>
        </w:rPr>
        <w:fldChar w:fldCharType="end"/>
      </w:r>
      <w:r>
        <w:rPr>
          <w:sz w:val="21"/>
          <w:szCs w:val="21"/>
        </w:rPr>
        <w:fldChar w:fldCharType="end"/>
      </w:r>
    </w:p>
    <w:p w14:paraId="629C75C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"_Toc143799361" </w:instrText>
      </w:r>
      <w:r>
        <w:fldChar w:fldCharType="separate"/>
      </w:r>
      <w:r>
        <w:rPr>
          <w:rStyle w:val="144"/>
          <w:color w:val="auto"/>
          <w:sz w:val="21"/>
          <w:szCs w:val="21"/>
          <w:u w:val="none"/>
        </w:rPr>
        <w:t>2.5评价工作等级与评价范围</w:t>
      </w:r>
      <w:r>
        <w:rPr>
          <w:sz w:val="21"/>
          <w:szCs w:val="21"/>
        </w:rPr>
        <w:tab/>
      </w:r>
      <w:r>
        <w:rPr>
          <w:sz w:val="21"/>
          <w:szCs w:val="21"/>
        </w:rPr>
        <w:fldChar w:fldCharType="begin"/>
      </w:r>
      <w:r>
        <w:rPr>
          <w:sz w:val="21"/>
          <w:szCs w:val="21"/>
        </w:rPr>
        <w:instrText xml:space="preserve"> PAGEREF _Toc143799361 \h </w:instrText>
      </w:r>
      <w:r>
        <w:rPr>
          <w:sz w:val="21"/>
          <w:szCs w:val="21"/>
        </w:rPr>
        <w:fldChar w:fldCharType="separate"/>
      </w:r>
      <w:r>
        <w:rPr>
          <w:sz w:val="21"/>
          <w:szCs w:val="21"/>
        </w:rPr>
        <w:t>16</w:t>
      </w:r>
      <w:r>
        <w:rPr>
          <w:sz w:val="21"/>
          <w:szCs w:val="21"/>
        </w:rPr>
        <w:fldChar w:fldCharType="end"/>
      </w:r>
      <w:r>
        <w:rPr>
          <w:sz w:val="21"/>
          <w:szCs w:val="21"/>
        </w:rPr>
        <w:fldChar w:fldCharType="end"/>
      </w:r>
    </w:p>
    <w:p w14:paraId="275F1F0C">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"_Toc143799362" </w:instrText>
      </w:r>
      <w:r>
        <w:fldChar w:fldCharType="separate"/>
      </w:r>
      <w:r>
        <w:rPr>
          <w:rStyle w:val="144"/>
          <w:color w:val="auto"/>
          <w:sz w:val="21"/>
          <w:szCs w:val="21"/>
          <w:u w:val="none"/>
        </w:rPr>
        <w:t>2.6环境保护目标</w:t>
      </w:r>
      <w:r>
        <w:rPr>
          <w:sz w:val="21"/>
          <w:szCs w:val="21"/>
        </w:rPr>
        <w:tab/>
      </w:r>
      <w:r>
        <w:rPr>
          <w:sz w:val="21"/>
          <w:szCs w:val="21"/>
        </w:rPr>
        <w:fldChar w:fldCharType="begin"/>
      </w:r>
      <w:r>
        <w:rPr>
          <w:sz w:val="21"/>
          <w:szCs w:val="21"/>
        </w:rPr>
        <w:instrText xml:space="preserve"> PAGEREF _Toc143799362 \h </w:instrText>
      </w:r>
      <w:r>
        <w:rPr>
          <w:sz w:val="21"/>
          <w:szCs w:val="21"/>
        </w:rPr>
        <w:fldChar w:fldCharType="separate"/>
      </w:r>
      <w:r>
        <w:rPr>
          <w:sz w:val="21"/>
          <w:szCs w:val="21"/>
        </w:rPr>
        <w:t>22</w:t>
      </w:r>
      <w:r>
        <w:rPr>
          <w:sz w:val="21"/>
          <w:szCs w:val="21"/>
        </w:rPr>
        <w:fldChar w:fldCharType="end"/>
      </w:r>
      <w:r>
        <w:rPr>
          <w:sz w:val="21"/>
          <w:szCs w:val="21"/>
        </w:rPr>
        <w:fldChar w:fldCharType="end"/>
      </w:r>
    </w:p>
    <w:p w14:paraId="0736DB57">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"_Toc143799363" </w:instrText>
      </w:r>
      <w:r>
        <w:fldChar w:fldCharType="separate"/>
      </w:r>
      <w:r>
        <w:rPr>
          <w:rStyle w:val="144"/>
          <w:b w:val="0"/>
          <w:bCs w:val="0"/>
          <w:color w:val="auto"/>
          <w:sz w:val="21"/>
          <w:szCs w:val="21"/>
          <w:u w:val="none"/>
        </w:rPr>
        <w:t>3项目概况</w:t>
      </w:r>
      <w:r>
        <w:rPr>
          <w:b w:val="0"/>
          <w:bCs w:val="0"/>
          <w:sz w:val="21"/>
          <w:szCs w:val="21"/>
        </w:rPr>
        <w:tab/>
      </w:r>
      <w:r>
        <w:rPr>
          <w:b w:val="0"/>
          <w:bCs w:val="0"/>
          <w:sz w:val="21"/>
          <w:szCs w:val="21"/>
        </w:rPr>
        <w:fldChar w:fldCharType="begin"/>
      </w:r>
      <w:r>
        <w:rPr>
          <w:b w:val="0"/>
          <w:bCs w:val="0"/>
          <w:sz w:val="21"/>
          <w:szCs w:val="21"/>
        </w:rPr>
        <w:instrText xml:space="preserve"> PAGEREF _Toc143799363 \h </w:instrText>
      </w:r>
      <w:r>
        <w:rPr>
          <w:b w:val="0"/>
          <w:bCs w:val="0"/>
          <w:sz w:val="21"/>
          <w:szCs w:val="21"/>
        </w:rPr>
        <w:fldChar w:fldCharType="separate"/>
      </w:r>
      <w:r>
        <w:rPr>
          <w:b w:val="0"/>
          <w:bCs w:val="0"/>
          <w:sz w:val="21"/>
          <w:szCs w:val="21"/>
        </w:rPr>
        <w:t>26</w:t>
      </w:r>
      <w:r>
        <w:rPr>
          <w:b w:val="0"/>
          <w:bCs w:val="0"/>
          <w:sz w:val="21"/>
          <w:szCs w:val="21"/>
        </w:rPr>
        <w:fldChar w:fldCharType="end"/>
      </w:r>
      <w:r>
        <w:rPr>
          <w:b w:val="0"/>
          <w:bCs w:val="0"/>
          <w:sz w:val="21"/>
          <w:szCs w:val="21"/>
        </w:rPr>
        <w:fldChar w:fldCharType="end"/>
      </w:r>
    </w:p>
    <w:p w14:paraId="5E89531F">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"_Toc143799364" </w:instrText>
      </w:r>
      <w:r>
        <w:fldChar w:fldCharType="separate"/>
      </w:r>
      <w:r>
        <w:rPr>
          <w:rStyle w:val="144"/>
          <w:color w:val="auto"/>
          <w:sz w:val="21"/>
          <w:szCs w:val="21"/>
          <w:u w:val="none"/>
        </w:rPr>
        <w:t>3.1项目地理位置</w:t>
      </w:r>
      <w:r>
        <w:rPr>
          <w:sz w:val="21"/>
          <w:szCs w:val="21"/>
        </w:rPr>
        <w:tab/>
      </w:r>
      <w:r>
        <w:rPr>
          <w:sz w:val="21"/>
          <w:szCs w:val="21"/>
        </w:rPr>
        <w:fldChar w:fldCharType="begin"/>
      </w:r>
      <w:r>
        <w:rPr>
          <w:sz w:val="21"/>
          <w:szCs w:val="21"/>
        </w:rPr>
        <w:instrText xml:space="preserve"> PAGEREF _Toc143799364 \h </w:instrText>
      </w:r>
      <w:r>
        <w:rPr>
          <w:sz w:val="21"/>
          <w:szCs w:val="21"/>
        </w:rPr>
        <w:fldChar w:fldCharType="separate"/>
      </w:r>
      <w:r>
        <w:rPr>
          <w:sz w:val="21"/>
          <w:szCs w:val="21"/>
        </w:rPr>
        <w:t>26</w:t>
      </w:r>
      <w:r>
        <w:rPr>
          <w:sz w:val="21"/>
          <w:szCs w:val="21"/>
        </w:rPr>
        <w:fldChar w:fldCharType="end"/>
      </w:r>
      <w:r>
        <w:rPr>
          <w:sz w:val="21"/>
          <w:szCs w:val="21"/>
        </w:rPr>
        <w:fldChar w:fldCharType="end"/>
      </w:r>
    </w:p>
    <w:p w14:paraId="5546C725">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"_Toc143799365" </w:instrText>
      </w:r>
      <w:r>
        <w:fldChar w:fldCharType="separate"/>
      </w:r>
      <w:r>
        <w:rPr>
          <w:rStyle w:val="144"/>
          <w:color w:val="auto"/>
          <w:sz w:val="21"/>
          <w:szCs w:val="21"/>
          <w:u w:val="none"/>
        </w:rPr>
        <w:t>3.2区域风资源概况</w:t>
      </w:r>
      <w:r>
        <w:rPr>
          <w:sz w:val="21"/>
          <w:szCs w:val="21"/>
        </w:rPr>
        <w:tab/>
      </w:r>
      <w:r>
        <w:rPr>
          <w:sz w:val="21"/>
          <w:szCs w:val="21"/>
        </w:rPr>
        <w:fldChar w:fldCharType="begin"/>
      </w:r>
      <w:r>
        <w:rPr>
          <w:sz w:val="21"/>
          <w:szCs w:val="21"/>
        </w:rPr>
        <w:instrText xml:space="preserve"> PAGEREF _Toc143799365 \h </w:instrText>
      </w:r>
      <w:r>
        <w:rPr>
          <w:sz w:val="21"/>
          <w:szCs w:val="21"/>
        </w:rPr>
        <w:fldChar w:fldCharType="separate"/>
      </w:r>
      <w:r>
        <w:rPr>
          <w:sz w:val="21"/>
          <w:szCs w:val="21"/>
        </w:rPr>
        <w:t>26</w:t>
      </w:r>
      <w:r>
        <w:rPr>
          <w:sz w:val="21"/>
          <w:szCs w:val="21"/>
        </w:rPr>
        <w:fldChar w:fldCharType="end"/>
      </w:r>
      <w:r>
        <w:rPr>
          <w:sz w:val="21"/>
          <w:szCs w:val="21"/>
        </w:rPr>
        <w:fldChar w:fldCharType="end"/>
      </w:r>
    </w:p>
    <w:p w14:paraId="1752AC1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"_Toc143799366" </w:instrText>
      </w:r>
      <w:r>
        <w:fldChar w:fldCharType="separate"/>
      </w:r>
      <w:r>
        <w:rPr>
          <w:rStyle w:val="144"/>
          <w:color w:val="auto"/>
          <w:sz w:val="21"/>
          <w:szCs w:val="21"/>
          <w:u w:val="none"/>
        </w:rPr>
        <w:t>3.3工程内容及规模</w:t>
      </w:r>
      <w:r>
        <w:rPr>
          <w:sz w:val="21"/>
          <w:szCs w:val="21"/>
        </w:rPr>
        <w:tab/>
      </w:r>
      <w:r>
        <w:rPr>
          <w:sz w:val="21"/>
          <w:szCs w:val="21"/>
        </w:rPr>
        <w:fldChar w:fldCharType="begin"/>
      </w:r>
      <w:r>
        <w:rPr>
          <w:sz w:val="21"/>
          <w:szCs w:val="21"/>
        </w:rPr>
        <w:instrText xml:space="preserve"> PAGEREF _Toc143799366 \h </w:instrText>
      </w:r>
      <w:r>
        <w:rPr>
          <w:sz w:val="21"/>
          <w:szCs w:val="21"/>
        </w:rPr>
        <w:fldChar w:fldCharType="separate"/>
      </w:r>
      <w:r>
        <w:rPr>
          <w:sz w:val="21"/>
          <w:szCs w:val="21"/>
        </w:rPr>
        <w:t>28</w:t>
      </w:r>
      <w:r>
        <w:rPr>
          <w:sz w:val="21"/>
          <w:szCs w:val="21"/>
        </w:rPr>
        <w:fldChar w:fldCharType="end"/>
      </w:r>
      <w:r>
        <w:rPr>
          <w:sz w:val="21"/>
          <w:szCs w:val="21"/>
        </w:rPr>
        <w:fldChar w:fldCharType="end"/>
      </w:r>
    </w:p>
    <w:p w14:paraId="59A09312">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"_Toc143799367" </w:instrText>
      </w:r>
      <w:r>
        <w:fldChar w:fldCharType="separate"/>
      </w:r>
      <w:r>
        <w:rPr>
          <w:rStyle w:val="144"/>
          <w:color w:val="auto"/>
          <w:sz w:val="21"/>
          <w:szCs w:val="21"/>
          <w:u w:val="none"/>
        </w:rPr>
        <w:t>3.4项目组成</w:t>
      </w:r>
      <w:r>
        <w:rPr>
          <w:sz w:val="21"/>
          <w:szCs w:val="21"/>
        </w:rPr>
        <w:tab/>
      </w:r>
      <w:r>
        <w:rPr>
          <w:sz w:val="21"/>
          <w:szCs w:val="21"/>
        </w:rPr>
        <w:fldChar w:fldCharType="begin"/>
      </w:r>
      <w:r>
        <w:rPr>
          <w:sz w:val="21"/>
          <w:szCs w:val="21"/>
        </w:rPr>
        <w:instrText xml:space="preserve"> PAGEREF _Toc143799367 \h </w:instrText>
      </w:r>
      <w:r>
        <w:rPr>
          <w:sz w:val="21"/>
          <w:szCs w:val="21"/>
        </w:rPr>
        <w:fldChar w:fldCharType="separate"/>
      </w:r>
      <w:r>
        <w:rPr>
          <w:sz w:val="21"/>
          <w:szCs w:val="21"/>
        </w:rPr>
        <w:t>30</w:t>
      </w:r>
      <w:r>
        <w:rPr>
          <w:sz w:val="21"/>
          <w:szCs w:val="21"/>
        </w:rPr>
        <w:fldChar w:fldCharType="end"/>
      </w:r>
      <w:r>
        <w:rPr>
          <w:sz w:val="21"/>
          <w:szCs w:val="21"/>
        </w:rPr>
        <w:fldChar w:fldCharType="end"/>
      </w:r>
    </w:p>
    <w:p w14:paraId="0036F388">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"_Toc143799368" </w:instrText>
      </w:r>
      <w:r>
        <w:fldChar w:fldCharType="separate"/>
      </w:r>
      <w:r>
        <w:rPr>
          <w:rStyle w:val="144"/>
          <w:color w:val="auto"/>
          <w:sz w:val="21"/>
          <w:szCs w:val="21"/>
          <w:u w:val="none"/>
        </w:rPr>
        <w:t>3.5工程布置</w:t>
      </w:r>
      <w:r>
        <w:rPr>
          <w:sz w:val="21"/>
          <w:szCs w:val="21"/>
        </w:rPr>
        <w:tab/>
      </w:r>
      <w:r>
        <w:rPr>
          <w:sz w:val="21"/>
          <w:szCs w:val="21"/>
        </w:rPr>
        <w:fldChar w:fldCharType="begin"/>
      </w:r>
      <w:r>
        <w:rPr>
          <w:sz w:val="21"/>
          <w:szCs w:val="21"/>
        </w:rPr>
        <w:instrText xml:space="preserve"> PAGEREF _Toc143799368 \h </w:instrText>
      </w:r>
      <w:r>
        <w:rPr>
          <w:sz w:val="21"/>
          <w:szCs w:val="21"/>
        </w:rPr>
        <w:fldChar w:fldCharType="separate"/>
      </w:r>
      <w:r>
        <w:rPr>
          <w:sz w:val="21"/>
          <w:szCs w:val="21"/>
        </w:rPr>
        <w:t>31</w:t>
      </w:r>
      <w:r>
        <w:rPr>
          <w:sz w:val="21"/>
          <w:szCs w:val="21"/>
        </w:rPr>
        <w:fldChar w:fldCharType="end"/>
      </w:r>
      <w:r>
        <w:rPr>
          <w:sz w:val="21"/>
          <w:szCs w:val="21"/>
        </w:rPr>
        <w:fldChar w:fldCharType="end"/>
      </w:r>
    </w:p>
    <w:p w14:paraId="572961A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"_Toc143799369" </w:instrText>
      </w:r>
      <w:r>
        <w:fldChar w:fldCharType="separate"/>
      </w:r>
      <w:r>
        <w:rPr>
          <w:rStyle w:val="144"/>
          <w:color w:val="auto"/>
          <w:sz w:val="21"/>
          <w:szCs w:val="21"/>
          <w:u w:val="none"/>
        </w:rPr>
        <w:t>3.6工程占地和拆迁</w:t>
      </w:r>
      <w:r>
        <w:rPr>
          <w:sz w:val="21"/>
          <w:szCs w:val="21"/>
        </w:rPr>
        <w:tab/>
      </w:r>
      <w:r>
        <w:rPr>
          <w:sz w:val="21"/>
          <w:szCs w:val="21"/>
        </w:rPr>
        <w:fldChar w:fldCharType="begin"/>
      </w:r>
      <w:r>
        <w:rPr>
          <w:sz w:val="21"/>
          <w:szCs w:val="21"/>
        </w:rPr>
        <w:instrText xml:space="preserve"> PAGEREF _Toc143799369 \h </w:instrText>
      </w:r>
      <w:r>
        <w:rPr>
          <w:sz w:val="21"/>
          <w:szCs w:val="21"/>
        </w:rPr>
        <w:fldChar w:fldCharType="separate"/>
      </w:r>
      <w:r>
        <w:rPr>
          <w:sz w:val="21"/>
          <w:szCs w:val="21"/>
        </w:rPr>
        <w:t>38</w:t>
      </w:r>
      <w:r>
        <w:rPr>
          <w:sz w:val="21"/>
          <w:szCs w:val="21"/>
        </w:rPr>
        <w:fldChar w:fldCharType="end"/>
      </w:r>
      <w:r>
        <w:rPr>
          <w:sz w:val="21"/>
          <w:szCs w:val="21"/>
        </w:rPr>
        <w:fldChar w:fldCharType="end"/>
      </w:r>
    </w:p>
    <w:p w14:paraId="699414D1">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"_Toc143799370" </w:instrText>
      </w:r>
      <w:r>
        <w:fldChar w:fldCharType="separate"/>
      </w:r>
      <w:r>
        <w:rPr>
          <w:rStyle w:val="144"/>
          <w:color w:val="auto"/>
          <w:sz w:val="21"/>
          <w:szCs w:val="21"/>
          <w:u w:val="none"/>
        </w:rPr>
        <w:t>3.7土石方工程</w:t>
      </w:r>
      <w:r>
        <w:rPr>
          <w:sz w:val="21"/>
          <w:szCs w:val="21"/>
        </w:rPr>
        <w:tab/>
      </w:r>
      <w:r>
        <w:rPr>
          <w:sz w:val="21"/>
          <w:szCs w:val="21"/>
        </w:rPr>
        <w:fldChar w:fldCharType="begin"/>
      </w:r>
      <w:r>
        <w:rPr>
          <w:sz w:val="21"/>
          <w:szCs w:val="21"/>
        </w:rPr>
        <w:instrText xml:space="preserve"> PAGEREF _Toc143799370 \h </w:instrText>
      </w:r>
      <w:r>
        <w:rPr>
          <w:sz w:val="21"/>
          <w:szCs w:val="21"/>
        </w:rPr>
        <w:fldChar w:fldCharType="separate"/>
      </w:r>
      <w:r>
        <w:rPr>
          <w:sz w:val="21"/>
          <w:szCs w:val="21"/>
        </w:rPr>
        <w:t>39</w:t>
      </w:r>
      <w:r>
        <w:rPr>
          <w:sz w:val="21"/>
          <w:szCs w:val="21"/>
        </w:rPr>
        <w:fldChar w:fldCharType="end"/>
      </w:r>
      <w:r>
        <w:rPr>
          <w:sz w:val="21"/>
          <w:szCs w:val="21"/>
        </w:rPr>
        <w:fldChar w:fldCharType="end"/>
      </w:r>
    </w:p>
    <w:p w14:paraId="70EF7349">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"_Toc143799371" </w:instrText>
      </w:r>
      <w:r>
        <w:fldChar w:fldCharType="separate"/>
      </w:r>
      <w:r>
        <w:rPr>
          <w:rStyle w:val="144"/>
          <w:color w:val="auto"/>
          <w:sz w:val="21"/>
          <w:szCs w:val="21"/>
          <w:u w:val="none"/>
        </w:rPr>
        <w:t>3.8劳动定员</w:t>
      </w:r>
      <w:r>
        <w:rPr>
          <w:sz w:val="21"/>
          <w:szCs w:val="21"/>
        </w:rPr>
        <w:tab/>
      </w:r>
      <w:r>
        <w:rPr>
          <w:sz w:val="21"/>
          <w:szCs w:val="21"/>
        </w:rPr>
        <w:fldChar w:fldCharType="begin"/>
      </w:r>
      <w:r>
        <w:rPr>
          <w:sz w:val="21"/>
          <w:szCs w:val="21"/>
        </w:rPr>
        <w:instrText xml:space="preserve"> PAGEREF _Toc143799371 \h </w:instrText>
      </w:r>
      <w:r>
        <w:rPr>
          <w:sz w:val="21"/>
          <w:szCs w:val="21"/>
        </w:rPr>
        <w:fldChar w:fldCharType="separate"/>
      </w:r>
      <w:r>
        <w:rPr>
          <w:sz w:val="21"/>
          <w:szCs w:val="21"/>
        </w:rPr>
        <w:t>46</w:t>
      </w:r>
      <w:r>
        <w:rPr>
          <w:sz w:val="21"/>
          <w:szCs w:val="21"/>
        </w:rPr>
        <w:fldChar w:fldCharType="end"/>
      </w:r>
      <w:r>
        <w:rPr>
          <w:sz w:val="21"/>
          <w:szCs w:val="21"/>
        </w:rPr>
        <w:fldChar w:fldCharType="end"/>
      </w:r>
    </w:p>
    <w:p w14:paraId="2D269DCC">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"_Toc143799372" </w:instrText>
      </w:r>
      <w:r>
        <w:fldChar w:fldCharType="separate"/>
      </w:r>
      <w:r>
        <w:rPr>
          <w:rStyle w:val="144"/>
          <w:color w:val="auto"/>
          <w:sz w:val="21"/>
          <w:szCs w:val="21"/>
          <w:u w:val="none"/>
        </w:rPr>
        <w:t>3.9项目投资</w:t>
      </w:r>
      <w:r>
        <w:rPr>
          <w:sz w:val="21"/>
          <w:szCs w:val="21"/>
        </w:rPr>
        <w:tab/>
      </w:r>
      <w:r>
        <w:rPr>
          <w:sz w:val="21"/>
          <w:szCs w:val="21"/>
        </w:rPr>
        <w:fldChar w:fldCharType="begin"/>
      </w:r>
      <w:r>
        <w:rPr>
          <w:sz w:val="21"/>
          <w:szCs w:val="21"/>
        </w:rPr>
        <w:instrText xml:space="preserve"> PAGEREF _Toc143799372 \h </w:instrText>
      </w:r>
      <w:r>
        <w:rPr>
          <w:sz w:val="21"/>
          <w:szCs w:val="21"/>
        </w:rPr>
        <w:fldChar w:fldCharType="separate"/>
      </w:r>
      <w:r>
        <w:rPr>
          <w:sz w:val="21"/>
          <w:szCs w:val="21"/>
        </w:rPr>
        <w:t>46</w:t>
      </w:r>
      <w:r>
        <w:rPr>
          <w:sz w:val="21"/>
          <w:szCs w:val="21"/>
        </w:rPr>
        <w:fldChar w:fldCharType="end"/>
      </w:r>
      <w:r>
        <w:rPr>
          <w:sz w:val="21"/>
          <w:szCs w:val="21"/>
        </w:rPr>
        <w:fldChar w:fldCharType="end"/>
      </w:r>
    </w:p>
    <w:p w14:paraId="3D8072B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"_Toc143799373" </w:instrText>
      </w:r>
      <w:r>
        <w:fldChar w:fldCharType="separate"/>
      </w:r>
      <w:r>
        <w:rPr>
          <w:rStyle w:val="144"/>
          <w:color w:val="auto"/>
          <w:sz w:val="21"/>
          <w:szCs w:val="21"/>
          <w:u w:val="none"/>
        </w:rPr>
        <w:t>3.10项目施工工期</w:t>
      </w:r>
      <w:r>
        <w:rPr>
          <w:sz w:val="21"/>
          <w:szCs w:val="21"/>
        </w:rPr>
        <w:tab/>
      </w:r>
      <w:r>
        <w:rPr>
          <w:sz w:val="21"/>
          <w:szCs w:val="21"/>
        </w:rPr>
        <w:fldChar w:fldCharType="begin"/>
      </w:r>
      <w:r>
        <w:rPr>
          <w:sz w:val="21"/>
          <w:szCs w:val="21"/>
        </w:rPr>
        <w:instrText xml:space="preserve"> PAGEREF _Toc143799373 \h </w:instrText>
      </w:r>
      <w:r>
        <w:rPr>
          <w:sz w:val="21"/>
          <w:szCs w:val="21"/>
        </w:rPr>
        <w:fldChar w:fldCharType="separate"/>
      </w:r>
      <w:r>
        <w:rPr>
          <w:sz w:val="21"/>
          <w:szCs w:val="21"/>
        </w:rPr>
        <w:t>46</w:t>
      </w:r>
      <w:r>
        <w:rPr>
          <w:sz w:val="21"/>
          <w:szCs w:val="21"/>
        </w:rPr>
        <w:fldChar w:fldCharType="end"/>
      </w:r>
      <w:r>
        <w:rPr>
          <w:sz w:val="21"/>
          <w:szCs w:val="21"/>
        </w:rPr>
        <w:fldChar w:fldCharType="end"/>
      </w:r>
    </w:p>
    <w:p w14:paraId="03BD23D5">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"_Toc143799374" </w:instrText>
      </w:r>
      <w:r>
        <w:fldChar w:fldCharType="separate"/>
      </w:r>
      <w:r>
        <w:rPr>
          <w:rStyle w:val="144"/>
          <w:b w:val="0"/>
          <w:bCs w:val="0"/>
          <w:color w:val="auto"/>
          <w:sz w:val="21"/>
          <w:szCs w:val="21"/>
          <w:u w:val="none"/>
        </w:rPr>
        <w:t>4工程分析</w:t>
      </w:r>
      <w:r>
        <w:rPr>
          <w:b w:val="0"/>
          <w:bCs w:val="0"/>
          <w:sz w:val="21"/>
          <w:szCs w:val="21"/>
        </w:rPr>
        <w:tab/>
      </w:r>
      <w:r>
        <w:rPr>
          <w:b w:val="0"/>
          <w:bCs w:val="0"/>
          <w:sz w:val="21"/>
          <w:szCs w:val="21"/>
        </w:rPr>
        <w:fldChar w:fldCharType="begin"/>
      </w:r>
      <w:r>
        <w:rPr>
          <w:b w:val="0"/>
          <w:bCs w:val="0"/>
          <w:sz w:val="21"/>
          <w:szCs w:val="21"/>
        </w:rPr>
        <w:instrText xml:space="preserve"> PAGEREF _Toc143799374 \h </w:instrText>
      </w:r>
      <w:r>
        <w:rPr>
          <w:b w:val="0"/>
          <w:bCs w:val="0"/>
          <w:sz w:val="21"/>
          <w:szCs w:val="21"/>
        </w:rPr>
        <w:fldChar w:fldCharType="separate"/>
      </w:r>
      <w:r>
        <w:rPr>
          <w:b w:val="0"/>
          <w:bCs w:val="0"/>
          <w:sz w:val="21"/>
          <w:szCs w:val="21"/>
        </w:rPr>
        <w:t>47</w:t>
      </w:r>
      <w:r>
        <w:rPr>
          <w:b w:val="0"/>
          <w:bCs w:val="0"/>
          <w:sz w:val="21"/>
          <w:szCs w:val="21"/>
        </w:rPr>
        <w:fldChar w:fldCharType="end"/>
      </w:r>
      <w:r>
        <w:rPr>
          <w:b w:val="0"/>
          <w:bCs w:val="0"/>
          <w:sz w:val="21"/>
          <w:szCs w:val="21"/>
        </w:rPr>
        <w:fldChar w:fldCharType="end"/>
      </w:r>
    </w:p>
    <w:p w14:paraId="0A145DF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"_Toc143799375" </w:instrText>
      </w:r>
      <w:r>
        <w:fldChar w:fldCharType="separate"/>
      </w:r>
      <w:r>
        <w:rPr>
          <w:rStyle w:val="144"/>
          <w:color w:val="auto"/>
          <w:sz w:val="21"/>
          <w:szCs w:val="21"/>
          <w:u w:val="none"/>
        </w:rPr>
        <w:t>4.1施工期工程分析</w:t>
      </w:r>
      <w:r>
        <w:rPr>
          <w:sz w:val="21"/>
          <w:szCs w:val="21"/>
        </w:rPr>
        <w:tab/>
      </w:r>
      <w:r>
        <w:rPr>
          <w:sz w:val="21"/>
          <w:szCs w:val="21"/>
        </w:rPr>
        <w:fldChar w:fldCharType="begin"/>
      </w:r>
      <w:r>
        <w:rPr>
          <w:sz w:val="21"/>
          <w:szCs w:val="21"/>
        </w:rPr>
        <w:instrText xml:space="preserve"> PAGEREF _Toc143799375 \h </w:instrText>
      </w:r>
      <w:r>
        <w:rPr>
          <w:sz w:val="21"/>
          <w:szCs w:val="21"/>
        </w:rPr>
        <w:fldChar w:fldCharType="separate"/>
      </w:r>
      <w:r>
        <w:rPr>
          <w:sz w:val="21"/>
          <w:szCs w:val="21"/>
        </w:rPr>
        <w:t>47</w:t>
      </w:r>
      <w:r>
        <w:rPr>
          <w:sz w:val="21"/>
          <w:szCs w:val="21"/>
        </w:rPr>
        <w:fldChar w:fldCharType="end"/>
      </w:r>
      <w:r>
        <w:rPr>
          <w:sz w:val="21"/>
          <w:szCs w:val="21"/>
        </w:rPr>
        <w:fldChar w:fldCharType="end"/>
      </w:r>
    </w:p>
    <w:p w14:paraId="4A64F64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"_Toc143799376" </w:instrText>
      </w:r>
      <w:r>
        <w:fldChar w:fldCharType="separate"/>
      </w:r>
      <w:r>
        <w:rPr>
          <w:rStyle w:val="144"/>
          <w:color w:val="auto"/>
          <w:sz w:val="21"/>
          <w:szCs w:val="21"/>
          <w:u w:val="none"/>
        </w:rPr>
        <w:t>4.2运营期工艺流程及产污环节</w:t>
      </w:r>
      <w:r>
        <w:rPr>
          <w:sz w:val="21"/>
          <w:szCs w:val="21"/>
        </w:rPr>
        <w:tab/>
      </w:r>
      <w:r>
        <w:rPr>
          <w:sz w:val="21"/>
          <w:szCs w:val="21"/>
        </w:rPr>
        <w:fldChar w:fldCharType="begin"/>
      </w:r>
      <w:r>
        <w:rPr>
          <w:sz w:val="21"/>
          <w:szCs w:val="21"/>
        </w:rPr>
        <w:instrText xml:space="preserve"> PAGEREF _Toc143799376 \h </w:instrText>
      </w:r>
      <w:r>
        <w:rPr>
          <w:sz w:val="21"/>
          <w:szCs w:val="21"/>
        </w:rPr>
        <w:fldChar w:fldCharType="separate"/>
      </w:r>
      <w:r>
        <w:rPr>
          <w:sz w:val="21"/>
          <w:szCs w:val="21"/>
        </w:rPr>
        <w:t>56</w:t>
      </w:r>
      <w:r>
        <w:rPr>
          <w:sz w:val="21"/>
          <w:szCs w:val="21"/>
        </w:rPr>
        <w:fldChar w:fldCharType="end"/>
      </w:r>
      <w:r>
        <w:rPr>
          <w:sz w:val="21"/>
          <w:szCs w:val="21"/>
        </w:rPr>
        <w:fldChar w:fldCharType="end"/>
      </w:r>
    </w:p>
    <w:p w14:paraId="1E48510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"_Toc143799377" </w:instrText>
      </w:r>
      <w:r>
        <w:fldChar w:fldCharType="separate"/>
      </w:r>
      <w:r>
        <w:rPr>
          <w:rStyle w:val="144"/>
          <w:color w:val="auto"/>
          <w:sz w:val="21"/>
          <w:szCs w:val="21"/>
          <w:u w:val="none"/>
        </w:rPr>
        <w:t>4.3污染源分析</w:t>
      </w:r>
      <w:r>
        <w:rPr>
          <w:sz w:val="21"/>
          <w:szCs w:val="21"/>
        </w:rPr>
        <w:tab/>
      </w:r>
      <w:r>
        <w:rPr>
          <w:sz w:val="21"/>
          <w:szCs w:val="21"/>
        </w:rPr>
        <w:fldChar w:fldCharType="begin"/>
      </w:r>
      <w:r>
        <w:rPr>
          <w:sz w:val="21"/>
          <w:szCs w:val="21"/>
        </w:rPr>
        <w:instrText xml:space="preserve"> PAGEREF _Toc143799377 \h </w:instrText>
      </w:r>
      <w:r>
        <w:rPr>
          <w:sz w:val="21"/>
          <w:szCs w:val="21"/>
        </w:rPr>
        <w:fldChar w:fldCharType="separate"/>
      </w:r>
      <w:r>
        <w:rPr>
          <w:sz w:val="21"/>
          <w:szCs w:val="21"/>
        </w:rPr>
        <w:t>58</w:t>
      </w:r>
      <w:r>
        <w:rPr>
          <w:sz w:val="21"/>
          <w:szCs w:val="21"/>
        </w:rPr>
        <w:fldChar w:fldCharType="end"/>
      </w:r>
      <w:r>
        <w:rPr>
          <w:sz w:val="21"/>
          <w:szCs w:val="21"/>
        </w:rPr>
        <w:fldChar w:fldCharType="end"/>
      </w:r>
    </w:p>
    <w:p w14:paraId="5758D6C6">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"_Toc143799378" </w:instrText>
      </w:r>
      <w:r>
        <w:fldChar w:fldCharType="separate"/>
      </w:r>
      <w:r>
        <w:rPr>
          <w:rStyle w:val="144"/>
          <w:b w:val="0"/>
          <w:bCs w:val="0"/>
          <w:color w:val="auto"/>
          <w:sz w:val="21"/>
          <w:szCs w:val="21"/>
          <w:u w:val="none"/>
        </w:rPr>
        <w:t>5区域环境概况</w:t>
      </w:r>
      <w:r>
        <w:rPr>
          <w:b w:val="0"/>
          <w:bCs w:val="0"/>
          <w:sz w:val="21"/>
          <w:szCs w:val="21"/>
        </w:rPr>
        <w:tab/>
      </w:r>
      <w:r>
        <w:rPr>
          <w:b w:val="0"/>
          <w:bCs w:val="0"/>
          <w:sz w:val="21"/>
          <w:szCs w:val="21"/>
        </w:rPr>
        <w:fldChar w:fldCharType="begin"/>
      </w:r>
      <w:r>
        <w:rPr>
          <w:b w:val="0"/>
          <w:bCs w:val="0"/>
          <w:sz w:val="21"/>
          <w:szCs w:val="21"/>
        </w:rPr>
        <w:instrText xml:space="preserve"> PAGEREF _Toc143799378 \h </w:instrText>
      </w:r>
      <w:r>
        <w:rPr>
          <w:b w:val="0"/>
          <w:bCs w:val="0"/>
          <w:sz w:val="21"/>
          <w:szCs w:val="21"/>
        </w:rPr>
        <w:fldChar w:fldCharType="separate"/>
      </w:r>
      <w:r>
        <w:rPr>
          <w:b w:val="0"/>
          <w:bCs w:val="0"/>
          <w:sz w:val="21"/>
          <w:szCs w:val="21"/>
        </w:rPr>
        <w:t>71</w:t>
      </w:r>
      <w:r>
        <w:rPr>
          <w:b w:val="0"/>
          <w:bCs w:val="0"/>
          <w:sz w:val="21"/>
          <w:szCs w:val="21"/>
        </w:rPr>
        <w:fldChar w:fldCharType="end"/>
      </w:r>
      <w:r>
        <w:rPr>
          <w:b w:val="0"/>
          <w:bCs w:val="0"/>
          <w:sz w:val="21"/>
          <w:szCs w:val="21"/>
        </w:rPr>
        <w:fldChar w:fldCharType="end"/>
      </w:r>
    </w:p>
    <w:p w14:paraId="06345F59">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"_Toc143799379" </w:instrText>
      </w:r>
      <w:r>
        <w:fldChar w:fldCharType="separate"/>
      </w:r>
      <w:r>
        <w:rPr>
          <w:rStyle w:val="144"/>
          <w:color w:val="auto"/>
          <w:sz w:val="21"/>
          <w:szCs w:val="21"/>
          <w:u w:val="none"/>
        </w:rPr>
        <w:t>5.1自然环境概况</w:t>
      </w:r>
      <w:r>
        <w:rPr>
          <w:sz w:val="21"/>
          <w:szCs w:val="21"/>
        </w:rPr>
        <w:tab/>
      </w:r>
      <w:r>
        <w:rPr>
          <w:sz w:val="21"/>
          <w:szCs w:val="21"/>
        </w:rPr>
        <w:fldChar w:fldCharType="begin"/>
      </w:r>
      <w:r>
        <w:rPr>
          <w:sz w:val="21"/>
          <w:szCs w:val="21"/>
        </w:rPr>
        <w:instrText xml:space="preserve"> PAGEREF _Toc143799379 \h </w:instrText>
      </w:r>
      <w:r>
        <w:rPr>
          <w:sz w:val="21"/>
          <w:szCs w:val="21"/>
        </w:rPr>
        <w:fldChar w:fldCharType="separate"/>
      </w:r>
      <w:r>
        <w:rPr>
          <w:sz w:val="21"/>
          <w:szCs w:val="21"/>
        </w:rPr>
        <w:t>71</w:t>
      </w:r>
      <w:r>
        <w:rPr>
          <w:sz w:val="21"/>
          <w:szCs w:val="21"/>
        </w:rPr>
        <w:fldChar w:fldCharType="end"/>
      </w:r>
      <w:r>
        <w:rPr>
          <w:sz w:val="21"/>
          <w:szCs w:val="21"/>
        </w:rPr>
        <w:fldChar w:fldCharType="end"/>
      </w:r>
    </w:p>
    <w:p w14:paraId="223A7EA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"_Toc143799380" </w:instrText>
      </w:r>
      <w:r>
        <w:fldChar w:fldCharType="separate"/>
      </w:r>
      <w:r>
        <w:rPr>
          <w:rStyle w:val="144"/>
          <w:color w:val="auto"/>
          <w:sz w:val="21"/>
          <w:szCs w:val="21"/>
          <w:u w:val="none"/>
        </w:rPr>
        <w:t>5.2衡阳县岣嵝乡环洞村山溪水饮用水水源保护区</w:t>
      </w:r>
      <w:r>
        <w:rPr>
          <w:sz w:val="21"/>
          <w:szCs w:val="21"/>
        </w:rPr>
        <w:tab/>
      </w:r>
      <w:r>
        <w:rPr>
          <w:sz w:val="21"/>
          <w:szCs w:val="21"/>
        </w:rPr>
        <w:fldChar w:fldCharType="begin"/>
      </w:r>
      <w:r>
        <w:rPr>
          <w:sz w:val="21"/>
          <w:szCs w:val="21"/>
        </w:rPr>
        <w:instrText xml:space="preserve"> PAGEREF _Toc143799380 \h </w:instrText>
      </w:r>
      <w:r>
        <w:rPr>
          <w:sz w:val="21"/>
          <w:szCs w:val="21"/>
        </w:rPr>
        <w:fldChar w:fldCharType="separate"/>
      </w:r>
      <w:r>
        <w:rPr>
          <w:sz w:val="21"/>
          <w:szCs w:val="21"/>
        </w:rPr>
        <w:t>76</w:t>
      </w:r>
      <w:r>
        <w:rPr>
          <w:sz w:val="21"/>
          <w:szCs w:val="21"/>
        </w:rPr>
        <w:fldChar w:fldCharType="end"/>
      </w:r>
      <w:r>
        <w:rPr>
          <w:sz w:val="21"/>
          <w:szCs w:val="21"/>
        </w:rPr>
        <w:fldChar w:fldCharType="end"/>
      </w:r>
    </w:p>
    <w:p w14:paraId="39196B50">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"_Toc143799381" </w:instrText>
      </w:r>
      <w:r>
        <w:fldChar w:fldCharType="separate"/>
      </w:r>
      <w:r>
        <w:rPr>
          <w:rStyle w:val="144"/>
          <w:color w:val="auto"/>
          <w:sz w:val="21"/>
          <w:szCs w:val="21"/>
          <w:u w:val="none"/>
        </w:rPr>
        <w:t>5.3生态敏感区</w:t>
      </w:r>
      <w:r>
        <w:rPr>
          <w:sz w:val="21"/>
          <w:szCs w:val="21"/>
        </w:rPr>
        <w:tab/>
      </w:r>
      <w:r>
        <w:rPr>
          <w:sz w:val="21"/>
          <w:szCs w:val="21"/>
        </w:rPr>
        <w:fldChar w:fldCharType="begin"/>
      </w:r>
      <w:r>
        <w:rPr>
          <w:sz w:val="21"/>
          <w:szCs w:val="21"/>
        </w:rPr>
        <w:instrText xml:space="preserve"> PAGEREF _Toc143799381 \h </w:instrText>
      </w:r>
      <w:r>
        <w:rPr>
          <w:sz w:val="21"/>
          <w:szCs w:val="21"/>
        </w:rPr>
        <w:fldChar w:fldCharType="separate"/>
      </w:r>
      <w:r>
        <w:rPr>
          <w:sz w:val="21"/>
          <w:szCs w:val="21"/>
        </w:rPr>
        <w:t>79</w:t>
      </w:r>
      <w:r>
        <w:rPr>
          <w:sz w:val="21"/>
          <w:szCs w:val="21"/>
        </w:rPr>
        <w:fldChar w:fldCharType="end"/>
      </w:r>
      <w:r>
        <w:rPr>
          <w:sz w:val="21"/>
          <w:szCs w:val="21"/>
        </w:rPr>
        <w:fldChar w:fldCharType="end"/>
      </w:r>
    </w:p>
    <w:p w14:paraId="1F36C111">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"_Toc143799382" </w:instrText>
      </w:r>
      <w:r>
        <w:fldChar w:fldCharType="separate"/>
      </w:r>
      <w:r>
        <w:rPr>
          <w:rStyle w:val="144"/>
          <w:color w:val="auto"/>
          <w:sz w:val="21"/>
          <w:szCs w:val="21"/>
          <w:u w:val="none"/>
        </w:rPr>
        <w:t>5.4环境质量现状监测</w:t>
      </w:r>
      <w:r>
        <w:rPr>
          <w:sz w:val="21"/>
          <w:szCs w:val="21"/>
        </w:rPr>
        <w:tab/>
      </w:r>
      <w:r>
        <w:rPr>
          <w:sz w:val="21"/>
          <w:szCs w:val="21"/>
        </w:rPr>
        <w:fldChar w:fldCharType="begin"/>
      </w:r>
      <w:r>
        <w:rPr>
          <w:sz w:val="21"/>
          <w:szCs w:val="21"/>
        </w:rPr>
        <w:instrText xml:space="preserve"> PAGEREF _Toc143799382 \h </w:instrText>
      </w:r>
      <w:r>
        <w:rPr>
          <w:sz w:val="21"/>
          <w:szCs w:val="21"/>
        </w:rPr>
        <w:fldChar w:fldCharType="separate"/>
      </w:r>
      <w:r>
        <w:rPr>
          <w:sz w:val="21"/>
          <w:szCs w:val="21"/>
        </w:rPr>
        <w:t>82</w:t>
      </w:r>
      <w:r>
        <w:rPr>
          <w:sz w:val="21"/>
          <w:szCs w:val="21"/>
        </w:rPr>
        <w:fldChar w:fldCharType="end"/>
      </w:r>
      <w:r>
        <w:rPr>
          <w:sz w:val="21"/>
          <w:szCs w:val="21"/>
        </w:rPr>
        <w:fldChar w:fldCharType="end"/>
      </w:r>
    </w:p>
    <w:p w14:paraId="12997D5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"_Toc143799383" </w:instrText>
      </w:r>
      <w:r>
        <w:fldChar w:fldCharType="separate"/>
      </w:r>
      <w:r>
        <w:rPr>
          <w:rStyle w:val="144"/>
          <w:color w:val="auto"/>
          <w:sz w:val="21"/>
          <w:szCs w:val="21"/>
          <w:u w:val="none"/>
        </w:rPr>
        <w:t>5.5生态环境现状评价</w:t>
      </w:r>
      <w:r>
        <w:rPr>
          <w:sz w:val="21"/>
          <w:szCs w:val="21"/>
        </w:rPr>
        <w:tab/>
      </w:r>
      <w:r>
        <w:rPr>
          <w:sz w:val="21"/>
          <w:szCs w:val="21"/>
        </w:rPr>
        <w:fldChar w:fldCharType="begin"/>
      </w:r>
      <w:r>
        <w:rPr>
          <w:sz w:val="21"/>
          <w:szCs w:val="21"/>
        </w:rPr>
        <w:instrText xml:space="preserve"> PAGEREF _Toc143799383 \h </w:instrText>
      </w:r>
      <w:r>
        <w:rPr>
          <w:sz w:val="21"/>
          <w:szCs w:val="21"/>
        </w:rPr>
        <w:fldChar w:fldCharType="separate"/>
      </w:r>
      <w:r>
        <w:rPr>
          <w:sz w:val="21"/>
          <w:szCs w:val="21"/>
        </w:rPr>
        <w:t>90</w:t>
      </w:r>
      <w:r>
        <w:rPr>
          <w:sz w:val="21"/>
          <w:szCs w:val="21"/>
        </w:rPr>
        <w:fldChar w:fldCharType="end"/>
      </w:r>
      <w:r>
        <w:rPr>
          <w:sz w:val="21"/>
          <w:szCs w:val="21"/>
        </w:rPr>
        <w:fldChar w:fldCharType="end"/>
      </w:r>
    </w:p>
    <w:p w14:paraId="25698BF5">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"_Toc143799384" </w:instrText>
      </w:r>
      <w:r>
        <w:fldChar w:fldCharType="separate"/>
      </w:r>
      <w:r>
        <w:rPr>
          <w:rStyle w:val="144"/>
          <w:color w:val="auto"/>
          <w:sz w:val="21"/>
          <w:szCs w:val="21"/>
          <w:u w:val="none"/>
        </w:rPr>
        <w:t>5.6区域污染源调查</w:t>
      </w:r>
      <w:r>
        <w:rPr>
          <w:sz w:val="21"/>
          <w:szCs w:val="21"/>
        </w:rPr>
        <w:tab/>
      </w:r>
      <w:r>
        <w:rPr>
          <w:sz w:val="21"/>
          <w:szCs w:val="21"/>
        </w:rPr>
        <w:fldChar w:fldCharType="begin"/>
      </w:r>
      <w:r>
        <w:rPr>
          <w:sz w:val="21"/>
          <w:szCs w:val="21"/>
        </w:rPr>
        <w:instrText xml:space="preserve"> PAGEREF _Toc143799384 \h </w:instrText>
      </w:r>
      <w:r>
        <w:rPr>
          <w:sz w:val="21"/>
          <w:szCs w:val="21"/>
        </w:rPr>
        <w:fldChar w:fldCharType="separate"/>
      </w:r>
      <w:r>
        <w:rPr>
          <w:sz w:val="21"/>
          <w:szCs w:val="21"/>
        </w:rPr>
        <w:t>130</w:t>
      </w:r>
      <w:r>
        <w:rPr>
          <w:sz w:val="21"/>
          <w:szCs w:val="21"/>
        </w:rPr>
        <w:fldChar w:fldCharType="end"/>
      </w:r>
      <w:r>
        <w:rPr>
          <w:sz w:val="21"/>
          <w:szCs w:val="21"/>
        </w:rPr>
        <w:fldChar w:fldCharType="end"/>
      </w:r>
    </w:p>
    <w:p w14:paraId="5D2AEF53">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"_Toc143799385" </w:instrText>
      </w:r>
      <w:r>
        <w:fldChar w:fldCharType="separate"/>
      </w:r>
      <w:r>
        <w:rPr>
          <w:rStyle w:val="144"/>
          <w:b w:val="0"/>
          <w:bCs w:val="0"/>
          <w:color w:val="auto"/>
          <w:sz w:val="21"/>
          <w:szCs w:val="21"/>
          <w:u w:val="none"/>
        </w:rPr>
        <w:t>6环境影响预测与评价</w:t>
      </w:r>
      <w:r>
        <w:rPr>
          <w:b w:val="0"/>
          <w:bCs w:val="0"/>
          <w:sz w:val="21"/>
          <w:szCs w:val="21"/>
        </w:rPr>
        <w:tab/>
      </w:r>
      <w:r>
        <w:rPr>
          <w:b w:val="0"/>
          <w:bCs w:val="0"/>
          <w:sz w:val="21"/>
          <w:szCs w:val="21"/>
        </w:rPr>
        <w:fldChar w:fldCharType="begin"/>
      </w:r>
      <w:r>
        <w:rPr>
          <w:b w:val="0"/>
          <w:bCs w:val="0"/>
          <w:sz w:val="21"/>
          <w:szCs w:val="21"/>
        </w:rPr>
        <w:instrText xml:space="preserve"> PAGEREF _Toc143799385 \h </w:instrText>
      </w:r>
      <w:r>
        <w:rPr>
          <w:b w:val="0"/>
          <w:bCs w:val="0"/>
          <w:sz w:val="21"/>
          <w:szCs w:val="21"/>
        </w:rPr>
        <w:fldChar w:fldCharType="separate"/>
      </w:r>
      <w:r>
        <w:rPr>
          <w:b w:val="0"/>
          <w:bCs w:val="0"/>
          <w:sz w:val="21"/>
          <w:szCs w:val="21"/>
        </w:rPr>
        <w:t>131</w:t>
      </w:r>
      <w:r>
        <w:rPr>
          <w:b w:val="0"/>
          <w:bCs w:val="0"/>
          <w:sz w:val="21"/>
          <w:szCs w:val="21"/>
        </w:rPr>
        <w:fldChar w:fldCharType="end"/>
      </w:r>
      <w:r>
        <w:rPr>
          <w:b w:val="0"/>
          <w:bCs w:val="0"/>
          <w:sz w:val="21"/>
          <w:szCs w:val="21"/>
        </w:rPr>
        <w:fldChar w:fldCharType="end"/>
      </w:r>
    </w:p>
    <w:p w14:paraId="532C1B4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"_Toc143799386" </w:instrText>
      </w:r>
      <w:r>
        <w:fldChar w:fldCharType="separate"/>
      </w:r>
      <w:r>
        <w:rPr>
          <w:rStyle w:val="144"/>
          <w:color w:val="auto"/>
          <w:sz w:val="21"/>
          <w:szCs w:val="21"/>
          <w:u w:val="none"/>
        </w:rPr>
        <w:t>6.1施工期环境影响预测与评价</w:t>
      </w:r>
      <w:r>
        <w:rPr>
          <w:sz w:val="21"/>
          <w:szCs w:val="21"/>
        </w:rPr>
        <w:tab/>
      </w:r>
      <w:r>
        <w:rPr>
          <w:sz w:val="21"/>
          <w:szCs w:val="21"/>
        </w:rPr>
        <w:fldChar w:fldCharType="begin"/>
      </w:r>
      <w:r>
        <w:rPr>
          <w:sz w:val="21"/>
          <w:szCs w:val="21"/>
        </w:rPr>
        <w:instrText xml:space="preserve"> PAGEREF _Toc143799386 \h </w:instrText>
      </w:r>
      <w:r>
        <w:rPr>
          <w:sz w:val="21"/>
          <w:szCs w:val="21"/>
        </w:rPr>
        <w:fldChar w:fldCharType="separate"/>
      </w:r>
      <w:r>
        <w:rPr>
          <w:sz w:val="21"/>
          <w:szCs w:val="21"/>
        </w:rPr>
        <w:t>131</w:t>
      </w:r>
      <w:r>
        <w:rPr>
          <w:sz w:val="21"/>
          <w:szCs w:val="21"/>
        </w:rPr>
        <w:fldChar w:fldCharType="end"/>
      </w:r>
      <w:r>
        <w:rPr>
          <w:sz w:val="21"/>
          <w:szCs w:val="21"/>
        </w:rPr>
        <w:fldChar w:fldCharType="end"/>
      </w:r>
    </w:p>
    <w:p w14:paraId="5E1EF0EB">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"_Toc143799387" </w:instrText>
      </w:r>
      <w:r>
        <w:fldChar w:fldCharType="separate"/>
      </w:r>
      <w:r>
        <w:rPr>
          <w:rStyle w:val="144"/>
          <w:color w:val="auto"/>
          <w:sz w:val="21"/>
          <w:szCs w:val="21"/>
          <w:u w:val="none"/>
        </w:rPr>
        <w:t>6.2运营期环境影响分析</w:t>
      </w:r>
      <w:r>
        <w:rPr>
          <w:sz w:val="21"/>
          <w:szCs w:val="21"/>
        </w:rPr>
        <w:tab/>
      </w:r>
      <w:r>
        <w:rPr>
          <w:sz w:val="21"/>
          <w:szCs w:val="21"/>
        </w:rPr>
        <w:fldChar w:fldCharType="begin"/>
      </w:r>
      <w:r>
        <w:rPr>
          <w:sz w:val="21"/>
          <w:szCs w:val="21"/>
        </w:rPr>
        <w:instrText xml:space="preserve"> PAGEREF _Toc143799387 \h </w:instrText>
      </w:r>
      <w:r>
        <w:rPr>
          <w:sz w:val="21"/>
          <w:szCs w:val="21"/>
        </w:rPr>
        <w:fldChar w:fldCharType="separate"/>
      </w:r>
      <w:r>
        <w:rPr>
          <w:sz w:val="21"/>
          <w:szCs w:val="21"/>
        </w:rPr>
        <w:t>151</w:t>
      </w:r>
      <w:r>
        <w:rPr>
          <w:sz w:val="21"/>
          <w:szCs w:val="21"/>
        </w:rPr>
        <w:fldChar w:fldCharType="end"/>
      </w:r>
      <w:r>
        <w:rPr>
          <w:sz w:val="21"/>
          <w:szCs w:val="21"/>
        </w:rPr>
        <w:fldChar w:fldCharType="end"/>
      </w:r>
    </w:p>
    <w:p w14:paraId="640D52D1">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"_Toc143799388" </w:instrText>
      </w:r>
      <w:r>
        <w:fldChar w:fldCharType="separate"/>
      </w:r>
      <w:r>
        <w:rPr>
          <w:rStyle w:val="144"/>
          <w:color w:val="auto"/>
          <w:sz w:val="21"/>
          <w:szCs w:val="21"/>
          <w:u w:val="none"/>
        </w:rPr>
        <w:t>6.3对湖南衡阳岣嵝峰国家森林公园的影响分析</w:t>
      </w:r>
      <w:r>
        <w:rPr>
          <w:sz w:val="21"/>
          <w:szCs w:val="21"/>
        </w:rPr>
        <w:tab/>
      </w:r>
      <w:r>
        <w:rPr>
          <w:sz w:val="21"/>
          <w:szCs w:val="21"/>
        </w:rPr>
        <w:fldChar w:fldCharType="begin"/>
      </w:r>
      <w:r>
        <w:rPr>
          <w:sz w:val="21"/>
          <w:szCs w:val="21"/>
        </w:rPr>
        <w:instrText xml:space="preserve"> PAGEREF _Toc143799388 \h </w:instrText>
      </w:r>
      <w:r>
        <w:rPr>
          <w:sz w:val="21"/>
          <w:szCs w:val="21"/>
        </w:rPr>
        <w:fldChar w:fldCharType="separate"/>
      </w:r>
      <w:r>
        <w:rPr>
          <w:sz w:val="21"/>
          <w:szCs w:val="21"/>
        </w:rPr>
        <w:t>171</w:t>
      </w:r>
      <w:r>
        <w:rPr>
          <w:sz w:val="21"/>
          <w:szCs w:val="21"/>
        </w:rPr>
        <w:fldChar w:fldCharType="end"/>
      </w:r>
      <w:r>
        <w:rPr>
          <w:sz w:val="21"/>
          <w:szCs w:val="21"/>
        </w:rPr>
        <w:fldChar w:fldCharType="end"/>
      </w:r>
    </w:p>
    <w:p w14:paraId="6E2F07E5">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"_Toc143799389" </w:instrText>
      </w:r>
      <w:r>
        <w:fldChar w:fldCharType="separate"/>
      </w:r>
      <w:r>
        <w:rPr>
          <w:rStyle w:val="144"/>
          <w:color w:val="auto"/>
          <w:sz w:val="21"/>
          <w:szCs w:val="21"/>
          <w:u w:val="none"/>
        </w:rPr>
        <w:t>6.4对衡阳岣嵝峰县级自然保护区的影响分析</w:t>
      </w:r>
      <w:r>
        <w:rPr>
          <w:sz w:val="21"/>
          <w:szCs w:val="21"/>
        </w:rPr>
        <w:tab/>
      </w:r>
      <w:r>
        <w:rPr>
          <w:sz w:val="21"/>
          <w:szCs w:val="21"/>
        </w:rPr>
        <w:fldChar w:fldCharType="begin"/>
      </w:r>
      <w:r>
        <w:rPr>
          <w:sz w:val="21"/>
          <w:szCs w:val="21"/>
        </w:rPr>
        <w:instrText xml:space="preserve"> PAGEREF _Toc143799389 \h </w:instrText>
      </w:r>
      <w:r>
        <w:rPr>
          <w:sz w:val="21"/>
          <w:szCs w:val="21"/>
        </w:rPr>
        <w:fldChar w:fldCharType="separate"/>
      </w:r>
      <w:r>
        <w:rPr>
          <w:sz w:val="21"/>
          <w:szCs w:val="21"/>
        </w:rPr>
        <w:t>172</w:t>
      </w:r>
      <w:r>
        <w:rPr>
          <w:sz w:val="21"/>
          <w:szCs w:val="21"/>
        </w:rPr>
        <w:fldChar w:fldCharType="end"/>
      </w:r>
      <w:r>
        <w:rPr>
          <w:sz w:val="21"/>
          <w:szCs w:val="21"/>
        </w:rPr>
        <w:fldChar w:fldCharType="end"/>
      </w:r>
    </w:p>
    <w:p w14:paraId="1D4ED295">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"_Toc143799390" </w:instrText>
      </w:r>
      <w:r>
        <w:fldChar w:fldCharType="separate"/>
      </w:r>
      <w:r>
        <w:rPr>
          <w:rStyle w:val="144"/>
          <w:b w:val="0"/>
          <w:bCs w:val="0"/>
          <w:color w:val="auto"/>
          <w:sz w:val="21"/>
          <w:szCs w:val="21"/>
          <w:u w:val="none"/>
        </w:rPr>
        <w:t>7环境风险分析</w:t>
      </w:r>
      <w:r>
        <w:rPr>
          <w:b w:val="0"/>
          <w:bCs w:val="0"/>
          <w:sz w:val="21"/>
          <w:szCs w:val="21"/>
        </w:rPr>
        <w:tab/>
      </w:r>
      <w:r>
        <w:rPr>
          <w:b w:val="0"/>
          <w:bCs w:val="0"/>
          <w:sz w:val="21"/>
          <w:szCs w:val="21"/>
        </w:rPr>
        <w:fldChar w:fldCharType="begin"/>
      </w:r>
      <w:r>
        <w:rPr>
          <w:b w:val="0"/>
          <w:bCs w:val="0"/>
          <w:sz w:val="21"/>
          <w:szCs w:val="21"/>
        </w:rPr>
        <w:instrText xml:space="preserve"> PAGEREF _Toc143799390 \h </w:instrText>
      </w:r>
      <w:r>
        <w:rPr>
          <w:b w:val="0"/>
          <w:bCs w:val="0"/>
          <w:sz w:val="21"/>
          <w:szCs w:val="21"/>
        </w:rPr>
        <w:fldChar w:fldCharType="separate"/>
      </w:r>
      <w:r>
        <w:rPr>
          <w:b w:val="0"/>
          <w:bCs w:val="0"/>
          <w:sz w:val="21"/>
          <w:szCs w:val="21"/>
        </w:rPr>
        <w:t>174</w:t>
      </w:r>
      <w:r>
        <w:rPr>
          <w:b w:val="0"/>
          <w:bCs w:val="0"/>
          <w:sz w:val="21"/>
          <w:szCs w:val="21"/>
        </w:rPr>
        <w:fldChar w:fldCharType="end"/>
      </w:r>
      <w:r>
        <w:rPr>
          <w:b w:val="0"/>
          <w:bCs w:val="0"/>
          <w:sz w:val="21"/>
          <w:szCs w:val="21"/>
        </w:rPr>
        <w:fldChar w:fldCharType="end"/>
      </w:r>
    </w:p>
    <w:p w14:paraId="73F1514D">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"_Toc143799391" </w:instrText>
      </w:r>
      <w:r>
        <w:fldChar w:fldCharType="separate"/>
      </w:r>
      <w:r>
        <w:rPr>
          <w:rStyle w:val="144"/>
          <w:color w:val="auto"/>
          <w:sz w:val="21"/>
          <w:szCs w:val="21"/>
          <w:u w:val="none"/>
        </w:rPr>
        <w:t>7.1评价工作内容</w:t>
      </w:r>
      <w:r>
        <w:rPr>
          <w:sz w:val="21"/>
          <w:szCs w:val="21"/>
        </w:rPr>
        <w:tab/>
      </w:r>
      <w:r>
        <w:rPr>
          <w:sz w:val="21"/>
          <w:szCs w:val="21"/>
        </w:rPr>
        <w:fldChar w:fldCharType="begin"/>
      </w:r>
      <w:r>
        <w:rPr>
          <w:sz w:val="21"/>
          <w:szCs w:val="21"/>
        </w:rPr>
        <w:instrText xml:space="preserve"> PAGEREF _Toc143799391 \h </w:instrText>
      </w:r>
      <w:r>
        <w:rPr>
          <w:sz w:val="21"/>
          <w:szCs w:val="21"/>
        </w:rPr>
        <w:fldChar w:fldCharType="separate"/>
      </w:r>
      <w:r>
        <w:rPr>
          <w:sz w:val="21"/>
          <w:szCs w:val="21"/>
        </w:rPr>
        <w:t>174</w:t>
      </w:r>
      <w:r>
        <w:rPr>
          <w:sz w:val="21"/>
          <w:szCs w:val="21"/>
        </w:rPr>
        <w:fldChar w:fldCharType="end"/>
      </w:r>
      <w:r>
        <w:rPr>
          <w:sz w:val="21"/>
          <w:szCs w:val="21"/>
        </w:rPr>
        <w:fldChar w:fldCharType="end"/>
      </w:r>
    </w:p>
    <w:p w14:paraId="0BC8F980">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"_Toc143799392" </w:instrText>
      </w:r>
      <w:r>
        <w:fldChar w:fldCharType="separate"/>
      </w:r>
      <w:r>
        <w:rPr>
          <w:rStyle w:val="144"/>
          <w:color w:val="auto"/>
          <w:sz w:val="21"/>
          <w:szCs w:val="21"/>
          <w:u w:val="none"/>
        </w:rPr>
        <w:t>7.2风险调查</w:t>
      </w:r>
      <w:r>
        <w:rPr>
          <w:sz w:val="21"/>
          <w:szCs w:val="21"/>
        </w:rPr>
        <w:tab/>
      </w:r>
      <w:r>
        <w:rPr>
          <w:sz w:val="21"/>
          <w:szCs w:val="21"/>
        </w:rPr>
        <w:fldChar w:fldCharType="begin"/>
      </w:r>
      <w:r>
        <w:rPr>
          <w:sz w:val="21"/>
          <w:szCs w:val="21"/>
        </w:rPr>
        <w:instrText xml:space="preserve"> PAGEREF _Toc143799392 \h </w:instrText>
      </w:r>
      <w:r>
        <w:rPr>
          <w:sz w:val="21"/>
          <w:szCs w:val="21"/>
        </w:rPr>
        <w:fldChar w:fldCharType="separate"/>
      </w:r>
      <w:r>
        <w:rPr>
          <w:sz w:val="21"/>
          <w:szCs w:val="21"/>
        </w:rPr>
        <w:t>175</w:t>
      </w:r>
      <w:r>
        <w:rPr>
          <w:sz w:val="21"/>
          <w:szCs w:val="21"/>
        </w:rPr>
        <w:fldChar w:fldCharType="end"/>
      </w:r>
      <w:r>
        <w:rPr>
          <w:sz w:val="21"/>
          <w:szCs w:val="21"/>
        </w:rPr>
        <w:fldChar w:fldCharType="end"/>
      </w:r>
    </w:p>
    <w:p w14:paraId="38186729">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"_Toc143799393" </w:instrText>
      </w:r>
      <w:r>
        <w:fldChar w:fldCharType="separate"/>
      </w:r>
      <w:r>
        <w:rPr>
          <w:rStyle w:val="144"/>
          <w:color w:val="auto"/>
          <w:sz w:val="21"/>
          <w:szCs w:val="21"/>
          <w:u w:val="none"/>
        </w:rPr>
        <w:t>7.3评价等级判定</w:t>
      </w:r>
      <w:r>
        <w:rPr>
          <w:sz w:val="21"/>
          <w:szCs w:val="21"/>
        </w:rPr>
        <w:tab/>
      </w:r>
      <w:r>
        <w:rPr>
          <w:sz w:val="21"/>
          <w:szCs w:val="21"/>
        </w:rPr>
        <w:fldChar w:fldCharType="begin"/>
      </w:r>
      <w:r>
        <w:rPr>
          <w:sz w:val="21"/>
          <w:szCs w:val="21"/>
        </w:rPr>
        <w:instrText xml:space="preserve"> PAGEREF _Toc143799393 \h </w:instrText>
      </w:r>
      <w:r>
        <w:rPr>
          <w:sz w:val="21"/>
          <w:szCs w:val="21"/>
        </w:rPr>
        <w:fldChar w:fldCharType="separate"/>
      </w:r>
      <w:r>
        <w:rPr>
          <w:sz w:val="21"/>
          <w:szCs w:val="21"/>
        </w:rPr>
        <w:t>175</w:t>
      </w:r>
      <w:r>
        <w:rPr>
          <w:sz w:val="21"/>
          <w:szCs w:val="21"/>
        </w:rPr>
        <w:fldChar w:fldCharType="end"/>
      </w:r>
      <w:r>
        <w:rPr>
          <w:sz w:val="21"/>
          <w:szCs w:val="21"/>
        </w:rPr>
        <w:fldChar w:fldCharType="end"/>
      </w:r>
    </w:p>
    <w:p w14:paraId="1B3A6A8F">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"_Toc143799394" </w:instrText>
      </w:r>
      <w:r>
        <w:fldChar w:fldCharType="separate"/>
      </w:r>
      <w:r>
        <w:rPr>
          <w:rStyle w:val="144"/>
          <w:color w:val="auto"/>
          <w:sz w:val="21"/>
          <w:szCs w:val="21"/>
          <w:u w:val="none"/>
        </w:rPr>
        <w:t>7.4环境风险分析及风险防范措施</w:t>
      </w:r>
      <w:r>
        <w:rPr>
          <w:sz w:val="21"/>
          <w:szCs w:val="21"/>
        </w:rPr>
        <w:tab/>
      </w:r>
      <w:r>
        <w:rPr>
          <w:sz w:val="21"/>
          <w:szCs w:val="21"/>
        </w:rPr>
        <w:fldChar w:fldCharType="begin"/>
      </w:r>
      <w:r>
        <w:rPr>
          <w:sz w:val="21"/>
          <w:szCs w:val="21"/>
        </w:rPr>
        <w:instrText xml:space="preserve"> PAGEREF _Toc143799394 \h </w:instrText>
      </w:r>
      <w:r>
        <w:rPr>
          <w:sz w:val="21"/>
          <w:szCs w:val="21"/>
        </w:rPr>
        <w:fldChar w:fldCharType="separate"/>
      </w:r>
      <w:r>
        <w:rPr>
          <w:sz w:val="21"/>
          <w:szCs w:val="21"/>
        </w:rPr>
        <w:t>176</w:t>
      </w:r>
      <w:r>
        <w:rPr>
          <w:sz w:val="21"/>
          <w:szCs w:val="21"/>
        </w:rPr>
        <w:fldChar w:fldCharType="end"/>
      </w:r>
      <w:r>
        <w:rPr>
          <w:sz w:val="21"/>
          <w:szCs w:val="21"/>
        </w:rPr>
        <w:fldChar w:fldCharType="end"/>
      </w:r>
    </w:p>
    <w:p w14:paraId="2B16C18C">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"_Toc143799395" </w:instrText>
      </w:r>
      <w:r>
        <w:fldChar w:fldCharType="separate"/>
      </w:r>
      <w:r>
        <w:rPr>
          <w:rStyle w:val="144"/>
          <w:color w:val="auto"/>
          <w:sz w:val="21"/>
          <w:szCs w:val="21"/>
          <w:u w:val="none"/>
        </w:rPr>
        <w:t>7.5突发环境事件应急预案</w:t>
      </w:r>
      <w:r>
        <w:rPr>
          <w:sz w:val="21"/>
          <w:szCs w:val="21"/>
        </w:rPr>
        <w:tab/>
      </w:r>
      <w:r>
        <w:rPr>
          <w:sz w:val="21"/>
          <w:szCs w:val="21"/>
        </w:rPr>
        <w:fldChar w:fldCharType="begin"/>
      </w:r>
      <w:r>
        <w:rPr>
          <w:sz w:val="21"/>
          <w:szCs w:val="21"/>
        </w:rPr>
        <w:instrText xml:space="preserve"> PAGEREF _Toc143799395 \h </w:instrText>
      </w:r>
      <w:r>
        <w:rPr>
          <w:sz w:val="21"/>
          <w:szCs w:val="21"/>
        </w:rPr>
        <w:fldChar w:fldCharType="separate"/>
      </w:r>
      <w:r>
        <w:rPr>
          <w:sz w:val="21"/>
          <w:szCs w:val="21"/>
        </w:rPr>
        <w:t>180</w:t>
      </w:r>
      <w:r>
        <w:rPr>
          <w:sz w:val="21"/>
          <w:szCs w:val="21"/>
        </w:rPr>
        <w:fldChar w:fldCharType="end"/>
      </w:r>
      <w:r>
        <w:rPr>
          <w:sz w:val="21"/>
          <w:szCs w:val="21"/>
        </w:rPr>
        <w:fldChar w:fldCharType="end"/>
      </w:r>
    </w:p>
    <w:p w14:paraId="230BEA48">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"_Toc143799396" </w:instrText>
      </w:r>
      <w:r>
        <w:fldChar w:fldCharType="separate"/>
      </w:r>
      <w:r>
        <w:rPr>
          <w:rStyle w:val="144"/>
          <w:color w:val="auto"/>
          <w:sz w:val="21"/>
          <w:szCs w:val="21"/>
          <w:u w:val="none"/>
        </w:rPr>
        <w:t>7.6小结</w:t>
      </w:r>
      <w:r>
        <w:rPr>
          <w:sz w:val="21"/>
          <w:szCs w:val="21"/>
        </w:rPr>
        <w:tab/>
      </w:r>
      <w:r>
        <w:rPr>
          <w:sz w:val="21"/>
          <w:szCs w:val="21"/>
        </w:rPr>
        <w:fldChar w:fldCharType="begin"/>
      </w:r>
      <w:r>
        <w:rPr>
          <w:sz w:val="21"/>
          <w:szCs w:val="21"/>
        </w:rPr>
        <w:instrText xml:space="preserve"> PAGEREF _Toc143799396 \h </w:instrText>
      </w:r>
      <w:r>
        <w:rPr>
          <w:sz w:val="21"/>
          <w:szCs w:val="21"/>
        </w:rPr>
        <w:fldChar w:fldCharType="separate"/>
      </w:r>
      <w:r>
        <w:rPr>
          <w:sz w:val="21"/>
          <w:szCs w:val="21"/>
        </w:rPr>
        <w:t>181</w:t>
      </w:r>
      <w:r>
        <w:rPr>
          <w:sz w:val="21"/>
          <w:szCs w:val="21"/>
        </w:rPr>
        <w:fldChar w:fldCharType="end"/>
      </w:r>
      <w:r>
        <w:rPr>
          <w:sz w:val="21"/>
          <w:szCs w:val="21"/>
        </w:rPr>
        <w:fldChar w:fldCharType="end"/>
      </w:r>
    </w:p>
    <w:p w14:paraId="1B279E81">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"_Toc143799397" </w:instrText>
      </w:r>
      <w:r>
        <w:fldChar w:fldCharType="separate"/>
      </w:r>
      <w:r>
        <w:rPr>
          <w:rStyle w:val="144"/>
          <w:b w:val="0"/>
          <w:bCs w:val="0"/>
          <w:color w:val="auto"/>
          <w:sz w:val="21"/>
          <w:szCs w:val="21"/>
          <w:u w:val="none"/>
        </w:rPr>
        <w:t>8污染防治措施可行性分析</w:t>
      </w:r>
      <w:r>
        <w:rPr>
          <w:b w:val="0"/>
          <w:bCs w:val="0"/>
          <w:sz w:val="21"/>
          <w:szCs w:val="21"/>
        </w:rPr>
        <w:tab/>
      </w:r>
      <w:r>
        <w:rPr>
          <w:b w:val="0"/>
          <w:bCs w:val="0"/>
          <w:sz w:val="21"/>
          <w:szCs w:val="21"/>
        </w:rPr>
        <w:fldChar w:fldCharType="begin"/>
      </w:r>
      <w:r>
        <w:rPr>
          <w:b w:val="0"/>
          <w:bCs w:val="0"/>
          <w:sz w:val="21"/>
          <w:szCs w:val="21"/>
        </w:rPr>
        <w:instrText xml:space="preserve"> PAGEREF _Toc143799397 \h </w:instrText>
      </w:r>
      <w:r>
        <w:rPr>
          <w:b w:val="0"/>
          <w:bCs w:val="0"/>
          <w:sz w:val="21"/>
          <w:szCs w:val="21"/>
        </w:rPr>
        <w:fldChar w:fldCharType="separate"/>
      </w:r>
      <w:r>
        <w:rPr>
          <w:b w:val="0"/>
          <w:bCs w:val="0"/>
          <w:sz w:val="21"/>
          <w:szCs w:val="21"/>
        </w:rPr>
        <w:t>183</w:t>
      </w:r>
      <w:r>
        <w:rPr>
          <w:b w:val="0"/>
          <w:bCs w:val="0"/>
          <w:sz w:val="21"/>
          <w:szCs w:val="21"/>
        </w:rPr>
        <w:fldChar w:fldCharType="end"/>
      </w:r>
      <w:r>
        <w:rPr>
          <w:b w:val="0"/>
          <w:bCs w:val="0"/>
          <w:sz w:val="21"/>
          <w:szCs w:val="21"/>
        </w:rPr>
        <w:fldChar w:fldCharType="end"/>
      </w:r>
    </w:p>
    <w:p w14:paraId="59F8863D">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"_Toc143799398" </w:instrText>
      </w:r>
      <w:r>
        <w:fldChar w:fldCharType="separate"/>
      </w:r>
      <w:r>
        <w:rPr>
          <w:rStyle w:val="144"/>
          <w:color w:val="auto"/>
          <w:sz w:val="21"/>
          <w:szCs w:val="21"/>
          <w:u w:val="none"/>
        </w:rPr>
        <w:t>8.1施工期污染防治措施分析</w:t>
      </w:r>
      <w:r>
        <w:rPr>
          <w:sz w:val="21"/>
          <w:szCs w:val="21"/>
        </w:rPr>
        <w:tab/>
      </w:r>
      <w:r>
        <w:rPr>
          <w:sz w:val="21"/>
          <w:szCs w:val="21"/>
        </w:rPr>
        <w:fldChar w:fldCharType="begin"/>
      </w:r>
      <w:r>
        <w:rPr>
          <w:sz w:val="21"/>
          <w:szCs w:val="21"/>
        </w:rPr>
        <w:instrText xml:space="preserve"> PAGEREF _Toc143799398 \h </w:instrText>
      </w:r>
      <w:r>
        <w:rPr>
          <w:sz w:val="21"/>
          <w:szCs w:val="21"/>
        </w:rPr>
        <w:fldChar w:fldCharType="separate"/>
      </w:r>
      <w:r>
        <w:rPr>
          <w:sz w:val="21"/>
          <w:szCs w:val="21"/>
        </w:rPr>
        <w:t>183</w:t>
      </w:r>
      <w:r>
        <w:rPr>
          <w:sz w:val="21"/>
          <w:szCs w:val="21"/>
        </w:rPr>
        <w:fldChar w:fldCharType="end"/>
      </w:r>
      <w:r>
        <w:rPr>
          <w:sz w:val="21"/>
          <w:szCs w:val="21"/>
        </w:rPr>
        <w:fldChar w:fldCharType="end"/>
      </w:r>
    </w:p>
    <w:p w14:paraId="2E42C80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"_Toc143799399" </w:instrText>
      </w:r>
      <w:r>
        <w:fldChar w:fldCharType="separate"/>
      </w:r>
      <w:r>
        <w:rPr>
          <w:rStyle w:val="144"/>
          <w:color w:val="auto"/>
          <w:sz w:val="21"/>
          <w:szCs w:val="21"/>
          <w:u w:val="none"/>
        </w:rPr>
        <w:t>8.2运营期污染防治措施分析</w:t>
      </w:r>
      <w:r>
        <w:rPr>
          <w:sz w:val="21"/>
          <w:szCs w:val="21"/>
        </w:rPr>
        <w:tab/>
      </w:r>
      <w:r>
        <w:rPr>
          <w:sz w:val="21"/>
          <w:szCs w:val="21"/>
        </w:rPr>
        <w:fldChar w:fldCharType="begin"/>
      </w:r>
      <w:r>
        <w:rPr>
          <w:sz w:val="21"/>
          <w:szCs w:val="21"/>
        </w:rPr>
        <w:instrText xml:space="preserve"> PAGEREF _Toc143799399 \h </w:instrText>
      </w:r>
      <w:r>
        <w:rPr>
          <w:sz w:val="21"/>
          <w:szCs w:val="21"/>
        </w:rPr>
        <w:fldChar w:fldCharType="separate"/>
      </w:r>
      <w:r>
        <w:rPr>
          <w:sz w:val="21"/>
          <w:szCs w:val="21"/>
        </w:rPr>
        <w:t>202</w:t>
      </w:r>
      <w:r>
        <w:rPr>
          <w:sz w:val="21"/>
          <w:szCs w:val="21"/>
        </w:rPr>
        <w:fldChar w:fldCharType="end"/>
      </w:r>
      <w:r>
        <w:rPr>
          <w:sz w:val="21"/>
          <w:szCs w:val="21"/>
        </w:rPr>
        <w:fldChar w:fldCharType="end"/>
      </w:r>
    </w:p>
    <w:p w14:paraId="53005D4E">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"_Toc143799400" </w:instrText>
      </w:r>
      <w:r>
        <w:fldChar w:fldCharType="separate"/>
      </w:r>
      <w:r>
        <w:rPr>
          <w:rStyle w:val="144"/>
          <w:color w:val="auto"/>
          <w:sz w:val="21"/>
          <w:szCs w:val="21"/>
          <w:u w:val="none"/>
        </w:rPr>
        <w:t>8.3对湖南衡阳岣嵝峰国家森林公园、衡阳岣嵝峰县级自然保护区的保护措施</w:t>
      </w:r>
      <w:r>
        <w:rPr>
          <w:sz w:val="21"/>
          <w:szCs w:val="21"/>
        </w:rPr>
        <w:tab/>
      </w:r>
      <w:r>
        <w:rPr>
          <w:sz w:val="21"/>
          <w:szCs w:val="21"/>
        </w:rPr>
        <w:fldChar w:fldCharType="begin"/>
      </w:r>
      <w:r>
        <w:rPr>
          <w:sz w:val="21"/>
          <w:szCs w:val="21"/>
        </w:rPr>
        <w:instrText xml:space="preserve"> PAGEREF _Toc143799400 \h </w:instrText>
      </w:r>
      <w:r>
        <w:rPr>
          <w:sz w:val="21"/>
          <w:szCs w:val="21"/>
        </w:rPr>
        <w:fldChar w:fldCharType="separate"/>
      </w:r>
      <w:r>
        <w:rPr>
          <w:sz w:val="21"/>
          <w:szCs w:val="21"/>
        </w:rPr>
        <w:t>211</w:t>
      </w:r>
      <w:r>
        <w:rPr>
          <w:sz w:val="21"/>
          <w:szCs w:val="21"/>
        </w:rPr>
        <w:fldChar w:fldCharType="end"/>
      </w:r>
      <w:r>
        <w:rPr>
          <w:sz w:val="21"/>
          <w:szCs w:val="21"/>
        </w:rPr>
        <w:fldChar w:fldCharType="end"/>
      </w:r>
    </w:p>
    <w:p w14:paraId="50084BFB">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"_Toc143799401" </w:instrText>
      </w:r>
      <w:r>
        <w:fldChar w:fldCharType="separate"/>
      </w:r>
      <w:r>
        <w:rPr>
          <w:rStyle w:val="144"/>
          <w:b w:val="0"/>
          <w:bCs w:val="0"/>
          <w:color w:val="auto"/>
          <w:sz w:val="21"/>
          <w:szCs w:val="21"/>
          <w:u w:val="none"/>
        </w:rPr>
        <w:t>9总量控制</w:t>
      </w:r>
      <w:r>
        <w:rPr>
          <w:b w:val="0"/>
          <w:bCs w:val="0"/>
          <w:sz w:val="21"/>
          <w:szCs w:val="21"/>
        </w:rPr>
        <w:tab/>
      </w:r>
      <w:r>
        <w:rPr>
          <w:b w:val="0"/>
          <w:bCs w:val="0"/>
          <w:sz w:val="21"/>
          <w:szCs w:val="21"/>
        </w:rPr>
        <w:fldChar w:fldCharType="begin"/>
      </w:r>
      <w:r>
        <w:rPr>
          <w:b w:val="0"/>
          <w:bCs w:val="0"/>
          <w:sz w:val="21"/>
          <w:szCs w:val="21"/>
        </w:rPr>
        <w:instrText xml:space="preserve"> PAGEREF _Toc143799401 \h </w:instrText>
      </w:r>
      <w:r>
        <w:rPr>
          <w:b w:val="0"/>
          <w:bCs w:val="0"/>
          <w:sz w:val="21"/>
          <w:szCs w:val="21"/>
        </w:rPr>
        <w:fldChar w:fldCharType="separate"/>
      </w:r>
      <w:r>
        <w:rPr>
          <w:b w:val="0"/>
          <w:bCs w:val="0"/>
          <w:sz w:val="21"/>
          <w:szCs w:val="21"/>
        </w:rPr>
        <w:t>213</w:t>
      </w:r>
      <w:r>
        <w:rPr>
          <w:b w:val="0"/>
          <w:bCs w:val="0"/>
          <w:sz w:val="21"/>
          <w:szCs w:val="21"/>
        </w:rPr>
        <w:fldChar w:fldCharType="end"/>
      </w:r>
      <w:r>
        <w:rPr>
          <w:b w:val="0"/>
          <w:bCs w:val="0"/>
          <w:sz w:val="21"/>
          <w:szCs w:val="21"/>
        </w:rPr>
        <w:fldChar w:fldCharType="end"/>
      </w:r>
    </w:p>
    <w:p w14:paraId="6957C36F">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"_Toc143799402" </w:instrText>
      </w:r>
      <w:r>
        <w:fldChar w:fldCharType="separate"/>
      </w:r>
      <w:r>
        <w:rPr>
          <w:rStyle w:val="144"/>
          <w:b w:val="0"/>
          <w:bCs w:val="0"/>
          <w:color w:val="auto"/>
          <w:sz w:val="21"/>
          <w:szCs w:val="21"/>
          <w:u w:val="none"/>
        </w:rPr>
        <w:t>10环境影响经济损益分析</w:t>
      </w:r>
      <w:r>
        <w:rPr>
          <w:b w:val="0"/>
          <w:bCs w:val="0"/>
          <w:sz w:val="21"/>
          <w:szCs w:val="21"/>
        </w:rPr>
        <w:tab/>
      </w:r>
      <w:r>
        <w:rPr>
          <w:b w:val="0"/>
          <w:bCs w:val="0"/>
          <w:sz w:val="21"/>
          <w:szCs w:val="21"/>
        </w:rPr>
        <w:fldChar w:fldCharType="begin"/>
      </w:r>
      <w:r>
        <w:rPr>
          <w:b w:val="0"/>
          <w:bCs w:val="0"/>
          <w:sz w:val="21"/>
          <w:szCs w:val="21"/>
        </w:rPr>
        <w:instrText xml:space="preserve"> PAGEREF _Toc143799402 \h </w:instrText>
      </w:r>
      <w:r>
        <w:rPr>
          <w:b w:val="0"/>
          <w:bCs w:val="0"/>
          <w:sz w:val="21"/>
          <w:szCs w:val="21"/>
        </w:rPr>
        <w:fldChar w:fldCharType="separate"/>
      </w:r>
      <w:r>
        <w:rPr>
          <w:b w:val="0"/>
          <w:bCs w:val="0"/>
          <w:sz w:val="21"/>
          <w:szCs w:val="21"/>
        </w:rPr>
        <w:t>214</w:t>
      </w:r>
      <w:r>
        <w:rPr>
          <w:b w:val="0"/>
          <w:bCs w:val="0"/>
          <w:sz w:val="21"/>
          <w:szCs w:val="21"/>
        </w:rPr>
        <w:fldChar w:fldCharType="end"/>
      </w:r>
      <w:r>
        <w:rPr>
          <w:b w:val="0"/>
          <w:bCs w:val="0"/>
          <w:sz w:val="21"/>
          <w:szCs w:val="21"/>
        </w:rPr>
        <w:fldChar w:fldCharType="end"/>
      </w:r>
    </w:p>
    <w:p w14:paraId="66F15EB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"_Toc143799403" </w:instrText>
      </w:r>
      <w:r>
        <w:fldChar w:fldCharType="separate"/>
      </w:r>
      <w:r>
        <w:rPr>
          <w:rStyle w:val="144"/>
          <w:color w:val="auto"/>
          <w:sz w:val="21"/>
          <w:szCs w:val="21"/>
          <w:u w:val="none"/>
        </w:rPr>
        <w:t>10.1社会效益</w:t>
      </w:r>
      <w:r>
        <w:rPr>
          <w:sz w:val="21"/>
          <w:szCs w:val="21"/>
        </w:rPr>
        <w:tab/>
      </w:r>
      <w:r>
        <w:rPr>
          <w:sz w:val="21"/>
          <w:szCs w:val="21"/>
        </w:rPr>
        <w:fldChar w:fldCharType="begin"/>
      </w:r>
      <w:r>
        <w:rPr>
          <w:sz w:val="21"/>
          <w:szCs w:val="21"/>
        </w:rPr>
        <w:instrText xml:space="preserve"> PAGEREF _Toc143799403 \h </w:instrText>
      </w:r>
      <w:r>
        <w:rPr>
          <w:sz w:val="21"/>
          <w:szCs w:val="21"/>
        </w:rPr>
        <w:fldChar w:fldCharType="separate"/>
      </w:r>
      <w:r>
        <w:rPr>
          <w:sz w:val="21"/>
          <w:szCs w:val="21"/>
        </w:rPr>
        <w:t>214</w:t>
      </w:r>
      <w:r>
        <w:rPr>
          <w:sz w:val="21"/>
          <w:szCs w:val="21"/>
        </w:rPr>
        <w:fldChar w:fldCharType="end"/>
      </w:r>
      <w:r>
        <w:rPr>
          <w:sz w:val="21"/>
          <w:szCs w:val="21"/>
        </w:rPr>
        <w:fldChar w:fldCharType="end"/>
      </w:r>
    </w:p>
    <w:p w14:paraId="54CAF00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"_Toc143799404" </w:instrText>
      </w:r>
      <w:r>
        <w:fldChar w:fldCharType="separate"/>
      </w:r>
      <w:r>
        <w:rPr>
          <w:rStyle w:val="144"/>
          <w:color w:val="auto"/>
          <w:sz w:val="21"/>
          <w:szCs w:val="21"/>
          <w:u w:val="none"/>
        </w:rPr>
        <w:t>10.2经济效益分析</w:t>
      </w:r>
      <w:r>
        <w:rPr>
          <w:sz w:val="21"/>
          <w:szCs w:val="21"/>
        </w:rPr>
        <w:tab/>
      </w:r>
      <w:r>
        <w:rPr>
          <w:sz w:val="21"/>
          <w:szCs w:val="21"/>
        </w:rPr>
        <w:fldChar w:fldCharType="begin"/>
      </w:r>
      <w:r>
        <w:rPr>
          <w:sz w:val="21"/>
          <w:szCs w:val="21"/>
        </w:rPr>
        <w:instrText xml:space="preserve"> PAGEREF _Toc143799404 \h </w:instrText>
      </w:r>
      <w:r>
        <w:rPr>
          <w:sz w:val="21"/>
          <w:szCs w:val="21"/>
        </w:rPr>
        <w:fldChar w:fldCharType="separate"/>
      </w:r>
      <w:r>
        <w:rPr>
          <w:sz w:val="21"/>
          <w:szCs w:val="21"/>
        </w:rPr>
        <w:t>215</w:t>
      </w:r>
      <w:r>
        <w:rPr>
          <w:sz w:val="21"/>
          <w:szCs w:val="21"/>
        </w:rPr>
        <w:fldChar w:fldCharType="end"/>
      </w:r>
      <w:r>
        <w:rPr>
          <w:sz w:val="21"/>
          <w:szCs w:val="21"/>
        </w:rPr>
        <w:fldChar w:fldCharType="end"/>
      </w:r>
    </w:p>
    <w:p w14:paraId="08668E0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"_Toc143799405" </w:instrText>
      </w:r>
      <w:r>
        <w:fldChar w:fldCharType="separate"/>
      </w:r>
      <w:r>
        <w:rPr>
          <w:rStyle w:val="144"/>
          <w:color w:val="auto"/>
          <w:sz w:val="21"/>
          <w:szCs w:val="21"/>
          <w:u w:val="none"/>
        </w:rPr>
        <w:t>10.3环境损益分析</w:t>
      </w:r>
      <w:r>
        <w:rPr>
          <w:sz w:val="21"/>
          <w:szCs w:val="21"/>
        </w:rPr>
        <w:tab/>
      </w:r>
      <w:r>
        <w:rPr>
          <w:sz w:val="21"/>
          <w:szCs w:val="21"/>
        </w:rPr>
        <w:fldChar w:fldCharType="begin"/>
      </w:r>
      <w:r>
        <w:rPr>
          <w:sz w:val="21"/>
          <w:szCs w:val="21"/>
        </w:rPr>
        <w:instrText xml:space="preserve"> PAGEREF _Toc143799405 \h </w:instrText>
      </w:r>
      <w:r>
        <w:rPr>
          <w:sz w:val="21"/>
          <w:szCs w:val="21"/>
        </w:rPr>
        <w:fldChar w:fldCharType="separate"/>
      </w:r>
      <w:r>
        <w:rPr>
          <w:sz w:val="21"/>
          <w:szCs w:val="21"/>
        </w:rPr>
        <w:t>215</w:t>
      </w:r>
      <w:r>
        <w:rPr>
          <w:sz w:val="21"/>
          <w:szCs w:val="21"/>
        </w:rPr>
        <w:fldChar w:fldCharType="end"/>
      </w:r>
      <w:r>
        <w:rPr>
          <w:sz w:val="21"/>
          <w:szCs w:val="21"/>
        </w:rPr>
        <w:fldChar w:fldCharType="end"/>
      </w:r>
    </w:p>
    <w:p w14:paraId="6162EAA5">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"_Toc143799406" </w:instrText>
      </w:r>
      <w:r>
        <w:fldChar w:fldCharType="separate"/>
      </w:r>
      <w:r>
        <w:rPr>
          <w:rStyle w:val="144"/>
          <w:color w:val="auto"/>
          <w:sz w:val="21"/>
          <w:szCs w:val="21"/>
          <w:u w:val="none"/>
        </w:rPr>
        <w:t>10.4环保投资</w:t>
      </w:r>
      <w:r>
        <w:rPr>
          <w:sz w:val="21"/>
          <w:szCs w:val="21"/>
        </w:rPr>
        <w:tab/>
      </w:r>
      <w:r>
        <w:rPr>
          <w:sz w:val="21"/>
          <w:szCs w:val="21"/>
        </w:rPr>
        <w:fldChar w:fldCharType="begin"/>
      </w:r>
      <w:r>
        <w:rPr>
          <w:sz w:val="21"/>
          <w:szCs w:val="21"/>
        </w:rPr>
        <w:instrText xml:space="preserve"> PAGEREF _Toc143799406 \h </w:instrText>
      </w:r>
      <w:r>
        <w:rPr>
          <w:sz w:val="21"/>
          <w:szCs w:val="21"/>
        </w:rPr>
        <w:fldChar w:fldCharType="separate"/>
      </w:r>
      <w:r>
        <w:rPr>
          <w:sz w:val="21"/>
          <w:szCs w:val="21"/>
        </w:rPr>
        <w:t>217</w:t>
      </w:r>
      <w:r>
        <w:rPr>
          <w:sz w:val="21"/>
          <w:szCs w:val="21"/>
        </w:rPr>
        <w:fldChar w:fldCharType="end"/>
      </w:r>
      <w:r>
        <w:rPr>
          <w:sz w:val="21"/>
          <w:szCs w:val="21"/>
        </w:rPr>
        <w:fldChar w:fldCharType="end"/>
      </w:r>
    </w:p>
    <w:p w14:paraId="2AD0A8D0">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"_Toc143799407" </w:instrText>
      </w:r>
      <w:r>
        <w:fldChar w:fldCharType="separate"/>
      </w:r>
      <w:r>
        <w:rPr>
          <w:rStyle w:val="144"/>
          <w:b w:val="0"/>
          <w:bCs w:val="0"/>
          <w:color w:val="auto"/>
          <w:sz w:val="21"/>
          <w:szCs w:val="21"/>
          <w:u w:val="none"/>
        </w:rPr>
        <w:t>11建设项目可行性分析</w:t>
      </w:r>
      <w:r>
        <w:rPr>
          <w:b w:val="0"/>
          <w:bCs w:val="0"/>
          <w:sz w:val="21"/>
          <w:szCs w:val="21"/>
        </w:rPr>
        <w:tab/>
      </w:r>
      <w:r>
        <w:rPr>
          <w:b w:val="0"/>
          <w:bCs w:val="0"/>
          <w:sz w:val="21"/>
          <w:szCs w:val="21"/>
        </w:rPr>
        <w:fldChar w:fldCharType="begin"/>
      </w:r>
      <w:r>
        <w:rPr>
          <w:b w:val="0"/>
          <w:bCs w:val="0"/>
          <w:sz w:val="21"/>
          <w:szCs w:val="21"/>
        </w:rPr>
        <w:instrText xml:space="preserve"> PAGEREF _Toc143799407 \h </w:instrText>
      </w:r>
      <w:r>
        <w:rPr>
          <w:b w:val="0"/>
          <w:bCs w:val="0"/>
          <w:sz w:val="21"/>
          <w:szCs w:val="21"/>
        </w:rPr>
        <w:fldChar w:fldCharType="separate"/>
      </w:r>
      <w:r>
        <w:rPr>
          <w:b w:val="0"/>
          <w:bCs w:val="0"/>
          <w:sz w:val="21"/>
          <w:szCs w:val="21"/>
        </w:rPr>
        <w:t>219</w:t>
      </w:r>
      <w:r>
        <w:rPr>
          <w:b w:val="0"/>
          <w:bCs w:val="0"/>
          <w:sz w:val="21"/>
          <w:szCs w:val="21"/>
        </w:rPr>
        <w:fldChar w:fldCharType="end"/>
      </w:r>
      <w:r>
        <w:rPr>
          <w:b w:val="0"/>
          <w:bCs w:val="0"/>
          <w:sz w:val="21"/>
          <w:szCs w:val="21"/>
        </w:rPr>
        <w:fldChar w:fldCharType="end"/>
      </w:r>
    </w:p>
    <w:p w14:paraId="21E90A7B">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"_Toc143799408" </w:instrText>
      </w:r>
      <w:r>
        <w:fldChar w:fldCharType="separate"/>
      </w:r>
      <w:r>
        <w:rPr>
          <w:rStyle w:val="144"/>
          <w:color w:val="auto"/>
          <w:kern w:val="24"/>
          <w:sz w:val="21"/>
          <w:szCs w:val="21"/>
          <w:u w:val="none"/>
        </w:rPr>
        <w:t>11.1 与产业政策和相关规划符合性分析</w:t>
      </w:r>
      <w:r>
        <w:rPr>
          <w:sz w:val="21"/>
          <w:szCs w:val="21"/>
        </w:rPr>
        <w:tab/>
      </w:r>
      <w:r>
        <w:rPr>
          <w:sz w:val="21"/>
          <w:szCs w:val="21"/>
        </w:rPr>
        <w:fldChar w:fldCharType="begin"/>
      </w:r>
      <w:r>
        <w:rPr>
          <w:sz w:val="21"/>
          <w:szCs w:val="21"/>
        </w:rPr>
        <w:instrText xml:space="preserve"> PAGEREF _Toc143799408 \h </w:instrText>
      </w:r>
      <w:r>
        <w:rPr>
          <w:sz w:val="21"/>
          <w:szCs w:val="21"/>
        </w:rPr>
        <w:fldChar w:fldCharType="separate"/>
      </w:r>
      <w:r>
        <w:rPr>
          <w:sz w:val="21"/>
          <w:szCs w:val="21"/>
        </w:rPr>
        <w:t>219</w:t>
      </w:r>
      <w:r>
        <w:rPr>
          <w:sz w:val="21"/>
          <w:szCs w:val="21"/>
        </w:rPr>
        <w:fldChar w:fldCharType="end"/>
      </w:r>
      <w:r>
        <w:rPr>
          <w:sz w:val="21"/>
          <w:szCs w:val="21"/>
        </w:rPr>
        <w:fldChar w:fldCharType="end"/>
      </w:r>
    </w:p>
    <w:p w14:paraId="0443DF2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"_Toc143799409" </w:instrText>
      </w:r>
      <w:r>
        <w:fldChar w:fldCharType="separate"/>
      </w:r>
      <w:r>
        <w:rPr>
          <w:rStyle w:val="144"/>
          <w:color w:val="auto"/>
          <w:kern w:val="24"/>
          <w:sz w:val="21"/>
          <w:szCs w:val="21"/>
          <w:u w:val="none"/>
        </w:rPr>
        <w:t>11.2与行业发展规范性文件符合性分析</w:t>
      </w:r>
      <w:r>
        <w:rPr>
          <w:sz w:val="21"/>
          <w:szCs w:val="21"/>
        </w:rPr>
        <w:tab/>
      </w:r>
      <w:r>
        <w:rPr>
          <w:sz w:val="21"/>
          <w:szCs w:val="21"/>
        </w:rPr>
        <w:fldChar w:fldCharType="begin"/>
      </w:r>
      <w:r>
        <w:rPr>
          <w:sz w:val="21"/>
          <w:szCs w:val="21"/>
        </w:rPr>
        <w:instrText xml:space="preserve"> PAGEREF _Toc143799409 \h </w:instrText>
      </w:r>
      <w:r>
        <w:rPr>
          <w:sz w:val="21"/>
          <w:szCs w:val="21"/>
        </w:rPr>
        <w:fldChar w:fldCharType="separate"/>
      </w:r>
      <w:r>
        <w:rPr>
          <w:sz w:val="21"/>
          <w:szCs w:val="21"/>
        </w:rPr>
        <w:t>221</w:t>
      </w:r>
      <w:r>
        <w:rPr>
          <w:sz w:val="21"/>
          <w:szCs w:val="21"/>
        </w:rPr>
        <w:fldChar w:fldCharType="end"/>
      </w:r>
      <w:r>
        <w:rPr>
          <w:sz w:val="21"/>
          <w:szCs w:val="21"/>
        </w:rPr>
        <w:fldChar w:fldCharType="end"/>
      </w:r>
    </w:p>
    <w:p w14:paraId="3AD3FC02">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"_Toc143799410" </w:instrText>
      </w:r>
      <w:r>
        <w:fldChar w:fldCharType="separate"/>
      </w:r>
      <w:r>
        <w:rPr>
          <w:rStyle w:val="144"/>
          <w:color w:val="auto"/>
          <w:kern w:val="24"/>
          <w:sz w:val="21"/>
          <w:szCs w:val="21"/>
          <w:u w:val="none"/>
        </w:rPr>
        <w:t>11.3与主体功能区规划的符合性分析</w:t>
      </w:r>
      <w:r>
        <w:rPr>
          <w:sz w:val="21"/>
          <w:szCs w:val="21"/>
        </w:rPr>
        <w:tab/>
      </w:r>
      <w:r>
        <w:rPr>
          <w:sz w:val="21"/>
          <w:szCs w:val="21"/>
        </w:rPr>
        <w:fldChar w:fldCharType="begin"/>
      </w:r>
      <w:r>
        <w:rPr>
          <w:sz w:val="21"/>
          <w:szCs w:val="21"/>
        </w:rPr>
        <w:instrText xml:space="preserve"> PAGEREF _Toc143799410 \h </w:instrText>
      </w:r>
      <w:r>
        <w:rPr>
          <w:sz w:val="21"/>
          <w:szCs w:val="21"/>
        </w:rPr>
        <w:fldChar w:fldCharType="separate"/>
      </w:r>
      <w:r>
        <w:rPr>
          <w:sz w:val="21"/>
          <w:szCs w:val="21"/>
        </w:rPr>
        <w:t>223</w:t>
      </w:r>
      <w:r>
        <w:rPr>
          <w:sz w:val="21"/>
          <w:szCs w:val="21"/>
        </w:rPr>
        <w:fldChar w:fldCharType="end"/>
      </w:r>
      <w:r>
        <w:rPr>
          <w:sz w:val="21"/>
          <w:szCs w:val="21"/>
        </w:rPr>
        <w:fldChar w:fldCharType="end"/>
      </w:r>
    </w:p>
    <w:p w14:paraId="7177BEB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"_Toc143799411" </w:instrText>
      </w:r>
      <w:r>
        <w:fldChar w:fldCharType="separate"/>
      </w:r>
      <w:r>
        <w:rPr>
          <w:rStyle w:val="144"/>
          <w:color w:val="auto"/>
          <w:kern w:val="24"/>
          <w:sz w:val="21"/>
          <w:szCs w:val="21"/>
          <w:u w:val="none"/>
        </w:rPr>
        <w:t>11.4与《输变电建设项目环境保护技术要求》相符性分析</w:t>
      </w:r>
      <w:r>
        <w:rPr>
          <w:sz w:val="21"/>
          <w:szCs w:val="21"/>
        </w:rPr>
        <w:tab/>
      </w:r>
      <w:r>
        <w:rPr>
          <w:sz w:val="21"/>
          <w:szCs w:val="21"/>
        </w:rPr>
        <w:fldChar w:fldCharType="begin"/>
      </w:r>
      <w:r>
        <w:rPr>
          <w:sz w:val="21"/>
          <w:szCs w:val="21"/>
        </w:rPr>
        <w:instrText xml:space="preserve"> PAGEREF _Toc143799411 \h </w:instrText>
      </w:r>
      <w:r>
        <w:rPr>
          <w:sz w:val="21"/>
          <w:szCs w:val="21"/>
        </w:rPr>
        <w:fldChar w:fldCharType="separate"/>
      </w:r>
      <w:r>
        <w:rPr>
          <w:sz w:val="21"/>
          <w:szCs w:val="21"/>
        </w:rPr>
        <w:t>225</w:t>
      </w:r>
      <w:r>
        <w:rPr>
          <w:sz w:val="21"/>
          <w:szCs w:val="21"/>
        </w:rPr>
        <w:fldChar w:fldCharType="end"/>
      </w:r>
      <w:r>
        <w:rPr>
          <w:sz w:val="21"/>
          <w:szCs w:val="21"/>
        </w:rPr>
        <w:fldChar w:fldCharType="end"/>
      </w:r>
    </w:p>
    <w:p w14:paraId="19DBE16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"_Toc143799412" </w:instrText>
      </w:r>
      <w:r>
        <w:fldChar w:fldCharType="separate"/>
      </w:r>
      <w:r>
        <w:rPr>
          <w:rStyle w:val="144"/>
          <w:color w:val="auto"/>
          <w:kern w:val="24"/>
          <w:sz w:val="21"/>
          <w:szCs w:val="21"/>
          <w:u w:val="none"/>
        </w:rPr>
        <w:t>11.5 与“三区三线”及“三线一单”符合性分析</w:t>
      </w:r>
      <w:r>
        <w:rPr>
          <w:sz w:val="21"/>
          <w:szCs w:val="21"/>
        </w:rPr>
        <w:tab/>
      </w:r>
      <w:r>
        <w:rPr>
          <w:sz w:val="21"/>
          <w:szCs w:val="21"/>
        </w:rPr>
        <w:fldChar w:fldCharType="begin"/>
      </w:r>
      <w:r>
        <w:rPr>
          <w:sz w:val="21"/>
          <w:szCs w:val="21"/>
        </w:rPr>
        <w:instrText xml:space="preserve"> PAGEREF _Toc143799412 \h </w:instrText>
      </w:r>
      <w:r>
        <w:rPr>
          <w:sz w:val="21"/>
          <w:szCs w:val="21"/>
        </w:rPr>
        <w:fldChar w:fldCharType="separate"/>
      </w:r>
      <w:r>
        <w:rPr>
          <w:sz w:val="21"/>
          <w:szCs w:val="21"/>
        </w:rPr>
        <w:t>228</w:t>
      </w:r>
      <w:r>
        <w:rPr>
          <w:sz w:val="21"/>
          <w:szCs w:val="21"/>
        </w:rPr>
        <w:fldChar w:fldCharType="end"/>
      </w:r>
      <w:r>
        <w:rPr>
          <w:sz w:val="21"/>
          <w:szCs w:val="21"/>
        </w:rPr>
        <w:fldChar w:fldCharType="end"/>
      </w:r>
    </w:p>
    <w:p w14:paraId="2362D003">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"_Toc143799413" </w:instrText>
      </w:r>
      <w:r>
        <w:fldChar w:fldCharType="separate"/>
      </w:r>
      <w:r>
        <w:rPr>
          <w:rStyle w:val="144"/>
          <w:color w:val="auto"/>
          <w:kern w:val="24"/>
          <w:sz w:val="21"/>
          <w:szCs w:val="21"/>
          <w:u w:val="none"/>
        </w:rPr>
        <w:t>11.6与《湖南省饮用水水源保护条例》的相符性分析</w:t>
      </w:r>
      <w:r>
        <w:rPr>
          <w:sz w:val="21"/>
          <w:szCs w:val="21"/>
        </w:rPr>
        <w:tab/>
      </w:r>
      <w:r>
        <w:rPr>
          <w:sz w:val="21"/>
          <w:szCs w:val="21"/>
        </w:rPr>
        <w:fldChar w:fldCharType="begin"/>
      </w:r>
      <w:r>
        <w:rPr>
          <w:sz w:val="21"/>
          <w:szCs w:val="21"/>
        </w:rPr>
        <w:instrText xml:space="preserve"> PAGEREF _Toc143799413 \h </w:instrText>
      </w:r>
      <w:r>
        <w:rPr>
          <w:sz w:val="21"/>
          <w:szCs w:val="21"/>
        </w:rPr>
        <w:fldChar w:fldCharType="separate"/>
      </w:r>
      <w:r>
        <w:rPr>
          <w:sz w:val="21"/>
          <w:szCs w:val="21"/>
        </w:rPr>
        <w:t>232</w:t>
      </w:r>
      <w:r>
        <w:rPr>
          <w:sz w:val="21"/>
          <w:szCs w:val="21"/>
        </w:rPr>
        <w:fldChar w:fldCharType="end"/>
      </w:r>
      <w:r>
        <w:rPr>
          <w:sz w:val="21"/>
          <w:szCs w:val="21"/>
        </w:rPr>
        <w:fldChar w:fldCharType="end"/>
      </w:r>
    </w:p>
    <w:p w14:paraId="20D2C148">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"_Toc143799414" </w:instrText>
      </w:r>
      <w:r>
        <w:fldChar w:fldCharType="separate"/>
      </w:r>
      <w:r>
        <w:rPr>
          <w:rStyle w:val="144"/>
          <w:color w:val="auto"/>
          <w:kern w:val="24"/>
          <w:sz w:val="21"/>
          <w:szCs w:val="21"/>
          <w:u w:val="none"/>
        </w:rPr>
        <w:t>11.7与《中华人民共和国水污染防治法》的相符性分析</w:t>
      </w:r>
      <w:r>
        <w:rPr>
          <w:sz w:val="21"/>
          <w:szCs w:val="21"/>
        </w:rPr>
        <w:tab/>
      </w:r>
      <w:r>
        <w:rPr>
          <w:sz w:val="21"/>
          <w:szCs w:val="21"/>
        </w:rPr>
        <w:fldChar w:fldCharType="begin"/>
      </w:r>
      <w:r>
        <w:rPr>
          <w:sz w:val="21"/>
          <w:szCs w:val="21"/>
        </w:rPr>
        <w:instrText xml:space="preserve"> PAGEREF _Toc143799414 \h </w:instrText>
      </w:r>
      <w:r>
        <w:rPr>
          <w:sz w:val="21"/>
          <w:szCs w:val="21"/>
        </w:rPr>
        <w:fldChar w:fldCharType="separate"/>
      </w:r>
      <w:r>
        <w:rPr>
          <w:sz w:val="21"/>
          <w:szCs w:val="21"/>
        </w:rPr>
        <w:t>233</w:t>
      </w:r>
      <w:r>
        <w:rPr>
          <w:sz w:val="21"/>
          <w:szCs w:val="21"/>
        </w:rPr>
        <w:fldChar w:fldCharType="end"/>
      </w:r>
      <w:r>
        <w:rPr>
          <w:sz w:val="21"/>
          <w:szCs w:val="21"/>
        </w:rPr>
        <w:fldChar w:fldCharType="end"/>
      </w:r>
    </w:p>
    <w:p w14:paraId="504DB7DA">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"_Toc143799415" </w:instrText>
      </w:r>
      <w:r>
        <w:fldChar w:fldCharType="separate"/>
      </w:r>
      <w:r>
        <w:rPr>
          <w:rStyle w:val="144"/>
          <w:color w:val="auto"/>
          <w:kern w:val="24"/>
          <w:sz w:val="21"/>
          <w:szCs w:val="21"/>
          <w:u w:val="none"/>
        </w:rPr>
        <w:t>11.8与《饮用水水源保护区污染防治管理规定》的相符性分析</w:t>
      </w:r>
      <w:r>
        <w:rPr>
          <w:sz w:val="21"/>
          <w:szCs w:val="21"/>
        </w:rPr>
        <w:tab/>
      </w:r>
      <w:r>
        <w:rPr>
          <w:sz w:val="21"/>
          <w:szCs w:val="21"/>
        </w:rPr>
        <w:fldChar w:fldCharType="begin"/>
      </w:r>
      <w:r>
        <w:rPr>
          <w:sz w:val="21"/>
          <w:szCs w:val="21"/>
        </w:rPr>
        <w:instrText xml:space="preserve"> PAGEREF _Toc143799415 \h </w:instrText>
      </w:r>
      <w:r>
        <w:rPr>
          <w:sz w:val="21"/>
          <w:szCs w:val="21"/>
        </w:rPr>
        <w:fldChar w:fldCharType="separate"/>
      </w:r>
      <w:r>
        <w:rPr>
          <w:sz w:val="21"/>
          <w:szCs w:val="21"/>
        </w:rPr>
        <w:t>233</w:t>
      </w:r>
      <w:r>
        <w:rPr>
          <w:sz w:val="21"/>
          <w:szCs w:val="21"/>
        </w:rPr>
        <w:fldChar w:fldCharType="end"/>
      </w:r>
      <w:r>
        <w:rPr>
          <w:sz w:val="21"/>
          <w:szCs w:val="21"/>
        </w:rPr>
        <w:fldChar w:fldCharType="end"/>
      </w:r>
    </w:p>
    <w:p w14:paraId="50931816">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"_Toc143799416" </w:instrText>
      </w:r>
      <w:r>
        <w:fldChar w:fldCharType="separate"/>
      </w:r>
      <w:r>
        <w:rPr>
          <w:rStyle w:val="144"/>
          <w:color w:val="auto"/>
          <w:kern w:val="24"/>
          <w:sz w:val="21"/>
          <w:szCs w:val="21"/>
          <w:u w:val="none"/>
        </w:rPr>
        <w:t>11.9项目建设必要性</w:t>
      </w:r>
      <w:r>
        <w:rPr>
          <w:sz w:val="21"/>
          <w:szCs w:val="21"/>
        </w:rPr>
        <w:tab/>
      </w:r>
      <w:r>
        <w:rPr>
          <w:sz w:val="21"/>
          <w:szCs w:val="21"/>
        </w:rPr>
        <w:fldChar w:fldCharType="begin"/>
      </w:r>
      <w:r>
        <w:rPr>
          <w:sz w:val="21"/>
          <w:szCs w:val="21"/>
        </w:rPr>
        <w:instrText xml:space="preserve"> PAGEREF _Toc143799416 \h </w:instrText>
      </w:r>
      <w:r>
        <w:rPr>
          <w:sz w:val="21"/>
          <w:szCs w:val="21"/>
        </w:rPr>
        <w:fldChar w:fldCharType="separate"/>
      </w:r>
      <w:r>
        <w:rPr>
          <w:sz w:val="21"/>
          <w:szCs w:val="21"/>
        </w:rPr>
        <w:t>234</w:t>
      </w:r>
      <w:r>
        <w:rPr>
          <w:sz w:val="21"/>
          <w:szCs w:val="21"/>
        </w:rPr>
        <w:fldChar w:fldCharType="end"/>
      </w:r>
      <w:r>
        <w:rPr>
          <w:sz w:val="21"/>
          <w:szCs w:val="21"/>
        </w:rPr>
        <w:fldChar w:fldCharType="end"/>
      </w:r>
    </w:p>
    <w:p w14:paraId="360FE16E">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"_Toc143799417" </w:instrText>
      </w:r>
      <w:r>
        <w:fldChar w:fldCharType="separate"/>
      </w:r>
      <w:r>
        <w:rPr>
          <w:rStyle w:val="144"/>
          <w:color w:val="auto"/>
          <w:kern w:val="24"/>
          <w:sz w:val="21"/>
          <w:szCs w:val="21"/>
          <w:u w:val="none"/>
        </w:rPr>
        <w:t>11.10选址合理性分析</w:t>
      </w:r>
      <w:r>
        <w:rPr>
          <w:sz w:val="21"/>
          <w:szCs w:val="21"/>
        </w:rPr>
        <w:tab/>
      </w:r>
      <w:r>
        <w:rPr>
          <w:sz w:val="21"/>
          <w:szCs w:val="21"/>
        </w:rPr>
        <w:fldChar w:fldCharType="begin"/>
      </w:r>
      <w:r>
        <w:rPr>
          <w:sz w:val="21"/>
          <w:szCs w:val="21"/>
        </w:rPr>
        <w:instrText xml:space="preserve"> PAGEREF _Toc143799417 \h </w:instrText>
      </w:r>
      <w:r>
        <w:rPr>
          <w:sz w:val="21"/>
          <w:szCs w:val="21"/>
        </w:rPr>
        <w:fldChar w:fldCharType="separate"/>
      </w:r>
      <w:r>
        <w:rPr>
          <w:sz w:val="21"/>
          <w:szCs w:val="21"/>
        </w:rPr>
        <w:t>235</w:t>
      </w:r>
      <w:r>
        <w:rPr>
          <w:sz w:val="21"/>
          <w:szCs w:val="21"/>
        </w:rPr>
        <w:fldChar w:fldCharType="end"/>
      </w:r>
      <w:r>
        <w:rPr>
          <w:sz w:val="21"/>
          <w:szCs w:val="21"/>
        </w:rPr>
        <w:fldChar w:fldCharType="end"/>
      </w:r>
    </w:p>
    <w:p w14:paraId="1A47FFD9">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"_Toc143799418" </w:instrText>
      </w:r>
      <w:r>
        <w:fldChar w:fldCharType="separate"/>
      </w:r>
      <w:r>
        <w:rPr>
          <w:rStyle w:val="144"/>
          <w:color w:val="auto"/>
          <w:kern w:val="24"/>
          <w:sz w:val="21"/>
          <w:szCs w:val="21"/>
          <w:u w:val="none"/>
        </w:rPr>
        <w:t>11.11项目制约因素</w:t>
      </w:r>
      <w:r>
        <w:rPr>
          <w:sz w:val="21"/>
          <w:szCs w:val="21"/>
        </w:rPr>
        <w:tab/>
      </w:r>
      <w:r>
        <w:rPr>
          <w:sz w:val="21"/>
          <w:szCs w:val="21"/>
        </w:rPr>
        <w:fldChar w:fldCharType="begin"/>
      </w:r>
      <w:r>
        <w:rPr>
          <w:sz w:val="21"/>
          <w:szCs w:val="21"/>
        </w:rPr>
        <w:instrText xml:space="preserve"> PAGEREF _Toc143799418 \h </w:instrText>
      </w:r>
      <w:r>
        <w:rPr>
          <w:sz w:val="21"/>
          <w:szCs w:val="21"/>
        </w:rPr>
        <w:fldChar w:fldCharType="separate"/>
      </w:r>
      <w:r>
        <w:rPr>
          <w:sz w:val="21"/>
          <w:szCs w:val="21"/>
        </w:rPr>
        <w:t>239</w:t>
      </w:r>
      <w:r>
        <w:rPr>
          <w:sz w:val="21"/>
          <w:szCs w:val="21"/>
        </w:rPr>
        <w:fldChar w:fldCharType="end"/>
      </w:r>
      <w:r>
        <w:rPr>
          <w:sz w:val="21"/>
          <w:szCs w:val="21"/>
        </w:rPr>
        <w:fldChar w:fldCharType="end"/>
      </w:r>
    </w:p>
    <w:p w14:paraId="572ED4DD">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"_Toc143799419" </w:instrText>
      </w:r>
      <w:r>
        <w:fldChar w:fldCharType="separate"/>
      </w:r>
      <w:r>
        <w:rPr>
          <w:rStyle w:val="144"/>
          <w:b w:val="0"/>
          <w:bCs w:val="0"/>
          <w:color w:val="auto"/>
          <w:sz w:val="21"/>
          <w:szCs w:val="21"/>
          <w:u w:val="none"/>
        </w:rPr>
        <w:t>12环境管理与监测计划</w:t>
      </w:r>
      <w:r>
        <w:rPr>
          <w:b w:val="0"/>
          <w:bCs w:val="0"/>
          <w:sz w:val="21"/>
          <w:szCs w:val="21"/>
        </w:rPr>
        <w:tab/>
      </w:r>
      <w:r>
        <w:rPr>
          <w:b w:val="0"/>
          <w:bCs w:val="0"/>
          <w:sz w:val="21"/>
          <w:szCs w:val="21"/>
        </w:rPr>
        <w:fldChar w:fldCharType="begin"/>
      </w:r>
      <w:r>
        <w:rPr>
          <w:b w:val="0"/>
          <w:bCs w:val="0"/>
          <w:sz w:val="21"/>
          <w:szCs w:val="21"/>
        </w:rPr>
        <w:instrText xml:space="preserve"> PAGEREF _Toc143799419 \h </w:instrText>
      </w:r>
      <w:r>
        <w:rPr>
          <w:b w:val="0"/>
          <w:bCs w:val="0"/>
          <w:sz w:val="21"/>
          <w:szCs w:val="21"/>
        </w:rPr>
        <w:fldChar w:fldCharType="separate"/>
      </w:r>
      <w:r>
        <w:rPr>
          <w:b w:val="0"/>
          <w:bCs w:val="0"/>
          <w:sz w:val="21"/>
          <w:szCs w:val="21"/>
        </w:rPr>
        <w:t>240</w:t>
      </w:r>
      <w:r>
        <w:rPr>
          <w:b w:val="0"/>
          <w:bCs w:val="0"/>
          <w:sz w:val="21"/>
          <w:szCs w:val="21"/>
        </w:rPr>
        <w:fldChar w:fldCharType="end"/>
      </w:r>
      <w:r>
        <w:rPr>
          <w:b w:val="0"/>
          <w:bCs w:val="0"/>
          <w:sz w:val="21"/>
          <w:szCs w:val="21"/>
        </w:rPr>
        <w:fldChar w:fldCharType="end"/>
      </w:r>
    </w:p>
    <w:p w14:paraId="3AA9027E">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"_Toc143799420" </w:instrText>
      </w:r>
      <w:r>
        <w:fldChar w:fldCharType="separate"/>
      </w:r>
      <w:r>
        <w:rPr>
          <w:rStyle w:val="144"/>
          <w:color w:val="auto"/>
          <w:sz w:val="21"/>
          <w:szCs w:val="21"/>
          <w:u w:val="none"/>
        </w:rPr>
        <w:t>12.1环境管理</w:t>
      </w:r>
      <w:r>
        <w:rPr>
          <w:sz w:val="21"/>
          <w:szCs w:val="21"/>
        </w:rPr>
        <w:tab/>
      </w:r>
      <w:r>
        <w:rPr>
          <w:sz w:val="21"/>
          <w:szCs w:val="21"/>
        </w:rPr>
        <w:fldChar w:fldCharType="begin"/>
      </w:r>
      <w:r>
        <w:rPr>
          <w:sz w:val="21"/>
          <w:szCs w:val="21"/>
        </w:rPr>
        <w:instrText xml:space="preserve"> PAGEREF _Toc143799420 \h </w:instrText>
      </w:r>
      <w:r>
        <w:rPr>
          <w:sz w:val="21"/>
          <w:szCs w:val="21"/>
        </w:rPr>
        <w:fldChar w:fldCharType="separate"/>
      </w:r>
      <w:r>
        <w:rPr>
          <w:sz w:val="21"/>
          <w:szCs w:val="21"/>
        </w:rPr>
        <w:t>240</w:t>
      </w:r>
      <w:r>
        <w:rPr>
          <w:sz w:val="21"/>
          <w:szCs w:val="21"/>
        </w:rPr>
        <w:fldChar w:fldCharType="end"/>
      </w:r>
      <w:r>
        <w:rPr>
          <w:sz w:val="21"/>
          <w:szCs w:val="21"/>
        </w:rPr>
        <w:fldChar w:fldCharType="end"/>
      </w:r>
    </w:p>
    <w:p w14:paraId="00D17E4F">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"_Toc143799421" </w:instrText>
      </w:r>
      <w:r>
        <w:fldChar w:fldCharType="separate"/>
      </w:r>
      <w:r>
        <w:rPr>
          <w:rStyle w:val="144"/>
          <w:color w:val="auto"/>
          <w:sz w:val="21"/>
          <w:szCs w:val="21"/>
          <w:u w:val="none"/>
        </w:rPr>
        <w:t>12.2环境监测</w:t>
      </w:r>
      <w:r>
        <w:rPr>
          <w:sz w:val="21"/>
          <w:szCs w:val="21"/>
        </w:rPr>
        <w:tab/>
      </w:r>
      <w:r>
        <w:rPr>
          <w:sz w:val="21"/>
          <w:szCs w:val="21"/>
        </w:rPr>
        <w:fldChar w:fldCharType="begin"/>
      </w:r>
      <w:r>
        <w:rPr>
          <w:sz w:val="21"/>
          <w:szCs w:val="21"/>
        </w:rPr>
        <w:instrText xml:space="preserve"> PAGEREF _Toc143799421 \h </w:instrText>
      </w:r>
      <w:r>
        <w:rPr>
          <w:sz w:val="21"/>
          <w:szCs w:val="21"/>
        </w:rPr>
        <w:fldChar w:fldCharType="separate"/>
      </w:r>
      <w:r>
        <w:rPr>
          <w:sz w:val="21"/>
          <w:szCs w:val="21"/>
        </w:rPr>
        <w:t>243</w:t>
      </w:r>
      <w:r>
        <w:rPr>
          <w:sz w:val="21"/>
          <w:szCs w:val="21"/>
        </w:rPr>
        <w:fldChar w:fldCharType="end"/>
      </w:r>
      <w:r>
        <w:rPr>
          <w:sz w:val="21"/>
          <w:szCs w:val="21"/>
        </w:rPr>
        <w:fldChar w:fldCharType="end"/>
      </w:r>
    </w:p>
    <w:p w14:paraId="7FE74AB4">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"_Toc143799422" </w:instrText>
      </w:r>
      <w:r>
        <w:fldChar w:fldCharType="separate"/>
      </w:r>
      <w:r>
        <w:rPr>
          <w:rStyle w:val="144"/>
          <w:color w:val="auto"/>
          <w:sz w:val="21"/>
          <w:szCs w:val="21"/>
          <w:u w:val="none"/>
        </w:rPr>
        <w:t>12.3竣工环境保护验收</w:t>
      </w:r>
      <w:r>
        <w:rPr>
          <w:sz w:val="21"/>
          <w:szCs w:val="21"/>
        </w:rPr>
        <w:tab/>
      </w:r>
      <w:r>
        <w:rPr>
          <w:sz w:val="21"/>
          <w:szCs w:val="21"/>
        </w:rPr>
        <w:fldChar w:fldCharType="begin"/>
      </w:r>
      <w:r>
        <w:rPr>
          <w:sz w:val="21"/>
          <w:szCs w:val="21"/>
        </w:rPr>
        <w:instrText xml:space="preserve"> PAGEREF _Toc143799422 \h </w:instrText>
      </w:r>
      <w:r>
        <w:rPr>
          <w:sz w:val="21"/>
          <w:szCs w:val="21"/>
        </w:rPr>
        <w:fldChar w:fldCharType="separate"/>
      </w:r>
      <w:r>
        <w:rPr>
          <w:sz w:val="21"/>
          <w:szCs w:val="21"/>
        </w:rPr>
        <w:t>247</w:t>
      </w:r>
      <w:r>
        <w:rPr>
          <w:sz w:val="21"/>
          <w:szCs w:val="21"/>
        </w:rPr>
        <w:fldChar w:fldCharType="end"/>
      </w:r>
      <w:r>
        <w:rPr>
          <w:sz w:val="21"/>
          <w:szCs w:val="21"/>
        </w:rPr>
        <w:fldChar w:fldCharType="end"/>
      </w:r>
    </w:p>
    <w:p w14:paraId="6729C976">
      <w:pPr>
        <w:pStyle w:val="59"/>
        <w:tabs>
          <w:tab w:val="right" w:leader="dot" w:pos="8301"/>
        </w:tabs>
        <w:adjustRightInd w:val="0"/>
        <w:snapToGrid w:val="0"/>
        <w:spacing w:before="0" w:after="0" w:line="240" w:lineRule="auto"/>
        <w:ind w:firstLine="402"/>
        <w:rPr>
          <w:b w:val="0"/>
          <w:bCs w:val="0"/>
          <w:caps w:val="0"/>
          <w:sz w:val="21"/>
          <w:szCs w:val="21"/>
          <w14:ligatures w14:val="standardContextual"/>
        </w:rPr>
      </w:pPr>
      <w:r>
        <w:fldChar w:fldCharType="begin"/>
      </w:r>
      <w:r>
        <w:instrText xml:space="preserve"> HYPERLINK \l "_Toc143799423" </w:instrText>
      </w:r>
      <w:r>
        <w:fldChar w:fldCharType="separate"/>
      </w:r>
      <w:r>
        <w:rPr>
          <w:rStyle w:val="144"/>
          <w:b w:val="0"/>
          <w:bCs w:val="0"/>
          <w:color w:val="auto"/>
          <w:sz w:val="21"/>
          <w:szCs w:val="21"/>
          <w:u w:val="none"/>
        </w:rPr>
        <w:t>13结论</w:t>
      </w:r>
      <w:r>
        <w:rPr>
          <w:b w:val="0"/>
          <w:bCs w:val="0"/>
          <w:sz w:val="21"/>
          <w:szCs w:val="21"/>
        </w:rPr>
        <w:tab/>
      </w:r>
      <w:r>
        <w:rPr>
          <w:b w:val="0"/>
          <w:bCs w:val="0"/>
          <w:sz w:val="21"/>
          <w:szCs w:val="21"/>
        </w:rPr>
        <w:fldChar w:fldCharType="begin"/>
      </w:r>
      <w:r>
        <w:rPr>
          <w:b w:val="0"/>
          <w:bCs w:val="0"/>
          <w:sz w:val="21"/>
          <w:szCs w:val="21"/>
        </w:rPr>
        <w:instrText xml:space="preserve"> PAGEREF _Toc143799423 \h </w:instrText>
      </w:r>
      <w:r>
        <w:rPr>
          <w:b w:val="0"/>
          <w:bCs w:val="0"/>
          <w:sz w:val="21"/>
          <w:szCs w:val="21"/>
        </w:rPr>
        <w:fldChar w:fldCharType="separate"/>
      </w:r>
      <w:r>
        <w:rPr>
          <w:b w:val="0"/>
          <w:bCs w:val="0"/>
          <w:sz w:val="21"/>
          <w:szCs w:val="21"/>
        </w:rPr>
        <w:t>249</w:t>
      </w:r>
      <w:r>
        <w:rPr>
          <w:b w:val="0"/>
          <w:bCs w:val="0"/>
          <w:sz w:val="21"/>
          <w:szCs w:val="21"/>
        </w:rPr>
        <w:fldChar w:fldCharType="end"/>
      </w:r>
      <w:r>
        <w:rPr>
          <w:b w:val="0"/>
          <w:bCs w:val="0"/>
          <w:sz w:val="21"/>
          <w:szCs w:val="21"/>
        </w:rPr>
        <w:fldChar w:fldCharType="end"/>
      </w:r>
    </w:p>
    <w:p w14:paraId="492292CD">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"_Toc143799424" </w:instrText>
      </w:r>
      <w:r>
        <w:fldChar w:fldCharType="separate"/>
      </w:r>
      <w:r>
        <w:rPr>
          <w:rStyle w:val="144"/>
          <w:color w:val="auto"/>
          <w:sz w:val="21"/>
          <w:szCs w:val="21"/>
          <w:u w:val="none"/>
        </w:rPr>
        <w:t>13.1 结论</w:t>
      </w:r>
      <w:r>
        <w:rPr>
          <w:sz w:val="21"/>
          <w:szCs w:val="21"/>
        </w:rPr>
        <w:tab/>
      </w:r>
      <w:r>
        <w:rPr>
          <w:sz w:val="21"/>
          <w:szCs w:val="21"/>
        </w:rPr>
        <w:fldChar w:fldCharType="begin"/>
      </w:r>
      <w:r>
        <w:rPr>
          <w:sz w:val="21"/>
          <w:szCs w:val="21"/>
        </w:rPr>
        <w:instrText xml:space="preserve"> PAGEREF _Toc143799424 \h </w:instrText>
      </w:r>
      <w:r>
        <w:rPr>
          <w:sz w:val="21"/>
          <w:szCs w:val="21"/>
        </w:rPr>
        <w:fldChar w:fldCharType="separate"/>
      </w:r>
      <w:r>
        <w:rPr>
          <w:sz w:val="21"/>
          <w:szCs w:val="21"/>
        </w:rPr>
        <w:t>249</w:t>
      </w:r>
      <w:r>
        <w:rPr>
          <w:sz w:val="21"/>
          <w:szCs w:val="21"/>
        </w:rPr>
        <w:fldChar w:fldCharType="end"/>
      </w:r>
      <w:r>
        <w:rPr>
          <w:sz w:val="21"/>
          <w:szCs w:val="21"/>
        </w:rPr>
        <w:fldChar w:fldCharType="end"/>
      </w:r>
    </w:p>
    <w:p w14:paraId="4E66A1A2">
      <w:pPr>
        <w:pStyle w:val="74"/>
        <w:tabs>
          <w:tab w:val="right" w:leader="dot" w:pos="8301"/>
        </w:tabs>
        <w:adjustRightInd w:val="0"/>
        <w:snapToGrid w:val="0"/>
        <w:spacing w:line="240" w:lineRule="auto"/>
        <w:ind w:firstLine="400"/>
        <w:rPr>
          <w:smallCaps w:val="0"/>
          <w:sz w:val="21"/>
          <w:szCs w:val="21"/>
          <w14:ligatures w14:val="standardContextual"/>
        </w:rPr>
      </w:pPr>
      <w:r>
        <w:fldChar w:fldCharType="begin"/>
      </w:r>
      <w:r>
        <w:instrText xml:space="preserve"> HYPERLINK \l "_Toc143799425" </w:instrText>
      </w:r>
      <w:r>
        <w:fldChar w:fldCharType="separate"/>
      </w:r>
      <w:r>
        <w:rPr>
          <w:rStyle w:val="144"/>
          <w:color w:val="auto"/>
          <w:sz w:val="21"/>
          <w:szCs w:val="21"/>
          <w:u w:val="none"/>
        </w:rPr>
        <w:t>13.2建议和要求</w:t>
      </w:r>
      <w:r>
        <w:rPr>
          <w:sz w:val="21"/>
          <w:szCs w:val="21"/>
        </w:rPr>
        <w:tab/>
      </w:r>
      <w:r>
        <w:rPr>
          <w:sz w:val="21"/>
          <w:szCs w:val="21"/>
        </w:rPr>
        <w:fldChar w:fldCharType="begin"/>
      </w:r>
      <w:r>
        <w:rPr>
          <w:sz w:val="21"/>
          <w:szCs w:val="21"/>
        </w:rPr>
        <w:instrText xml:space="preserve"> PAGEREF _Toc143799425 \h </w:instrText>
      </w:r>
      <w:r>
        <w:rPr>
          <w:sz w:val="21"/>
          <w:szCs w:val="21"/>
        </w:rPr>
        <w:fldChar w:fldCharType="separate"/>
      </w:r>
      <w:r>
        <w:rPr>
          <w:sz w:val="21"/>
          <w:szCs w:val="21"/>
        </w:rPr>
        <w:t>254</w:t>
      </w:r>
      <w:r>
        <w:rPr>
          <w:sz w:val="21"/>
          <w:szCs w:val="21"/>
        </w:rPr>
        <w:fldChar w:fldCharType="end"/>
      </w:r>
      <w:r>
        <w:rPr>
          <w:sz w:val="21"/>
          <w:szCs w:val="21"/>
        </w:rPr>
        <w:fldChar w:fldCharType="end"/>
      </w:r>
    </w:p>
    <w:p w14:paraId="5253918D">
      <w:pPr>
        <w:pStyle w:val="2"/>
        <w:adjustRightInd w:val="0"/>
        <w:snapToGrid w:val="0"/>
        <w:ind w:firstLineChars="0"/>
        <w:rPr>
          <w:rFonts w:ascii="Times New Roman" w:hAnsi="Times New Roman"/>
          <w:szCs w:val="21"/>
        </w:rPr>
      </w:pPr>
      <w:r>
        <w:rPr>
          <w:rFonts w:ascii="Times New Roman" w:hAnsi="Times New Roman"/>
          <w:szCs w:val="21"/>
        </w:rPr>
        <w:fldChar w:fldCharType="end"/>
      </w:r>
    </w:p>
    <w:p w14:paraId="6B03B5EC">
      <w:pPr>
        <w:adjustRightInd w:val="0"/>
        <w:snapToGrid w:val="0"/>
        <w:ind w:firstLine="0" w:firstLineChars="0"/>
      </w:pPr>
      <w:r>
        <w:rPr>
          <w:rFonts w:hint="eastAsia"/>
        </w:rPr>
        <w:t>附件：</w:t>
      </w:r>
    </w:p>
    <w:p w14:paraId="08670790">
      <w:pPr>
        <w:adjustRightInd w:val="0"/>
        <w:snapToGrid w:val="0"/>
        <w:ind w:firstLine="480"/>
      </w:pPr>
      <w:r>
        <w:rPr>
          <w:rFonts w:hint="eastAsia"/>
        </w:rPr>
        <w:t>附件1：委托书；</w:t>
      </w:r>
    </w:p>
    <w:p w14:paraId="7399D748">
      <w:pPr>
        <w:adjustRightInd w:val="0"/>
        <w:snapToGrid w:val="0"/>
        <w:ind w:firstLine="480"/>
      </w:pPr>
      <w:r>
        <w:rPr>
          <w:rFonts w:hint="eastAsia"/>
        </w:rPr>
        <w:t>附件2：湖南省发展和改革委员会《关于同意全省“十四五”第一批风电、集中式光伏发电项目开发建设的复函》（湘发改函[</w:t>
      </w:r>
      <w:r>
        <w:t>2022]52</w:t>
      </w:r>
      <w:r>
        <w:rPr>
          <w:rFonts w:hint="eastAsia"/>
        </w:rPr>
        <w:t>号）；</w:t>
      </w:r>
    </w:p>
    <w:p w14:paraId="6FE4D94B">
      <w:pPr>
        <w:adjustRightInd w:val="0"/>
        <w:snapToGrid w:val="0"/>
        <w:ind w:firstLine="480"/>
      </w:pPr>
      <w:r>
        <w:rPr>
          <w:rFonts w:hint="eastAsia"/>
        </w:rPr>
        <w:t>附件3：衡阳县发展和改革局选址意见；</w:t>
      </w:r>
    </w:p>
    <w:p w14:paraId="39710111">
      <w:pPr>
        <w:adjustRightInd w:val="0"/>
        <w:snapToGrid w:val="0"/>
        <w:ind w:firstLine="480"/>
      </w:pPr>
      <w:r>
        <w:rPr>
          <w:rFonts w:hint="eastAsia"/>
        </w:rPr>
        <w:t>附件4：衡阳市林业局选址意见；</w:t>
      </w:r>
    </w:p>
    <w:p w14:paraId="3F42B587">
      <w:pPr>
        <w:adjustRightInd w:val="0"/>
        <w:snapToGrid w:val="0"/>
        <w:ind w:firstLine="480"/>
      </w:pPr>
      <w:r>
        <w:rPr>
          <w:rFonts w:hint="eastAsia"/>
        </w:rPr>
        <w:t>附件</w:t>
      </w:r>
      <w:r>
        <w:t>5</w:t>
      </w:r>
      <w:r>
        <w:rPr>
          <w:rFonts w:hint="eastAsia"/>
        </w:rPr>
        <w:t>：衡阳县林业局选址意见；</w:t>
      </w:r>
    </w:p>
    <w:p w14:paraId="7D3AD966">
      <w:pPr>
        <w:adjustRightInd w:val="0"/>
        <w:snapToGrid w:val="0"/>
        <w:ind w:firstLine="480"/>
      </w:pPr>
      <w:r>
        <w:rPr>
          <w:rFonts w:hint="eastAsia"/>
        </w:rPr>
        <w:t>附件</w:t>
      </w:r>
      <w:r>
        <w:t>6</w:t>
      </w:r>
      <w:r>
        <w:rPr>
          <w:rFonts w:hint="eastAsia"/>
        </w:rPr>
        <w:t>：湖南省衡阳县人民武装部选址意见；</w:t>
      </w:r>
    </w:p>
    <w:p w14:paraId="55B32AB2">
      <w:pPr>
        <w:adjustRightInd w:val="0"/>
        <w:snapToGrid w:val="0"/>
        <w:ind w:firstLine="480"/>
      </w:pPr>
      <w:r>
        <w:rPr>
          <w:rFonts w:hint="eastAsia"/>
        </w:rPr>
        <w:t>附件</w:t>
      </w:r>
      <w:r>
        <w:t>7</w:t>
      </w:r>
      <w:r>
        <w:rPr>
          <w:rFonts w:hint="eastAsia"/>
        </w:rPr>
        <w:t>：衡阳市生态环境局衡阳县分局选址意见；</w:t>
      </w:r>
    </w:p>
    <w:p w14:paraId="5579C641">
      <w:pPr>
        <w:adjustRightInd w:val="0"/>
        <w:snapToGrid w:val="0"/>
        <w:ind w:firstLine="480"/>
      </w:pPr>
      <w:r>
        <w:rPr>
          <w:rFonts w:hint="eastAsia"/>
        </w:rPr>
        <w:t>附件</w:t>
      </w:r>
      <w:r>
        <w:t>8</w:t>
      </w:r>
      <w:r>
        <w:rPr>
          <w:rFonts w:hint="eastAsia"/>
        </w:rPr>
        <w:t>：衡阳县水利局选址意见；</w:t>
      </w:r>
    </w:p>
    <w:p w14:paraId="3BB7926A">
      <w:pPr>
        <w:adjustRightInd w:val="0"/>
        <w:snapToGrid w:val="0"/>
        <w:ind w:firstLine="480"/>
      </w:pPr>
      <w:r>
        <w:rPr>
          <w:rFonts w:hint="eastAsia"/>
        </w:rPr>
        <w:t>附件9：衡阳县水利局选址意见</w:t>
      </w:r>
    </w:p>
    <w:p w14:paraId="0C78CE71">
      <w:pPr>
        <w:adjustRightInd w:val="0"/>
        <w:snapToGrid w:val="0"/>
        <w:ind w:firstLine="480"/>
      </w:pPr>
      <w:r>
        <w:rPr>
          <w:rFonts w:hint="eastAsia"/>
        </w:rPr>
        <w:t>附件</w:t>
      </w:r>
      <w:r>
        <w:t>10</w:t>
      </w:r>
      <w:r>
        <w:rPr>
          <w:rFonts w:hint="eastAsia"/>
        </w:rPr>
        <w:t>：衡阳县文化旅游广电体育局选址意见；</w:t>
      </w:r>
    </w:p>
    <w:p w14:paraId="1194880A">
      <w:pPr>
        <w:adjustRightInd w:val="0"/>
        <w:snapToGrid w:val="0"/>
        <w:ind w:firstLine="480"/>
      </w:pPr>
      <w:r>
        <w:rPr>
          <w:rFonts w:hint="eastAsia"/>
        </w:rPr>
        <w:t>附件</w:t>
      </w:r>
      <w:r>
        <w:t>11</w:t>
      </w:r>
      <w:r>
        <w:rPr>
          <w:rFonts w:hint="eastAsia"/>
        </w:rPr>
        <w:t>：压覆重要矿产资源查询情况的说明；</w:t>
      </w:r>
    </w:p>
    <w:p w14:paraId="0A33A9F3">
      <w:pPr>
        <w:adjustRightInd w:val="0"/>
        <w:snapToGrid w:val="0"/>
        <w:ind w:firstLine="480"/>
      </w:pPr>
      <w:r>
        <w:rPr>
          <w:rFonts w:hint="eastAsia"/>
        </w:rPr>
        <w:t>附件1</w:t>
      </w:r>
      <w:r>
        <w:t>2</w:t>
      </w:r>
      <w:r>
        <w:rPr>
          <w:rFonts w:hint="eastAsia"/>
        </w:rPr>
        <w:t>：</w:t>
      </w:r>
      <w:r>
        <w:rPr>
          <w:rFonts w:hint="eastAsia"/>
          <w:lang w:eastAsia="zh-CN"/>
        </w:rPr>
        <w:t>地质灾害</w:t>
      </w:r>
      <w:r>
        <w:rPr>
          <w:rFonts w:hint="eastAsia"/>
        </w:rPr>
        <w:t>危险评估报告评审意见书；</w:t>
      </w:r>
    </w:p>
    <w:p w14:paraId="7B0B793C">
      <w:pPr>
        <w:adjustRightInd w:val="0"/>
        <w:snapToGrid w:val="0"/>
        <w:ind w:firstLine="480"/>
      </w:pPr>
      <w:r>
        <w:rPr>
          <w:rFonts w:hint="eastAsia"/>
        </w:rPr>
        <w:t>附件1</w:t>
      </w:r>
      <w:r>
        <w:t>3</w:t>
      </w:r>
      <w:r>
        <w:rPr>
          <w:rFonts w:hint="eastAsia"/>
        </w:rPr>
        <w:t>：</w:t>
      </w:r>
      <w:r>
        <w:t>衡阳县自然资源局《关于衡阳县杉桥风电场项目建设用地预审与选址初审意见的报告》（蒸自资报[2022]89号）</w:t>
      </w:r>
      <w:r>
        <w:rPr>
          <w:rFonts w:hint="eastAsia"/>
        </w:rPr>
        <w:t>；</w:t>
      </w:r>
    </w:p>
    <w:p w14:paraId="0236E837">
      <w:pPr>
        <w:adjustRightInd w:val="0"/>
        <w:snapToGrid w:val="0"/>
        <w:ind w:firstLine="480"/>
      </w:pPr>
      <w:r>
        <w:rPr>
          <w:rFonts w:hint="eastAsia"/>
        </w:rPr>
        <w:t>附件1</w:t>
      </w:r>
      <w:r>
        <w:t>4</w:t>
      </w:r>
      <w:r>
        <w:rPr>
          <w:rFonts w:hint="eastAsia"/>
        </w:rPr>
        <w:t>：</w:t>
      </w:r>
      <w:r>
        <w:t>衡阳市自然资源和规划局《关于衡阳县杉桥风电场项目建设用地预审与选址初审意见的报告》（衡资源规划报[2023]4号）</w:t>
      </w:r>
      <w:r>
        <w:rPr>
          <w:rFonts w:hint="eastAsia"/>
        </w:rPr>
        <w:t>；</w:t>
      </w:r>
    </w:p>
    <w:p w14:paraId="0F772B5F">
      <w:pPr>
        <w:adjustRightInd w:val="0"/>
        <w:snapToGrid w:val="0"/>
        <w:ind w:firstLine="480"/>
      </w:pPr>
      <w:r>
        <w:rPr>
          <w:rFonts w:hint="eastAsia"/>
        </w:rPr>
        <w:t>附件1</w:t>
      </w:r>
      <w:r>
        <w:t>5</w:t>
      </w:r>
      <w:r>
        <w:rPr>
          <w:rFonts w:hint="eastAsia"/>
        </w:rPr>
        <w:t>：衡阳县人民政府《关于将衡阳县杉桥风电场项目》纳入国土空间规划的承诺函；</w:t>
      </w:r>
    </w:p>
    <w:p w14:paraId="69C7A77D">
      <w:pPr>
        <w:adjustRightInd w:val="0"/>
        <w:snapToGrid w:val="0"/>
        <w:ind w:firstLine="480"/>
      </w:pPr>
      <w:r>
        <w:rPr>
          <w:rFonts w:hint="eastAsia"/>
        </w:rPr>
        <w:t>附件1</w:t>
      </w:r>
      <w:r>
        <w:t>6</w:t>
      </w:r>
      <w:r>
        <w:rPr>
          <w:rFonts w:hint="eastAsia"/>
        </w:rPr>
        <w:t>：社会稳定风险评估备案登记表；</w:t>
      </w:r>
    </w:p>
    <w:p w14:paraId="2B715E4C">
      <w:pPr>
        <w:adjustRightInd w:val="0"/>
        <w:snapToGrid w:val="0"/>
        <w:ind w:firstLine="480"/>
      </w:pPr>
      <w:r>
        <w:rPr>
          <w:rFonts w:hint="eastAsia"/>
        </w:rPr>
        <w:t>附件1</w:t>
      </w:r>
      <w:r>
        <w:t>7</w:t>
      </w:r>
      <w:r>
        <w:rPr>
          <w:rFonts w:hint="eastAsia"/>
        </w:rPr>
        <w:t>：衡阳县人民政府关于衡阳县杉桥风电场项目选址的意见；</w:t>
      </w:r>
    </w:p>
    <w:p w14:paraId="373B5510">
      <w:pPr>
        <w:adjustRightInd w:val="0"/>
        <w:snapToGrid w:val="0"/>
        <w:ind w:firstLine="480"/>
      </w:pPr>
      <w:r>
        <w:rPr>
          <w:rFonts w:hint="eastAsia"/>
        </w:rPr>
        <w:t>附件1</w:t>
      </w:r>
      <w:r>
        <w:t>8</w:t>
      </w:r>
      <w:r>
        <w:rPr>
          <w:rFonts w:hint="eastAsia"/>
        </w:rPr>
        <w:t>：衡阳市人民政府关于同意衡阳县杉桥风电场等</w:t>
      </w:r>
      <w:r>
        <w:t>3</w:t>
      </w:r>
      <w:r>
        <w:rPr>
          <w:rFonts w:hint="eastAsia"/>
        </w:rPr>
        <w:t>个项目选址的意见；</w:t>
      </w:r>
    </w:p>
    <w:p w14:paraId="7A3B1D47">
      <w:pPr>
        <w:adjustRightInd w:val="0"/>
        <w:snapToGrid w:val="0"/>
        <w:ind w:firstLine="480"/>
      </w:pPr>
      <w:r>
        <w:rPr>
          <w:rFonts w:hint="eastAsia"/>
        </w:rPr>
        <w:t>附件1</w:t>
      </w:r>
      <w:r>
        <w:t>9</w:t>
      </w:r>
      <w:r>
        <w:rPr>
          <w:rFonts w:hint="eastAsia"/>
        </w:rPr>
        <w:t>：建设单位变更的情况说明；</w:t>
      </w:r>
    </w:p>
    <w:p w14:paraId="48DF1E29">
      <w:pPr>
        <w:adjustRightInd w:val="0"/>
        <w:snapToGrid w:val="0"/>
        <w:ind w:firstLine="480"/>
      </w:pPr>
      <w:r>
        <w:rPr>
          <w:rFonts w:hint="eastAsia"/>
        </w:rPr>
        <w:t>附件</w:t>
      </w:r>
      <w:r>
        <w:t>20</w:t>
      </w:r>
      <w:r>
        <w:rPr>
          <w:rFonts w:hint="eastAsia"/>
        </w:rPr>
        <w:t>：公众参与意见</w:t>
      </w:r>
    </w:p>
    <w:p w14:paraId="3294DDFE">
      <w:pPr>
        <w:adjustRightInd w:val="0"/>
        <w:snapToGrid w:val="0"/>
        <w:ind w:firstLine="480"/>
      </w:pPr>
      <w:r>
        <w:rPr>
          <w:rFonts w:hint="eastAsia"/>
        </w:rPr>
        <w:t>附件</w:t>
      </w:r>
      <w:r>
        <w:t>21</w:t>
      </w:r>
      <w:r>
        <w:rPr>
          <w:rFonts w:hint="eastAsia"/>
        </w:rPr>
        <w:t>：监测报告。</w:t>
      </w:r>
    </w:p>
    <w:p w14:paraId="14151D9C">
      <w:pPr>
        <w:adjustRightInd w:val="0"/>
        <w:snapToGrid w:val="0"/>
        <w:ind w:firstLine="0" w:firstLineChars="0"/>
      </w:pPr>
      <w:r>
        <w:t>附图</w:t>
      </w:r>
    </w:p>
    <w:p w14:paraId="091DB654">
      <w:pPr>
        <w:adjustRightInd w:val="0"/>
        <w:snapToGrid w:val="0"/>
        <w:ind w:firstLine="480"/>
      </w:pPr>
      <w:r>
        <w:t>附图1：项目地理位置图；</w:t>
      </w:r>
    </w:p>
    <w:p w14:paraId="53E86106">
      <w:pPr>
        <w:adjustRightInd w:val="0"/>
        <w:snapToGrid w:val="0"/>
        <w:ind w:firstLine="480"/>
      </w:pPr>
      <w:r>
        <w:t>附图2：风电场总平面布置图；</w:t>
      </w:r>
    </w:p>
    <w:p w14:paraId="14DEF8FA">
      <w:pPr>
        <w:adjustRightInd w:val="0"/>
        <w:snapToGrid w:val="0"/>
        <w:ind w:firstLine="480"/>
      </w:pPr>
      <w:r>
        <w:t>附图3：升压站总平面布置图；</w:t>
      </w:r>
    </w:p>
    <w:p w14:paraId="49024179">
      <w:pPr>
        <w:adjustRightInd w:val="0"/>
        <w:snapToGrid w:val="0"/>
        <w:ind w:firstLine="480"/>
      </w:pPr>
      <w:r>
        <w:t>附图4：</w:t>
      </w:r>
      <w:r>
        <w:rPr>
          <w:rFonts w:hint="eastAsia"/>
        </w:rPr>
        <w:t>环境保护目标和监测点位图（声环境、环境空气、电磁环境）</w:t>
      </w:r>
      <w:r>
        <w:t>；</w:t>
      </w:r>
    </w:p>
    <w:p w14:paraId="769690B3">
      <w:pPr>
        <w:adjustRightInd w:val="0"/>
        <w:snapToGrid w:val="0"/>
        <w:ind w:firstLine="480"/>
      </w:pPr>
      <w:r>
        <w:rPr>
          <w:rFonts w:hint="eastAsia"/>
        </w:rPr>
        <w:t>附图</w:t>
      </w:r>
      <w:r>
        <w:t>5</w:t>
      </w:r>
      <w:r>
        <w:rPr>
          <w:rFonts w:hint="eastAsia"/>
        </w:rPr>
        <w:t>：水系图和地表水监测点位图；</w:t>
      </w:r>
    </w:p>
    <w:p w14:paraId="093A29C1">
      <w:pPr>
        <w:adjustRightInd w:val="0"/>
        <w:snapToGrid w:val="0"/>
        <w:ind w:firstLine="480"/>
      </w:pPr>
      <w:r>
        <w:t>附图6：</w:t>
      </w:r>
      <w:r>
        <w:rPr>
          <w:rFonts w:hint="eastAsia"/>
        </w:rPr>
        <w:t>项目与衡阳县岣嵝乡环洞村山溪水饮用水水源保护区位置关系图</w:t>
      </w:r>
      <w:r>
        <w:t>；</w:t>
      </w:r>
    </w:p>
    <w:p w14:paraId="17607502">
      <w:pPr>
        <w:adjustRightInd w:val="0"/>
        <w:snapToGrid w:val="0"/>
        <w:ind w:firstLine="480"/>
      </w:pPr>
      <w:r>
        <w:t>附图7：</w:t>
      </w:r>
      <w:r>
        <w:rPr>
          <w:rFonts w:hint="eastAsia"/>
        </w:rPr>
        <w:t>项目与湖南衡阳岣嵝峰国家森林公园位置关系图</w:t>
      </w:r>
      <w:r>
        <w:t>；</w:t>
      </w:r>
    </w:p>
    <w:p w14:paraId="6A75816D">
      <w:pPr>
        <w:adjustRightInd w:val="0"/>
        <w:snapToGrid w:val="0"/>
        <w:ind w:firstLine="480"/>
      </w:pPr>
      <w:r>
        <w:t>附图8：</w:t>
      </w:r>
      <w:r>
        <w:rPr>
          <w:rFonts w:hint="eastAsia"/>
        </w:rPr>
        <w:t>项目与衡阳岣嵝峰自然保护区的位置关系图；</w:t>
      </w:r>
    </w:p>
    <w:p w14:paraId="38F3192D">
      <w:pPr>
        <w:adjustRightInd w:val="0"/>
        <w:snapToGrid w:val="0"/>
        <w:ind w:firstLine="480"/>
      </w:pPr>
      <w:bookmarkStart w:id="6" w:name="_Hlk142919187"/>
      <w:r>
        <w:t>附图9：本项目与湖南省</w:t>
      </w:r>
      <w:r>
        <w:rPr>
          <w:rFonts w:hint="eastAsia"/>
        </w:rPr>
        <w:t>主要</w:t>
      </w:r>
      <w:r>
        <w:t>鸟类迁徙通道的位置关系</w:t>
      </w:r>
      <w:bookmarkEnd w:id="6"/>
      <w:r>
        <w:t>；</w:t>
      </w:r>
    </w:p>
    <w:p w14:paraId="6119A05F">
      <w:pPr>
        <w:adjustRightInd w:val="0"/>
        <w:snapToGrid w:val="0"/>
        <w:ind w:firstLine="480"/>
      </w:pPr>
      <w:r>
        <w:t>附图10：</w:t>
      </w:r>
      <w:r>
        <w:rPr>
          <w:rFonts w:hint="eastAsia"/>
        </w:rPr>
        <w:t>项目周边土地利用现状图</w:t>
      </w:r>
      <w:r>
        <w:t>；</w:t>
      </w:r>
    </w:p>
    <w:p w14:paraId="2F2A523A">
      <w:pPr>
        <w:adjustRightInd w:val="0"/>
        <w:snapToGrid w:val="0"/>
        <w:ind w:firstLine="480"/>
      </w:pPr>
      <w:r>
        <w:rPr>
          <w:rFonts w:hint="eastAsia"/>
        </w:rPr>
        <w:t>附件1</w:t>
      </w:r>
      <w:r>
        <w:t>1</w:t>
      </w:r>
      <w:r>
        <w:rPr>
          <w:rFonts w:hint="eastAsia"/>
        </w:rPr>
        <w:t>：项目周边生态系统分布图；</w:t>
      </w:r>
    </w:p>
    <w:p w14:paraId="05A13C43">
      <w:pPr>
        <w:adjustRightInd w:val="0"/>
        <w:snapToGrid w:val="0"/>
        <w:ind w:firstLine="480"/>
      </w:pPr>
      <w:r>
        <w:t>附图12：</w:t>
      </w:r>
      <w:r>
        <w:rPr>
          <w:rFonts w:hint="eastAsia"/>
        </w:rPr>
        <w:t>项目评价范围内植被覆盖度空间分布</w:t>
      </w:r>
      <w:r>
        <w:t>图</w:t>
      </w:r>
      <w:r>
        <w:rPr>
          <w:rFonts w:hint="eastAsia"/>
        </w:rPr>
        <w:t>；</w:t>
      </w:r>
    </w:p>
    <w:p w14:paraId="15918ADE">
      <w:pPr>
        <w:adjustRightInd w:val="0"/>
        <w:snapToGrid w:val="0"/>
        <w:ind w:firstLine="480"/>
      </w:pPr>
      <w:r>
        <w:rPr>
          <w:rFonts w:hint="eastAsia"/>
        </w:rPr>
        <w:t>附图</w:t>
      </w:r>
      <w:r>
        <w:t>13</w:t>
      </w:r>
      <w:r>
        <w:rPr>
          <w:rFonts w:hint="eastAsia"/>
        </w:rPr>
        <w:t>：项目周边植被类型分布图；</w:t>
      </w:r>
    </w:p>
    <w:p w14:paraId="0B8926CA">
      <w:pPr>
        <w:adjustRightInd w:val="0"/>
        <w:snapToGrid w:val="0"/>
        <w:ind w:firstLine="480"/>
      </w:pPr>
      <w:r>
        <w:t xml:space="preserve">附图14  </w:t>
      </w:r>
      <w:r>
        <w:rPr>
          <w:rFonts w:hint="eastAsia"/>
        </w:rPr>
        <w:t>项目评价区重点保护野生动物分布图；</w:t>
      </w:r>
    </w:p>
    <w:p w14:paraId="27A1D971">
      <w:pPr>
        <w:adjustRightInd w:val="0"/>
        <w:snapToGrid w:val="0"/>
        <w:ind w:firstLine="480"/>
      </w:pPr>
      <w:r>
        <w:rPr>
          <w:rFonts w:hint="eastAsia"/>
        </w:rPr>
        <w:t>附图1</w:t>
      </w:r>
      <w:r>
        <w:t xml:space="preserve">5  </w:t>
      </w:r>
      <w:r>
        <w:rPr>
          <w:rFonts w:hint="eastAsia"/>
        </w:rPr>
        <w:t>调查线路与样方点位分布；</w:t>
      </w:r>
    </w:p>
    <w:p w14:paraId="071F9786">
      <w:pPr>
        <w:adjustRightInd w:val="0"/>
        <w:snapToGrid w:val="0"/>
        <w:ind w:firstLine="480"/>
      </w:pPr>
      <w:r>
        <w:rPr>
          <w:rFonts w:hint="eastAsia"/>
        </w:rPr>
        <w:t>附图1</w:t>
      </w:r>
      <w:r>
        <w:t>6</w:t>
      </w:r>
      <w:r>
        <w:rPr>
          <w:rFonts w:hint="eastAsia"/>
        </w:rPr>
        <w:t>：各风机机位周边5</w:t>
      </w:r>
      <w:r>
        <w:t>00</w:t>
      </w:r>
      <w:r>
        <w:rPr>
          <w:rFonts w:hint="eastAsia"/>
        </w:rPr>
        <w:t>m范围包络线图。</w:t>
      </w:r>
    </w:p>
    <w:p w14:paraId="58570729">
      <w:pPr>
        <w:adjustRightInd w:val="0"/>
        <w:snapToGrid w:val="0"/>
        <w:ind w:firstLine="0" w:firstLineChars="0"/>
        <w:sectPr>
          <w:footerReference r:id="rId11" w:type="default"/>
          <w:pgSz w:w="11905" w:h="16838"/>
          <w:pgMar w:top="1440" w:right="1797" w:bottom="1440" w:left="1797" w:header="851" w:footer="992" w:gutter="0"/>
          <w:pgNumType w:start="1"/>
          <w:cols w:space="0" w:num="1"/>
          <w:docGrid w:type="lines" w:linePitch="333" w:charSpace="0"/>
        </w:sectPr>
      </w:pPr>
    </w:p>
    <w:p w14:paraId="68F3B02E">
      <w:pPr>
        <w:pStyle w:val="3"/>
        <w:tabs>
          <w:tab w:val="clear" w:pos="480"/>
        </w:tabs>
        <w:adjustRightInd w:val="0"/>
        <w:snapToGrid w:val="0"/>
        <w:spacing w:before="0" w:after="0"/>
        <w:jc w:val="center"/>
        <w:rPr>
          <w:rFonts w:ascii="Times New Roman" w:eastAsia="宋体"/>
          <w:bCs w:val="0"/>
          <w:sz w:val="32"/>
          <w:szCs w:val="32"/>
          <w:lang w:val="en-US"/>
        </w:rPr>
      </w:pPr>
      <w:bookmarkStart w:id="7" w:name="_Toc116977965"/>
      <w:bookmarkStart w:id="8" w:name="_Toc143799349"/>
      <w:bookmarkStart w:id="9" w:name="_Toc29336"/>
      <w:r>
        <w:rPr>
          <w:rFonts w:hint="eastAsia" w:ascii="Times New Roman" w:eastAsia="宋体"/>
          <w:bCs w:val="0"/>
          <w:sz w:val="32"/>
          <w:szCs w:val="32"/>
          <w:lang w:val="en-US"/>
        </w:rPr>
        <w:t>1</w:t>
      </w:r>
      <w:r>
        <w:rPr>
          <w:rFonts w:ascii="Times New Roman" w:eastAsia="宋体"/>
          <w:bCs w:val="0"/>
          <w:sz w:val="32"/>
          <w:szCs w:val="32"/>
          <w:lang w:val="en-US"/>
        </w:rPr>
        <w:t>概 述</w:t>
      </w:r>
      <w:bookmarkEnd w:id="7"/>
      <w:bookmarkEnd w:id="8"/>
      <w:bookmarkEnd w:id="9"/>
    </w:p>
    <w:p w14:paraId="67BACFD1">
      <w:pPr>
        <w:pStyle w:val="4"/>
        <w:numPr>
          <w:ilvl w:val="1"/>
          <w:numId w:val="1"/>
        </w:numPr>
        <w:tabs>
          <w:tab w:val="clear" w:pos="480"/>
          <w:tab w:val="clear" w:pos="630"/>
        </w:tabs>
        <w:adjustRightInd w:val="0"/>
        <w:snapToGrid w:val="0"/>
        <w:spacing w:before="0" w:after="0"/>
        <w:rPr>
          <w:sz w:val="30"/>
          <w:szCs w:val="30"/>
          <w:lang w:val="en-US"/>
        </w:rPr>
      </w:pPr>
      <w:bookmarkStart w:id="10" w:name="_Toc143799350"/>
      <w:bookmarkStart w:id="11" w:name="_Toc116977966"/>
      <w:r>
        <w:rPr>
          <w:rFonts w:hint="eastAsia"/>
          <w:sz w:val="30"/>
          <w:szCs w:val="30"/>
          <w:lang w:val="en-US"/>
        </w:rPr>
        <w:t>项目由来</w:t>
      </w:r>
      <w:bookmarkEnd w:id="10"/>
      <w:bookmarkEnd w:id="11"/>
    </w:p>
    <w:p w14:paraId="04C36F7A">
      <w:pPr>
        <w:adjustRightInd w:val="0"/>
        <w:snapToGrid w:val="0"/>
        <w:ind w:firstLine="480"/>
      </w:pPr>
      <w:r>
        <w:t>随着石油和煤炭等不可再生资源的大量开发，其保有储量越来越少，最终会枯竭。我国政府已制定了“开发与节约并存，重视环境保护，合理配置资源，开发新能源，实现可持续发展的能源战略”的方针，要求常规能源和再生能源必须保持一定的比例。“十三五”期间我国在能源领域的工作重点和主要任务是在保护生态的前提下积极发展水电，在确保安全的基础上高效发展核电、大力发展新能源，加快能源工业结构调整步伐，努力提高清洁能源生产能力。</w:t>
      </w:r>
    </w:p>
    <w:p w14:paraId="58985A09">
      <w:pPr>
        <w:adjustRightInd w:val="0"/>
        <w:snapToGrid w:val="0"/>
        <w:ind w:firstLine="480"/>
      </w:pPr>
      <w:r>
        <w:t>风电是技术最成熟、发展最快的新能源之一。为鼓励发展可再生能源和风电产业，我国先后出台了</w:t>
      </w:r>
      <w:r>
        <w:rPr>
          <w:rFonts w:hint="eastAsia"/>
          <w:lang w:eastAsia="zh-CN"/>
        </w:rPr>
        <w:t>《中华人民共和国可再生能源法》</w:t>
      </w:r>
      <w:r>
        <w:t>、《可再生能源中长期发展规划》和《促进风电产业发展实施意见》等一系列法律政策。风电是可再生和清洁的能源，属国家产业政策支持的项目，开发风能符合国家环保、节能和可持续发展政策。</w:t>
      </w:r>
    </w:p>
    <w:p w14:paraId="67C2E661">
      <w:pPr>
        <w:adjustRightInd w:val="0"/>
        <w:snapToGrid w:val="0"/>
        <w:ind w:firstLine="480"/>
      </w:pPr>
      <w:r>
        <w:t>我国风能资源较为丰富，大规模发展风电对于应对国际金融危机，缓解能源、环境的压力，促进国民经济社会可持续发展有重要意义，也是我国作为一个负责任的发展中国家应对气候变化，实现对世界关于提高非化石能源消费比例和减少CO</w:t>
      </w:r>
      <w:r>
        <w:rPr>
          <w:vertAlign w:val="subscript"/>
        </w:rPr>
        <w:t>2</w:t>
      </w:r>
      <w:r>
        <w:t xml:space="preserve"> 排放量庄严承诺的有效措施。</w:t>
      </w:r>
    </w:p>
    <w:p w14:paraId="3B0D12A5">
      <w:pPr>
        <w:adjustRightInd w:val="0"/>
        <w:snapToGrid w:val="0"/>
        <w:ind w:firstLine="480"/>
      </w:pPr>
      <w:r>
        <w:rPr>
          <w:rFonts w:hint="eastAsia"/>
        </w:rPr>
        <w:t>为了加快构建以新能源为主体的新型电力系统，全力推进风电、光伏发电高质量可持续发展，助力实现碳达峰碳中和目标，湖南省发展和改革委员会于2</w:t>
      </w:r>
      <w:r>
        <w:t>022</w:t>
      </w:r>
      <w:r>
        <w:rPr>
          <w:rFonts w:hint="eastAsia"/>
        </w:rPr>
        <w:t>年4月1</w:t>
      </w:r>
      <w:r>
        <w:t>4</w:t>
      </w:r>
      <w:r>
        <w:rPr>
          <w:rFonts w:hint="eastAsia"/>
        </w:rPr>
        <w:t>日发布了《关于全省“十四五”风电、光伏发电项目开发建设有关事项的通知》（湘发改能源</w:t>
      </w:r>
      <w:r>
        <w:t>[2022]283</w:t>
      </w:r>
      <w:r>
        <w:rPr>
          <w:rFonts w:hint="eastAsia"/>
        </w:rPr>
        <w:t>号），其明确指出“为了深入落实习近平总书记对湖南工作系列重要讲话和能源安全新战略的重要论述指示精深，以绿色低碳为基调，以服务能源安区为根本，以构建现代能源体系为导向，按照“生态优先、科学规划、统筹兼顾、市场主导”的原则、大力推进风电、光伏发电等新能源发展。力争做到在“十四五”期间具备开发建设条件的风电、集中式光伏发电项目“应开尽开”，到2</w:t>
      </w:r>
      <w:r>
        <w:t>025</w:t>
      </w:r>
      <w:r>
        <w:rPr>
          <w:rFonts w:hint="eastAsia"/>
        </w:rPr>
        <w:t>年全省风电、光伏发电装机规模达到2</w:t>
      </w:r>
      <w:r>
        <w:t>500</w:t>
      </w:r>
      <w:r>
        <w:rPr>
          <w:rFonts w:hint="eastAsia"/>
        </w:rPr>
        <w:t>万千瓦以上”的总体要求。</w:t>
      </w:r>
    </w:p>
    <w:p w14:paraId="7F9123FF">
      <w:pPr>
        <w:adjustRightInd w:val="0"/>
        <w:snapToGrid w:val="0"/>
        <w:ind w:firstLine="480"/>
      </w:pPr>
      <w:r>
        <w:rPr>
          <w:rFonts w:hint="eastAsia"/>
        </w:rPr>
        <w:t xml:space="preserve">为了顺应当前能源市场的需求， </w:t>
      </w:r>
      <w:r>
        <w:t>湖南湘投国际投资有限公司</w:t>
      </w:r>
      <w:r>
        <w:rPr>
          <w:rFonts w:hint="eastAsia"/>
        </w:rPr>
        <w:t>对衡阳市衡阳县</w:t>
      </w:r>
      <w:r>
        <w:rPr>
          <w:rFonts w:hint="eastAsia"/>
          <w:lang w:eastAsia="zh-CN"/>
        </w:rPr>
        <w:t>的</w:t>
      </w:r>
      <w:r>
        <w:rPr>
          <w:rFonts w:hint="eastAsia"/>
        </w:rPr>
        <w:t>风能资源开发情况进行了调研，决定拟在衡阳县进行风能资源的开发，建设衡阳县杉桥风电场工程。同时，</w:t>
      </w:r>
      <w:r>
        <w:t>湖南湘投国际投资有限公司</w:t>
      </w:r>
      <w:r>
        <w:rPr>
          <w:rFonts w:hint="eastAsia"/>
        </w:rPr>
        <w:t>按照《关于全省“十四五”风电、光伏发电项目开发建设有关事项的通知》（湘发改能源</w:t>
      </w:r>
      <w:r>
        <w:t>[2022]283</w:t>
      </w:r>
      <w:r>
        <w:rPr>
          <w:rFonts w:hint="eastAsia"/>
        </w:rPr>
        <w:t>号）的要求进行了用地、用林、涉水及对生态环境影响的情况进行了前期查询，并将查询结果汇报至衡阳县发展和改革委员会，由衡阳县发展和改革委员会呈交湖南省发展和改革委员会。</w:t>
      </w:r>
    </w:p>
    <w:p w14:paraId="7E1EE897">
      <w:pPr>
        <w:adjustRightInd w:val="0"/>
        <w:snapToGrid w:val="0"/>
        <w:ind w:firstLine="480"/>
      </w:pPr>
      <w:r>
        <w:rPr>
          <w:rFonts w:hint="eastAsia"/>
        </w:rPr>
        <w:t>根据湖南省发展和改革委员会《关于同意全省“十四五”第一批风电、集中式光伏发电项目开发建设的复函》（湘发改函[</w:t>
      </w:r>
      <w:r>
        <w:t>2022]52</w:t>
      </w:r>
      <w:r>
        <w:rPr>
          <w:rFonts w:hint="eastAsia"/>
        </w:rPr>
        <w:t>号），本项目属于“湘发改函[</w:t>
      </w:r>
      <w:r>
        <w:t>2022]52</w:t>
      </w:r>
      <w:r>
        <w:rPr>
          <w:rFonts w:hint="eastAsia"/>
        </w:rPr>
        <w:t>号”中的项目</w:t>
      </w:r>
      <w:r>
        <w:t>（项目代码HY-FD-010）</w:t>
      </w:r>
      <w:r>
        <w:rPr>
          <w:rFonts w:hint="eastAsia"/>
        </w:rPr>
        <w:t>。根据该复函，</w:t>
      </w:r>
      <w:bookmarkStart w:id="12" w:name="_Hlk111298255"/>
      <w:r>
        <w:rPr>
          <w:rFonts w:hint="eastAsia"/>
        </w:rPr>
        <w:t>衡阳县杉桥风电场</w:t>
      </w:r>
      <w:bookmarkEnd w:id="12"/>
      <w:r>
        <w:rPr>
          <w:rFonts w:hint="eastAsia"/>
        </w:rPr>
        <w:t>工程装机规模为</w:t>
      </w:r>
      <w:r>
        <w:t>5.0</w:t>
      </w:r>
      <w:r>
        <w:rPr>
          <w:rFonts w:hint="eastAsia"/>
        </w:rPr>
        <w:t>万千瓦。</w:t>
      </w:r>
      <w:r>
        <w:t>2022年12月，湖南湘投国际投资有限公司委托湖中国能源建设集团湖南省电力设计院有限公司编制了《衡阳县杉桥风电场</w:t>
      </w:r>
      <w:r>
        <w:rPr>
          <w:rFonts w:hint="eastAsia"/>
        </w:rPr>
        <w:t>工程</w:t>
      </w:r>
      <w:r>
        <w:t>可行性研究报告》</w:t>
      </w:r>
      <w:r>
        <w:rPr>
          <w:rFonts w:hint="eastAsia"/>
        </w:rPr>
        <w:t>，此外，项目已获得了湖南省发展和改革委员会的核准（核准文号：湘发改许[</w:t>
      </w:r>
      <w:r>
        <w:t>2023]116</w:t>
      </w:r>
      <w:r>
        <w:rPr>
          <w:rFonts w:hint="eastAsia"/>
        </w:rPr>
        <w:t>号，见附件2）。</w:t>
      </w:r>
    </w:p>
    <w:p w14:paraId="02CDEBE9">
      <w:pPr>
        <w:adjustRightInd w:val="0"/>
        <w:snapToGrid w:val="0"/>
        <w:ind w:firstLine="480"/>
      </w:pPr>
      <w:r>
        <w:t>衡阳县杉桥风电场</w:t>
      </w:r>
      <w:r>
        <w:rPr>
          <w:rFonts w:hint="eastAsia"/>
        </w:rPr>
        <w:t>工程</w:t>
      </w:r>
      <w:r>
        <w:t>前期手续均以湖南湘投国际投资有限公司为建设主体办理。随后湖南湘投国际投资有限公司在衡阳县成立了全资子公司——湘投能源（衡阳）有限公司，以此作为衡阳县杉桥风电场</w:t>
      </w:r>
      <w:r>
        <w:rPr>
          <w:rFonts w:hint="eastAsia"/>
        </w:rPr>
        <w:t>工程</w:t>
      </w:r>
      <w:r>
        <w:t>的投资运营主体，承担项目后续相关工作。</w:t>
      </w:r>
    </w:p>
    <w:p w14:paraId="30DFF148">
      <w:pPr>
        <w:pStyle w:val="4"/>
        <w:numPr>
          <w:ilvl w:val="1"/>
          <w:numId w:val="1"/>
        </w:numPr>
        <w:tabs>
          <w:tab w:val="clear" w:pos="480"/>
          <w:tab w:val="clear" w:pos="630"/>
        </w:tabs>
        <w:adjustRightInd w:val="0"/>
        <w:snapToGrid w:val="0"/>
        <w:spacing w:before="0" w:after="0"/>
        <w:rPr>
          <w:sz w:val="30"/>
          <w:szCs w:val="30"/>
          <w:lang w:val="en-US"/>
        </w:rPr>
      </w:pPr>
      <w:bookmarkStart w:id="13" w:name="_Toc116977967"/>
      <w:bookmarkStart w:id="14" w:name="_Toc143799351"/>
      <w:r>
        <w:rPr>
          <w:rFonts w:hint="eastAsia"/>
          <w:sz w:val="30"/>
          <w:szCs w:val="30"/>
          <w:lang w:val="en-US"/>
        </w:rPr>
        <w:t>建设项目特点</w:t>
      </w:r>
      <w:bookmarkEnd w:id="13"/>
      <w:bookmarkEnd w:id="14"/>
    </w:p>
    <w:p w14:paraId="1A38345F">
      <w:pPr>
        <w:adjustRightInd w:val="0"/>
        <w:snapToGrid w:val="0"/>
        <w:ind w:firstLine="480"/>
      </w:pPr>
      <w:r>
        <w:rPr>
          <w:rFonts w:hint="eastAsia"/>
        </w:rPr>
        <w:t>本工程共拟安装</w:t>
      </w:r>
      <w:r>
        <w:t>10</w:t>
      </w:r>
      <w:r>
        <w:rPr>
          <w:rFonts w:hint="eastAsia"/>
        </w:rPr>
        <w:t>台单机容量为5</w:t>
      </w:r>
      <w:r>
        <w:t>.0MW</w:t>
      </w:r>
      <w:r>
        <w:rPr>
          <w:rFonts w:hint="eastAsia"/>
        </w:rPr>
        <w:t>的风力发电机组，总装机规模为</w:t>
      </w:r>
      <w:r>
        <w:t>50MW</w:t>
      </w:r>
      <w:r>
        <w:rPr>
          <w:rFonts w:hint="eastAsia"/>
        </w:rPr>
        <w:t>。配套建设</w:t>
      </w:r>
      <w:r>
        <w:t>1</w:t>
      </w:r>
      <w:r>
        <w:rPr>
          <w:rFonts w:hint="eastAsia"/>
        </w:rPr>
        <w:t>座</w:t>
      </w:r>
      <w:r>
        <w:t>110kV</w:t>
      </w:r>
      <w:r>
        <w:rPr>
          <w:rFonts w:hint="eastAsia"/>
        </w:rPr>
        <w:t>升压站，升压站内设</w:t>
      </w:r>
      <w:r>
        <w:t>1</w:t>
      </w:r>
      <w:r>
        <w:rPr>
          <w:rFonts w:hint="eastAsia"/>
        </w:rPr>
        <w:t>台</w:t>
      </w:r>
      <w:r>
        <w:t>50MVA</w:t>
      </w:r>
      <w:r>
        <w:rPr>
          <w:rFonts w:hint="eastAsia"/>
        </w:rPr>
        <w:t>主变压器。本项目总占地</w:t>
      </w:r>
      <w:r>
        <w:t>43.163hm</w:t>
      </w:r>
      <w:r>
        <w:rPr>
          <w:vertAlign w:val="superscript"/>
        </w:rPr>
        <w:t>2</w:t>
      </w:r>
      <w:r>
        <w:rPr>
          <w:rFonts w:hint="eastAsia"/>
        </w:rPr>
        <w:t>，其中永久占地</w:t>
      </w:r>
      <w:r>
        <w:t>1.163hm</w:t>
      </w:r>
      <w:r>
        <w:rPr>
          <w:vertAlign w:val="superscript"/>
        </w:rPr>
        <w:t>2</w:t>
      </w:r>
      <w:r>
        <w:rPr>
          <w:rFonts w:hint="eastAsia"/>
        </w:rPr>
        <w:t>，临时占地</w:t>
      </w:r>
      <w:r>
        <w:t>42.0hm</w:t>
      </w:r>
      <w:r>
        <w:rPr>
          <w:vertAlign w:val="superscript"/>
        </w:rPr>
        <w:t>2</w:t>
      </w:r>
      <w:r>
        <w:rPr>
          <w:rFonts w:hint="eastAsia"/>
        </w:rPr>
        <w:t>。本项目等效满负荷为</w:t>
      </w:r>
      <w:r>
        <w:t>1816h</w:t>
      </w:r>
      <w:r>
        <w:rPr>
          <w:rFonts w:hint="eastAsia"/>
        </w:rPr>
        <w:t>，项目建成后，平均上网发电量约</w:t>
      </w:r>
      <w:r>
        <w:t>9080</w:t>
      </w:r>
      <w:r>
        <w:rPr>
          <w:rFonts w:hint="eastAsia"/>
        </w:rPr>
        <w:t>万</w:t>
      </w:r>
      <w:r>
        <w:t>kW.h/a</w:t>
      </w:r>
      <w:r>
        <w:rPr>
          <w:rFonts w:hint="eastAsia"/>
        </w:rPr>
        <w:t>。</w:t>
      </w:r>
    </w:p>
    <w:p w14:paraId="793DE97D">
      <w:pPr>
        <w:adjustRightInd w:val="0"/>
        <w:snapToGrid w:val="0"/>
        <w:ind w:firstLine="480"/>
      </w:pPr>
      <w:r>
        <w:rPr>
          <w:rFonts w:hint="eastAsia"/>
        </w:rPr>
        <w:t>本项目的建设不仅可以提供大量绿色清洁电能，还会促进地区相关产业发展，改善本省电网的能源结构，保护环境，为当地带来综合的经济社会效益。</w:t>
      </w:r>
    </w:p>
    <w:p w14:paraId="57335D77">
      <w:pPr>
        <w:pStyle w:val="4"/>
        <w:numPr>
          <w:ilvl w:val="1"/>
          <w:numId w:val="1"/>
        </w:numPr>
        <w:tabs>
          <w:tab w:val="clear" w:pos="480"/>
          <w:tab w:val="clear" w:pos="630"/>
        </w:tabs>
        <w:adjustRightInd w:val="0"/>
        <w:snapToGrid w:val="0"/>
        <w:spacing w:before="0" w:after="0"/>
        <w:rPr>
          <w:sz w:val="30"/>
          <w:szCs w:val="30"/>
          <w:lang w:val="en-US"/>
        </w:rPr>
      </w:pPr>
      <w:bookmarkStart w:id="15" w:name="_Toc143799352"/>
      <w:bookmarkStart w:id="16" w:name="_Toc116977968"/>
      <w:r>
        <w:rPr>
          <w:rFonts w:hint="eastAsia"/>
          <w:sz w:val="30"/>
          <w:szCs w:val="30"/>
          <w:lang w:val="en-US"/>
        </w:rPr>
        <w:t>环境影响评价过程</w:t>
      </w:r>
      <w:bookmarkEnd w:id="15"/>
      <w:bookmarkEnd w:id="16"/>
    </w:p>
    <w:p w14:paraId="68957E36">
      <w:pPr>
        <w:adjustRightInd w:val="0"/>
        <w:snapToGrid w:val="0"/>
        <w:ind w:firstLine="480"/>
      </w:pPr>
      <w:r>
        <w:rPr>
          <w:rFonts w:hint="eastAsia"/>
        </w:rPr>
        <w:t>根据《中华人民共和国环境保护法》、《中华人民共和国环境影响评价法》和《建设项目环境影响评价分类管理名录》的有关规定，本项目需要进行环境影响评价。根据</w:t>
      </w:r>
      <w:r>
        <w:t>《建设项目环境影响评价分类管理名录》（</w:t>
      </w:r>
      <w:r>
        <w:rPr>
          <w:rFonts w:hint="eastAsia"/>
        </w:rPr>
        <w:t>2021年版</w:t>
      </w:r>
      <w:r>
        <w:t>）</w:t>
      </w:r>
      <w:r>
        <w:rPr>
          <w:rFonts w:hint="eastAsia"/>
        </w:rPr>
        <w:t>，本项目属于“四十一、电力、热力生产和供应业——9</w:t>
      </w:r>
      <w:r>
        <w:t>0</w:t>
      </w:r>
      <w:r>
        <w:rPr>
          <w:rFonts w:hint="eastAsia"/>
        </w:rPr>
        <w:t>陆上风力发电4</w:t>
      </w:r>
      <w:r>
        <w:t>415</w:t>
      </w:r>
      <w:r>
        <w:rPr>
          <w:rFonts w:hint="eastAsia"/>
        </w:rPr>
        <w:t>”。根据该名录规定“涉及环境敏感区的总装机容量5万千瓦及以上的陆上风力发电项目”需编制环境影响报告书，其余陆上风力发电项目需编制环境影响报告表。</w:t>
      </w:r>
    </w:p>
    <w:p w14:paraId="4A17D19B">
      <w:pPr>
        <w:adjustRightInd w:val="0"/>
        <w:snapToGrid w:val="0"/>
        <w:ind w:firstLine="480"/>
      </w:pPr>
      <w:r>
        <w:rPr>
          <w:rFonts w:hint="eastAsia"/>
        </w:rPr>
        <w:t>本项目总装机容量为</w:t>
      </w:r>
      <w:r>
        <w:t>5.0</w:t>
      </w:r>
      <w:r>
        <w:rPr>
          <w:rFonts w:hint="eastAsia"/>
        </w:rPr>
        <w:t>万千瓦，且项目邻近湖南衡阳岣嵝峰国家森林公园（属于《建设项目环境影响评价分类管理名录》（2</w:t>
      </w:r>
      <w:r>
        <w:t>021</w:t>
      </w:r>
      <w:r>
        <w:rPr>
          <w:rFonts w:hint="eastAsia"/>
        </w:rPr>
        <w:t>版））中的“环境敏感区”），因此，本项目需编制环境影响报告书。</w:t>
      </w:r>
    </w:p>
    <w:p w14:paraId="0ED1080B">
      <w:pPr>
        <w:adjustRightInd w:val="0"/>
        <w:snapToGrid w:val="0"/>
        <w:ind w:firstLine="480"/>
      </w:pPr>
      <w:r>
        <w:t>为此，湘投能源（衡阳）有限公司于20</w:t>
      </w:r>
      <w:r>
        <w:rPr>
          <w:rFonts w:hint="eastAsia"/>
        </w:rPr>
        <w:t>2</w:t>
      </w:r>
      <w:r>
        <w:t>3年3月委托湖南天瑶环境技术有限公司（以下简称“我公司”）承担本项目的环境影响评价工作。我公司接受委托后，随即组织人员到项目建设场地及其周边进行了实地勘察与调研，收集了有关的工程资料，依照环境影响评价技术导则，结合该项目的建设特点，编制完成了《</w:t>
      </w:r>
      <w:r>
        <w:rPr>
          <w:rFonts w:hint="eastAsia"/>
        </w:rPr>
        <w:t>衡阳县杉桥风电场工程环境影响报告书</w:t>
      </w:r>
      <w:r>
        <w:t>》。按照环境影响评价技术导则和技术规范要求，该项目遵循如下工作程序，见图1。</w:t>
      </w:r>
    </w:p>
    <w:p w14:paraId="042E5495">
      <w:pPr>
        <w:adjustRightInd w:val="0"/>
        <w:snapToGrid w:val="0"/>
        <w:ind w:firstLine="480"/>
      </w:pPr>
      <w:r>
        <w:rPr>
          <w:rFonts w:hint="eastAsia"/>
        </w:rPr>
        <w:t>本次评价仅针对衡阳县杉桥风电场项目建设内容的环境影响进行评价，不包括升压站1</w:t>
      </w:r>
      <w:r>
        <w:t>10kV</w:t>
      </w:r>
      <w:r>
        <w:rPr>
          <w:rFonts w:hint="eastAsia"/>
        </w:rPr>
        <w:t>输变线路送出工程。</w:t>
      </w:r>
    </w:p>
    <w:p w14:paraId="006F8FA8">
      <w:pPr>
        <w:adjustRightInd w:val="0"/>
        <w:snapToGrid w:val="0"/>
        <w:ind w:firstLine="0" w:firstLineChars="0"/>
      </w:pPr>
      <w:r>
        <w:drawing>
          <wp:inline distT="0" distB="0" distL="0" distR="0">
            <wp:extent cx="5277485" cy="652145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7485" cy="6521450"/>
                    </a:xfrm>
                    <a:prstGeom prst="rect">
                      <a:avLst/>
                    </a:prstGeom>
                    <a:noFill/>
                    <a:ln>
                      <a:noFill/>
                    </a:ln>
                  </pic:spPr>
                </pic:pic>
              </a:graphicData>
            </a:graphic>
          </wp:inline>
        </w:drawing>
      </w:r>
    </w:p>
    <w:p w14:paraId="52E6C3FF">
      <w:pPr>
        <w:pStyle w:val="74"/>
        <w:ind w:left="0" w:firstLine="482"/>
        <w:jc w:val="center"/>
        <w:rPr>
          <w:rFonts w:hAnsi="宋体"/>
          <w:b/>
          <w:sz w:val="24"/>
        </w:rPr>
      </w:pPr>
      <w:r>
        <w:rPr>
          <w:rFonts w:hAnsi="宋体"/>
          <w:b/>
          <w:sz w:val="24"/>
        </w:rPr>
        <w:t>图</w:t>
      </w:r>
      <w:r>
        <w:rPr>
          <w:b/>
          <w:sz w:val="24"/>
        </w:rPr>
        <w:t>1.3-1</w:t>
      </w:r>
      <w:r>
        <w:rPr>
          <w:rFonts w:hAnsi="宋体"/>
          <w:b/>
          <w:sz w:val="24"/>
        </w:rPr>
        <w:t>环境影响评价工作程序</w:t>
      </w:r>
    </w:p>
    <w:p w14:paraId="79F9EEAB">
      <w:pPr>
        <w:pStyle w:val="4"/>
        <w:numPr>
          <w:ilvl w:val="1"/>
          <w:numId w:val="1"/>
        </w:numPr>
        <w:tabs>
          <w:tab w:val="clear" w:pos="480"/>
          <w:tab w:val="clear" w:pos="630"/>
        </w:tabs>
        <w:adjustRightInd w:val="0"/>
        <w:snapToGrid w:val="0"/>
        <w:spacing w:before="0" w:after="0"/>
        <w:rPr>
          <w:sz w:val="30"/>
          <w:szCs w:val="30"/>
          <w:lang w:val="en-US"/>
        </w:rPr>
      </w:pPr>
      <w:bookmarkStart w:id="17" w:name="_Toc143799353"/>
      <w:bookmarkStart w:id="18" w:name="_Toc116977969"/>
      <w:r>
        <w:rPr>
          <w:rFonts w:hint="eastAsia"/>
          <w:sz w:val="30"/>
          <w:szCs w:val="30"/>
          <w:lang w:val="en-US"/>
        </w:rPr>
        <w:t>分析判定相关情况</w:t>
      </w:r>
      <w:bookmarkEnd w:id="17"/>
      <w:bookmarkEnd w:id="18"/>
    </w:p>
    <w:p w14:paraId="0446040B">
      <w:pPr>
        <w:adjustRightInd w:val="0"/>
        <w:snapToGrid w:val="0"/>
        <w:ind w:firstLine="480"/>
      </w:pPr>
      <w:r>
        <w:rPr>
          <w:rFonts w:hint="eastAsia"/>
        </w:rPr>
        <w:t>本项目符合《产业结构调整指导目录（2</w:t>
      </w:r>
      <w:r>
        <w:t>019</w:t>
      </w:r>
      <w:r>
        <w:rPr>
          <w:rFonts w:hint="eastAsia"/>
        </w:rPr>
        <w:t>年本）》（2</w:t>
      </w:r>
      <w:r>
        <w:t>021</w:t>
      </w:r>
      <w:r>
        <w:rPr>
          <w:rFonts w:hint="eastAsia"/>
        </w:rPr>
        <w:t>年修订）等国家产业政策，符合《湖南省生态保护红线划定方案》、《湖南主体功能区规划》等地方相关规划，项目已纳入湖南省发展和改革委员会《关于同意全省“十四五”第一批风电、集中式光伏发电项目开发建设的复函》（湘发改函[</w:t>
      </w:r>
      <w:r>
        <w:t>2022]52</w:t>
      </w:r>
      <w:r>
        <w:rPr>
          <w:rFonts w:hint="eastAsia"/>
        </w:rPr>
        <w:t>号）；本项目建设区占地范围内不涉及自然保护区、世界文化和自然遗产地、风景名胜区、地质公园、森林公园、重要湿地等生态敏感区，项目符合“三线一单”的要求；项目</w:t>
      </w:r>
      <w:r>
        <w:t>与《可再生能源发展中长期发展规划》、《可再生能源发展“十</w:t>
      </w:r>
      <w:r>
        <w:rPr>
          <w:rFonts w:hint="eastAsia"/>
        </w:rPr>
        <w:t>四</w:t>
      </w:r>
      <w:r>
        <w:t>五”规划》等国家</w:t>
      </w:r>
      <w:r>
        <w:rPr>
          <w:rFonts w:hint="eastAsia"/>
        </w:rPr>
        <w:t>及地方</w:t>
      </w:r>
      <w:r>
        <w:t>有关风电发展规划相符合</w:t>
      </w:r>
      <w:r>
        <w:rPr>
          <w:rFonts w:hint="eastAsia"/>
        </w:rPr>
        <w:t>；与</w:t>
      </w:r>
      <w:r>
        <w:t>《关于规范风电场项目建设使用林地的通知》</w:t>
      </w:r>
      <w:r>
        <w:rPr>
          <w:rFonts w:hint="eastAsia"/>
        </w:rPr>
        <w:t>、</w:t>
      </w:r>
      <w:r>
        <w:t>《关于进一步规范风电发展的通知》</w:t>
      </w:r>
      <w:r>
        <w:rPr>
          <w:rFonts w:hint="eastAsia"/>
        </w:rPr>
        <w:t>等要求相符；与《湖南省饮用水水源保护条例》的相关要求相符。</w:t>
      </w:r>
    </w:p>
    <w:p w14:paraId="0D15DF75">
      <w:pPr>
        <w:pStyle w:val="4"/>
        <w:numPr>
          <w:ilvl w:val="1"/>
          <w:numId w:val="1"/>
        </w:numPr>
        <w:tabs>
          <w:tab w:val="clear" w:pos="480"/>
          <w:tab w:val="clear" w:pos="630"/>
        </w:tabs>
        <w:adjustRightInd w:val="0"/>
        <w:snapToGrid w:val="0"/>
        <w:spacing w:before="0" w:after="0"/>
        <w:rPr>
          <w:sz w:val="30"/>
          <w:szCs w:val="30"/>
          <w:lang w:val="en-US"/>
        </w:rPr>
      </w:pPr>
      <w:bookmarkStart w:id="19" w:name="_Toc116977970"/>
      <w:bookmarkStart w:id="20" w:name="_Toc143799354"/>
      <w:r>
        <w:rPr>
          <w:rFonts w:hint="eastAsia"/>
          <w:sz w:val="30"/>
          <w:szCs w:val="30"/>
          <w:lang w:val="en-US"/>
        </w:rPr>
        <w:t>项目关注的主要环境问题及环境影响</w:t>
      </w:r>
      <w:bookmarkEnd w:id="19"/>
      <w:bookmarkEnd w:id="20"/>
    </w:p>
    <w:p w14:paraId="1B2A4D98">
      <w:pPr>
        <w:adjustRightInd w:val="0"/>
        <w:snapToGrid w:val="0"/>
        <w:ind w:firstLine="480"/>
      </w:pPr>
      <w:r>
        <w:t>根据《环境影响评价技术导则》的要求，结合项目特点和区域环境功能现状等的要求，本次评价关注的主要环境问题为：</w:t>
      </w:r>
    </w:p>
    <w:p w14:paraId="40EF7BA3">
      <w:pPr>
        <w:adjustRightInd w:val="0"/>
        <w:snapToGrid w:val="0"/>
        <w:ind w:firstLine="480"/>
      </w:pPr>
      <w:r>
        <w:rPr>
          <w:rFonts w:hint="eastAsia"/>
        </w:rPr>
        <w:t>（1）项目对湖南衡阳岣嵝峰国家森林公园的影响。</w:t>
      </w:r>
    </w:p>
    <w:p w14:paraId="3E66F7A1">
      <w:pPr>
        <w:adjustRightInd w:val="0"/>
        <w:snapToGrid w:val="0"/>
        <w:ind w:firstLine="480"/>
      </w:pPr>
      <w:r>
        <w:rPr>
          <w:rFonts w:hint="eastAsia"/>
        </w:rPr>
        <w:t>（2）工程施工期大气环境影响、水环境影响、声环境影响、固体废弃物影响、生态环境影响及污染防治措施技术经济可行性。</w:t>
      </w:r>
    </w:p>
    <w:p w14:paraId="0F36A60C">
      <w:pPr>
        <w:adjustRightInd w:val="0"/>
        <w:snapToGrid w:val="0"/>
        <w:ind w:firstLine="480"/>
      </w:pPr>
      <w:r>
        <w:rPr>
          <w:rFonts w:hint="eastAsia"/>
        </w:rPr>
        <w:t>（3）运营期声环境影响及污染防治措施等。</w:t>
      </w:r>
    </w:p>
    <w:p w14:paraId="3E8CC392">
      <w:pPr>
        <w:pStyle w:val="4"/>
        <w:numPr>
          <w:ilvl w:val="1"/>
          <w:numId w:val="1"/>
        </w:numPr>
        <w:tabs>
          <w:tab w:val="clear" w:pos="480"/>
          <w:tab w:val="clear" w:pos="630"/>
        </w:tabs>
        <w:adjustRightInd w:val="0"/>
        <w:snapToGrid w:val="0"/>
        <w:spacing w:before="0" w:after="0"/>
        <w:rPr>
          <w:sz w:val="30"/>
          <w:szCs w:val="30"/>
          <w:lang w:val="en-US"/>
        </w:rPr>
      </w:pPr>
      <w:bookmarkStart w:id="21" w:name="_Toc116977971"/>
      <w:bookmarkStart w:id="22" w:name="_Toc143799355"/>
      <w:r>
        <w:rPr>
          <w:rFonts w:hint="eastAsia"/>
          <w:sz w:val="30"/>
          <w:szCs w:val="30"/>
          <w:lang w:val="en-US"/>
        </w:rPr>
        <w:t>环境影响评价主要结论</w:t>
      </w:r>
      <w:bookmarkEnd w:id="21"/>
      <w:bookmarkEnd w:id="22"/>
    </w:p>
    <w:p w14:paraId="39378E22">
      <w:pPr>
        <w:adjustRightInd w:val="0"/>
        <w:snapToGrid w:val="0"/>
        <w:ind w:firstLine="480"/>
      </w:pPr>
      <w:r>
        <w:t>本项目的建设符合国家产业政策，</w:t>
      </w:r>
      <w:r>
        <w:rPr>
          <w:rFonts w:hint="eastAsia"/>
        </w:rPr>
        <w:t>符合风电行业发展规范要求，符合衡阳市“三线一单”管控要求。工程的实施具有良好的经济效益和社会效益；建设单位通过严格执行国家有关环境保护法规，严格执行“三同时”制度，认真落实评价中提出的生态环境保护和恢复措施、污染防治措施、环境风险防范措施和环境管理措施后，可使项目建成后对周围环境影响减少到最低限度，项目的建设从环境保护角度而言是可行的。</w:t>
      </w:r>
    </w:p>
    <w:p w14:paraId="64CF12E1">
      <w:pPr>
        <w:pStyle w:val="460"/>
        <w:ind w:firstLine="480"/>
        <w:rPr>
          <w:rFonts w:cs="Times New Roman"/>
          <w:color w:val="auto"/>
        </w:rPr>
        <w:sectPr>
          <w:footerReference r:id="rId12" w:type="default"/>
          <w:pgSz w:w="11905" w:h="16838"/>
          <w:pgMar w:top="1440" w:right="1797" w:bottom="1440" w:left="1797" w:header="851" w:footer="992" w:gutter="0"/>
          <w:pgNumType w:start="1"/>
          <w:cols w:space="0" w:num="1"/>
          <w:docGrid w:type="lines" w:linePitch="333" w:charSpace="0"/>
        </w:sectPr>
      </w:pPr>
    </w:p>
    <w:p w14:paraId="7B4784FF">
      <w:pPr>
        <w:pStyle w:val="3"/>
        <w:tabs>
          <w:tab w:val="clear" w:pos="480"/>
        </w:tabs>
        <w:spacing w:before="0" w:after="0"/>
        <w:jc w:val="center"/>
        <w:rPr>
          <w:rFonts w:ascii="Times New Roman" w:eastAsia="宋体"/>
          <w:bCs w:val="0"/>
          <w:sz w:val="32"/>
          <w:szCs w:val="32"/>
          <w:lang w:val="en-US"/>
        </w:rPr>
      </w:pPr>
      <w:bookmarkStart w:id="23" w:name="_Toc401255934"/>
      <w:bookmarkStart w:id="24" w:name="_Toc18773468"/>
      <w:r>
        <w:rPr>
          <w:rFonts w:ascii="Times New Roman" w:eastAsia="宋体"/>
          <w:bCs w:val="0"/>
          <w:sz w:val="32"/>
          <w:szCs w:val="32"/>
          <w:lang w:val="en-US"/>
        </w:rPr>
        <w:t xml:space="preserve">  </w:t>
      </w:r>
      <w:bookmarkStart w:id="25" w:name="_Toc116977972"/>
      <w:bookmarkStart w:id="26" w:name="_Toc143799356"/>
      <w:bookmarkStart w:id="27" w:name="_Toc22676"/>
      <w:r>
        <w:rPr>
          <w:rFonts w:ascii="Times New Roman" w:eastAsia="宋体"/>
          <w:bCs w:val="0"/>
          <w:sz w:val="32"/>
          <w:szCs w:val="32"/>
          <w:lang w:val="en-US"/>
        </w:rPr>
        <w:t>2总则</w:t>
      </w:r>
      <w:bookmarkEnd w:id="23"/>
      <w:bookmarkEnd w:id="25"/>
      <w:bookmarkEnd w:id="26"/>
      <w:bookmarkEnd w:id="27"/>
    </w:p>
    <w:bookmarkEnd w:id="24"/>
    <w:p w14:paraId="01C632DC">
      <w:pPr>
        <w:pStyle w:val="4"/>
        <w:tabs>
          <w:tab w:val="clear" w:pos="480"/>
          <w:tab w:val="clear" w:pos="630"/>
        </w:tabs>
        <w:spacing w:before="0" w:after="0"/>
        <w:rPr>
          <w:sz w:val="30"/>
          <w:szCs w:val="30"/>
          <w:lang w:val="en-US"/>
        </w:rPr>
      </w:pPr>
      <w:bookmarkStart w:id="28" w:name="_Toc116977973"/>
      <w:bookmarkStart w:id="29" w:name="_Toc143799357"/>
      <w:bookmarkStart w:id="30" w:name="_Toc11578"/>
      <w:bookmarkStart w:id="31" w:name="_Toc401255937"/>
      <w:bookmarkStart w:id="32" w:name="_Toc439880008"/>
      <w:r>
        <w:rPr>
          <w:rFonts w:hint="eastAsia"/>
          <w:sz w:val="30"/>
          <w:szCs w:val="30"/>
          <w:lang w:val="en-US"/>
        </w:rPr>
        <w:t>2</w:t>
      </w:r>
      <w:r>
        <w:rPr>
          <w:sz w:val="30"/>
          <w:szCs w:val="30"/>
          <w:lang w:val="en-US"/>
        </w:rPr>
        <w:t>.1编制依据</w:t>
      </w:r>
      <w:bookmarkEnd w:id="28"/>
      <w:bookmarkEnd w:id="29"/>
      <w:bookmarkEnd w:id="30"/>
      <w:bookmarkEnd w:id="31"/>
      <w:bookmarkEnd w:id="32"/>
    </w:p>
    <w:p w14:paraId="2B99DE17">
      <w:pPr>
        <w:pStyle w:val="5"/>
        <w:tabs>
          <w:tab w:val="clear" w:pos="480"/>
          <w:tab w:val="clear" w:pos="840"/>
        </w:tabs>
        <w:spacing w:before="0" w:after="0" w:line="360" w:lineRule="auto"/>
        <w:rPr>
          <w:rFonts w:ascii="Times New Roman" w:eastAsia="宋体"/>
          <w:sz w:val="28"/>
          <w:szCs w:val="28"/>
          <w:lang w:val="en-US"/>
        </w:rPr>
      </w:pPr>
      <w:r>
        <w:rPr>
          <w:rFonts w:ascii="Times New Roman" w:eastAsia="宋体"/>
          <w:sz w:val="28"/>
          <w:szCs w:val="28"/>
          <w:lang w:val="en-US"/>
        </w:rPr>
        <w:t>2.1.1国家法律法规</w:t>
      </w:r>
    </w:p>
    <w:p w14:paraId="48E9ECBA">
      <w:pPr>
        <w:adjustRightInd w:val="0"/>
        <w:snapToGrid w:val="0"/>
        <w:ind w:firstLine="480"/>
      </w:pPr>
      <w:r>
        <w:rPr>
          <w:rFonts w:hint="eastAsia"/>
        </w:rPr>
        <w:t>（1）</w:t>
      </w:r>
      <w:r>
        <w:t>《中华人民共和国环境保护法》（2015年1月1日施行）；</w:t>
      </w:r>
    </w:p>
    <w:p w14:paraId="512B7A47">
      <w:pPr>
        <w:adjustRightInd w:val="0"/>
        <w:snapToGrid w:val="0"/>
        <w:ind w:firstLine="480"/>
      </w:pPr>
      <w:r>
        <w:rPr>
          <w:rFonts w:hint="eastAsia"/>
        </w:rPr>
        <w:t>（2）</w:t>
      </w:r>
      <w:r>
        <w:t>《中华人民共和国环境影响评价法》（2018年12月29日修订）；</w:t>
      </w:r>
    </w:p>
    <w:p w14:paraId="0BFEE66A">
      <w:pPr>
        <w:adjustRightInd w:val="0"/>
        <w:snapToGrid w:val="0"/>
        <w:ind w:firstLine="480"/>
      </w:pPr>
      <w:r>
        <w:rPr>
          <w:rFonts w:hint="eastAsia"/>
        </w:rPr>
        <w:t>（3）</w:t>
      </w:r>
      <w:r>
        <w:t>《中华人民共和国水污染防治法》（2017年6月27日修订，2018年1月1日施行）；</w:t>
      </w:r>
    </w:p>
    <w:p w14:paraId="4CDA2435">
      <w:pPr>
        <w:adjustRightInd w:val="0"/>
        <w:snapToGrid w:val="0"/>
        <w:ind w:firstLine="480"/>
      </w:pPr>
      <w:r>
        <w:rPr>
          <w:rFonts w:hint="eastAsia"/>
        </w:rPr>
        <w:t>（4）</w:t>
      </w:r>
      <w:r>
        <w:t>《中华人民共和国大气污染防治法》（2018年10月26日修订）；</w:t>
      </w:r>
    </w:p>
    <w:p w14:paraId="67ABEBD4">
      <w:pPr>
        <w:adjustRightInd w:val="0"/>
        <w:snapToGrid w:val="0"/>
        <w:ind w:firstLine="480"/>
      </w:pPr>
      <w:r>
        <w:rPr>
          <w:rFonts w:hint="eastAsia"/>
        </w:rPr>
        <w:t>（5）</w:t>
      </w:r>
      <w:r>
        <w:t>《中华人民共和国噪声污染防治法》（20</w:t>
      </w:r>
      <w:r>
        <w:rPr>
          <w:rFonts w:hint="eastAsia"/>
        </w:rPr>
        <w:t>21</w:t>
      </w:r>
      <w:r>
        <w:t>年12月</w:t>
      </w:r>
      <w:r>
        <w:rPr>
          <w:rFonts w:hint="eastAsia"/>
        </w:rPr>
        <w:t>24</w:t>
      </w:r>
      <w:r>
        <w:t>日</w:t>
      </w:r>
      <w:r>
        <w:rPr>
          <w:rFonts w:hint="eastAsia"/>
        </w:rPr>
        <w:t>发布，2022年6月5日施行</w:t>
      </w:r>
      <w:r>
        <w:t>）；</w:t>
      </w:r>
    </w:p>
    <w:p w14:paraId="49831768">
      <w:pPr>
        <w:adjustRightInd w:val="0"/>
        <w:snapToGrid w:val="0"/>
        <w:ind w:firstLine="480"/>
      </w:pPr>
      <w:r>
        <w:rPr>
          <w:rFonts w:hint="eastAsia"/>
        </w:rPr>
        <w:t>（6）</w:t>
      </w:r>
      <w:r>
        <w:t>《中华人民共和国固体废物污染环境防治法》（2020年4月29日修订）；</w:t>
      </w:r>
    </w:p>
    <w:p w14:paraId="4525C021">
      <w:pPr>
        <w:adjustRightInd w:val="0"/>
        <w:snapToGrid w:val="0"/>
        <w:ind w:firstLine="480"/>
      </w:pPr>
      <w:r>
        <w:rPr>
          <w:rFonts w:hint="eastAsia"/>
        </w:rPr>
        <w:t>（7）</w:t>
      </w:r>
      <w:r>
        <w:t>《中华人民共和国土壤污染防治法》（2019年1月1日起施行）；</w:t>
      </w:r>
    </w:p>
    <w:p w14:paraId="5448998A">
      <w:pPr>
        <w:adjustRightInd w:val="0"/>
        <w:snapToGrid w:val="0"/>
        <w:ind w:firstLine="480"/>
      </w:pPr>
      <w:r>
        <w:rPr>
          <w:rFonts w:hint="eastAsia"/>
        </w:rPr>
        <w:t>（8）</w:t>
      </w:r>
      <w:r>
        <w:t>《中华人民共和国土地管理法》（2019年8月26日修订）；</w:t>
      </w:r>
    </w:p>
    <w:p w14:paraId="00371E06">
      <w:pPr>
        <w:adjustRightInd w:val="0"/>
        <w:snapToGrid w:val="0"/>
        <w:ind w:firstLine="480"/>
      </w:pPr>
      <w:r>
        <w:rPr>
          <w:rFonts w:hint="eastAsia"/>
        </w:rPr>
        <w:t>（9）</w:t>
      </w:r>
      <w:r>
        <w:t>《中华人民共和国水土保持法》（2010年12月25日修订，2011年3月1日实施）；</w:t>
      </w:r>
    </w:p>
    <w:p w14:paraId="5D878C51">
      <w:pPr>
        <w:adjustRightInd w:val="0"/>
        <w:snapToGrid w:val="0"/>
        <w:ind w:firstLine="480"/>
      </w:pPr>
      <w:r>
        <w:rPr>
          <w:rFonts w:hint="eastAsia"/>
        </w:rPr>
        <w:t>（</w:t>
      </w:r>
      <w:r>
        <w:t>10</w:t>
      </w:r>
      <w:r>
        <w:rPr>
          <w:rFonts w:hint="eastAsia"/>
        </w:rPr>
        <w:t>）《中华人民共和国野生动物保护法》(</w:t>
      </w:r>
      <w:r>
        <w:t>201</w:t>
      </w:r>
      <w:r>
        <w:rPr>
          <w:rFonts w:hint="eastAsia"/>
        </w:rPr>
        <w:t>8年</w:t>
      </w:r>
      <w:r>
        <w:t>1</w:t>
      </w:r>
      <w:r>
        <w:rPr>
          <w:rFonts w:hint="eastAsia"/>
        </w:rPr>
        <w:t>0月26日修订)；</w:t>
      </w:r>
    </w:p>
    <w:p w14:paraId="341EEBD9">
      <w:pPr>
        <w:adjustRightInd w:val="0"/>
        <w:snapToGrid w:val="0"/>
        <w:ind w:firstLine="480"/>
      </w:pPr>
      <w:r>
        <w:rPr>
          <w:rFonts w:hint="eastAsia"/>
        </w:rPr>
        <w:t>（1</w:t>
      </w:r>
      <w:r>
        <w:t>1</w:t>
      </w:r>
      <w:r>
        <w:rPr>
          <w:rFonts w:hint="eastAsia"/>
        </w:rPr>
        <w:t>）《中华人民共和国森林法》(2020年7月1日起施行)；</w:t>
      </w:r>
    </w:p>
    <w:p w14:paraId="214AC5B1">
      <w:pPr>
        <w:adjustRightInd w:val="0"/>
        <w:snapToGrid w:val="0"/>
        <w:ind w:firstLine="480"/>
      </w:pPr>
      <w:r>
        <w:t>（12）《中华人民共和国电力法》（2015 年 4 月 24 日起修订施行）；</w:t>
      </w:r>
    </w:p>
    <w:p w14:paraId="4C8ED351">
      <w:pPr>
        <w:adjustRightInd w:val="0"/>
        <w:snapToGrid w:val="0"/>
        <w:ind w:firstLine="480"/>
      </w:pPr>
      <w:r>
        <w:rPr>
          <w:rFonts w:hint="eastAsia"/>
        </w:rPr>
        <w:t>（1</w:t>
      </w:r>
      <w:r>
        <w:t>3</w:t>
      </w:r>
      <w:r>
        <w:rPr>
          <w:rFonts w:hint="eastAsia"/>
        </w:rPr>
        <w:t>）《中华人民共和国长江保护法》（2</w:t>
      </w:r>
      <w:r>
        <w:t>021</w:t>
      </w:r>
      <w:r>
        <w:rPr>
          <w:rFonts w:hint="eastAsia"/>
        </w:rPr>
        <w:t>年</w:t>
      </w:r>
      <w:r>
        <w:t>3</w:t>
      </w:r>
      <w:r>
        <w:rPr>
          <w:rFonts w:hint="eastAsia"/>
        </w:rPr>
        <w:t>月</w:t>
      </w:r>
      <w:r>
        <w:t>1</w:t>
      </w:r>
      <w:r>
        <w:rPr>
          <w:rFonts w:hint="eastAsia"/>
        </w:rPr>
        <w:t>日起施行）</w:t>
      </w:r>
    </w:p>
    <w:p w14:paraId="1E4DB739">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.1.2</w:t>
      </w:r>
      <w:r>
        <w:rPr>
          <w:rFonts w:hint="eastAsia" w:ascii="Times New Roman" w:eastAsia="宋体"/>
          <w:sz w:val="28"/>
          <w:szCs w:val="28"/>
          <w:lang w:val="en-US"/>
        </w:rPr>
        <w:t>规章及规范性文件</w:t>
      </w:r>
    </w:p>
    <w:p w14:paraId="267AD5A8">
      <w:pPr>
        <w:adjustRightInd w:val="0"/>
        <w:snapToGrid w:val="0"/>
        <w:ind w:firstLine="480"/>
      </w:pPr>
      <w:r>
        <w:rPr>
          <w:rFonts w:hint="eastAsia"/>
        </w:rPr>
        <w:t>（1）</w:t>
      </w:r>
      <w:r>
        <w:t>《国务院关于修改〈建设项目环境保护管理条例〉的决定》(国务院令第682号令，2017年10月1日施行)；</w:t>
      </w:r>
    </w:p>
    <w:p w14:paraId="5163609A">
      <w:pPr>
        <w:adjustRightInd w:val="0"/>
        <w:snapToGrid w:val="0"/>
        <w:ind w:firstLine="480"/>
      </w:pPr>
      <w:r>
        <w:rPr>
          <w:rFonts w:hint="eastAsia"/>
        </w:rPr>
        <w:t>（2）</w:t>
      </w:r>
      <w:r>
        <w:t>《建设项目环境影响评价分类管理名录》（20</w:t>
      </w:r>
      <w:r>
        <w:rPr>
          <w:rFonts w:hint="eastAsia"/>
        </w:rPr>
        <w:t>21年版</w:t>
      </w:r>
      <w:r>
        <w:t>）</w:t>
      </w:r>
      <w:r>
        <w:rPr>
          <w:rFonts w:hint="eastAsia"/>
        </w:rPr>
        <w:t>；</w:t>
      </w:r>
    </w:p>
    <w:p w14:paraId="6C7DD43A">
      <w:pPr>
        <w:adjustRightInd w:val="0"/>
        <w:snapToGrid w:val="0"/>
        <w:ind w:firstLine="480"/>
      </w:pPr>
      <w:r>
        <w:rPr>
          <w:rFonts w:hint="eastAsia"/>
        </w:rPr>
        <w:t>（3）</w:t>
      </w:r>
      <w:r>
        <w:t>《产业结构调整指导目录（2019年本）》</w:t>
      </w:r>
      <w:r>
        <w:rPr>
          <w:rFonts w:hint="eastAsia"/>
        </w:rPr>
        <w:t>（2</w:t>
      </w:r>
      <w:r>
        <w:t>021</w:t>
      </w:r>
      <w:r>
        <w:rPr>
          <w:rFonts w:hint="eastAsia"/>
        </w:rPr>
        <w:t>年修正）；</w:t>
      </w:r>
    </w:p>
    <w:p w14:paraId="32439E92">
      <w:pPr>
        <w:adjustRightInd w:val="0"/>
        <w:snapToGrid w:val="0"/>
        <w:ind w:firstLine="480"/>
      </w:pPr>
      <w:r>
        <w:rPr>
          <w:rFonts w:hint="eastAsia"/>
        </w:rPr>
        <w:t>（</w:t>
      </w:r>
      <w:r>
        <w:t>3</w:t>
      </w:r>
      <w:r>
        <w:rPr>
          <w:rFonts w:hint="eastAsia"/>
        </w:rPr>
        <w:t>）</w:t>
      </w:r>
      <w:r>
        <w:t>《</w:t>
      </w:r>
      <w:r>
        <w:rPr>
          <w:rFonts w:hint="eastAsia"/>
        </w:rPr>
        <w:t>环境影响评价公众参与办法</w:t>
      </w:r>
      <w:r>
        <w:t>》（部令第</w:t>
      </w:r>
      <w:r>
        <w:rPr>
          <w:rFonts w:hint="eastAsia"/>
        </w:rPr>
        <w:t>4</w:t>
      </w:r>
      <w:r>
        <w:t>号</w:t>
      </w:r>
      <w:r>
        <w:rPr>
          <w:rFonts w:hint="eastAsia"/>
        </w:rPr>
        <w:t>，</w:t>
      </w:r>
      <w:r>
        <w:t>2019年1月1日起施行）</w:t>
      </w:r>
      <w:r>
        <w:rPr>
          <w:rFonts w:hint="eastAsia"/>
        </w:rPr>
        <w:t>；</w:t>
      </w:r>
    </w:p>
    <w:p w14:paraId="67271749">
      <w:pPr>
        <w:adjustRightInd w:val="0"/>
        <w:snapToGrid w:val="0"/>
        <w:ind w:firstLine="480"/>
      </w:pPr>
      <w:r>
        <w:rPr>
          <w:rFonts w:hint="eastAsia"/>
        </w:rPr>
        <w:t>（</w:t>
      </w:r>
      <w:r>
        <w:t>4</w:t>
      </w:r>
      <w:r>
        <w:rPr>
          <w:rFonts w:hint="eastAsia"/>
        </w:rPr>
        <w:t>）《中华人民共和国野生植物保护条例》(</w:t>
      </w:r>
      <w:r>
        <w:t>2017</w:t>
      </w:r>
      <w:r>
        <w:rPr>
          <w:rFonts w:hint="eastAsia"/>
        </w:rPr>
        <w:t>年</w:t>
      </w:r>
      <w:r>
        <w:t>10</w:t>
      </w:r>
      <w:r>
        <w:rPr>
          <w:rFonts w:hint="eastAsia"/>
        </w:rPr>
        <w:t>月</w:t>
      </w:r>
      <w:r>
        <w:t>7</w:t>
      </w:r>
      <w:r>
        <w:rPr>
          <w:rFonts w:hint="eastAsia"/>
        </w:rPr>
        <w:t>日修订)；</w:t>
      </w:r>
    </w:p>
    <w:p w14:paraId="61B539F6">
      <w:pPr>
        <w:adjustRightInd w:val="0"/>
        <w:snapToGrid w:val="0"/>
        <w:ind w:firstLine="480"/>
      </w:pPr>
      <w:r>
        <w:rPr>
          <w:rFonts w:hint="eastAsia"/>
        </w:rPr>
        <w:t>（</w:t>
      </w:r>
      <w:r>
        <w:t>5</w:t>
      </w:r>
      <w:r>
        <w:rPr>
          <w:rFonts w:hint="eastAsia"/>
        </w:rPr>
        <w:t>）《中华人民共和国陆生野生动物保护实施条例》(</w:t>
      </w:r>
      <w:r>
        <w:t>2016</w:t>
      </w:r>
      <w:r>
        <w:rPr>
          <w:rFonts w:hint="eastAsia"/>
        </w:rPr>
        <w:t>年</w:t>
      </w:r>
      <w:r>
        <w:t>2</w:t>
      </w:r>
      <w:r>
        <w:rPr>
          <w:rFonts w:hint="eastAsia"/>
        </w:rPr>
        <w:t>月</w:t>
      </w:r>
      <w:r>
        <w:t>6</w:t>
      </w:r>
      <w:r>
        <w:rPr>
          <w:rFonts w:hint="eastAsia"/>
        </w:rPr>
        <w:t>日修订)；</w:t>
      </w:r>
    </w:p>
    <w:p w14:paraId="007D8889">
      <w:pPr>
        <w:adjustRightInd w:val="0"/>
        <w:snapToGrid w:val="0"/>
        <w:ind w:firstLine="480"/>
      </w:pPr>
      <w:r>
        <w:rPr>
          <w:rFonts w:hint="eastAsia"/>
        </w:rPr>
        <w:t>（</w:t>
      </w:r>
      <w:r>
        <w:t>6</w:t>
      </w:r>
      <w:r>
        <w:rPr>
          <w:rFonts w:hint="eastAsia"/>
        </w:rPr>
        <w:t>）《中华人民共和国森林法实施条例》（</w:t>
      </w:r>
      <w:r>
        <w:t>2016</w:t>
      </w:r>
      <w:r>
        <w:rPr>
          <w:rFonts w:hint="eastAsia"/>
        </w:rPr>
        <w:t>年</w:t>
      </w:r>
      <w:r>
        <w:t>2</w:t>
      </w:r>
      <w:r>
        <w:rPr>
          <w:rFonts w:hint="eastAsia"/>
        </w:rPr>
        <w:t>月</w:t>
      </w:r>
      <w:r>
        <w:t>6</w:t>
      </w:r>
      <w:r>
        <w:rPr>
          <w:rFonts w:hint="eastAsia"/>
        </w:rPr>
        <w:t>日修订）；</w:t>
      </w:r>
    </w:p>
    <w:p w14:paraId="6AEB8E0A">
      <w:pPr>
        <w:adjustRightInd w:val="0"/>
        <w:snapToGrid w:val="0"/>
        <w:ind w:firstLine="480"/>
      </w:pPr>
      <w:r>
        <w:rPr>
          <w:rFonts w:hint="eastAsia"/>
        </w:rPr>
        <w:t>（</w:t>
      </w:r>
      <w:r>
        <w:t>7</w:t>
      </w:r>
      <w:r>
        <w:rPr>
          <w:rFonts w:hint="eastAsia"/>
        </w:rPr>
        <w:t>）</w:t>
      </w:r>
      <w:r>
        <w:t>《国务院关于印发大气污染防治行动计划的通知》（国发[2013]37号）；</w:t>
      </w:r>
    </w:p>
    <w:p w14:paraId="69B4FE28">
      <w:pPr>
        <w:adjustRightInd w:val="0"/>
        <w:snapToGrid w:val="0"/>
        <w:ind w:firstLine="480"/>
      </w:pPr>
      <w:r>
        <w:rPr>
          <w:rFonts w:hint="eastAsia"/>
        </w:rPr>
        <w:t>（</w:t>
      </w:r>
      <w:r>
        <w:t>8</w:t>
      </w:r>
      <w:r>
        <w:rPr>
          <w:rFonts w:hint="eastAsia"/>
        </w:rPr>
        <w:t>）</w:t>
      </w:r>
      <w:r>
        <w:t>《国务院关于印发水污染防治行动计划的通知》（国发[2015]17号）；</w:t>
      </w:r>
    </w:p>
    <w:p w14:paraId="5F8738E5">
      <w:pPr>
        <w:adjustRightInd w:val="0"/>
        <w:snapToGrid w:val="0"/>
        <w:ind w:firstLine="480"/>
      </w:pPr>
      <w:r>
        <w:rPr>
          <w:rFonts w:hint="eastAsia"/>
        </w:rPr>
        <w:t>（</w:t>
      </w:r>
      <w:r>
        <w:t>9</w:t>
      </w:r>
      <w:r>
        <w:rPr>
          <w:rFonts w:hint="eastAsia"/>
        </w:rPr>
        <w:t>）</w:t>
      </w:r>
      <w:r>
        <w:t>《国务院关于印发土壤污染防治行动计划的通知》（国发[2016]31号）；</w:t>
      </w:r>
    </w:p>
    <w:p w14:paraId="619E8667">
      <w:pPr>
        <w:adjustRightInd w:val="0"/>
        <w:snapToGrid w:val="0"/>
        <w:ind w:firstLine="480"/>
      </w:pPr>
      <w:r>
        <w:rPr>
          <w:rFonts w:hint="eastAsia"/>
        </w:rPr>
        <w:t>（1</w:t>
      </w:r>
      <w:r>
        <w:t>0</w:t>
      </w:r>
      <w:r>
        <w:rPr>
          <w:rFonts w:hint="eastAsia"/>
        </w:rPr>
        <w:t>）</w:t>
      </w:r>
      <w:r>
        <w:t>《关于进一步加强环境影响评价管理防范环境风险的通知》（环发</w:t>
      </w:r>
      <w:r>
        <w:rPr>
          <w:rFonts w:hint="eastAsia"/>
        </w:rPr>
        <w:t>[</w:t>
      </w:r>
      <w:r>
        <w:t>2012</w:t>
      </w:r>
      <w:r>
        <w:rPr>
          <w:rFonts w:hint="eastAsia"/>
        </w:rPr>
        <w:t>]</w:t>
      </w:r>
      <w:r>
        <w:t>77号，2012年7月3日起施行）；</w:t>
      </w:r>
    </w:p>
    <w:p w14:paraId="1996F5C3">
      <w:pPr>
        <w:adjustRightInd w:val="0"/>
        <w:snapToGrid w:val="0"/>
        <w:ind w:firstLine="480"/>
      </w:pPr>
      <w:r>
        <w:rPr>
          <w:rFonts w:hint="eastAsia"/>
        </w:rPr>
        <w:t>（1</w:t>
      </w:r>
      <w:r>
        <w:t>1</w:t>
      </w:r>
      <w:r>
        <w:rPr>
          <w:rFonts w:hint="eastAsia"/>
        </w:rPr>
        <w:t>）</w:t>
      </w:r>
      <w:r>
        <w:t>《关于切实加强风险防范严格环境影响评价管理的通知》（环发</w:t>
      </w:r>
      <w:r>
        <w:rPr>
          <w:rFonts w:hint="eastAsia"/>
        </w:rPr>
        <w:t>[</w:t>
      </w:r>
      <w:r>
        <w:t>2012</w:t>
      </w:r>
      <w:r>
        <w:rPr>
          <w:rFonts w:hint="eastAsia"/>
        </w:rPr>
        <w:t>]</w:t>
      </w:r>
      <w:r>
        <w:t>98号，2012年8月8日起施行）；</w:t>
      </w:r>
    </w:p>
    <w:p w14:paraId="4F5EF33C">
      <w:pPr>
        <w:adjustRightInd w:val="0"/>
        <w:snapToGrid w:val="0"/>
        <w:ind w:firstLine="480"/>
      </w:pPr>
      <w:r>
        <w:rPr>
          <w:rFonts w:hint="eastAsia"/>
        </w:rPr>
        <w:t>（</w:t>
      </w:r>
      <w:r>
        <w:t>12</w:t>
      </w:r>
      <w:r>
        <w:rPr>
          <w:rFonts w:hint="eastAsia"/>
        </w:rPr>
        <w:t>）《长江经济带发展负面清单指南》（试行</w:t>
      </w:r>
      <w:r>
        <w:t>，</w:t>
      </w:r>
      <w:r>
        <w:rPr>
          <w:rFonts w:hint="eastAsia"/>
        </w:rPr>
        <w:t>2022年</w:t>
      </w:r>
      <w:r>
        <w:t>版</w:t>
      </w:r>
      <w:r>
        <w:rPr>
          <w:rFonts w:hint="eastAsia"/>
        </w:rPr>
        <w:t>），2022年1月19日</w:t>
      </w:r>
      <w:r>
        <w:t>施行。</w:t>
      </w:r>
    </w:p>
    <w:p w14:paraId="08A623E2">
      <w:pPr>
        <w:adjustRightInd w:val="0"/>
        <w:snapToGrid w:val="0"/>
        <w:ind w:firstLine="480"/>
      </w:pPr>
      <w:r>
        <w:rPr>
          <w:rFonts w:hint="eastAsia"/>
        </w:rPr>
        <w:t>（1</w:t>
      </w:r>
      <w:r>
        <w:t>3</w:t>
      </w:r>
      <w:r>
        <w:rPr>
          <w:rFonts w:hint="eastAsia"/>
        </w:rPr>
        <w:t>）《生态保护红线划定技术指南》（环发</w:t>
      </w:r>
      <w:r>
        <w:t>[2015]56</w:t>
      </w:r>
      <w:r>
        <w:rPr>
          <w:rFonts w:hint="eastAsia"/>
        </w:rPr>
        <w:t>号）；</w:t>
      </w:r>
    </w:p>
    <w:p w14:paraId="68BB5BD5">
      <w:pPr>
        <w:adjustRightInd w:val="0"/>
        <w:snapToGrid w:val="0"/>
        <w:ind w:firstLine="480"/>
      </w:pPr>
      <w:r>
        <w:rPr>
          <w:rFonts w:hint="eastAsia"/>
        </w:rPr>
        <w:t>（1</w:t>
      </w:r>
      <w:r>
        <w:t>4</w:t>
      </w:r>
      <w:r>
        <w:rPr>
          <w:rFonts w:hint="eastAsia"/>
        </w:rPr>
        <w:t>）《建设项目使用林地审核审批管理办法》（</w:t>
      </w:r>
      <w:r>
        <w:t>2015</w:t>
      </w:r>
      <w:r>
        <w:rPr>
          <w:rFonts w:hint="eastAsia"/>
        </w:rPr>
        <w:t>年</w:t>
      </w:r>
      <w:r>
        <w:t>5</w:t>
      </w:r>
      <w:r>
        <w:rPr>
          <w:rFonts w:hint="eastAsia"/>
        </w:rPr>
        <w:t>月</w:t>
      </w:r>
      <w:r>
        <w:t>1</w:t>
      </w:r>
      <w:r>
        <w:rPr>
          <w:rFonts w:hint="eastAsia"/>
        </w:rPr>
        <w:t>日实施）；</w:t>
      </w:r>
    </w:p>
    <w:p w14:paraId="76BEE633">
      <w:pPr>
        <w:adjustRightInd w:val="0"/>
        <w:snapToGrid w:val="0"/>
        <w:ind w:firstLine="480"/>
      </w:pPr>
      <w:r>
        <w:rPr>
          <w:rFonts w:hint="eastAsia"/>
        </w:rPr>
        <w:t>（1</w:t>
      </w:r>
      <w:r>
        <w:t>5</w:t>
      </w:r>
      <w:r>
        <w:rPr>
          <w:rFonts w:hint="eastAsia"/>
        </w:rPr>
        <w:t>）《关于进一步加强生态保护工作的意见（环发</w:t>
      </w:r>
      <w:r>
        <w:t>[2007]37</w:t>
      </w:r>
      <w:r>
        <w:rPr>
          <w:rFonts w:hint="eastAsia"/>
        </w:rPr>
        <w:t>号）；</w:t>
      </w:r>
    </w:p>
    <w:p w14:paraId="14921AFB">
      <w:pPr>
        <w:adjustRightInd w:val="0"/>
        <w:snapToGrid w:val="0"/>
        <w:ind w:firstLine="480"/>
      </w:pPr>
      <w:r>
        <w:rPr>
          <w:rFonts w:hint="eastAsia"/>
        </w:rPr>
        <w:t>（1</w:t>
      </w:r>
      <w:r>
        <w:t>6</w:t>
      </w:r>
      <w:r>
        <w:rPr>
          <w:rFonts w:hint="eastAsia"/>
        </w:rPr>
        <w:t>）《关于进一步加强建设项目环境保护管理工作的通知》（环发</w:t>
      </w:r>
      <w:r>
        <w:t>[2001] 19</w:t>
      </w:r>
      <w:r>
        <w:rPr>
          <w:rFonts w:hint="eastAsia"/>
        </w:rPr>
        <w:t>号）；</w:t>
      </w:r>
    </w:p>
    <w:p w14:paraId="4421CAC0">
      <w:pPr>
        <w:adjustRightInd w:val="0"/>
        <w:snapToGrid w:val="0"/>
        <w:ind w:firstLine="480"/>
      </w:pPr>
      <w:r>
        <w:rPr>
          <w:rFonts w:hint="eastAsia"/>
        </w:rPr>
        <w:t>（</w:t>
      </w:r>
      <w:r>
        <w:t>17</w:t>
      </w:r>
      <w:r>
        <w:rPr>
          <w:rFonts w:hint="eastAsia"/>
        </w:rPr>
        <w:t>）</w:t>
      </w:r>
      <w:r>
        <w:t>《关于规范风电场项目建设使用林地的通知》（林资发[2019]17号）；</w:t>
      </w:r>
    </w:p>
    <w:p w14:paraId="5F6C1119">
      <w:pPr>
        <w:adjustRightInd w:val="0"/>
        <w:snapToGrid w:val="0"/>
        <w:ind w:firstLine="480"/>
      </w:pPr>
      <w:r>
        <w:rPr>
          <w:rFonts w:hint="eastAsia"/>
        </w:rPr>
        <w:t>（</w:t>
      </w:r>
      <w:r>
        <w:t>18</w:t>
      </w:r>
      <w:r>
        <w:rPr>
          <w:rFonts w:hint="eastAsia"/>
        </w:rPr>
        <w:t>）</w:t>
      </w:r>
      <w:r>
        <w:t>《建设项目使用林地审核审批管理办法》（2015年5月1日实施）；</w:t>
      </w:r>
    </w:p>
    <w:p w14:paraId="4FD8D4C2">
      <w:pPr>
        <w:adjustRightInd w:val="0"/>
        <w:snapToGrid w:val="0"/>
        <w:ind w:firstLine="480"/>
      </w:pPr>
      <w:r>
        <w:rPr>
          <w:rFonts w:hint="eastAsia"/>
        </w:rPr>
        <w:t>（</w:t>
      </w:r>
      <w:r>
        <w:t>19</w:t>
      </w:r>
      <w:r>
        <w:rPr>
          <w:rFonts w:hint="eastAsia"/>
        </w:rPr>
        <w:t>）《饮用水水源保护区污染防治管理规定》 ，环境保护部令第 16 号，2010 年12月22日修订；</w:t>
      </w:r>
    </w:p>
    <w:p w14:paraId="4C66E6CD">
      <w:pPr>
        <w:adjustRightInd w:val="0"/>
        <w:snapToGrid w:val="0"/>
        <w:ind w:firstLine="480"/>
      </w:pPr>
      <w:r>
        <w:rPr>
          <w:rFonts w:hint="eastAsia"/>
        </w:rPr>
        <w:t>（</w:t>
      </w:r>
      <w:r>
        <w:t>20</w:t>
      </w:r>
      <w:r>
        <w:rPr>
          <w:rFonts w:hint="eastAsia"/>
        </w:rPr>
        <w:t>）《国家重点保护野生动物名录》(</w:t>
      </w:r>
      <w:r>
        <w:t>2021</w:t>
      </w:r>
      <w:r>
        <w:rPr>
          <w:rFonts w:hint="eastAsia"/>
        </w:rPr>
        <w:t>年2月1日实施)；</w:t>
      </w:r>
    </w:p>
    <w:p w14:paraId="22B11586">
      <w:pPr>
        <w:adjustRightInd w:val="0"/>
        <w:snapToGrid w:val="0"/>
        <w:ind w:firstLine="480"/>
      </w:pPr>
      <w:r>
        <w:rPr>
          <w:rFonts w:hint="eastAsia"/>
        </w:rPr>
        <w:t>（</w:t>
      </w:r>
      <w:r>
        <w:t>21</w:t>
      </w:r>
      <w:r>
        <w:rPr>
          <w:rFonts w:hint="eastAsia"/>
        </w:rPr>
        <w:t>）《国家重点保护野生植物名录》(</w:t>
      </w:r>
      <w:r>
        <w:t>2</w:t>
      </w:r>
      <w:r>
        <w:rPr>
          <w:rFonts w:hint="eastAsia"/>
          <w:lang w:eastAsia="zh-CN"/>
        </w:rPr>
        <w:t>021年8月7日实施)</w:t>
      </w:r>
      <w:r>
        <w:rPr>
          <w:rFonts w:hint="eastAsia"/>
        </w:rPr>
        <w:t>；</w:t>
      </w:r>
    </w:p>
    <w:p w14:paraId="7E93815B">
      <w:pPr>
        <w:adjustRightInd w:val="0"/>
        <w:snapToGrid w:val="0"/>
        <w:ind w:firstLine="480"/>
      </w:pPr>
      <w:r>
        <w:t>（22）《电力设施保护条例》（国务院令第 239 号，2011 年 1 月 8 日起施行）；</w:t>
      </w:r>
    </w:p>
    <w:p w14:paraId="7BD66B6D">
      <w:pPr>
        <w:adjustRightInd w:val="0"/>
        <w:snapToGrid w:val="0"/>
        <w:ind w:firstLine="480"/>
      </w:pPr>
      <w:r>
        <w:t>（23）《电力设施保护条例实施细则》（2011 年 6 月 30 日起施行）；</w:t>
      </w:r>
    </w:p>
    <w:p w14:paraId="6BE44009">
      <w:pPr>
        <w:adjustRightInd w:val="0"/>
        <w:snapToGrid w:val="0"/>
        <w:ind w:firstLine="480"/>
      </w:pPr>
      <w:r>
        <w:t>（24）《关于进一步加强输变电类建设项目环境保护监管工作的通知》（环境保护部办公厅文件 环办[2012]131 号）；</w:t>
      </w:r>
    </w:p>
    <w:p w14:paraId="2E799AD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.1.3</w:t>
      </w:r>
      <w:r>
        <w:rPr>
          <w:rFonts w:hint="eastAsia" w:ascii="Times New Roman" w:eastAsia="宋体"/>
          <w:sz w:val="28"/>
          <w:szCs w:val="28"/>
          <w:lang w:val="en-US"/>
        </w:rPr>
        <w:t>地方法规及规范性文件</w:t>
      </w:r>
    </w:p>
    <w:p w14:paraId="0A354661">
      <w:pPr>
        <w:adjustRightInd w:val="0"/>
        <w:snapToGrid w:val="0"/>
        <w:ind w:firstLine="480"/>
      </w:pPr>
      <w:r>
        <w:rPr>
          <w:rFonts w:hint="eastAsia"/>
        </w:rPr>
        <w:t>（1）</w:t>
      </w:r>
      <w:r>
        <w:t>《湖南省环境保护条例》（修正）（2020年1月1日实施）；</w:t>
      </w:r>
    </w:p>
    <w:p w14:paraId="38D9B3C8">
      <w:pPr>
        <w:adjustRightInd w:val="0"/>
        <w:snapToGrid w:val="0"/>
        <w:ind w:firstLine="480"/>
      </w:pPr>
      <w:r>
        <w:rPr>
          <w:rFonts w:hint="eastAsia"/>
        </w:rPr>
        <w:t>（2）</w:t>
      </w:r>
      <w:r>
        <w:t>《湖南省人民政府关于实施“三线一单”生态环境分区管控的意见》（湘政发〔2020〕12号）；</w:t>
      </w:r>
    </w:p>
    <w:p w14:paraId="12D2D082">
      <w:pPr>
        <w:adjustRightInd w:val="0"/>
        <w:snapToGrid w:val="0"/>
        <w:ind w:firstLine="480"/>
      </w:pPr>
      <w:r>
        <w:rPr>
          <w:rFonts w:hint="eastAsia"/>
        </w:rPr>
        <w:t>（3）</w:t>
      </w:r>
      <w:r>
        <w:t>《</w:t>
      </w:r>
      <w:r>
        <w:rPr>
          <w:rFonts w:hint="eastAsia"/>
        </w:rPr>
        <w:t>湖南省“十四五”生态环境保护规划</w:t>
      </w:r>
      <w:r>
        <w:t>》，</w:t>
      </w:r>
      <w:r>
        <w:rPr>
          <w:rFonts w:hint="eastAsia"/>
        </w:rPr>
        <w:t>湘政办发〔2021〕61号</w:t>
      </w:r>
    </w:p>
    <w:p w14:paraId="3C95BE54">
      <w:pPr>
        <w:adjustRightInd w:val="0"/>
        <w:snapToGrid w:val="0"/>
        <w:ind w:firstLine="480"/>
      </w:pPr>
      <w:r>
        <w:rPr>
          <w:rFonts w:hint="eastAsia"/>
        </w:rPr>
        <w:t>（4）</w:t>
      </w:r>
      <w:r>
        <w:t>《湖南省大气污染防治条例》（2017年6月1日</w:t>
      </w:r>
      <w:r>
        <w:rPr>
          <w:rFonts w:hint="eastAsia"/>
        </w:rPr>
        <w:t>施行</w:t>
      </w:r>
      <w:r>
        <w:t>）；</w:t>
      </w:r>
    </w:p>
    <w:p w14:paraId="57B371B5">
      <w:pPr>
        <w:adjustRightInd w:val="0"/>
        <w:snapToGrid w:val="0"/>
        <w:ind w:firstLine="480"/>
      </w:pPr>
      <w:r>
        <w:rPr>
          <w:rFonts w:hint="eastAsia"/>
        </w:rPr>
        <w:t>（5）</w:t>
      </w:r>
      <w:r>
        <w:t>《湖南省主要水系地表水环境功能区划》（DB43/023-2005）；</w:t>
      </w:r>
    </w:p>
    <w:p w14:paraId="1A1E1AC0">
      <w:pPr>
        <w:adjustRightInd w:val="0"/>
        <w:snapToGrid w:val="0"/>
        <w:ind w:firstLine="480"/>
      </w:pPr>
      <w:r>
        <w:rPr>
          <w:rFonts w:hint="eastAsia"/>
        </w:rPr>
        <w:t>（6）</w:t>
      </w:r>
      <w:r>
        <w:t>《湖南省主体功能区规划》（湖南省政府办公厅湘政发〔2012〕39号）；</w:t>
      </w:r>
    </w:p>
    <w:p w14:paraId="0FF5041B">
      <w:pPr>
        <w:adjustRightInd w:val="0"/>
        <w:snapToGrid w:val="0"/>
        <w:ind w:firstLine="480"/>
      </w:pPr>
      <w:r>
        <w:rPr>
          <w:rFonts w:hint="eastAsia"/>
        </w:rPr>
        <w:t>（7）《湖南省饮用水水源保护条例》（2018年1月1日施行）；</w:t>
      </w:r>
    </w:p>
    <w:p w14:paraId="45AB36CE">
      <w:pPr>
        <w:adjustRightInd w:val="0"/>
        <w:snapToGrid w:val="0"/>
        <w:ind w:firstLine="480"/>
      </w:pPr>
      <w:r>
        <w:rPr>
          <w:rFonts w:hint="eastAsia"/>
        </w:rPr>
        <w:t>（8）湖南省生态环境厅《关于划定长沙等1</w:t>
      </w:r>
      <w:r>
        <w:t>4</w:t>
      </w:r>
      <w:r>
        <w:rPr>
          <w:rFonts w:hint="eastAsia"/>
        </w:rPr>
        <w:t>个市州第二批乡镇级“千吨万人”集中式饮用水水源保护区的函》（湘环函[</w:t>
      </w:r>
      <w:r>
        <w:t>2019]231</w:t>
      </w:r>
      <w:r>
        <w:rPr>
          <w:rFonts w:hint="eastAsia"/>
        </w:rPr>
        <w:t>号）；</w:t>
      </w:r>
    </w:p>
    <w:p w14:paraId="5462631D">
      <w:pPr>
        <w:adjustRightInd w:val="0"/>
        <w:snapToGrid w:val="0"/>
        <w:ind w:firstLine="480"/>
      </w:pPr>
      <w:r>
        <w:rPr>
          <w:rFonts w:hint="eastAsia"/>
        </w:rPr>
        <w:t>（</w:t>
      </w:r>
      <w:r>
        <w:t>9</w:t>
      </w:r>
      <w:r>
        <w:rPr>
          <w:rFonts w:hint="eastAsia"/>
        </w:rPr>
        <w:t>）湖南省生态环境厅《关于划分（调整或撤销）湘潭等6市1</w:t>
      </w:r>
      <w:r>
        <w:t>8</w:t>
      </w:r>
      <w:r>
        <w:rPr>
          <w:rFonts w:hint="eastAsia"/>
        </w:rPr>
        <w:t>处集中式饮用水水源保护区的复函》（湘环函[</w:t>
      </w:r>
      <w:r>
        <w:t>2021]49</w:t>
      </w:r>
      <w:r>
        <w:rPr>
          <w:rFonts w:hint="eastAsia"/>
        </w:rPr>
        <w:t>号）；</w:t>
      </w:r>
    </w:p>
    <w:p w14:paraId="5D81270D">
      <w:pPr>
        <w:adjustRightInd w:val="0"/>
        <w:snapToGrid w:val="0"/>
        <w:ind w:firstLine="480"/>
      </w:pPr>
      <w:r>
        <w:rPr>
          <w:rFonts w:hint="eastAsia"/>
        </w:rPr>
        <w:t>（1</w:t>
      </w:r>
      <w:r>
        <w:t>0</w:t>
      </w:r>
      <w:r>
        <w:rPr>
          <w:rFonts w:hint="eastAsia"/>
        </w:rPr>
        <w:t>）《湖南省污染防治攻坚战三年行动计划（2018-2020年）》（湘政发[2018]17号）；</w:t>
      </w:r>
    </w:p>
    <w:p w14:paraId="3EC3FD8E">
      <w:pPr>
        <w:adjustRightInd w:val="0"/>
        <w:snapToGrid w:val="0"/>
        <w:ind w:firstLine="480"/>
      </w:pPr>
      <w:r>
        <w:rPr>
          <w:rFonts w:hint="eastAsia"/>
        </w:rPr>
        <w:t>（1</w:t>
      </w:r>
      <w:r>
        <w:t>1</w:t>
      </w:r>
      <w:r>
        <w:rPr>
          <w:rFonts w:hint="eastAsia"/>
        </w:rPr>
        <w:t>）《湖南省野生动植物资源保护条例》（第六次修订）（20</w:t>
      </w:r>
      <w:r>
        <w:t>20</w:t>
      </w:r>
      <w:r>
        <w:rPr>
          <w:rFonts w:hint="eastAsia"/>
        </w:rPr>
        <w:t>年</w:t>
      </w:r>
      <w:r>
        <w:t>3</w:t>
      </w:r>
      <w:r>
        <w:rPr>
          <w:rFonts w:hint="eastAsia"/>
        </w:rPr>
        <w:t>月3</w:t>
      </w:r>
      <w:r>
        <w:t>1</w:t>
      </w:r>
      <w:r>
        <w:rPr>
          <w:rFonts w:hint="eastAsia"/>
        </w:rPr>
        <w:t>日修正）；</w:t>
      </w:r>
    </w:p>
    <w:p w14:paraId="7FE316A2">
      <w:pPr>
        <w:adjustRightInd w:val="0"/>
        <w:snapToGrid w:val="0"/>
        <w:ind w:firstLine="480"/>
      </w:pPr>
      <w:r>
        <w:rPr>
          <w:rFonts w:hint="eastAsia"/>
        </w:rPr>
        <w:t>（1</w:t>
      </w:r>
      <w:r>
        <w:t>2</w:t>
      </w:r>
      <w:r>
        <w:rPr>
          <w:rFonts w:hint="eastAsia"/>
        </w:rPr>
        <w:t>）《湖南省实施〈中华人民共和国水土保持法〉办法》（2018年7月）；</w:t>
      </w:r>
    </w:p>
    <w:p w14:paraId="45E85430">
      <w:pPr>
        <w:adjustRightInd w:val="0"/>
        <w:snapToGrid w:val="0"/>
        <w:ind w:firstLine="480"/>
      </w:pPr>
      <w:r>
        <w:rPr>
          <w:rFonts w:hint="eastAsia"/>
        </w:rPr>
        <w:t>（1</w:t>
      </w:r>
      <w:r>
        <w:t>3</w:t>
      </w:r>
      <w:r>
        <w:rPr>
          <w:rFonts w:hint="eastAsia"/>
        </w:rPr>
        <w:t>）《湖南省发展和改革委员会、湖南省环境保护厅关于进一步规范风电发展的通知（湘发改能源[2016]822号）》（2016年10月）；</w:t>
      </w:r>
    </w:p>
    <w:p w14:paraId="7CF2A1B5">
      <w:pPr>
        <w:adjustRightInd w:val="0"/>
        <w:snapToGrid w:val="0"/>
        <w:ind w:firstLine="480"/>
      </w:pPr>
      <w:r>
        <w:rPr>
          <w:rFonts w:hint="eastAsia"/>
        </w:rPr>
        <w:t>（1</w:t>
      </w:r>
      <w:r>
        <w:t>4</w:t>
      </w:r>
      <w:r>
        <w:rPr>
          <w:rFonts w:hint="eastAsia"/>
        </w:rPr>
        <w:t>）《湖南省林业厅关于进一步加强风电建设项目使用林地管理的通知》（湘林政[2018]5号）。</w:t>
      </w:r>
    </w:p>
    <w:p w14:paraId="033288A8">
      <w:pPr>
        <w:adjustRightInd w:val="0"/>
        <w:snapToGrid w:val="0"/>
        <w:ind w:firstLine="480"/>
      </w:pPr>
      <w:r>
        <w:rPr>
          <w:rFonts w:hint="eastAsia"/>
        </w:rPr>
        <w:t>（1</w:t>
      </w:r>
      <w:r>
        <w:t>5</w:t>
      </w:r>
      <w:r>
        <w:rPr>
          <w:rFonts w:hint="eastAsia"/>
        </w:rPr>
        <w:t>）《湖南省风电场项目建设管理办法》（湘发改能源(2012)445号）；</w:t>
      </w:r>
    </w:p>
    <w:p w14:paraId="44B137B9">
      <w:pPr>
        <w:adjustRightInd w:val="0"/>
        <w:snapToGrid w:val="0"/>
        <w:ind w:firstLine="480"/>
      </w:pPr>
      <w:r>
        <w:rPr>
          <w:rFonts w:hint="eastAsia"/>
        </w:rPr>
        <w:t>（</w:t>
      </w:r>
      <w:r>
        <w:t>16</w:t>
      </w:r>
      <w:r>
        <w:rPr>
          <w:rFonts w:hint="eastAsia"/>
        </w:rPr>
        <w:t>）衡阳市人民政府关于公布《衡阳市第一批千人以上集中式饮用水水源保护区划定方案》的通知</w:t>
      </w:r>
      <w:r>
        <w:t>（</w:t>
      </w:r>
      <w:r>
        <w:rPr>
          <w:rFonts w:hint="eastAsia"/>
        </w:rPr>
        <w:t>衡政办</w:t>
      </w:r>
      <w:r>
        <w:t>函〔20</w:t>
      </w:r>
      <w:r>
        <w:rPr>
          <w:rFonts w:hint="eastAsia"/>
        </w:rPr>
        <w:t>20</w:t>
      </w:r>
      <w:r>
        <w:t>〕4号）；</w:t>
      </w:r>
    </w:p>
    <w:p w14:paraId="5DB391DE">
      <w:pPr>
        <w:adjustRightInd w:val="0"/>
        <w:snapToGrid w:val="0"/>
        <w:ind w:firstLine="480"/>
      </w:pPr>
      <w:r>
        <w:rPr>
          <w:rFonts w:hint="eastAsia"/>
        </w:rPr>
        <w:t>（</w:t>
      </w:r>
      <w:r>
        <w:t>17</w:t>
      </w:r>
      <w:r>
        <w:rPr>
          <w:rFonts w:hint="eastAsia"/>
        </w:rPr>
        <w:t>）衡阳市人民政府关于公布《衡阳市第二批千人以上集中式饮用水水源保护区划定方案》的通知</w:t>
      </w:r>
      <w:r>
        <w:t>（</w:t>
      </w:r>
      <w:r>
        <w:rPr>
          <w:rFonts w:hint="eastAsia"/>
        </w:rPr>
        <w:t>衡政办</w:t>
      </w:r>
      <w:r>
        <w:t>函〔20</w:t>
      </w:r>
      <w:r>
        <w:rPr>
          <w:rFonts w:hint="eastAsia"/>
        </w:rPr>
        <w:t>20</w:t>
      </w:r>
      <w:r>
        <w:t>〕12号）；</w:t>
      </w:r>
    </w:p>
    <w:p w14:paraId="4CEFE470">
      <w:pPr>
        <w:adjustRightInd w:val="0"/>
        <w:snapToGrid w:val="0"/>
        <w:ind w:firstLine="480"/>
      </w:pPr>
      <w:r>
        <w:rPr>
          <w:rFonts w:hint="eastAsia"/>
        </w:rPr>
        <w:t>（</w:t>
      </w:r>
      <w:r>
        <w:t>18</w:t>
      </w:r>
      <w:r>
        <w:rPr>
          <w:rFonts w:hint="eastAsia"/>
        </w:rPr>
        <w:t>）衡阳市生态环境局《关于衡阳市乡镇及以下集中式供水饮用水水源保护区划定方案的公示》；</w:t>
      </w:r>
    </w:p>
    <w:p w14:paraId="2A1B8105">
      <w:pPr>
        <w:adjustRightInd w:val="0"/>
        <w:snapToGrid w:val="0"/>
        <w:ind w:firstLine="480"/>
      </w:pPr>
      <w:r>
        <w:rPr>
          <w:rFonts w:hint="eastAsia"/>
        </w:rPr>
        <w:t>（</w:t>
      </w:r>
      <w:r>
        <w:t>19</w:t>
      </w:r>
      <w:r>
        <w:rPr>
          <w:rFonts w:hint="eastAsia"/>
        </w:rPr>
        <w:t>）衡阳市人民政府《关于实施“三线一单”生态环境分区管控的意见》（衡政发〔2020〕9号）；</w:t>
      </w:r>
    </w:p>
    <w:p w14:paraId="7C31589B">
      <w:pPr>
        <w:adjustRightInd w:val="0"/>
        <w:snapToGrid w:val="0"/>
        <w:ind w:firstLine="480"/>
      </w:pPr>
      <w:r>
        <w:rPr>
          <w:rFonts w:hint="eastAsia"/>
        </w:rPr>
        <w:t>（</w:t>
      </w:r>
      <w:r>
        <w:t>20</w:t>
      </w:r>
      <w:r>
        <w:rPr>
          <w:rFonts w:hint="eastAsia"/>
        </w:rPr>
        <w:t>）根据湖南省发展和改革委员会《关于同意全省“十四五”第一批风电、集中式光伏发电项目开发建设的复函》（湘发改函[</w:t>
      </w:r>
      <w:r>
        <w:t>2022]52</w:t>
      </w:r>
      <w:r>
        <w:rPr>
          <w:rFonts w:hint="eastAsia"/>
        </w:rPr>
        <w:t>号）；</w:t>
      </w:r>
    </w:p>
    <w:p w14:paraId="0C21309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.1.4</w:t>
      </w:r>
      <w:r>
        <w:rPr>
          <w:rFonts w:hint="eastAsia" w:ascii="Times New Roman" w:eastAsia="宋体"/>
          <w:sz w:val="28"/>
          <w:szCs w:val="28"/>
          <w:lang w:val="en-US"/>
        </w:rPr>
        <w:t>技术导则和规范</w:t>
      </w:r>
    </w:p>
    <w:p w14:paraId="7050E0B2">
      <w:pPr>
        <w:adjustRightInd w:val="0"/>
        <w:snapToGrid w:val="0"/>
        <w:ind w:firstLine="480"/>
      </w:pPr>
      <w:r>
        <w:rPr>
          <w:rFonts w:hint="eastAsia"/>
        </w:rPr>
        <w:t>（1）</w:t>
      </w:r>
      <w:r>
        <w:t>《环境影响评价技术导则—总纲》（HJ 2.1-2016）；</w:t>
      </w:r>
    </w:p>
    <w:p w14:paraId="69C90B71">
      <w:pPr>
        <w:adjustRightInd w:val="0"/>
        <w:snapToGrid w:val="0"/>
        <w:ind w:firstLine="480"/>
      </w:pPr>
      <w:r>
        <w:rPr>
          <w:rFonts w:hint="eastAsia"/>
        </w:rPr>
        <w:t>（2）</w:t>
      </w:r>
      <w:r>
        <w:t>《环境影响评价技术导则—大气环境》（HJ 2.2-2018）；</w:t>
      </w:r>
    </w:p>
    <w:p w14:paraId="60C8D4C7">
      <w:pPr>
        <w:adjustRightInd w:val="0"/>
        <w:snapToGrid w:val="0"/>
        <w:ind w:firstLine="480"/>
      </w:pPr>
      <w:r>
        <w:rPr>
          <w:rFonts w:hint="eastAsia"/>
        </w:rPr>
        <w:t>（3）</w:t>
      </w:r>
      <w:r>
        <w:t>《环境影响评价技术导则—地表水环境》（HJ 2.3-2018）；</w:t>
      </w:r>
    </w:p>
    <w:p w14:paraId="1397B142">
      <w:pPr>
        <w:adjustRightInd w:val="0"/>
        <w:snapToGrid w:val="0"/>
        <w:ind w:firstLine="480"/>
      </w:pPr>
      <w:r>
        <w:rPr>
          <w:rFonts w:hint="eastAsia"/>
        </w:rPr>
        <w:t>（4）</w:t>
      </w:r>
      <w:r>
        <w:t>《环境影响评价技术导则—地下水环境》（HJ 610-2016）；</w:t>
      </w:r>
    </w:p>
    <w:p w14:paraId="3D77F816">
      <w:pPr>
        <w:adjustRightInd w:val="0"/>
        <w:snapToGrid w:val="0"/>
        <w:ind w:firstLine="480"/>
      </w:pPr>
      <w:r>
        <w:rPr>
          <w:rFonts w:hint="eastAsia"/>
        </w:rPr>
        <w:t>（5）</w:t>
      </w:r>
      <w:r>
        <w:t>《环境影响评价技术导则—声环境》（HJ 2.4-2021）；</w:t>
      </w:r>
    </w:p>
    <w:p w14:paraId="3E7525EE">
      <w:pPr>
        <w:adjustRightInd w:val="0"/>
        <w:snapToGrid w:val="0"/>
        <w:ind w:firstLine="480"/>
      </w:pPr>
      <w:r>
        <w:rPr>
          <w:rFonts w:hint="eastAsia"/>
        </w:rPr>
        <w:t>（6）</w:t>
      </w:r>
      <w:r>
        <w:t>《环境影响评价技术导则—生态影响》（HJ 19-2022）；</w:t>
      </w:r>
    </w:p>
    <w:p w14:paraId="2F3CEF4F">
      <w:pPr>
        <w:adjustRightInd w:val="0"/>
        <w:snapToGrid w:val="0"/>
        <w:ind w:firstLine="480"/>
      </w:pPr>
      <w:r>
        <w:rPr>
          <w:rFonts w:hint="eastAsia"/>
        </w:rPr>
        <w:t>（7）</w:t>
      </w:r>
      <w:r>
        <w:t>《环境影响评价技术导则 土壤环境（试行）》（HJ 964-2018）；</w:t>
      </w:r>
    </w:p>
    <w:p w14:paraId="4FB566FD">
      <w:pPr>
        <w:adjustRightInd w:val="0"/>
        <w:snapToGrid w:val="0"/>
        <w:ind w:firstLine="480"/>
      </w:pPr>
      <w:r>
        <w:rPr>
          <w:rFonts w:hint="eastAsia"/>
        </w:rPr>
        <w:t>（8）</w:t>
      </w:r>
      <w:r>
        <w:t>《建设项目环境风险评价技术导则》（HJ 169-2018）；</w:t>
      </w:r>
    </w:p>
    <w:p w14:paraId="7D3CE813">
      <w:pPr>
        <w:adjustRightInd w:val="0"/>
        <w:snapToGrid w:val="0"/>
        <w:ind w:firstLine="480"/>
      </w:pPr>
      <w:r>
        <w:rPr>
          <w:rFonts w:hint="eastAsia"/>
        </w:rPr>
        <w:t>（9）《环境影响评价技术导则 生物多样性影响》  (DB45/T 1577-2017) ；</w:t>
      </w:r>
    </w:p>
    <w:p w14:paraId="24A01DE2">
      <w:pPr>
        <w:adjustRightInd w:val="0"/>
        <w:snapToGrid w:val="0"/>
        <w:ind w:firstLine="480"/>
      </w:pPr>
      <w:r>
        <w:rPr>
          <w:rFonts w:hint="eastAsia"/>
        </w:rPr>
        <w:t>（1</w:t>
      </w:r>
      <w:r>
        <w:t>0</w:t>
      </w:r>
      <w:r>
        <w:rPr>
          <w:rFonts w:hint="eastAsia"/>
        </w:rPr>
        <w:t>）《国家危险废物名录》(2021 年) ；</w:t>
      </w:r>
    </w:p>
    <w:p w14:paraId="2DA7400B">
      <w:pPr>
        <w:adjustRightInd w:val="0"/>
        <w:snapToGrid w:val="0"/>
        <w:ind w:firstLine="480"/>
      </w:pPr>
      <w:r>
        <w:rPr>
          <w:rFonts w:hint="eastAsia"/>
        </w:rPr>
        <w:t>（1</w:t>
      </w:r>
      <w:r>
        <w:t>1</w:t>
      </w:r>
      <w:r>
        <w:rPr>
          <w:rFonts w:hint="eastAsia"/>
        </w:rPr>
        <w:t>）《声环境功能区划分技术规范》 (GB/T15190-2014) ；</w:t>
      </w:r>
    </w:p>
    <w:p w14:paraId="0450B0C7">
      <w:pPr>
        <w:adjustRightInd w:val="0"/>
        <w:snapToGrid w:val="0"/>
        <w:ind w:firstLine="480"/>
      </w:pPr>
      <w:r>
        <w:rPr>
          <w:rFonts w:hint="eastAsia"/>
        </w:rPr>
        <w:t>（1</w:t>
      </w:r>
      <w:r>
        <w:t>2</w:t>
      </w:r>
      <w:r>
        <w:rPr>
          <w:rFonts w:hint="eastAsia"/>
        </w:rPr>
        <w:t>）《生物多样性观测技术导则  鸟类》  (HJ710.4-2014) ；</w:t>
      </w:r>
    </w:p>
    <w:p w14:paraId="269A8069">
      <w:pPr>
        <w:adjustRightInd w:val="0"/>
        <w:snapToGrid w:val="0"/>
        <w:ind w:firstLine="480"/>
      </w:pPr>
      <w:r>
        <w:rPr>
          <w:rFonts w:hint="eastAsia"/>
        </w:rPr>
        <w:t>（1</w:t>
      </w:r>
      <w:r>
        <w:t>3</w:t>
      </w:r>
      <w:r>
        <w:rPr>
          <w:rFonts w:hint="eastAsia"/>
        </w:rPr>
        <w:t>）《生态环境状况评价技术规范》（</w:t>
      </w:r>
      <w:r>
        <w:t>HJ192-2015</w:t>
      </w:r>
      <w:r>
        <w:rPr>
          <w:rFonts w:hint="eastAsia"/>
        </w:rPr>
        <w:t>）；</w:t>
      </w:r>
    </w:p>
    <w:p w14:paraId="103D05E1">
      <w:pPr>
        <w:adjustRightInd w:val="0"/>
        <w:snapToGrid w:val="0"/>
        <w:ind w:firstLine="480"/>
      </w:pPr>
      <w:r>
        <w:rPr>
          <w:rFonts w:hint="eastAsia"/>
        </w:rPr>
        <w:t>（</w:t>
      </w:r>
      <w:r>
        <w:t>14</w:t>
      </w:r>
      <w:r>
        <w:rPr>
          <w:rFonts w:hint="eastAsia"/>
        </w:rPr>
        <w:t>）《风电场噪声限值及测量方法》（</w:t>
      </w:r>
      <w:r>
        <w:t>DL/T1084-2008</w:t>
      </w:r>
      <w:r>
        <w:rPr>
          <w:rFonts w:hint="eastAsia"/>
        </w:rPr>
        <w:t>）；</w:t>
      </w:r>
    </w:p>
    <w:p w14:paraId="10173207">
      <w:pPr>
        <w:adjustRightInd w:val="0"/>
        <w:snapToGrid w:val="0"/>
        <w:ind w:firstLine="480"/>
      </w:pPr>
      <w:r>
        <w:t>（15）《环境影响评价技术导则 输变电》（HJ24-2020）；</w:t>
      </w:r>
    </w:p>
    <w:p w14:paraId="64E6ED3D">
      <w:pPr>
        <w:adjustRightInd w:val="0"/>
        <w:snapToGrid w:val="0"/>
        <w:ind w:firstLine="480"/>
      </w:pPr>
      <w:r>
        <w:t>（16）《交流输变电工程电磁环境监测方法》（试行）（HJ681-2013）；</w:t>
      </w:r>
    </w:p>
    <w:p w14:paraId="0A282DEE">
      <w:pPr>
        <w:adjustRightInd w:val="0"/>
        <w:snapToGrid w:val="0"/>
        <w:ind w:firstLine="480"/>
      </w:pPr>
      <w:r>
        <w:t>（17）《电磁环境控制限值》（GB8702-2014）</w:t>
      </w:r>
      <w:r>
        <w:rPr>
          <w:rFonts w:hint="eastAsia"/>
        </w:rPr>
        <w:t>；</w:t>
      </w:r>
    </w:p>
    <w:p w14:paraId="4276C519">
      <w:pPr>
        <w:adjustRightInd w:val="0"/>
        <w:snapToGrid w:val="0"/>
        <w:ind w:firstLine="480"/>
      </w:pPr>
      <w:r>
        <w:rPr>
          <w:rFonts w:hint="eastAsia"/>
        </w:rPr>
        <w:t>（1</w:t>
      </w:r>
      <w:r>
        <w:t>8</w:t>
      </w:r>
      <w:r>
        <w:rPr>
          <w:rFonts w:hint="eastAsia"/>
        </w:rPr>
        <w:t>）</w:t>
      </w:r>
      <w:r>
        <w:t>《建设项目危险废物环境影响评价指南》（公告 2017年 第43号）</w:t>
      </w:r>
      <w:r>
        <w:rPr>
          <w:rFonts w:hint="eastAsia"/>
        </w:rPr>
        <w:t>；</w:t>
      </w:r>
    </w:p>
    <w:p w14:paraId="61742E6A">
      <w:pPr>
        <w:adjustRightInd w:val="0"/>
        <w:snapToGrid w:val="0"/>
        <w:ind w:firstLine="480"/>
      </w:pPr>
      <w:r>
        <w:rPr>
          <w:rFonts w:hint="eastAsia"/>
        </w:rPr>
        <w:t>（1</w:t>
      </w:r>
      <w:r>
        <w:t>9</w:t>
      </w:r>
      <w:r>
        <w:rPr>
          <w:rFonts w:hint="eastAsia"/>
        </w:rPr>
        <w:t>）《</w:t>
      </w:r>
      <w:r>
        <w:fldChar w:fldCharType="begin"/>
      </w:r>
      <w:r>
        <w:instrText xml:space="preserve"> HYPERLINK "http://www.baidu.com/link?url=0_6Cx1jQQHHCraJL7pBVVoKGbADlGI1d_QXrZTnh1ZTR6aCBFQrRku8UVxbo6HWPlEgXrB0ANzAWMD3iV3iiL7LFyd83I9XdZyKTzlcbxea" \t "https://www.baidu.com/_blank" </w:instrText>
      </w:r>
      <w:r>
        <w:fldChar w:fldCharType="separate"/>
      </w:r>
      <w:r>
        <w:t>输变电建设项目环境保护技术要求</w:t>
      </w:r>
      <w:r>
        <w:rPr>
          <w:rFonts w:hint="eastAsia"/>
        </w:rPr>
        <w:t>》</w:t>
      </w:r>
      <w:r>
        <w:t>(HJ 1113-2020)</w:t>
      </w:r>
      <w:r>
        <w:fldChar w:fldCharType="end"/>
      </w:r>
      <w:r>
        <w:rPr>
          <w:rFonts w:hint="eastAsia"/>
        </w:rPr>
        <w:t>。</w:t>
      </w:r>
    </w:p>
    <w:p w14:paraId="41258CA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.1.5</w:t>
      </w:r>
      <w:r>
        <w:rPr>
          <w:rFonts w:hint="eastAsia" w:ascii="Times New Roman" w:eastAsia="宋体"/>
          <w:sz w:val="28"/>
          <w:szCs w:val="28"/>
          <w:lang w:val="en-US"/>
        </w:rPr>
        <w:t>相关文件</w:t>
      </w:r>
    </w:p>
    <w:p w14:paraId="5891849C">
      <w:pPr>
        <w:adjustRightInd w:val="0"/>
        <w:snapToGrid w:val="0"/>
        <w:ind w:firstLine="480"/>
      </w:pPr>
      <w:bookmarkStart w:id="33" w:name="_Toc16144483"/>
      <w:bookmarkStart w:id="34" w:name="_Toc439880007"/>
      <w:r>
        <w:rPr>
          <w:rFonts w:hint="eastAsia"/>
        </w:rPr>
        <w:t>（1）项目委托书；</w:t>
      </w:r>
    </w:p>
    <w:p w14:paraId="61993960">
      <w:pPr>
        <w:adjustRightInd w:val="0"/>
        <w:snapToGrid w:val="0"/>
        <w:ind w:firstLine="480"/>
      </w:pPr>
      <w:r>
        <w:rPr>
          <w:rFonts w:hint="eastAsia"/>
        </w:rPr>
        <w:t>（</w:t>
      </w:r>
      <w:r>
        <w:t>2</w:t>
      </w:r>
      <w:r>
        <w:rPr>
          <w:rFonts w:hint="eastAsia"/>
        </w:rPr>
        <w:t>）《衡阳县杉桥风电场项目地质灾害危险性评估报告》（2019年10月）；</w:t>
      </w:r>
    </w:p>
    <w:p w14:paraId="4E3AF682">
      <w:pPr>
        <w:adjustRightInd w:val="0"/>
        <w:snapToGrid w:val="0"/>
        <w:ind w:firstLine="480"/>
      </w:pPr>
      <w:r>
        <w:rPr>
          <w:rFonts w:hint="eastAsia"/>
        </w:rPr>
        <w:t>（3）《衡阳县杉桥风电场项目水土保持方案报告书》；</w:t>
      </w:r>
    </w:p>
    <w:p w14:paraId="470FC2E0">
      <w:pPr>
        <w:adjustRightInd w:val="0"/>
        <w:snapToGrid w:val="0"/>
        <w:ind w:firstLine="480"/>
      </w:pPr>
      <w:r>
        <w:rPr>
          <w:rFonts w:hint="eastAsia"/>
        </w:rPr>
        <w:t>（4）《衡阳县杉桥风电场项目可行性研究报告》；</w:t>
      </w:r>
    </w:p>
    <w:p w14:paraId="42B3E98F">
      <w:pPr>
        <w:adjustRightInd w:val="0"/>
        <w:snapToGrid w:val="0"/>
        <w:ind w:firstLine="480"/>
      </w:pPr>
      <w:r>
        <w:rPr>
          <w:rFonts w:hint="eastAsia"/>
        </w:rPr>
        <w:t>（5）工程建设方提供其他资料。</w:t>
      </w:r>
    </w:p>
    <w:p w14:paraId="0B13F928">
      <w:pPr>
        <w:pStyle w:val="4"/>
        <w:tabs>
          <w:tab w:val="clear" w:pos="480"/>
          <w:tab w:val="clear" w:pos="630"/>
        </w:tabs>
        <w:spacing w:before="0" w:after="0"/>
        <w:rPr>
          <w:sz w:val="30"/>
          <w:szCs w:val="30"/>
          <w:lang w:val="en-US"/>
        </w:rPr>
      </w:pPr>
      <w:bookmarkStart w:id="35" w:name="_Toc116977974"/>
      <w:bookmarkStart w:id="36" w:name="_Toc143799358"/>
      <w:r>
        <w:rPr>
          <w:rFonts w:hint="eastAsia"/>
          <w:sz w:val="30"/>
          <w:szCs w:val="30"/>
          <w:lang w:val="en-US"/>
        </w:rPr>
        <w:t>2</w:t>
      </w:r>
      <w:r>
        <w:rPr>
          <w:sz w:val="30"/>
          <w:szCs w:val="30"/>
          <w:lang w:val="en-US"/>
        </w:rPr>
        <w:t>.2</w:t>
      </w:r>
      <w:r>
        <w:rPr>
          <w:rFonts w:hint="eastAsia"/>
          <w:sz w:val="30"/>
          <w:szCs w:val="30"/>
          <w:lang w:val="en-US"/>
        </w:rPr>
        <w:t>环境影响识别和评价因子筛选</w:t>
      </w:r>
      <w:bookmarkEnd w:id="35"/>
      <w:bookmarkEnd w:id="36"/>
    </w:p>
    <w:p w14:paraId="184A1DB8">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2.2.1</w:t>
      </w:r>
      <w:r>
        <w:rPr>
          <w:rFonts w:hint="eastAsia" w:ascii="Times New Roman" w:eastAsia="宋体"/>
          <w:sz w:val="28"/>
          <w:szCs w:val="28"/>
          <w:lang w:val="en-US"/>
        </w:rPr>
        <w:t>环境影响识别</w:t>
      </w:r>
    </w:p>
    <w:p w14:paraId="6E62D96F">
      <w:pPr>
        <w:adjustRightInd w:val="0"/>
        <w:snapToGrid w:val="0"/>
        <w:ind w:firstLine="480"/>
      </w:pPr>
      <w:bookmarkStart w:id="37" w:name="_Toc401255940"/>
      <w:r>
        <w:rPr>
          <w:rFonts w:hint="eastAsia"/>
        </w:rPr>
        <w:t>综合考虑项目的性质、工程特点、实施阶段（施工期、运行期）及其所处区域的环境特征，识别出可能对自然环境、社会环境和生活质量产生影响的因子，并确定其影响性质时间、范围和影响程度等，为筛选评价因子及确定评价重点提供依据。</w:t>
      </w:r>
    </w:p>
    <w:p w14:paraId="613C5D00">
      <w:pPr>
        <w:adjustRightInd w:val="0"/>
        <w:snapToGrid w:val="0"/>
        <w:ind w:firstLine="480"/>
      </w:pPr>
      <w:r>
        <w:rPr>
          <w:rFonts w:hint="eastAsia"/>
        </w:rPr>
        <w:t>环境影响因子识别矩阵见表</w:t>
      </w:r>
      <w:r>
        <w:t>2.2-1</w:t>
      </w:r>
      <w:r>
        <w:rPr>
          <w:rFonts w:hint="eastAsia"/>
        </w:rPr>
        <w:t>，根据相关导则及排放筛选出主要特征评价因子，见表</w:t>
      </w:r>
      <w:r>
        <w:t>2.2-2</w:t>
      </w:r>
      <w:r>
        <w:rPr>
          <w:rFonts w:hint="eastAsia"/>
        </w:rPr>
        <w:t>。</w:t>
      </w:r>
    </w:p>
    <w:p w14:paraId="63C8B592">
      <w:pPr>
        <w:adjustRightInd w:val="0"/>
        <w:snapToGrid w:val="0"/>
        <w:spacing w:line="240" w:lineRule="auto"/>
        <w:ind w:firstLineChars="83"/>
        <w:jc w:val="center"/>
        <w:rPr>
          <w:b/>
          <w:bCs/>
        </w:rPr>
      </w:pPr>
      <w:r>
        <w:rPr>
          <w:b/>
          <w:bCs/>
        </w:rPr>
        <w:t>表 2.2-1 环境影响因子识别矩阵</w:t>
      </w:r>
    </w:p>
    <w:tbl>
      <w:tblPr>
        <w:tblStyle w:val="3670"/>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11"/>
        <w:gridCol w:w="1248"/>
        <w:gridCol w:w="1079"/>
        <w:gridCol w:w="1078"/>
        <w:gridCol w:w="1081"/>
        <w:gridCol w:w="1084"/>
        <w:gridCol w:w="1081"/>
        <w:gridCol w:w="1079"/>
      </w:tblGrid>
      <w:tr w14:paraId="381813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114" w:type="pct"/>
            <w:gridSpan w:val="2"/>
            <w:vMerge w:val="restart"/>
            <w:vAlign w:val="center"/>
          </w:tcPr>
          <w:p w14:paraId="25EA8373">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工程行为环境要素</w:t>
            </w:r>
          </w:p>
        </w:tc>
        <w:tc>
          <w:tcPr>
            <w:tcW w:w="2591" w:type="pct"/>
            <w:gridSpan w:val="4"/>
            <w:vAlign w:val="center"/>
          </w:tcPr>
          <w:p w14:paraId="30C18B59">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建设期</w:t>
            </w:r>
          </w:p>
        </w:tc>
        <w:tc>
          <w:tcPr>
            <w:tcW w:w="1296" w:type="pct"/>
            <w:gridSpan w:val="2"/>
            <w:vAlign w:val="center"/>
          </w:tcPr>
          <w:p w14:paraId="0C0BB47F">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运行期</w:t>
            </w:r>
          </w:p>
        </w:tc>
      </w:tr>
      <w:tr w14:paraId="25AEB2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114" w:type="pct"/>
            <w:gridSpan w:val="2"/>
            <w:vMerge w:val="continue"/>
            <w:vAlign w:val="center"/>
          </w:tcPr>
          <w:p w14:paraId="0EAFF0A9">
            <w:pPr>
              <w:autoSpaceDE w:val="0"/>
              <w:autoSpaceDN w:val="0"/>
              <w:adjustRightInd w:val="0"/>
              <w:snapToGrid w:val="0"/>
              <w:spacing w:line="240" w:lineRule="auto"/>
              <w:ind w:firstLine="0" w:firstLineChars="0"/>
              <w:jc w:val="center"/>
              <w:rPr>
                <w:rFonts w:ascii="宋体" w:hAnsi="宋体"/>
                <w:sz w:val="18"/>
                <w:szCs w:val="18"/>
                <w:lang w:eastAsia="en-US"/>
              </w:rPr>
            </w:pPr>
          </w:p>
        </w:tc>
        <w:tc>
          <w:tcPr>
            <w:tcW w:w="647" w:type="pct"/>
            <w:vAlign w:val="center"/>
          </w:tcPr>
          <w:p w14:paraId="0EB045DC">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土方开挖</w:t>
            </w:r>
          </w:p>
        </w:tc>
        <w:tc>
          <w:tcPr>
            <w:tcW w:w="646" w:type="pct"/>
            <w:vAlign w:val="center"/>
          </w:tcPr>
          <w:p w14:paraId="1B74C0D2">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机械作业</w:t>
            </w:r>
          </w:p>
        </w:tc>
        <w:tc>
          <w:tcPr>
            <w:tcW w:w="648" w:type="pct"/>
            <w:vAlign w:val="center"/>
          </w:tcPr>
          <w:p w14:paraId="6915FF18">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材料运输</w:t>
            </w:r>
          </w:p>
        </w:tc>
        <w:tc>
          <w:tcPr>
            <w:tcW w:w="650" w:type="pct"/>
            <w:vAlign w:val="center"/>
          </w:tcPr>
          <w:p w14:paraId="0BE82E83">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施工人员</w:t>
            </w:r>
          </w:p>
        </w:tc>
        <w:tc>
          <w:tcPr>
            <w:tcW w:w="648" w:type="pct"/>
            <w:vAlign w:val="center"/>
          </w:tcPr>
          <w:p w14:paraId="654D158E">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风机发电</w:t>
            </w:r>
          </w:p>
        </w:tc>
        <w:tc>
          <w:tcPr>
            <w:tcW w:w="648" w:type="pct"/>
            <w:vAlign w:val="center"/>
          </w:tcPr>
          <w:p w14:paraId="5940CABE">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宋体" w:hAnsi="宋体"/>
                <w:sz w:val="18"/>
                <w:szCs w:val="18"/>
                <w:lang w:eastAsia="en-US"/>
              </w:rPr>
              <w:t>维护人员</w:t>
            </w:r>
          </w:p>
        </w:tc>
      </w:tr>
      <w:tr w14:paraId="5C889E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restart"/>
            <w:vAlign w:val="center"/>
          </w:tcPr>
          <w:p w14:paraId="3A129752">
            <w:pPr>
              <w:autoSpaceDE w:val="0"/>
              <w:autoSpaceDN w:val="0"/>
              <w:adjustRightInd w:val="0"/>
              <w:snapToGrid w:val="0"/>
              <w:spacing w:line="240" w:lineRule="auto"/>
              <w:ind w:firstLine="0" w:firstLineChars="0"/>
              <w:rPr>
                <w:rFonts w:ascii="宋体" w:hAnsi="宋体"/>
                <w:sz w:val="18"/>
                <w:szCs w:val="18"/>
                <w:lang w:eastAsia="en-US"/>
              </w:rPr>
            </w:pPr>
            <w:r>
              <w:rPr>
                <w:rFonts w:hint="eastAsia" w:ascii="宋体" w:hAnsi="宋体"/>
                <w:sz w:val="18"/>
                <w:szCs w:val="18"/>
                <w:lang w:eastAsia="en-US"/>
              </w:rPr>
              <w:t>自然环境</w:t>
            </w:r>
          </w:p>
        </w:tc>
        <w:tc>
          <w:tcPr>
            <w:tcW w:w="748" w:type="pct"/>
            <w:vAlign w:val="center"/>
          </w:tcPr>
          <w:p w14:paraId="7643F63C">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环境空气</w:t>
            </w:r>
          </w:p>
        </w:tc>
        <w:tc>
          <w:tcPr>
            <w:tcW w:w="647" w:type="pct"/>
            <w:vAlign w:val="center"/>
          </w:tcPr>
          <w:p w14:paraId="284A46A5">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14:paraId="448502AE">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3DC4A5C7">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50" w:type="pct"/>
            <w:vAlign w:val="center"/>
          </w:tcPr>
          <w:p w14:paraId="3C18919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159646F1">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412C536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r>
      <w:tr w14:paraId="406BCC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0023B6A2">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752225E3">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地表水</w:t>
            </w:r>
          </w:p>
        </w:tc>
        <w:tc>
          <w:tcPr>
            <w:tcW w:w="647" w:type="pct"/>
            <w:vAlign w:val="center"/>
          </w:tcPr>
          <w:p w14:paraId="3A1468C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6" w:type="pct"/>
            <w:vAlign w:val="center"/>
          </w:tcPr>
          <w:p w14:paraId="3C049780">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1734D0FC">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50" w:type="pct"/>
            <w:vAlign w:val="center"/>
          </w:tcPr>
          <w:p w14:paraId="604211F6">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61B7EFF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687DE29F">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p>
        </w:tc>
      </w:tr>
      <w:tr w14:paraId="581F88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028A4879">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0E0B05E7">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声环境</w:t>
            </w:r>
          </w:p>
        </w:tc>
        <w:tc>
          <w:tcPr>
            <w:tcW w:w="647" w:type="pct"/>
            <w:vAlign w:val="center"/>
          </w:tcPr>
          <w:p w14:paraId="57EE2E62">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14:paraId="677650AC">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4101C5FA">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50" w:type="pct"/>
            <w:vAlign w:val="center"/>
          </w:tcPr>
          <w:p w14:paraId="7C14EC72">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49BFCF71">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5E860FF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r>
      <w:tr w14:paraId="7216C3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4CD18196">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1C653D66">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固体废物</w:t>
            </w:r>
          </w:p>
        </w:tc>
        <w:tc>
          <w:tcPr>
            <w:tcW w:w="647" w:type="pct"/>
            <w:vAlign w:val="center"/>
          </w:tcPr>
          <w:p w14:paraId="72F126BA">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14:paraId="2867A203">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2ABF0B0F">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50" w:type="pct"/>
            <w:vAlign w:val="center"/>
          </w:tcPr>
          <w:p w14:paraId="7E17FA3D">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78E7F469">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759862E4">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r>
      <w:tr w14:paraId="469E3B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6E5DD7FA">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21339612">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水生植被</w:t>
            </w:r>
          </w:p>
        </w:tc>
        <w:tc>
          <w:tcPr>
            <w:tcW w:w="647" w:type="pct"/>
            <w:vAlign w:val="center"/>
          </w:tcPr>
          <w:p w14:paraId="5310FAF1">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6" w:type="pct"/>
            <w:vAlign w:val="center"/>
          </w:tcPr>
          <w:p w14:paraId="4D77D78D">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09951A90">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50" w:type="pct"/>
            <w:vAlign w:val="center"/>
          </w:tcPr>
          <w:p w14:paraId="3828ADBA">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0B9D80E1">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3465F614">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r>
      <w:tr w14:paraId="467363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3F6CD034">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4C7C3913">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陆生植被</w:t>
            </w:r>
          </w:p>
        </w:tc>
        <w:tc>
          <w:tcPr>
            <w:tcW w:w="647" w:type="pct"/>
            <w:vAlign w:val="center"/>
          </w:tcPr>
          <w:p w14:paraId="54A6741B">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14:paraId="10C1005C">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57378703">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50" w:type="pct"/>
            <w:vAlign w:val="center"/>
          </w:tcPr>
          <w:p w14:paraId="084363C5">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1C5742B4">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5AA6A777">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r>
      <w:tr w14:paraId="480EEC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53B4C64E">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59286F8F">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生物量</w:t>
            </w:r>
          </w:p>
        </w:tc>
        <w:tc>
          <w:tcPr>
            <w:tcW w:w="647" w:type="pct"/>
            <w:vAlign w:val="center"/>
          </w:tcPr>
          <w:p w14:paraId="7F4C96E3">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14:paraId="38458FC8">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5FA9B54F">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50" w:type="pct"/>
            <w:vAlign w:val="center"/>
          </w:tcPr>
          <w:p w14:paraId="0C9D86BF">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12470835">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4A12A34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r>
      <w:tr w14:paraId="2850EB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366" w:type="pct"/>
            <w:vMerge w:val="continue"/>
            <w:vAlign w:val="center"/>
          </w:tcPr>
          <w:p w14:paraId="7F9A9BC9">
            <w:pPr>
              <w:autoSpaceDE w:val="0"/>
              <w:autoSpaceDN w:val="0"/>
              <w:adjustRightInd w:val="0"/>
              <w:snapToGrid w:val="0"/>
              <w:spacing w:line="240" w:lineRule="auto"/>
              <w:ind w:firstLine="0" w:firstLineChars="0"/>
              <w:rPr>
                <w:rFonts w:ascii="宋体" w:hAnsi="宋体"/>
                <w:sz w:val="18"/>
                <w:szCs w:val="18"/>
                <w:lang w:eastAsia="en-US"/>
              </w:rPr>
            </w:pPr>
          </w:p>
        </w:tc>
        <w:tc>
          <w:tcPr>
            <w:tcW w:w="748" w:type="pct"/>
            <w:vAlign w:val="center"/>
          </w:tcPr>
          <w:p w14:paraId="69576048">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水土流失</w:t>
            </w:r>
          </w:p>
        </w:tc>
        <w:tc>
          <w:tcPr>
            <w:tcW w:w="647" w:type="pct"/>
            <w:vAlign w:val="center"/>
          </w:tcPr>
          <w:p w14:paraId="5815AA82">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6" w:type="pct"/>
            <w:vAlign w:val="center"/>
          </w:tcPr>
          <w:p w14:paraId="523B1CD6">
            <w:pPr>
              <w:autoSpaceDE w:val="0"/>
              <w:autoSpaceDN w:val="0"/>
              <w:adjustRightInd w:val="0"/>
              <w:snapToGrid w:val="0"/>
              <w:spacing w:line="240" w:lineRule="auto"/>
              <w:ind w:firstLine="0" w:firstLineChars="0"/>
              <w:jc w:val="center"/>
              <w:rPr>
                <w:rFonts w:ascii="宋体" w:hAnsi="宋体"/>
                <w:sz w:val="18"/>
                <w:szCs w:val="18"/>
                <w:lang w:eastAsia="en-US"/>
              </w:rPr>
            </w:pPr>
            <w:r>
              <w:rPr>
                <w:rFonts w:hint="eastAsia" w:ascii="微软雅黑" w:hAnsi="微软雅黑" w:eastAsia="微软雅黑" w:cs="微软雅黑"/>
                <w:sz w:val="18"/>
                <w:szCs w:val="18"/>
                <w:lang w:eastAsia="en-US"/>
              </w:rPr>
              <w:t>∆</w:t>
            </w:r>
            <w:r>
              <w:rPr>
                <w:rFonts w:hint="eastAsia" w:ascii="宋体" w:hAnsi="宋体" w:cs="宋体"/>
                <w:sz w:val="18"/>
                <w:szCs w:val="18"/>
                <w:lang w:eastAsia="en-US"/>
              </w:rPr>
              <w:t>○</w:t>
            </w:r>
            <w:r>
              <w:rPr>
                <w:rFonts w:ascii="宋体" w:hAnsi="宋体"/>
                <w:sz w:val="18"/>
                <w:szCs w:val="18"/>
                <w:lang w:eastAsia="en-US"/>
              </w:rPr>
              <w:t>█</w:t>
            </w:r>
            <w:r>
              <w:rPr>
                <w:rFonts w:hint="eastAsia" w:ascii="宋体" w:hAnsi="宋体" w:cs="宋体"/>
                <w:sz w:val="18"/>
                <w:szCs w:val="18"/>
                <w:lang w:eastAsia="en-US"/>
              </w:rPr>
              <w:t>◇</w:t>
            </w:r>
          </w:p>
        </w:tc>
        <w:tc>
          <w:tcPr>
            <w:tcW w:w="648" w:type="pct"/>
            <w:vAlign w:val="center"/>
          </w:tcPr>
          <w:p w14:paraId="40CE0EE4">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50" w:type="pct"/>
            <w:vAlign w:val="center"/>
          </w:tcPr>
          <w:p w14:paraId="3C1E0FCE">
            <w:pPr>
              <w:autoSpaceDE w:val="0"/>
              <w:autoSpaceDN w:val="0"/>
              <w:adjustRightInd w:val="0"/>
              <w:snapToGrid w:val="0"/>
              <w:spacing w:line="240" w:lineRule="auto"/>
              <w:ind w:firstLine="0" w:firstLineChars="0"/>
              <w:jc w:val="center"/>
              <w:rPr>
                <w:rFonts w:ascii="宋体" w:hAnsi="宋体"/>
                <w:sz w:val="18"/>
                <w:szCs w:val="18"/>
                <w:lang w:eastAsia="en-US"/>
              </w:rPr>
            </w:pPr>
          </w:p>
        </w:tc>
        <w:tc>
          <w:tcPr>
            <w:tcW w:w="648" w:type="pct"/>
            <w:vAlign w:val="center"/>
          </w:tcPr>
          <w:p w14:paraId="6851168B">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c>
          <w:tcPr>
            <w:tcW w:w="648" w:type="pct"/>
            <w:vAlign w:val="center"/>
          </w:tcPr>
          <w:p w14:paraId="09DAC1FE">
            <w:pPr>
              <w:autoSpaceDE w:val="0"/>
              <w:autoSpaceDN w:val="0"/>
              <w:adjustRightInd w:val="0"/>
              <w:snapToGrid w:val="0"/>
              <w:spacing w:line="240" w:lineRule="auto"/>
              <w:ind w:firstLine="0" w:firstLineChars="0"/>
              <w:jc w:val="center"/>
              <w:rPr>
                <w:rFonts w:ascii="宋体" w:hAnsi="宋体"/>
                <w:sz w:val="18"/>
                <w:szCs w:val="18"/>
                <w:lang w:eastAsia="en-US"/>
              </w:rPr>
            </w:pPr>
            <w:r>
              <w:rPr>
                <w:rFonts w:ascii="宋体" w:hAnsi="宋体"/>
                <w:sz w:val="18"/>
                <w:szCs w:val="18"/>
                <w:lang w:eastAsia="en-US"/>
              </w:rPr>
              <w:t>/</w:t>
            </w:r>
          </w:p>
        </w:tc>
      </w:tr>
      <w:tr w14:paraId="6884BC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5000" w:type="pct"/>
            <w:gridSpan w:val="8"/>
            <w:vAlign w:val="center"/>
          </w:tcPr>
          <w:p w14:paraId="4368E4CD">
            <w:pPr>
              <w:autoSpaceDE w:val="0"/>
              <w:autoSpaceDN w:val="0"/>
              <w:adjustRightInd w:val="0"/>
              <w:snapToGrid w:val="0"/>
              <w:spacing w:line="240" w:lineRule="auto"/>
              <w:ind w:firstLine="0" w:firstLineChars="0"/>
              <w:rPr>
                <w:rFonts w:ascii="宋体" w:hAnsi="宋体"/>
                <w:sz w:val="18"/>
                <w:szCs w:val="18"/>
                <w:lang w:eastAsia="zh-CN"/>
              </w:rPr>
            </w:pPr>
            <w:r>
              <w:rPr>
                <w:rFonts w:ascii="宋体" w:hAnsi="宋体"/>
                <w:sz w:val="18"/>
                <w:szCs w:val="18"/>
                <w:lang w:eastAsia="zh-CN"/>
              </w:rPr>
              <w:t>▲：影响程度中等；</w:t>
            </w:r>
            <w:r>
              <w:rPr>
                <w:rFonts w:hint="eastAsia" w:ascii="微软雅黑" w:hAnsi="微软雅黑" w:eastAsia="微软雅黑" w:cs="微软雅黑"/>
                <w:sz w:val="18"/>
                <w:szCs w:val="18"/>
                <w:lang w:eastAsia="zh-CN"/>
              </w:rPr>
              <w:t>∆</w:t>
            </w:r>
            <w:r>
              <w:rPr>
                <w:rFonts w:ascii="宋体" w:hAnsi="宋体"/>
                <w:sz w:val="18"/>
                <w:szCs w:val="18"/>
                <w:lang w:eastAsia="zh-CN"/>
              </w:rPr>
              <w:t>：影响程度较小；●：长期影响；○：短期影响。</w:t>
            </w:r>
          </w:p>
          <w:p w14:paraId="2A1E53E2">
            <w:pPr>
              <w:autoSpaceDE w:val="0"/>
              <w:autoSpaceDN w:val="0"/>
              <w:adjustRightInd w:val="0"/>
              <w:snapToGrid w:val="0"/>
              <w:spacing w:line="240" w:lineRule="auto"/>
              <w:ind w:firstLine="0" w:firstLineChars="0"/>
              <w:rPr>
                <w:rFonts w:ascii="宋体" w:hAnsi="宋体"/>
                <w:sz w:val="18"/>
                <w:szCs w:val="18"/>
                <w:lang w:eastAsia="zh-CN"/>
              </w:rPr>
            </w:pPr>
            <w:r>
              <w:rPr>
                <w:rFonts w:ascii="宋体" w:hAnsi="宋体"/>
                <w:sz w:val="18"/>
                <w:szCs w:val="18"/>
                <w:lang w:eastAsia="zh-CN"/>
              </w:rPr>
              <w:t>█</w:t>
            </w:r>
            <w:r>
              <w:rPr>
                <w:rFonts w:hint="eastAsia" w:ascii="宋体" w:hAnsi="宋体"/>
                <w:sz w:val="18"/>
                <w:szCs w:val="18"/>
                <w:lang w:eastAsia="zh-CN"/>
              </w:rPr>
              <w:t>：</w:t>
            </w:r>
            <w:r>
              <w:rPr>
                <w:rFonts w:ascii="宋体" w:hAnsi="宋体"/>
                <w:sz w:val="18"/>
                <w:szCs w:val="18"/>
                <w:lang w:eastAsia="zh-CN"/>
              </w:rPr>
              <w:t>直接影响</w:t>
            </w:r>
            <w:r>
              <w:rPr>
                <w:rFonts w:hint="eastAsia" w:ascii="宋体" w:hAnsi="宋体"/>
                <w:sz w:val="18"/>
                <w:szCs w:val="18"/>
                <w:lang w:eastAsia="zh-CN"/>
              </w:rPr>
              <w:t>；</w:t>
            </w:r>
            <w:r>
              <w:rPr>
                <w:rFonts w:ascii="宋体" w:hAnsi="宋体"/>
                <w:sz w:val="18"/>
                <w:szCs w:val="18"/>
                <w:lang w:eastAsia="zh-CN"/>
              </w:rPr>
              <w:t>□</w:t>
            </w:r>
            <w:r>
              <w:rPr>
                <w:rFonts w:hint="eastAsia" w:ascii="宋体" w:hAnsi="宋体"/>
                <w:sz w:val="18"/>
                <w:szCs w:val="18"/>
                <w:lang w:eastAsia="zh-CN"/>
              </w:rPr>
              <w:t>：</w:t>
            </w:r>
            <w:r>
              <w:rPr>
                <w:rFonts w:ascii="宋体" w:hAnsi="宋体"/>
                <w:sz w:val="18"/>
                <w:szCs w:val="18"/>
                <w:lang w:eastAsia="zh-CN"/>
              </w:rPr>
              <w:t xml:space="preserve"> 间接影响</w:t>
            </w:r>
            <w:r>
              <w:rPr>
                <w:rFonts w:hint="eastAsia" w:ascii="宋体" w:hAnsi="宋体"/>
                <w:sz w:val="18"/>
                <w:szCs w:val="18"/>
                <w:lang w:eastAsia="zh-CN"/>
              </w:rPr>
              <w:t>；</w:t>
            </w:r>
            <w:r>
              <w:rPr>
                <w:rFonts w:hint="eastAsia" w:ascii="宋体" w:hAnsi="宋体" w:cs="宋体"/>
                <w:sz w:val="18"/>
                <w:szCs w:val="18"/>
                <w:lang w:eastAsia="zh-CN"/>
              </w:rPr>
              <w:t>◆：</w:t>
            </w:r>
            <w:r>
              <w:rPr>
                <w:rFonts w:ascii="宋体" w:hAnsi="宋体"/>
                <w:sz w:val="18"/>
                <w:szCs w:val="18"/>
                <w:lang w:eastAsia="zh-CN"/>
              </w:rPr>
              <w:t>累积影响</w:t>
            </w:r>
            <w:r>
              <w:rPr>
                <w:rFonts w:hint="eastAsia" w:ascii="宋体" w:hAnsi="宋体"/>
                <w:sz w:val="18"/>
                <w:szCs w:val="18"/>
                <w:lang w:eastAsia="zh-CN"/>
              </w:rPr>
              <w:t>；</w:t>
            </w:r>
            <w:r>
              <w:rPr>
                <w:rFonts w:ascii="宋体" w:hAnsi="宋体"/>
                <w:sz w:val="18"/>
                <w:szCs w:val="18"/>
                <w:lang w:eastAsia="zh-CN"/>
              </w:rPr>
              <w:t xml:space="preserve"> </w:t>
            </w:r>
            <w:r>
              <w:rPr>
                <w:rFonts w:hint="eastAsia" w:ascii="宋体" w:hAnsi="宋体" w:cs="宋体"/>
                <w:sz w:val="18"/>
                <w:szCs w:val="18"/>
                <w:lang w:eastAsia="zh-CN"/>
              </w:rPr>
              <w:t>◇</w:t>
            </w:r>
            <w:r>
              <w:rPr>
                <w:rFonts w:hint="eastAsia" w:ascii="宋体" w:hAnsi="宋体"/>
                <w:sz w:val="18"/>
                <w:szCs w:val="18"/>
                <w:lang w:eastAsia="zh-CN"/>
              </w:rPr>
              <w:t>：</w:t>
            </w:r>
            <w:r>
              <w:rPr>
                <w:rFonts w:ascii="宋体" w:hAnsi="宋体"/>
                <w:sz w:val="18"/>
                <w:szCs w:val="18"/>
                <w:lang w:eastAsia="zh-CN"/>
              </w:rPr>
              <w:t>可逆影响.</w:t>
            </w:r>
          </w:p>
        </w:tc>
      </w:tr>
    </w:tbl>
    <w:p w14:paraId="47423095">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.2.2</w:t>
      </w:r>
      <w:r>
        <w:rPr>
          <w:rFonts w:hint="eastAsia" w:ascii="Times New Roman" w:eastAsia="宋体"/>
          <w:sz w:val="28"/>
          <w:szCs w:val="28"/>
          <w:lang w:val="en-US"/>
        </w:rPr>
        <w:t>评价因子筛选</w:t>
      </w:r>
    </w:p>
    <w:p w14:paraId="514EA948">
      <w:pPr>
        <w:adjustRightInd w:val="0"/>
        <w:snapToGrid w:val="0"/>
        <w:spacing w:line="240" w:lineRule="auto"/>
        <w:ind w:firstLine="0" w:firstLineChars="0"/>
        <w:jc w:val="center"/>
        <w:rPr>
          <w:b/>
          <w:bCs/>
        </w:rPr>
      </w:pPr>
      <w:r>
        <w:rPr>
          <w:rFonts w:hint="eastAsia"/>
          <w:b/>
          <w:bCs/>
        </w:rPr>
        <w:t>表</w:t>
      </w:r>
      <w:r>
        <w:rPr>
          <w:b/>
          <w:bCs/>
        </w:rPr>
        <w:t>2.2</w:t>
      </w:r>
      <w:r>
        <w:rPr>
          <w:rFonts w:hint="eastAsia"/>
          <w:b/>
          <w:bCs/>
        </w:rPr>
        <w:t>-</w:t>
      </w:r>
      <w:r>
        <w:rPr>
          <w:b/>
          <w:bCs/>
        </w:rPr>
        <w:t xml:space="preserve">2  </w:t>
      </w:r>
      <w:r>
        <w:rPr>
          <w:rFonts w:hint="eastAsia"/>
          <w:b/>
          <w:bCs/>
        </w:rPr>
        <w:t>评价因子确定结果一览表</w:t>
      </w:r>
    </w:p>
    <w:tbl>
      <w:tblPr>
        <w:tblStyle w:val="367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44"/>
        <w:gridCol w:w="3453"/>
        <w:gridCol w:w="2571"/>
        <w:gridCol w:w="1073"/>
      </w:tblGrid>
      <w:tr w14:paraId="3635B6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51C1113D">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环境</w:t>
            </w:r>
          </w:p>
        </w:tc>
        <w:tc>
          <w:tcPr>
            <w:tcW w:w="2070" w:type="pct"/>
            <w:vAlign w:val="center"/>
          </w:tcPr>
          <w:p w14:paraId="76BF2214">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现状评价因子</w:t>
            </w:r>
          </w:p>
        </w:tc>
        <w:tc>
          <w:tcPr>
            <w:tcW w:w="1541" w:type="pct"/>
            <w:vAlign w:val="center"/>
          </w:tcPr>
          <w:p w14:paraId="1D8B6010">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影响评价因子</w:t>
            </w:r>
          </w:p>
        </w:tc>
        <w:tc>
          <w:tcPr>
            <w:tcW w:w="644" w:type="pct"/>
            <w:vAlign w:val="center"/>
          </w:tcPr>
          <w:p w14:paraId="06F116F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总量控制</w:t>
            </w:r>
          </w:p>
          <w:p w14:paraId="6A0AAA5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因子</w:t>
            </w:r>
          </w:p>
        </w:tc>
      </w:tr>
      <w:tr w14:paraId="63E1F4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45ADFA5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大气环境</w:t>
            </w:r>
          </w:p>
        </w:tc>
        <w:tc>
          <w:tcPr>
            <w:tcW w:w="2070" w:type="pct"/>
            <w:vAlign w:val="center"/>
          </w:tcPr>
          <w:p w14:paraId="3E69C03C">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SO</w:t>
            </w:r>
            <w:r>
              <w:rPr>
                <w:rFonts w:ascii="Calibri" w:hAnsi="Calibri"/>
                <w:sz w:val="21"/>
                <w:szCs w:val="21"/>
                <w:vertAlign w:val="subscript"/>
                <w:lang w:eastAsia="en-US"/>
              </w:rPr>
              <w:t>2</w:t>
            </w:r>
            <w:r>
              <w:rPr>
                <w:rFonts w:ascii="Calibri" w:hAnsi="Calibri"/>
                <w:sz w:val="21"/>
                <w:szCs w:val="21"/>
                <w:lang w:eastAsia="en-US"/>
              </w:rPr>
              <w:t>、NO</w:t>
            </w:r>
            <w:r>
              <w:rPr>
                <w:rFonts w:ascii="Calibri" w:hAnsi="Calibri"/>
                <w:sz w:val="21"/>
                <w:szCs w:val="21"/>
                <w:vertAlign w:val="subscript"/>
                <w:lang w:eastAsia="en-US"/>
              </w:rPr>
              <w:t>2</w:t>
            </w:r>
            <w:r>
              <w:rPr>
                <w:rFonts w:ascii="Calibri" w:hAnsi="Calibri"/>
                <w:sz w:val="21"/>
                <w:szCs w:val="21"/>
                <w:lang w:eastAsia="en-US"/>
              </w:rPr>
              <w:t>、PM</w:t>
            </w:r>
            <w:r>
              <w:rPr>
                <w:rFonts w:ascii="Calibri" w:hAnsi="Calibri"/>
                <w:sz w:val="21"/>
                <w:szCs w:val="21"/>
                <w:vertAlign w:val="subscript"/>
                <w:lang w:eastAsia="en-US"/>
              </w:rPr>
              <w:t>10</w:t>
            </w:r>
            <w:r>
              <w:rPr>
                <w:rFonts w:ascii="Calibri" w:hAnsi="Calibri"/>
                <w:sz w:val="21"/>
                <w:szCs w:val="21"/>
                <w:lang w:eastAsia="en-US"/>
              </w:rPr>
              <w:t>、PM</w:t>
            </w:r>
            <w:r>
              <w:rPr>
                <w:rFonts w:ascii="Calibri" w:hAnsi="Calibri"/>
                <w:sz w:val="21"/>
                <w:szCs w:val="21"/>
                <w:vertAlign w:val="subscript"/>
                <w:lang w:eastAsia="en-US"/>
              </w:rPr>
              <w:t>2.5</w:t>
            </w:r>
            <w:r>
              <w:rPr>
                <w:rFonts w:ascii="Calibri" w:hAnsi="Calibri"/>
                <w:sz w:val="21"/>
                <w:szCs w:val="21"/>
                <w:lang w:eastAsia="en-US"/>
              </w:rPr>
              <w:t>、CO、O</w:t>
            </w:r>
            <w:r>
              <w:rPr>
                <w:rFonts w:ascii="Calibri" w:hAnsi="Calibri"/>
                <w:sz w:val="21"/>
                <w:szCs w:val="21"/>
                <w:vertAlign w:val="subscript"/>
                <w:lang w:eastAsia="en-US"/>
              </w:rPr>
              <w:t>3</w:t>
            </w:r>
          </w:p>
        </w:tc>
        <w:tc>
          <w:tcPr>
            <w:tcW w:w="1541" w:type="pct"/>
            <w:vAlign w:val="center"/>
          </w:tcPr>
          <w:p w14:paraId="7A009576">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施工期 TSP</w:t>
            </w:r>
          </w:p>
        </w:tc>
        <w:tc>
          <w:tcPr>
            <w:tcW w:w="644" w:type="pct"/>
            <w:vAlign w:val="center"/>
          </w:tcPr>
          <w:p w14:paraId="0372BDA4">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不涉及</w:t>
            </w:r>
          </w:p>
        </w:tc>
      </w:tr>
      <w:tr w14:paraId="2D2E00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6E5E53C6">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声环境</w:t>
            </w:r>
          </w:p>
        </w:tc>
        <w:tc>
          <w:tcPr>
            <w:tcW w:w="2070" w:type="pct"/>
            <w:vAlign w:val="center"/>
          </w:tcPr>
          <w:p w14:paraId="33C0B3F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等效连续A 声级</w:t>
            </w:r>
          </w:p>
        </w:tc>
        <w:tc>
          <w:tcPr>
            <w:tcW w:w="1541" w:type="pct"/>
            <w:vAlign w:val="center"/>
          </w:tcPr>
          <w:p w14:paraId="02C4C6E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等效连续A 声级</w:t>
            </w:r>
          </w:p>
        </w:tc>
        <w:tc>
          <w:tcPr>
            <w:tcW w:w="644" w:type="pct"/>
            <w:vAlign w:val="center"/>
          </w:tcPr>
          <w:p w14:paraId="520F39EC">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不涉及</w:t>
            </w:r>
          </w:p>
        </w:tc>
      </w:tr>
      <w:tr w14:paraId="5842C4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58E1C928">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地表水环境</w:t>
            </w:r>
          </w:p>
        </w:tc>
        <w:tc>
          <w:tcPr>
            <w:tcW w:w="2070" w:type="pct"/>
            <w:vAlign w:val="center"/>
          </w:tcPr>
          <w:p w14:paraId="68EEFA11">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pH、氨氮、COD、石油类、SS、BOD</w:t>
            </w:r>
            <w:r>
              <w:rPr>
                <w:rFonts w:ascii="Calibri" w:hAnsi="Calibri"/>
                <w:sz w:val="21"/>
                <w:szCs w:val="21"/>
                <w:vertAlign w:val="subscript"/>
                <w:lang w:eastAsia="en-US"/>
              </w:rPr>
              <w:t>5</w:t>
            </w:r>
          </w:p>
        </w:tc>
        <w:tc>
          <w:tcPr>
            <w:tcW w:w="1541" w:type="pct"/>
            <w:vAlign w:val="center"/>
          </w:tcPr>
          <w:p w14:paraId="32FC45A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w:t>
            </w:r>
          </w:p>
        </w:tc>
        <w:tc>
          <w:tcPr>
            <w:tcW w:w="644" w:type="pct"/>
            <w:vAlign w:val="center"/>
          </w:tcPr>
          <w:p w14:paraId="1308EB97">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不涉及</w:t>
            </w:r>
          </w:p>
        </w:tc>
      </w:tr>
      <w:tr w14:paraId="610EF1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146A7896">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固体废物</w:t>
            </w:r>
          </w:p>
        </w:tc>
        <w:tc>
          <w:tcPr>
            <w:tcW w:w="2070" w:type="pct"/>
            <w:vAlign w:val="center"/>
          </w:tcPr>
          <w:p w14:paraId="53A0C31F">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w:t>
            </w:r>
          </w:p>
        </w:tc>
        <w:tc>
          <w:tcPr>
            <w:tcW w:w="1541" w:type="pct"/>
            <w:vAlign w:val="center"/>
          </w:tcPr>
          <w:p w14:paraId="596A51AE">
            <w:pPr>
              <w:autoSpaceDE w:val="0"/>
              <w:autoSpaceDN w:val="0"/>
              <w:adjustRightInd w:val="0"/>
              <w:snapToGrid w:val="0"/>
              <w:spacing w:line="240" w:lineRule="auto"/>
              <w:ind w:firstLine="0" w:firstLineChars="0"/>
              <w:jc w:val="center"/>
              <w:rPr>
                <w:rFonts w:ascii="Calibri" w:hAnsi="Calibri"/>
                <w:sz w:val="21"/>
                <w:szCs w:val="21"/>
                <w:lang w:eastAsia="zh-CN"/>
              </w:rPr>
            </w:pPr>
            <w:r>
              <w:rPr>
                <w:rFonts w:ascii="Calibri" w:hAnsi="Calibri"/>
                <w:sz w:val="21"/>
                <w:szCs w:val="21"/>
                <w:lang w:eastAsia="zh-CN"/>
              </w:rPr>
              <w:t>运行期贮存、处理生活垃圾、废机油、废铅蓄电池</w:t>
            </w:r>
          </w:p>
        </w:tc>
        <w:tc>
          <w:tcPr>
            <w:tcW w:w="644" w:type="pct"/>
            <w:vAlign w:val="center"/>
          </w:tcPr>
          <w:p w14:paraId="5ECC5CBF">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不涉及</w:t>
            </w:r>
          </w:p>
        </w:tc>
      </w:tr>
      <w:tr w14:paraId="6A9E69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155CBE26">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生态环境</w:t>
            </w:r>
          </w:p>
        </w:tc>
        <w:tc>
          <w:tcPr>
            <w:tcW w:w="2070" w:type="pct"/>
            <w:vAlign w:val="center"/>
          </w:tcPr>
          <w:p w14:paraId="21F76D28">
            <w:pPr>
              <w:autoSpaceDE w:val="0"/>
              <w:autoSpaceDN w:val="0"/>
              <w:adjustRightInd w:val="0"/>
              <w:snapToGrid w:val="0"/>
              <w:spacing w:line="240" w:lineRule="auto"/>
              <w:ind w:firstLine="0" w:firstLineChars="0"/>
              <w:jc w:val="center"/>
              <w:rPr>
                <w:rFonts w:ascii="Calibri" w:hAnsi="Calibri"/>
                <w:sz w:val="21"/>
                <w:szCs w:val="21"/>
                <w:lang w:eastAsia="zh-CN"/>
              </w:rPr>
            </w:pP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1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①</w:t>
            </w:r>
            <w:r>
              <w:rPr>
                <w:rFonts w:ascii="Calibri" w:hAnsi="Calibri"/>
                <w:sz w:val="21"/>
                <w:szCs w:val="21"/>
                <w:lang w:eastAsia="en-US"/>
              </w:rPr>
              <w:fldChar w:fldCharType="end"/>
            </w:r>
            <w:r>
              <w:rPr>
                <w:rFonts w:hint="eastAsia" w:ascii="Calibri" w:hAnsi="Calibri"/>
                <w:sz w:val="21"/>
                <w:szCs w:val="21"/>
                <w:lang w:eastAsia="zh-CN"/>
              </w:rPr>
              <w:t>物种：</w:t>
            </w:r>
            <w:r>
              <w:rPr>
                <w:rFonts w:ascii="Calibri" w:hAnsi="Calibri"/>
                <w:sz w:val="21"/>
                <w:szCs w:val="21"/>
                <w:lang w:eastAsia="zh-CN"/>
              </w:rPr>
              <w:t>分布范围、种群数量、种群结构、行为</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2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②</w:t>
            </w:r>
            <w:r>
              <w:rPr>
                <w:rFonts w:ascii="Calibri" w:hAnsi="Calibri"/>
                <w:sz w:val="21"/>
                <w:szCs w:val="21"/>
                <w:lang w:eastAsia="en-US"/>
              </w:rPr>
              <w:fldChar w:fldCharType="end"/>
            </w:r>
            <w:r>
              <w:rPr>
                <w:rFonts w:hint="eastAsia" w:ascii="Calibri" w:hAnsi="Calibri"/>
                <w:sz w:val="21"/>
                <w:szCs w:val="21"/>
                <w:lang w:eastAsia="zh-CN"/>
              </w:rPr>
              <w:t>环境：环境</w:t>
            </w:r>
            <w:r>
              <w:rPr>
                <w:rFonts w:ascii="Calibri" w:hAnsi="Calibri"/>
                <w:sz w:val="21"/>
                <w:szCs w:val="21"/>
                <w:lang w:eastAsia="zh-CN"/>
              </w:rPr>
              <w:t>面积、质量、连通性等</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3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③</w:t>
            </w:r>
            <w:r>
              <w:rPr>
                <w:rFonts w:ascii="Calibri" w:hAnsi="Calibri"/>
                <w:sz w:val="21"/>
                <w:szCs w:val="21"/>
                <w:lang w:eastAsia="en-US"/>
              </w:rPr>
              <w:fldChar w:fldCharType="end"/>
            </w:r>
            <w:r>
              <w:rPr>
                <w:rFonts w:hint="eastAsia" w:ascii="Calibri" w:hAnsi="Calibri"/>
                <w:sz w:val="21"/>
                <w:szCs w:val="21"/>
                <w:lang w:eastAsia="zh-CN"/>
              </w:rPr>
              <w:t>生物群落：</w:t>
            </w:r>
            <w:r>
              <w:rPr>
                <w:rFonts w:ascii="Calibri" w:hAnsi="Calibri"/>
                <w:sz w:val="21"/>
                <w:szCs w:val="21"/>
                <w:lang w:eastAsia="zh-CN"/>
              </w:rPr>
              <w:t>物种组成、群落结构</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4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④</w:t>
            </w:r>
            <w:r>
              <w:rPr>
                <w:rFonts w:ascii="Calibri" w:hAnsi="Calibri"/>
                <w:sz w:val="21"/>
                <w:szCs w:val="21"/>
                <w:lang w:eastAsia="en-US"/>
              </w:rPr>
              <w:fldChar w:fldCharType="end"/>
            </w:r>
            <w:r>
              <w:rPr>
                <w:rFonts w:hint="eastAsia" w:ascii="Calibri" w:hAnsi="Calibri"/>
                <w:sz w:val="21"/>
                <w:szCs w:val="21"/>
                <w:lang w:eastAsia="zh-CN"/>
              </w:rPr>
              <w:t>生态系统：</w:t>
            </w:r>
            <w:r>
              <w:rPr>
                <w:rFonts w:ascii="Calibri" w:hAnsi="Calibri"/>
                <w:sz w:val="21"/>
                <w:szCs w:val="21"/>
                <w:lang w:eastAsia="zh-CN"/>
              </w:rPr>
              <w:t>植被覆盖度、生产力、生物量、生态系统功能</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5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⑤</w:t>
            </w:r>
            <w:r>
              <w:rPr>
                <w:rFonts w:ascii="Calibri" w:hAnsi="Calibri"/>
                <w:sz w:val="21"/>
                <w:szCs w:val="21"/>
                <w:lang w:eastAsia="en-US"/>
              </w:rPr>
              <w:fldChar w:fldCharType="end"/>
            </w:r>
            <w:r>
              <w:rPr>
                <w:rFonts w:hint="eastAsia" w:ascii="Calibri" w:hAnsi="Calibri"/>
                <w:sz w:val="21"/>
                <w:szCs w:val="21"/>
                <w:lang w:eastAsia="zh-CN"/>
              </w:rPr>
              <w:t>生物多样性：</w:t>
            </w:r>
            <w:r>
              <w:rPr>
                <w:rFonts w:ascii="Calibri" w:hAnsi="Calibri"/>
                <w:sz w:val="21"/>
                <w:szCs w:val="21"/>
                <w:lang w:eastAsia="zh-CN"/>
              </w:rPr>
              <w:t>物种丰富度、均匀度、优势度</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6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⑥</w:t>
            </w:r>
            <w:r>
              <w:rPr>
                <w:rFonts w:ascii="Calibri" w:hAnsi="Calibri"/>
                <w:sz w:val="21"/>
                <w:szCs w:val="21"/>
                <w:lang w:eastAsia="en-US"/>
              </w:rPr>
              <w:fldChar w:fldCharType="end"/>
            </w:r>
            <w:r>
              <w:rPr>
                <w:rFonts w:hint="eastAsia" w:ascii="Calibri" w:hAnsi="Calibri"/>
                <w:sz w:val="21"/>
                <w:szCs w:val="21"/>
                <w:lang w:eastAsia="zh-CN"/>
              </w:rPr>
              <w:t>生态敏感区：</w:t>
            </w:r>
            <w:r>
              <w:rPr>
                <w:rFonts w:ascii="Calibri" w:hAnsi="Calibri"/>
                <w:sz w:val="21"/>
                <w:szCs w:val="21"/>
                <w:lang w:eastAsia="zh-CN"/>
              </w:rPr>
              <w:t>主要保护对象、生态功能</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7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⑦</w:t>
            </w:r>
            <w:r>
              <w:rPr>
                <w:rFonts w:ascii="Calibri" w:hAnsi="Calibri"/>
                <w:sz w:val="21"/>
                <w:szCs w:val="21"/>
                <w:lang w:eastAsia="en-US"/>
              </w:rPr>
              <w:fldChar w:fldCharType="end"/>
            </w:r>
            <w:r>
              <w:rPr>
                <w:rFonts w:hint="eastAsia" w:ascii="Calibri" w:hAnsi="Calibri"/>
                <w:sz w:val="21"/>
                <w:szCs w:val="21"/>
                <w:lang w:eastAsia="zh-CN"/>
              </w:rPr>
              <w:t>自然景观：</w:t>
            </w:r>
            <w:r>
              <w:rPr>
                <w:rFonts w:ascii="Calibri" w:hAnsi="Calibri"/>
                <w:sz w:val="21"/>
                <w:szCs w:val="21"/>
                <w:lang w:eastAsia="zh-CN"/>
              </w:rPr>
              <w:t>景观多样性、完整性</w:t>
            </w:r>
          </w:p>
        </w:tc>
        <w:tc>
          <w:tcPr>
            <w:tcW w:w="1541" w:type="pct"/>
            <w:vAlign w:val="center"/>
          </w:tcPr>
          <w:p w14:paraId="2C235799">
            <w:pPr>
              <w:autoSpaceDE w:val="0"/>
              <w:autoSpaceDN w:val="0"/>
              <w:adjustRightInd w:val="0"/>
              <w:snapToGrid w:val="0"/>
              <w:spacing w:line="240" w:lineRule="auto"/>
              <w:ind w:firstLine="0" w:firstLineChars="0"/>
              <w:jc w:val="center"/>
              <w:rPr>
                <w:rFonts w:ascii="Calibri" w:hAnsi="Calibri"/>
                <w:sz w:val="21"/>
                <w:szCs w:val="21"/>
                <w:lang w:eastAsia="zh-CN"/>
              </w:rPr>
            </w:pP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1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①</w:t>
            </w:r>
            <w:r>
              <w:rPr>
                <w:rFonts w:ascii="Calibri" w:hAnsi="Calibri"/>
                <w:sz w:val="21"/>
                <w:szCs w:val="21"/>
                <w:lang w:eastAsia="en-US"/>
              </w:rPr>
              <w:fldChar w:fldCharType="end"/>
            </w:r>
            <w:r>
              <w:rPr>
                <w:rFonts w:hint="eastAsia" w:ascii="Calibri" w:hAnsi="Calibri"/>
                <w:sz w:val="21"/>
                <w:szCs w:val="21"/>
                <w:lang w:eastAsia="zh-CN"/>
              </w:rPr>
              <w:t>物种：</w:t>
            </w:r>
            <w:r>
              <w:rPr>
                <w:rFonts w:ascii="Calibri" w:hAnsi="Calibri"/>
                <w:sz w:val="21"/>
                <w:szCs w:val="21"/>
                <w:lang w:eastAsia="zh-CN"/>
              </w:rPr>
              <w:t>分布范围、种群数量、种群结构、行为</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2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②</w:t>
            </w:r>
            <w:r>
              <w:rPr>
                <w:rFonts w:ascii="Calibri" w:hAnsi="Calibri"/>
                <w:sz w:val="21"/>
                <w:szCs w:val="21"/>
                <w:lang w:eastAsia="en-US"/>
              </w:rPr>
              <w:fldChar w:fldCharType="end"/>
            </w:r>
            <w:r>
              <w:rPr>
                <w:rFonts w:hint="eastAsia" w:ascii="Calibri" w:hAnsi="Calibri"/>
                <w:sz w:val="21"/>
                <w:szCs w:val="21"/>
                <w:lang w:eastAsia="zh-CN"/>
              </w:rPr>
              <w:t>环境：环境</w:t>
            </w:r>
            <w:r>
              <w:rPr>
                <w:rFonts w:ascii="Calibri" w:hAnsi="Calibri"/>
                <w:sz w:val="21"/>
                <w:szCs w:val="21"/>
                <w:lang w:eastAsia="zh-CN"/>
              </w:rPr>
              <w:t>面积、质量、连通性等</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3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③</w:t>
            </w:r>
            <w:r>
              <w:rPr>
                <w:rFonts w:ascii="Calibri" w:hAnsi="Calibri"/>
                <w:sz w:val="21"/>
                <w:szCs w:val="21"/>
                <w:lang w:eastAsia="en-US"/>
              </w:rPr>
              <w:fldChar w:fldCharType="end"/>
            </w:r>
            <w:r>
              <w:rPr>
                <w:rFonts w:hint="eastAsia" w:ascii="Calibri" w:hAnsi="Calibri"/>
                <w:sz w:val="21"/>
                <w:szCs w:val="21"/>
                <w:lang w:eastAsia="zh-CN"/>
              </w:rPr>
              <w:t>生物群落：</w:t>
            </w:r>
            <w:r>
              <w:rPr>
                <w:rFonts w:ascii="Calibri" w:hAnsi="Calibri"/>
                <w:sz w:val="21"/>
                <w:szCs w:val="21"/>
                <w:lang w:eastAsia="zh-CN"/>
              </w:rPr>
              <w:t>物种组成、群落结构</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4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④</w:t>
            </w:r>
            <w:r>
              <w:rPr>
                <w:rFonts w:ascii="Calibri" w:hAnsi="Calibri"/>
                <w:sz w:val="21"/>
                <w:szCs w:val="21"/>
                <w:lang w:eastAsia="en-US"/>
              </w:rPr>
              <w:fldChar w:fldCharType="end"/>
            </w:r>
            <w:r>
              <w:rPr>
                <w:rFonts w:hint="eastAsia" w:ascii="Calibri" w:hAnsi="Calibri"/>
                <w:sz w:val="21"/>
                <w:szCs w:val="21"/>
                <w:lang w:eastAsia="zh-CN"/>
              </w:rPr>
              <w:t>生态系统：</w:t>
            </w:r>
            <w:r>
              <w:rPr>
                <w:rFonts w:ascii="Calibri" w:hAnsi="Calibri"/>
                <w:sz w:val="21"/>
                <w:szCs w:val="21"/>
                <w:lang w:eastAsia="zh-CN"/>
              </w:rPr>
              <w:t>植被覆盖度、生产力、生物量、生态系统功能</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5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⑤</w:t>
            </w:r>
            <w:r>
              <w:rPr>
                <w:rFonts w:ascii="Calibri" w:hAnsi="Calibri"/>
                <w:sz w:val="21"/>
                <w:szCs w:val="21"/>
                <w:lang w:eastAsia="en-US"/>
              </w:rPr>
              <w:fldChar w:fldCharType="end"/>
            </w:r>
            <w:r>
              <w:rPr>
                <w:rFonts w:hint="eastAsia" w:ascii="Calibri" w:hAnsi="Calibri"/>
                <w:sz w:val="21"/>
                <w:szCs w:val="21"/>
                <w:lang w:eastAsia="zh-CN"/>
              </w:rPr>
              <w:t>生物多样性：</w:t>
            </w:r>
            <w:r>
              <w:rPr>
                <w:rFonts w:ascii="Calibri" w:hAnsi="Calibri"/>
                <w:sz w:val="21"/>
                <w:szCs w:val="21"/>
                <w:lang w:eastAsia="zh-CN"/>
              </w:rPr>
              <w:t>物种丰富度、均匀度、优势度</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6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⑥</w:t>
            </w:r>
            <w:r>
              <w:rPr>
                <w:rFonts w:ascii="Calibri" w:hAnsi="Calibri"/>
                <w:sz w:val="21"/>
                <w:szCs w:val="21"/>
                <w:lang w:eastAsia="en-US"/>
              </w:rPr>
              <w:fldChar w:fldCharType="end"/>
            </w:r>
            <w:r>
              <w:rPr>
                <w:rFonts w:hint="eastAsia" w:ascii="Calibri" w:hAnsi="Calibri"/>
                <w:sz w:val="21"/>
                <w:szCs w:val="21"/>
                <w:lang w:eastAsia="zh-CN"/>
              </w:rPr>
              <w:t>生态敏感区：</w:t>
            </w:r>
            <w:r>
              <w:rPr>
                <w:rFonts w:ascii="Calibri" w:hAnsi="Calibri"/>
                <w:sz w:val="21"/>
                <w:szCs w:val="21"/>
                <w:lang w:eastAsia="zh-CN"/>
              </w:rPr>
              <w:t>主要保护对象、生态功能</w:t>
            </w:r>
            <w:r>
              <w:rPr>
                <w:rFonts w:hint="eastAsia" w:ascii="Calibri" w:hAnsi="Calibri"/>
                <w:sz w:val="21"/>
                <w:szCs w:val="21"/>
                <w:lang w:eastAsia="zh-CN"/>
              </w:rPr>
              <w:t>；</w:t>
            </w:r>
            <w:r>
              <w:rPr>
                <w:rFonts w:ascii="Calibri" w:hAnsi="Calibri"/>
                <w:sz w:val="21"/>
                <w:szCs w:val="21"/>
                <w:lang w:eastAsia="en-US"/>
              </w:rPr>
              <w:fldChar w:fldCharType="begin"/>
            </w:r>
            <w:r>
              <w:rPr>
                <w:rFonts w:ascii="Calibri" w:hAnsi="Calibri"/>
                <w:sz w:val="21"/>
                <w:szCs w:val="21"/>
                <w:lang w:eastAsia="zh-CN"/>
              </w:rPr>
              <w:instrText xml:space="preserve"> </w:instrText>
            </w:r>
            <w:r>
              <w:rPr>
                <w:rFonts w:hint="eastAsia" w:ascii="Calibri" w:hAnsi="Calibri"/>
                <w:sz w:val="21"/>
                <w:szCs w:val="21"/>
                <w:lang w:eastAsia="zh-CN"/>
              </w:rPr>
              <w:instrText xml:space="preserve">= 7 \* GB3</w:instrText>
            </w:r>
            <w:r>
              <w:rPr>
                <w:rFonts w:ascii="Calibri" w:hAnsi="Calibri"/>
                <w:sz w:val="21"/>
                <w:szCs w:val="21"/>
                <w:lang w:eastAsia="zh-CN"/>
              </w:rPr>
              <w:instrText xml:space="preserve"> </w:instrText>
            </w:r>
            <w:r>
              <w:rPr>
                <w:rFonts w:ascii="Calibri" w:hAnsi="Calibri"/>
                <w:sz w:val="21"/>
                <w:szCs w:val="21"/>
                <w:lang w:eastAsia="en-US"/>
              </w:rPr>
              <w:fldChar w:fldCharType="separate"/>
            </w:r>
            <w:r>
              <w:rPr>
                <w:rFonts w:hint="eastAsia" w:ascii="Calibri" w:hAnsi="Calibri"/>
                <w:sz w:val="21"/>
                <w:szCs w:val="21"/>
                <w:lang w:eastAsia="zh-CN"/>
              </w:rPr>
              <w:t>⑦</w:t>
            </w:r>
            <w:r>
              <w:rPr>
                <w:rFonts w:ascii="Calibri" w:hAnsi="Calibri"/>
                <w:sz w:val="21"/>
                <w:szCs w:val="21"/>
                <w:lang w:eastAsia="en-US"/>
              </w:rPr>
              <w:fldChar w:fldCharType="end"/>
            </w:r>
            <w:r>
              <w:rPr>
                <w:rFonts w:hint="eastAsia" w:ascii="Calibri" w:hAnsi="Calibri"/>
                <w:sz w:val="21"/>
                <w:szCs w:val="21"/>
                <w:lang w:eastAsia="zh-CN"/>
              </w:rPr>
              <w:t>自然景观：</w:t>
            </w:r>
            <w:r>
              <w:rPr>
                <w:rFonts w:ascii="Calibri" w:hAnsi="Calibri"/>
                <w:sz w:val="21"/>
                <w:szCs w:val="21"/>
                <w:lang w:eastAsia="zh-CN"/>
              </w:rPr>
              <w:t>景观多样性、完整性</w:t>
            </w:r>
          </w:p>
        </w:tc>
        <w:tc>
          <w:tcPr>
            <w:tcW w:w="644" w:type="pct"/>
            <w:vAlign w:val="center"/>
          </w:tcPr>
          <w:p w14:paraId="62E447AB">
            <w:pPr>
              <w:autoSpaceDE w:val="0"/>
              <w:autoSpaceDN w:val="0"/>
              <w:adjustRightInd w:val="0"/>
              <w:snapToGrid w:val="0"/>
              <w:spacing w:line="240" w:lineRule="auto"/>
              <w:ind w:firstLine="0" w:firstLineChars="0"/>
              <w:jc w:val="center"/>
              <w:rPr>
                <w:rFonts w:ascii="Calibri" w:hAnsi="Calibri"/>
                <w:sz w:val="21"/>
                <w:szCs w:val="21"/>
                <w:lang w:eastAsia="en-US"/>
              </w:rPr>
            </w:pPr>
            <w:r>
              <w:rPr>
                <w:rFonts w:ascii="Calibri" w:hAnsi="Calibri"/>
                <w:sz w:val="21"/>
                <w:szCs w:val="21"/>
                <w:lang w:eastAsia="en-US"/>
              </w:rPr>
              <w:t>不涉及</w:t>
            </w:r>
          </w:p>
        </w:tc>
      </w:tr>
      <w:tr w14:paraId="72446D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46" w:type="pct"/>
            <w:vAlign w:val="center"/>
          </w:tcPr>
          <w:p w14:paraId="5A31E4B4">
            <w:pPr>
              <w:autoSpaceDE w:val="0"/>
              <w:autoSpaceDN w:val="0"/>
              <w:adjustRightInd w:val="0"/>
              <w:snapToGrid w:val="0"/>
              <w:spacing w:line="240" w:lineRule="auto"/>
              <w:ind w:firstLine="0" w:firstLineChars="0"/>
              <w:jc w:val="center"/>
              <w:rPr>
                <w:rFonts w:ascii="Calibri" w:hAnsi="Calibri"/>
                <w:sz w:val="21"/>
                <w:szCs w:val="21"/>
                <w:lang w:eastAsia="en-US"/>
              </w:rPr>
            </w:pPr>
            <w:r>
              <w:rPr>
                <w:rFonts w:hint="eastAsia" w:ascii="Calibri" w:hAnsi="Calibri"/>
                <w:sz w:val="21"/>
                <w:szCs w:val="21"/>
                <w:lang w:eastAsia="en-US"/>
              </w:rPr>
              <w:t>电磁环境</w:t>
            </w:r>
          </w:p>
        </w:tc>
        <w:tc>
          <w:tcPr>
            <w:tcW w:w="2070" w:type="pct"/>
            <w:vAlign w:val="center"/>
          </w:tcPr>
          <w:p w14:paraId="471FAF52">
            <w:pPr>
              <w:autoSpaceDE w:val="0"/>
              <w:autoSpaceDN w:val="0"/>
              <w:adjustRightInd w:val="0"/>
              <w:snapToGrid w:val="0"/>
              <w:spacing w:line="240" w:lineRule="auto"/>
              <w:ind w:firstLine="0" w:firstLineChars="0"/>
              <w:jc w:val="center"/>
              <w:rPr>
                <w:rFonts w:ascii="Calibri" w:hAnsi="Calibri"/>
                <w:sz w:val="21"/>
                <w:szCs w:val="21"/>
                <w:lang w:eastAsia="zh-CN"/>
              </w:rPr>
            </w:pPr>
            <w:r>
              <w:rPr>
                <w:rFonts w:hint="eastAsia" w:ascii="Calibri" w:hAnsi="Calibri"/>
                <w:sz w:val="21"/>
                <w:szCs w:val="21"/>
                <w:lang w:eastAsia="zh-CN"/>
              </w:rPr>
              <w:t>工频电场、工频磁感应强度</w:t>
            </w:r>
          </w:p>
        </w:tc>
        <w:tc>
          <w:tcPr>
            <w:tcW w:w="1541" w:type="pct"/>
            <w:vAlign w:val="center"/>
          </w:tcPr>
          <w:p w14:paraId="2595C624">
            <w:pPr>
              <w:autoSpaceDE w:val="0"/>
              <w:autoSpaceDN w:val="0"/>
              <w:adjustRightInd w:val="0"/>
              <w:snapToGrid w:val="0"/>
              <w:spacing w:line="240" w:lineRule="auto"/>
              <w:ind w:firstLine="0" w:firstLineChars="0"/>
              <w:jc w:val="center"/>
              <w:rPr>
                <w:rFonts w:ascii="Calibri" w:hAnsi="Calibri"/>
                <w:sz w:val="21"/>
                <w:szCs w:val="21"/>
                <w:lang w:eastAsia="zh-CN"/>
              </w:rPr>
            </w:pPr>
            <w:r>
              <w:rPr>
                <w:rFonts w:hint="eastAsia" w:ascii="Calibri" w:hAnsi="Calibri"/>
                <w:sz w:val="21"/>
                <w:szCs w:val="21"/>
                <w:lang w:eastAsia="zh-CN"/>
              </w:rPr>
              <w:t>工频电场、工频磁感应强度</w:t>
            </w:r>
          </w:p>
        </w:tc>
        <w:tc>
          <w:tcPr>
            <w:tcW w:w="644" w:type="pct"/>
            <w:vAlign w:val="center"/>
          </w:tcPr>
          <w:p w14:paraId="7DDF1563">
            <w:pPr>
              <w:autoSpaceDE w:val="0"/>
              <w:autoSpaceDN w:val="0"/>
              <w:adjustRightInd w:val="0"/>
              <w:snapToGrid w:val="0"/>
              <w:spacing w:line="240" w:lineRule="auto"/>
              <w:ind w:firstLine="0" w:firstLineChars="0"/>
              <w:jc w:val="center"/>
              <w:rPr>
                <w:rFonts w:ascii="Calibri" w:hAnsi="Calibri"/>
                <w:sz w:val="21"/>
                <w:szCs w:val="21"/>
                <w:lang w:eastAsia="en-US"/>
              </w:rPr>
            </w:pPr>
            <w:r>
              <w:rPr>
                <w:rFonts w:hint="eastAsia" w:ascii="Calibri" w:hAnsi="Calibri"/>
                <w:sz w:val="21"/>
                <w:szCs w:val="21"/>
                <w:lang w:eastAsia="en-US"/>
              </w:rPr>
              <w:t>不涉及</w:t>
            </w:r>
          </w:p>
        </w:tc>
      </w:tr>
    </w:tbl>
    <w:p w14:paraId="462F6EB8">
      <w:pPr>
        <w:pStyle w:val="4"/>
        <w:tabs>
          <w:tab w:val="clear" w:pos="480"/>
          <w:tab w:val="clear" w:pos="630"/>
        </w:tabs>
        <w:spacing w:before="0" w:after="0"/>
        <w:rPr>
          <w:sz w:val="30"/>
          <w:szCs w:val="30"/>
          <w:lang w:val="en-US"/>
        </w:rPr>
      </w:pPr>
      <w:bookmarkStart w:id="38" w:name="_Toc143799359"/>
      <w:bookmarkStart w:id="39" w:name="_Toc116977975"/>
      <w:bookmarkStart w:id="40" w:name="_Toc6849"/>
      <w:r>
        <w:rPr>
          <w:rFonts w:hint="eastAsia"/>
          <w:sz w:val="30"/>
          <w:szCs w:val="30"/>
          <w:lang w:val="en-US"/>
        </w:rPr>
        <w:t>2</w:t>
      </w:r>
      <w:r>
        <w:rPr>
          <w:sz w:val="30"/>
          <w:szCs w:val="30"/>
          <w:lang w:val="en-US"/>
        </w:rPr>
        <w:t>.3</w:t>
      </w:r>
      <w:r>
        <w:rPr>
          <w:rFonts w:hint="eastAsia"/>
          <w:sz w:val="30"/>
          <w:szCs w:val="30"/>
          <w:lang w:val="en-US"/>
        </w:rPr>
        <w:t>评价重点</w:t>
      </w:r>
      <w:bookmarkEnd w:id="38"/>
      <w:bookmarkEnd w:id="39"/>
    </w:p>
    <w:bookmarkEnd w:id="37"/>
    <w:bookmarkEnd w:id="40"/>
    <w:p w14:paraId="24B75499">
      <w:pPr>
        <w:adjustRightInd w:val="0"/>
        <w:snapToGrid w:val="0"/>
        <w:ind w:firstLine="480"/>
      </w:pPr>
      <w:r>
        <w:rPr>
          <w:rFonts w:hint="eastAsia"/>
        </w:rPr>
        <w:t>本项目属生态类建设项目，根据工程特征与工程所在地的环境特征，以及工程环境 影响因子识别等综合分析，确定评价重点为：</w:t>
      </w:r>
    </w:p>
    <w:p w14:paraId="28353D90">
      <w:pPr>
        <w:adjustRightInd w:val="0"/>
        <w:snapToGrid w:val="0"/>
        <w:ind w:firstLine="480"/>
      </w:pPr>
      <w:r>
        <w:rPr>
          <w:rFonts w:hint="eastAsia"/>
        </w:rPr>
        <w:t>（1） 重点分析项目主体设施及临时设施选址、选线的合理性；</w:t>
      </w:r>
    </w:p>
    <w:p w14:paraId="1D8777D5">
      <w:pPr>
        <w:adjustRightInd w:val="0"/>
        <w:snapToGrid w:val="0"/>
        <w:ind w:firstLine="480"/>
      </w:pPr>
      <w:r>
        <w:rPr>
          <w:rFonts w:hint="eastAsia"/>
        </w:rPr>
        <w:t>（2） 重点分析项目施工期施工活动对所在区域植被生物量、物种多样性、完整性影响；</w:t>
      </w:r>
    </w:p>
    <w:p w14:paraId="710CFAE5">
      <w:pPr>
        <w:adjustRightInd w:val="0"/>
        <w:snapToGrid w:val="0"/>
        <w:ind w:firstLine="480"/>
      </w:pPr>
      <w:r>
        <w:rPr>
          <w:rFonts w:hint="eastAsia"/>
        </w:rPr>
        <w:t>（3）重点分析工程建设和运行对周边居民点的噪声环境影响，并提出相应声环境保护措施；</w:t>
      </w:r>
    </w:p>
    <w:p w14:paraId="1A021F33">
      <w:pPr>
        <w:adjustRightInd w:val="0"/>
        <w:snapToGrid w:val="0"/>
        <w:ind w:firstLine="480"/>
      </w:pPr>
      <w:r>
        <w:rPr>
          <w:rFonts w:hint="eastAsia"/>
        </w:rPr>
        <w:t>（4） 重点分析运营期风机运行对区域鸟类迁徙的影响，并提出相应的保护措施。</w:t>
      </w:r>
    </w:p>
    <w:p w14:paraId="5E73B2AE">
      <w:pPr>
        <w:adjustRightInd w:val="0"/>
        <w:snapToGrid w:val="0"/>
        <w:ind w:firstLine="480"/>
      </w:pPr>
      <w:r>
        <w:rPr>
          <w:rFonts w:hint="eastAsia"/>
        </w:rPr>
        <w:t>（5） 在工程分析及污染防治对策分析基础上，重点分析“三废”污染防治措施的可行性，分析废水污染防治措施的可行性，同时注重对产生扬尘、噪声等的分析预测</w:t>
      </w:r>
      <w:r>
        <w:t>。</w:t>
      </w:r>
    </w:p>
    <w:p w14:paraId="179A9E2C">
      <w:pPr>
        <w:adjustRightInd w:val="0"/>
        <w:snapToGrid w:val="0"/>
        <w:ind w:firstLine="480"/>
      </w:pPr>
      <w:r>
        <w:rPr>
          <w:rFonts w:hint="eastAsia"/>
        </w:rPr>
        <w:t>（6）评价项目施工期和运营期对周边生态敏感区的影响分析。</w:t>
      </w:r>
    </w:p>
    <w:p w14:paraId="21B2B31C">
      <w:pPr>
        <w:pStyle w:val="4"/>
        <w:tabs>
          <w:tab w:val="clear" w:pos="480"/>
          <w:tab w:val="clear" w:pos="630"/>
        </w:tabs>
        <w:adjustRightInd w:val="0"/>
        <w:snapToGrid w:val="0"/>
        <w:spacing w:before="0" w:after="0"/>
        <w:rPr>
          <w:sz w:val="30"/>
          <w:szCs w:val="30"/>
          <w:lang w:val="en-US"/>
        </w:rPr>
      </w:pPr>
      <w:bookmarkStart w:id="41" w:name="_Toc116977977"/>
      <w:bookmarkStart w:id="42" w:name="_Toc143799360"/>
      <w:r>
        <w:rPr>
          <w:rFonts w:hint="eastAsia"/>
          <w:sz w:val="30"/>
          <w:szCs w:val="30"/>
          <w:lang w:val="en-US"/>
        </w:rPr>
        <w:t>2</w:t>
      </w:r>
      <w:r>
        <w:rPr>
          <w:sz w:val="30"/>
          <w:szCs w:val="30"/>
          <w:lang w:val="en-US"/>
        </w:rPr>
        <w:t>.4</w:t>
      </w:r>
      <w:r>
        <w:rPr>
          <w:rFonts w:hint="eastAsia"/>
          <w:sz w:val="30"/>
          <w:szCs w:val="30"/>
          <w:lang w:val="en-US"/>
        </w:rPr>
        <w:t>评价标准</w:t>
      </w:r>
      <w:bookmarkEnd w:id="41"/>
      <w:bookmarkEnd w:id="42"/>
    </w:p>
    <w:p w14:paraId="5F8E0AB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.4.1</w:t>
      </w:r>
      <w:r>
        <w:rPr>
          <w:rFonts w:hint="eastAsia" w:ascii="Times New Roman" w:eastAsia="宋体"/>
          <w:sz w:val="28"/>
          <w:szCs w:val="28"/>
          <w:lang w:val="en-US"/>
        </w:rPr>
        <w:t>环境质量标准</w:t>
      </w:r>
    </w:p>
    <w:p w14:paraId="673D1A1D">
      <w:pPr>
        <w:adjustRightInd w:val="0"/>
        <w:snapToGrid w:val="0"/>
        <w:ind w:firstLine="480"/>
      </w:pPr>
      <w:r>
        <w:rPr>
          <w:rFonts w:hint="eastAsia"/>
        </w:rPr>
        <w:t>（1）</w:t>
      </w:r>
      <w:r>
        <w:t>环境空气：执行《环境空气质量标准》（GB3095-2012）中的二级标准</w:t>
      </w:r>
      <w:r>
        <w:rPr>
          <w:rFonts w:hint="eastAsia"/>
        </w:rPr>
        <w:t>及其2</w:t>
      </w:r>
      <w:r>
        <w:t>018</w:t>
      </w:r>
      <w:r>
        <w:rPr>
          <w:rFonts w:hint="eastAsia"/>
        </w:rPr>
        <w:t>年修改单中的相关标准</w:t>
      </w:r>
      <w:r>
        <w:t>。</w:t>
      </w:r>
    </w:p>
    <w:p w14:paraId="2E1FC75E">
      <w:pPr>
        <w:adjustRightInd w:val="0"/>
        <w:snapToGrid w:val="0"/>
        <w:ind w:firstLine="480"/>
      </w:pPr>
      <w:r>
        <w:rPr>
          <w:rFonts w:hint="eastAsia"/>
        </w:rPr>
        <w:t>（2）</w:t>
      </w:r>
      <w:r>
        <w:t>地表水：</w:t>
      </w:r>
      <w:bookmarkStart w:id="43" w:name="_Hlk116116104"/>
      <w:r>
        <w:rPr>
          <w:rFonts w:hint="eastAsia"/>
        </w:rPr>
        <w:t>饮用水水源一级保护区执行《地表水环境质量标准》（G</w:t>
      </w:r>
      <w:r>
        <w:t>B3838-2002</w:t>
      </w:r>
      <w:r>
        <w:rPr>
          <w:rFonts w:hint="eastAsia"/>
        </w:rPr>
        <w:t>）</w:t>
      </w:r>
      <w:r>
        <w:fldChar w:fldCharType="begin"/>
      </w:r>
      <w:r>
        <w:instrText xml:space="preserve"> </w:instrText>
      </w:r>
      <w:r>
        <w:rPr>
          <w:rFonts w:hint="eastAsia"/>
        </w:rPr>
        <w:instrText xml:space="preserve">= 2 \* ROMAN</w:instrText>
      </w:r>
      <w:r>
        <w:instrText xml:space="preserve"> </w:instrText>
      </w:r>
      <w:r>
        <w:fldChar w:fldCharType="separate"/>
      </w:r>
      <w:r>
        <w:t>II</w:t>
      </w:r>
      <w:r>
        <w:fldChar w:fldCharType="end"/>
      </w:r>
      <w:r>
        <w:rPr>
          <w:rFonts w:hint="eastAsia"/>
        </w:rPr>
        <w:t>类标准，其中悬浮物参照执行《地表水资源质量标准》（S</w:t>
      </w:r>
      <w:r>
        <w:t>L63-1994</w:t>
      </w:r>
      <w:r>
        <w:rPr>
          <w:rFonts w:hint="eastAsia"/>
        </w:rPr>
        <w:t>）中二级标准；饮用水水源二级保护区、其它地表水体执行《地表水环境质量标准》（G</w:t>
      </w:r>
      <w:r>
        <w:t>B3838-2002</w:t>
      </w:r>
      <w:r>
        <w:rPr>
          <w:rFonts w:hint="eastAsia"/>
        </w:rPr>
        <w:t>）</w:t>
      </w:r>
      <w:r>
        <w:fldChar w:fldCharType="begin"/>
      </w:r>
      <w:r>
        <w:instrText xml:space="preserve"> </w:instrText>
      </w:r>
      <w:r>
        <w:rPr>
          <w:rFonts w:hint="eastAsia"/>
        </w:rPr>
        <w:instrText xml:space="preserve">= 3 \* ROMAN</w:instrText>
      </w:r>
      <w:r>
        <w:instrText xml:space="preserve"> </w:instrText>
      </w:r>
      <w:r>
        <w:fldChar w:fldCharType="separate"/>
      </w:r>
      <w:r>
        <w:t>III</w:t>
      </w:r>
      <w:r>
        <w:fldChar w:fldCharType="end"/>
      </w:r>
      <w:r>
        <w:rPr>
          <w:rFonts w:hint="eastAsia"/>
        </w:rPr>
        <w:t>类标准，其中悬浮物参照执行《地表水资源质量标准》（S</w:t>
      </w:r>
      <w:r>
        <w:t>L63-1994</w:t>
      </w:r>
      <w:r>
        <w:rPr>
          <w:rFonts w:hint="eastAsia"/>
        </w:rPr>
        <w:t>）中三级标准。</w:t>
      </w:r>
    </w:p>
    <w:bookmarkEnd w:id="43"/>
    <w:p w14:paraId="14302C28">
      <w:pPr>
        <w:adjustRightInd w:val="0"/>
        <w:snapToGrid w:val="0"/>
        <w:ind w:firstLine="480"/>
      </w:pPr>
      <w:r>
        <w:rPr>
          <w:rFonts w:hint="eastAsia"/>
        </w:rPr>
        <w:t>（3）</w:t>
      </w:r>
      <w:r>
        <w:t>声环境：</w:t>
      </w:r>
      <w:bookmarkStart w:id="44" w:name="_Hlk116116001"/>
      <w:r>
        <w:rPr>
          <w:rFonts w:hint="eastAsia"/>
        </w:rPr>
        <w:t>升压站和风电场附近居民点（村庄）执行</w:t>
      </w:r>
      <w:r>
        <w:t>《声环境质量标准》（GB3096-2008）中2类标准；</w:t>
      </w:r>
      <w:r>
        <w:rPr>
          <w:rFonts w:hint="eastAsia"/>
        </w:rPr>
        <w:t>其他地区执行《声环境质量标准》（G</w:t>
      </w:r>
      <w:r>
        <w:t>B3096-2008</w:t>
      </w:r>
      <w:r>
        <w:rPr>
          <w:rFonts w:hint="eastAsia"/>
        </w:rPr>
        <w:t>）1类标准；</w:t>
      </w:r>
      <w:r>
        <w:t>交通干线两侧</w:t>
      </w:r>
      <w:r>
        <w:rPr>
          <w:rFonts w:hint="eastAsia"/>
        </w:rPr>
        <w:t>执行《声环境质量标准》（G</w:t>
      </w:r>
      <w:r>
        <w:t>B3096-2008</w:t>
      </w:r>
      <w:r>
        <w:rPr>
          <w:rFonts w:hint="eastAsia"/>
        </w:rPr>
        <w:t>）4a类标准</w:t>
      </w:r>
      <w:r>
        <w:t>。</w:t>
      </w:r>
    </w:p>
    <w:p w14:paraId="171AA731">
      <w:pPr>
        <w:adjustRightInd w:val="0"/>
        <w:snapToGrid w:val="0"/>
        <w:ind w:firstLine="480"/>
      </w:pPr>
      <w:r>
        <w:rPr>
          <w:rFonts w:hint="eastAsia"/>
        </w:rPr>
        <w:t>（4）地下水：执行《地下水质量标准》（G</w:t>
      </w:r>
      <w:r>
        <w:t>B/T14848-2017</w:t>
      </w:r>
      <w:r>
        <w:rPr>
          <w:rFonts w:hint="eastAsia"/>
        </w:rPr>
        <w:t>）中的</w:t>
      </w:r>
      <w:r>
        <w:fldChar w:fldCharType="begin"/>
      </w:r>
      <w:r>
        <w:instrText xml:space="preserve"> </w:instrText>
      </w:r>
      <w:r>
        <w:rPr>
          <w:rFonts w:hint="eastAsia"/>
        </w:rPr>
        <w:instrText xml:space="preserve">= 3 \* ROMAN</w:instrText>
      </w:r>
      <w:r>
        <w:instrText xml:space="preserve"> </w:instrText>
      </w:r>
      <w:r>
        <w:fldChar w:fldCharType="separate"/>
      </w:r>
      <w:r>
        <w:t>III</w:t>
      </w:r>
      <w:r>
        <w:fldChar w:fldCharType="end"/>
      </w:r>
      <w:r>
        <w:rPr>
          <w:rFonts w:hint="eastAsia"/>
        </w:rPr>
        <w:t>类标准。</w:t>
      </w:r>
    </w:p>
    <w:p w14:paraId="748CC02A">
      <w:pPr>
        <w:adjustRightInd w:val="0"/>
        <w:snapToGrid w:val="0"/>
        <w:ind w:firstLine="480"/>
      </w:pPr>
      <w:r>
        <w:rPr>
          <w:rFonts w:hint="eastAsia"/>
        </w:rPr>
        <w:t>（5）土壤</w:t>
      </w:r>
    </w:p>
    <w:p w14:paraId="56B50265">
      <w:pPr>
        <w:adjustRightInd w:val="0"/>
        <w:snapToGrid w:val="0"/>
        <w:ind w:firstLine="480"/>
      </w:pPr>
      <w:r>
        <w:rPr>
          <w:rFonts w:hint="eastAsia"/>
        </w:rPr>
        <w:t>升压站</w:t>
      </w:r>
      <w:r>
        <w:t>土壤执行《土壤环境质量—建设用地土壤污染风险管控标准》（GB36600-2018）</w:t>
      </w:r>
      <w:r>
        <w:rPr>
          <w:rFonts w:hint="eastAsia"/>
        </w:rPr>
        <w:t>表1</w:t>
      </w:r>
      <w:r>
        <w:t>第二类用地中的筛选值</w:t>
      </w:r>
      <w:r>
        <w:rPr>
          <w:rFonts w:hint="eastAsia"/>
        </w:rPr>
        <w:t>标准</w:t>
      </w:r>
      <w:r>
        <w:t>；周边农用地执行《土壤环境质量农用地土壤污染风险管控标准（试行）》（GB15618-2018）表</w:t>
      </w:r>
      <w:r>
        <w:rPr>
          <w:rFonts w:hint="eastAsia"/>
        </w:rPr>
        <w:t>1农用地土壤污染风险筛选值。</w:t>
      </w:r>
    </w:p>
    <w:bookmarkEnd w:id="44"/>
    <w:p w14:paraId="7929AF56">
      <w:pPr>
        <w:adjustRightInd w:val="0"/>
        <w:snapToGrid w:val="0"/>
        <w:ind w:firstLine="480"/>
      </w:pPr>
      <w:r>
        <w:t>具体限值参见</w:t>
      </w:r>
      <w:r>
        <w:rPr>
          <w:rFonts w:hint="eastAsia"/>
        </w:rPr>
        <w:t>下表</w:t>
      </w:r>
      <w:r>
        <w:t>。</w:t>
      </w:r>
    </w:p>
    <w:p w14:paraId="4F385D7E">
      <w:pPr>
        <w:adjustRightInd w:val="0"/>
        <w:snapToGrid w:val="0"/>
        <w:spacing w:line="240" w:lineRule="auto"/>
        <w:ind w:firstLine="0" w:firstLineChars="0"/>
        <w:jc w:val="center"/>
        <w:rPr>
          <w:b/>
          <w:bCs/>
        </w:rPr>
      </w:pPr>
      <w:r>
        <w:rPr>
          <w:rFonts w:hint="eastAsia"/>
          <w:b/>
          <w:bCs/>
        </w:rPr>
        <w:t>表2</w:t>
      </w:r>
      <w:r>
        <w:rPr>
          <w:b/>
          <w:bCs/>
        </w:rPr>
        <w:t>.4</w:t>
      </w:r>
      <w:r>
        <w:rPr>
          <w:rFonts w:hint="eastAsia"/>
          <w:b/>
          <w:bCs/>
        </w:rPr>
        <w:t>-</w:t>
      </w:r>
      <w:r>
        <w:rPr>
          <w:b/>
          <w:bCs/>
        </w:rPr>
        <w:t>1</w:t>
      </w:r>
      <w:r>
        <w:rPr>
          <w:rFonts w:hint="eastAsia"/>
          <w:b/>
          <w:bCs/>
        </w:rPr>
        <w:t>环境质量执行标准</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126"/>
        <w:gridCol w:w="1888"/>
        <w:gridCol w:w="964"/>
        <w:gridCol w:w="876"/>
        <w:gridCol w:w="1234"/>
        <w:gridCol w:w="1386"/>
        <w:gridCol w:w="1053"/>
      </w:tblGrid>
      <w:tr w14:paraId="456DA1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restart"/>
            <w:vAlign w:val="center"/>
          </w:tcPr>
          <w:p w14:paraId="4067904D">
            <w:pPr>
              <w:adjustRightInd w:val="0"/>
              <w:snapToGrid w:val="0"/>
              <w:spacing w:line="240" w:lineRule="auto"/>
              <w:ind w:firstLine="0" w:firstLineChars="0"/>
              <w:jc w:val="center"/>
              <w:rPr>
                <w:sz w:val="18"/>
                <w:szCs w:val="18"/>
              </w:rPr>
            </w:pPr>
            <w:r>
              <w:rPr>
                <w:sz w:val="18"/>
                <w:szCs w:val="18"/>
              </w:rPr>
              <w:t>要素</w:t>
            </w:r>
          </w:p>
          <w:p w14:paraId="6017B888">
            <w:pPr>
              <w:adjustRightInd w:val="0"/>
              <w:snapToGrid w:val="0"/>
              <w:spacing w:line="240" w:lineRule="auto"/>
              <w:ind w:firstLine="0" w:firstLineChars="0"/>
              <w:jc w:val="center"/>
              <w:rPr>
                <w:sz w:val="18"/>
                <w:szCs w:val="18"/>
              </w:rPr>
            </w:pPr>
            <w:r>
              <w:rPr>
                <w:sz w:val="18"/>
                <w:szCs w:val="18"/>
              </w:rPr>
              <w:t>分类</w:t>
            </w:r>
          </w:p>
        </w:tc>
        <w:tc>
          <w:tcPr>
            <w:tcW w:w="1117" w:type="pct"/>
            <w:vMerge w:val="restart"/>
            <w:vAlign w:val="center"/>
          </w:tcPr>
          <w:p w14:paraId="090F1C17">
            <w:pPr>
              <w:adjustRightInd w:val="0"/>
              <w:snapToGrid w:val="0"/>
              <w:spacing w:line="240" w:lineRule="auto"/>
              <w:ind w:firstLine="0" w:firstLineChars="0"/>
              <w:jc w:val="center"/>
              <w:rPr>
                <w:sz w:val="18"/>
                <w:szCs w:val="18"/>
              </w:rPr>
            </w:pPr>
            <w:r>
              <w:rPr>
                <w:sz w:val="18"/>
                <w:szCs w:val="18"/>
              </w:rPr>
              <w:t>标准名称</w:t>
            </w:r>
          </w:p>
        </w:tc>
        <w:tc>
          <w:tcPr>
            <w:tcW w:w="575" w:type="pct"/>
            <w:vMerge w:val="restart"/>
            <w:vAlign w:val="center"/>
          </w:tcPr>
          <w:p w14:paraId="23B55A4D">
            <w:pPr>
              <w:adjustRightInd w:val="0"/>
              <w:snapToGrid w:val="0"/>
              <w:spacing w:line="240" w:lineRule="auto"/>
              <w:ind w:firstLine="0" w:firstLineChars="0"/>
              <w:jc w:val="center"/>
              <w:rPr>
                <w:sz w:val="18"/>
                <w:szCs w:val="18"/>
              </w:rPr>
            </w:pPr>
            <w:r>
              <w:rPr>
                <w:sz w:val="18"/>
                <w:szCs w:val="18"/>
              </w:rPr>
              <w:t>类别</w:t>
            </w:r>
          </w:p>
          <w:p w14:paraId="7F55FB6F">
            <w:pPr>
              <w:adjustRightInd w:val="0"/>
              <w:snapToGrid w:val="0"/>
              <w:spacing w:line="240" w:lineRule="auto"/>
              <w:ind w:firstLine="0" w:firstLineChars="0"/>
              <w:jc w:val="center"/>
              <w:rPr>
                <w:sz w:val="18"/>
                <w:szCs w:val="18"/>
              </w:rPr>
            </w:pPr>
            <w:r>
              <w:rPr>
                <w:sz w:val="18"/>
                <w:szCs w:val="18"/>
              </w:rPr>
              <w:t>（级）别</w:t>
            </w:r>
          </w:p>
        </w:tc>
        <w:tc>
          <w:tcPr>
            <w:tcW w:w="2011" w:type="pct"/>
            <w:gridSpan w:val="3"/>
            <w:vAlign w:val="center"/>
          </w:tcPr>
          <w:p w14:paraId="209BCBC2">
            <w:pPr>
              <w:adjustRightInd w:val="0"/>
              <w:snapToGrid w:val="0"/>
              <w:spacing w:line="240" w:lineRule="auto"/>
              <w:ind w:firstLine="0" w:firstLineChars="0"/>
              <w:jc w:val="center"/>
              <w:rPr>
                <w:sz w:val="18"/>
                <w:szCs w:val="18"/>
              </w:rPr>
            </w:pPr>
            <w:r>
              <w:rPr>
                <w:sz w:val="18"/>
                <w:szCs w:val="18"/>
              </w:rPr>
              <w:t>标准限值</w:t>
            </w:r>
          </w:p>
        </w:tc>
        <w:tc>
          <w:tcPr>
            <w:tcW w:w="627" w:type="pct"/>
            <w:vMerge w:val="restart"/>
            <w:vAlign w:val="center"/>
          </w:tcPr>
          <w:p w14:paraId="13E4A3D3">
            <w:pPr>
              <w:adjustRightInd w:val="0"/>
              <w:snapToGrid w:val="0"/>
              <w:spacing w:line="240" w:lineRule="auto"/>
              <w:ind w:firstLine="0" w:firstLineChars="0"/>
              <w:jc w:val="center"/>
              <w:rPr>
                <w:sz w:val="18"/>
                <w:szCs w:val="18"/>
              </w:rPr>
            </w:pPr>
            <w:r>
              <w:rPr>
                <w:sz w:val="18"/>
                <w:szCs w:val="18"/>
              </w:rPr>
              <w:t>评价对象</w:t>
            </w:r>
          </w:p>
        </w:tc>
      </w:tr>
      <w:tr w14:paraId="17D5CA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19C77F68">
            <w:pPr>
              <w:adjustRightInd w:val="0"/>
              <w:snapToGrid w:val="0"/>
              <w:spacing w:line="240" w:lineRule="auto"/>
              <w:ind w:firstLine="0" w:firstLineChars="0"/>
              <w:jc w:val="center"/>
              <w:rPr>
                <w:sz w:val="18"/>
                <w:szCs w:val="18"/>
              </w:rPr>
            </w:pPr>
          </w:p>
        </w:tc>
        <w:tc>
          <w:tcPr>
            <w:tcW w:w="1117" w:type="pct"/>
            <w:vMerge w:val="continue"/>
            <w:vAlign w:val="center"/>
          </w:tcPr>
          <w:p w14:paraId="156F87E9">
            <w:pPr>
              <w:adjustRightInd w:val="0"/>
              <w:snapToGrid w:val="0"/>
              <w:spacing w:line="240" w:lineRule="auto"/>
              <w:ind w:firstLine="0" w:firstLineChars="0"/>
              <w:jc w:val="center"/>
              <w:rPr>
                <w:sz w:val="18"/>
                <w:szCs w:val="18"/>
              </w:rPr>
            </w:pPr>
          </w:p>
        </w:tc>
        <w:tc>
          <w:tcPr>
            <w:tcW w:w="575" w:type="pct"/>
            <w:vMerge w:val="continue"/>
            <w:vAlign w:val="center"/>
          </w:tcPr>
          <w:p w14:paraId="72BDA1ED">
            <w:pPr>
              <w:adjustRightInd w:val="0"/>
              <w:snapToGrid w:val="0"/>
              <w:spacing w:line="240" w:lineRule="auto"/>
              <w:ind w:firstLine="0" w:firstLineChars="0"/>
              <w:jc w:val="center"/>
              <w:rPr>
                <w:sz w:val="18"/>
                <w:szCs w:val="18"/>
              </w:rPr>
            </w:pPr>
          </w:p>
        </w:tc>
        <w:tc>
          <w:tcPr>
            <w:tcW w:w="1189" w:type="pct"/>
            <w:gridSpan w:val="2"/>
            <w:vAlign w:val="center"/>
          </w:tcPr>
          <w:p w14:paraId="6FF9E859">
            <w:pPr>
              <w:adjustRightInd w:val="0"/>
              <w:snapToGrid w:val="0"/>
              <w:spacing w:line="240" w:lineRule="auto"/>
              <w:ind w:firstLine="0" w:firstLineChars="0"/>
              <w:jc w:val="center"/>
              <w:rPr>
                <w:sz w:val="18"/>
                <w:szCs w:val="18"/>
              </w:rPr>
            </w:pPr>
            <w:r>
              <w:rPr>
                <w:sz w:val="18"/>
                <w:szCs w:val="18"/>
              </w:rPr>
              <w:t>参数名称</w:t>
            </w:r>
          </w:p>
        </w:tc>
        <w:tc>
          <w:tcPr>
            <w:tcW w:w="822" w:type="pct"/>
            <w:vAlign w:val="center"/>
          </w:tcPr>
          <w:p w14:paraId="615383DC">
            <w:pPr>
              <w:adjustRightInd w:val="0"/>
              <w:snapToGrid w:val="0"/>
              <w:spacing w:line="240" w:lineRule="auto"/>
              <w:ind w:firstLine="0" w:firstLineChars="0"/>
              <w:jc w:val="center"/>
              <w:rPr>
                <w:sz w:val="18"/>
                <w:szCs w:val="18"/>
              </w:rPr>
            </w:pPr>
            <w:r>
              <w:rPr>
                <w:sz w:val="18"/>
                <w:szCs w:val="18"/>
              </w:rPr>
              <w:t>限值</w:t>
            </w:r>
          </w:p>
        </w:tc>
        <w:tc>
          <w:tcPr>
            <w:tcW w:w="627" w:type="pct"/>
            <w:vMerge w:val="continue"/>
            <w:vAlign w:val="center"/>
          </w:tcPr>
          <w:p w14:paraId="5BF66D8E">
            <w:pPr>
              <w:adjustRightInd w:val="0"/>
              <w:snapToGrid w:val="0"/>
              <w:spacing w:line="240" w:lineRule="auto"/>
              <w:ind w:firstLine="0" w:firstLineChars="0"/>
              <w:jc w:val="center"/>
              <w:rPr>
                <w:sz w:val="18"/>
                <w:szCs w:val="18"/>
              </w:rPr>
            </w:pPr>
          </w:p>
        </w:tc>
      </w:tr>
      <w:tr w14:paraId="5EDB19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restart"/>
            <w:vAlign w:val="center"/>
          </w:tcPr>
          <w:p w14:paraId="7FBC3DFA">
            <w:pPr>
              <w:adjustRightInd w:val="0"/>
              <w:snapToGrid w:val="0"/>
              <w:spacing w:line="240" w:lineRule="auto"/>
              <w:ind w:firstLine="0" w:firstLineChars="0"/>
              <w:rPr>
                <w:sz w:val="18"/>
                <w:szCs w:val="18"/>
              </w:rPr>
            </w:pPr>
            <w:r>
              <w:rPr>
                <w:sz w:val="18"/>
                <w:szCs w:val="18"/>
              </w:rPr>
              <w:t>声环境</w:t>
            </w:r>
          </w:p>
        </w:tc>
        <w:tc>
          <w:tcPr>
            <w:tcW w:w="1117" w:type="pct"/>
            <w:vMerge w:val="restart"/>
            <w:vAlign w:val="center"/>
          </w:tcPr>
          <w:p w14:paraId="73A2AC62">
            <w:pPr>
              <w:adjustRightInd w:val="0"/>
              <w:snapToGrid w:val="0"/>
              <w:spacing w:line="240" w:lineRule="auto"/>
              <w:ind w:firstLine="360"/>
              <w:jc w:val="center"/>
              <w:rPr>
                <w:sz w:val="18"/>
                <w:szCs w:val="18"/>
              </w:rPr>
            </w:pPr>
            <w:r>
              <w:rPr>
                <w:sz w:val="18"/>
                <w:szCs w:val="18"/>
              </w:rPr>
              <w:t>《声环境质量标准》(GB309-2008)</w:t>
            </w:r>
          </w:p>
        </w:tc>
        <w:tc>
          <w:tcPr>
            <w:tcW w:w="575" w:type="pct"/>
            <w:vMerge w:val="restart"/>
            <w:vAlign w:val="center"/>
          </w:tcPr>
          <w:p w14:paraId="42BC2283">
            <w:pPr>
              <w:adjustRightInd w:val="0"/>
              <w:snapToGrid w:val="0"/>
              <w:spacing w:line="240" w:lineRule="auto"/>
              <w:ind w:firstLine="0" w:firstLineChars="0"/>
              <w:jc w:val="center"/>
              <w:rPr>
                <w:sz w:val="18"/>
                <w:szCs w:val="18"/>
              </w:rPr>
            </w:pPr>
            <w:r>
              <w:rPr>
                <w:rFonts w:hint="eastAsia"/>
                <w:sz w:val="18"/>
                <w:szCs w:val="18"/>
              </w:rPr>
              <w:t>1类</w:t>
            </w:r>
          </w:p>
        </w:tc>
        <w:tc>
          <w:tcPr>
            <w:tcW w:w="456" w:type="pct"/>
            <w:vMerge w:val="restart"/>
            <w:vAlign w:val="center"/>
          </w:tcPr>
          <w:p w14:paraId="4684DF9E">
            <w:pPr>
              <w:adjustRightInd w:val="0"/>
              <w:snapToGrid w:val="0"/>
              <w:spacing w:line="240" w:lineRule="auto"/>
              <w:ind w:firstLine="360"/>
              <w:jc w:val="center"/>
              <w:rPr>
                <w:sz w:val="18"/>
                <w:szCs w:val="18"/>
              </w:rPr>
            </w:pPr>
            <w:r>
              <w:rPr>
                <w:sz w:val="18"/>
                <w:szCs w:val="18"/>
              </w:rPr>
              <w:t>等效声级Leq（A）</w:t>
            </w:r>
          </w:p>
        </w:tc>
        <w:tc>
          <w:tcPr>
            <w:tcW w:w="733" w:type="pct"/>
            <w:vAlign w:val="center"/>
          </w:tcPr>
          <w:p w14:paraId="72839D0B">
            <w:pPr>
              <w:adjustRightInd w:val="0"/>
              <w:snapToGrid w:val="0"/>
              <w:spacing w:line="240" w:lineRule="auto"/>
              <w:ind w:firstLine="0" w:firstLineChars="0"/>
              <w:jc w:val="center"/>
              <w:rPr>
                <w:sz w:val="18"/>
                <w:szCs w:val="18"/>
              </w:rPr>
            </w:pPr>
            <w:r>
              <w:rPr>
                <w:sz w:val="18"/>
                <w:szCs w:val="18"/>
              </w:rPr>
              <w:t>昼间</w:t>
            </w:r>
          </w:p>
        </w:tc>
        <w:tc>
          <w:tcPr>
            <w:tcW w:w="822" w:type="pct"/>
            <w:vAlign w:val="center"/>
          </w:tcPr>
          <w:p w14:paraId="3E2C975F">
            <w:pPr>
              <w:adjustRightInd w:val="0"/>
              <w:snapToGrid w:val="0"/>
              <w:spacing w:line="240" w:lineRule="auto"/>
              <w:ind w:firstLine="0" w:firstLineChars="0"/>
              <w:jc w:val="center"/>
              <w:rPr>
                <w:sz w:val="18"/>
                <w:szCs w:val="18"/>
              </w:rPr>
            </w:pPr>
            <w:r>
              <w:rPr>
                <w:rFonts w:hint="eastAsia"/>
                <w:sz w:val="18"/>
                <w:szCs w:val="18"/>
              </w:rPr>
              <w:t>5</w:t>
            </w:r>
            <w:r>
              <w:rPr>
                <w:sz w:val="18"/>
                <w:szCs w:val="18"/>
              </w:rPr>
              <w:t>5</w:t>
            </w:r>
            <w:r>
              <w:rPr>
                <w:rFonts w:hint="eastAsia"/>
                <w:sz w:val="18"/>
                <w:szCs w:val="18"/>
              </w:rPr>
              <w:t>d</w:t>
            </w:r>
            <w:r>
              <w:rPr>
                <w:sz w:val="18"/>
                <w:szCs w:val="18"/>
              </w:rPr>
              <w:t>B</w:t>
            </w:r>
            <w:r>
              <w:rPr>
                <w:rFonts w:hint="eastAsia"/>
                <w:sz w:val="18"/>
                <w:szCs w:val="18"/>
              </w:rPr>
              <w:t>（A）</w:t>
            </w:r>
          </w:p>
        </w:tc>
        <w:tc>
          <w:tcPr>
            <w:tcW w:w="627" w:type="pct"/>
            <w:vMerge w:val="restart"/>
            <w:vAlign w:val="center"/>
          </w:tcPr>
          <w:p w14:paraId="4FB7F266">
            <w:pPr>
              <w:adjustRightInd w:val="0"/>
              <w:snapToGrid w:val="0"/>
              <w:spacing w:line="240" w:lineRule="auto"/>
              <w:ind w:firstLine="0" w:firstLineChars="0"/>
              <w:jc w:val="center"/>
              <w:rPr>
                <w:sz w:val="18"/>
                <w:szCs w:val="18"/>
              </w:rPr>
            </w:pPr>
            <w:r>
              <w:rPr>
                <w:rFonts w:hint="eastAsia"/>
                <w:sz w:val="18"/>
                <w:szCs w:val="18"/>
              </w:rPr>
              <w:t>除升压站和风电场附近居民点以外的其他农村地区</w:t>
            </w:r>
          </w:p>
        </w:tc>
      </w:tr>
      <w:tr w14:paraId="3B40A3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16704903">
            <w:pPr>
              <w:adjustRightInd w:val="0"/>
              <w:snapToGrid w:val="0"/>
              <w:spacing w:line="240" w:lineRule="auto"/>
              <w:ind w:firstLine="360"/>
              <w:jc w:val="center"/>
              <w:rPr>
                <w:sz w:val="18"/>
                <w:szCs w:val="18"/>
              </w:rPr>
            </w:pPr>
          </w:p>
        </w:tc>
        <w:tc>
          <w:tcPr>
            <w:tcW w:w="1117" w:type="pct"/>
            <w:vMerge w:val="continue"/>
            <w:vAlign w:val="center"/>
          </w:tcPr>
          <w:p w14:paraId="6CADA532">
            <w:pPr>
              <w:adjustRightInd w:val="0"/>
              <w:snapToGrid w:val="0"/>
              <w:spacing w:line="240" w:lineRule="auto"/>
              <w:ind w:firstLine="360"/>
              <w:jc w:val="center"/>
              <w:rPr>
                <w:sz w:val="18"/>
                <w:szCs w:val="18"/>
              </w:rPr>
            </w:pPr>
          </w:p>
        </w:tc>
        <w:tc>
          <w:tcPr>
            <w:tcW w:w="575" w:type="pct"/>
            <w:vMerge w:val="continue"/>
            <w:vAlign w:val="center"/>
          </w:tcPr>
          <w:p w14:paraId="5CA75657">
            <w:pPr>
              <w:adjustRightInd w:val="0"/>
              <w:snapToGrid w:val="0"/>
              <w:spacing w:line="240" w:lineRule="auto"/>
              <w:ind w:firstLine="0" w:firstLineChars="0"/>
              <w:jc w:val="center"/>
              <w:rPr>
                <w:sz w:val="18"/>
                <w:szCs w:val="18"/>
              </w:rPr>
            </w:pPr>
          </w:p>
        </w:tc>
        <w:tc>
          <w:tcPr>
            <w:tcW w:w="456" w:type="pct"/>
            <w:vMerge w:val="continue"/>
            <w:vAlign w:val="center"/>
          </w:tcPr>
          <w:p w14:paraId="1AA82618">
            <w:pPr>
              <w:adjustRightInd w:val="0"/>
              <w:snapToGrid w:val="0"/>
              <w:spacing w:line="240" w:lineRule="auto"/>
              <w:ind w:firstLine="360"/>
              <w:jc w:val="center"/>
              <w:rPr>
                <w:sz w:val="18"/>
                <w:szCs w:val="18"/>
              </w:rPr>
            </w:pPr>
          </w:p>
        </w:tc>
        <w:tc>
          <w:tcPr>
            <w:tcW w:w="733" w:type="pct"/>
            <w:vAlign w:val="center"/>
          </w:tcPr>
          <w:p w14:paraId="3FCA1C11">
            <w:pPr>
              <w:adjustRightInd w:val="0"/>
              <w:snapToGrid w:val="0"/>
              <w:spacing w:line="240" w:lineRule="auto"/>
              <w:ind w:firstLine="0" w:firstLineChars="0"/>
              <w:jc w:val="center"/>
              <w:rPr>
                <w:sz w:val="18"/>
                <w:szCs w:val="18"/>
              </w:rPr>
            </w:pPr>
            <w:r>
              <w:rPr>
                <w:sz w:val="18"/>
                <w:szCs w:val="18"/>
              </w:rPr>
              <w:t>夜间</w:t>
            </w:r>
          </w:p>
        </w:tc>
        <w:tc>
          <w:tcPr>
            <w:tcW w:w="822" w:type="pct"/>
            <w:vAlign w:val="center"/>
          </w:tcPr>
          <w:p w14:paraId="47A39E9A">
            <w:pPr>
              <w:adjustRightInd w:val="0"/>
              <w:snapToGrid w:val="0"/>
              <w:spacing w:line="240" w:lineRule="auto"/>
              <w:ind w:firstLine="0" w:firstLineChars="0"/>
              <w:jc w:val="center"/>
              <w:rPr>
                <w:sz w:val="18"/>
                <w:szCs w:val="18"/>
              </w:rPr>
            </w:pPr>
            <w:r>
              <w:rPr>
                <w:rFonts w:hint="eastAsia"/>
                <w:sz w:val="18"/>
                <w:szCs w:val="18"/>
              </w:rPr>
              <w:t>4</w:t>
            </w:r>
            <w:r>
              <w:rPr>
                <w:sz w:val="18"/>
                <w:szCs w:val="18"/>
              </w:rPr>
              <w:t>5</w:t>
            </w:r>
            <w:r>
              <w:rPr>
                <w:rFonts w:hint="eastAsia"/>
                <w:sz w:val="18"/>
                <w:szCs w:val="18"/>
              </w:rPr>
              <w:t>d</w:t>
            </w:r>
            <w:r>
              <w:rPr>
                <w:sz w:val="18"/>
                <w:szCs w:val="18"/>
              </w:rPr>
              <w:t>B</w:t>
            </w:r>
            <w:r>
              <w:rPr>
                <w:rFonts w:hint="eastAsia"/>
                <w:sz w:val="18"/>
                <w:szCs w:val="18"/>
              </w:rPr>
              <w:t>（A）</w:t>
            </w:r>
          </w:p>
        </w:tc>
        <w:tc>
          <w:tcPr>
            <w:tcW w:w="627" w:type="pct"/>
            <w:vMerge w:val="continue"/>
            <w:vAlign w:val="center"/>
          </w:tcPr>
          <w:p w14:paraId="6B085F65">
            <w:pPr>
              <w:adjustRightInd w:val="0"/>
              <w:snapToGrid w:val="0"/>
              <w:spacing w:line="240" w:lineRule="auto"/>
              <w:ind w:firstLine="0" w:firstLineChars="0"/>
              <w:jc w:val="center"/>
              <w:rPr>
                <w:sz w:val="18"/>
                <w:szCs w:val="18"/>
              </w:rPr>
            </w:pPr>
          </w:p>
        </w:tc>
      </w:tr>
      <w:tr w14:paraId="53E70C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39D2D7D2">
            <w:pPr>
              <w:adjustRightInd w:val="0"/>
              <w:snapToGrid w:val="0"/>
              <w:spacing w:line="240" w:lineRule="auto"/>
              <w:ind w:firstLine="0" w:firstLineChars="0"/>
              <w:jc w:val="center"/>
              <w:rPr>
                <w:sz w:val="18"/>
                <w:szCs w:val="18"/>
              </w:rPr>
            </w:pPr>
          </w:p>
        </w:tc>
        <w:tc>
          <w:tcPr>
            <w:tcW w:w="1117" w:type="pct"/>
            <w:vMerge w:val="continue"/>
            <w:vAlign w:val="center"/>
          </w:tcPr>
          <w:p w14:paraId="68AE55D3">
            <w:pPr>
              <w:adjustRightInd w:val="0"/>
              <w:snapToGrid w:val="0"/>
              <w:spacing w:line="240" w:lineRule="auto"/>
              <w:ind w:firstLine="0" w:firstLineChars="0"/>
              <w:jc w:val="center"/>
              <w:rPr>
                <w:sz w:val="18"/>
                <w:szCs w:val="18"/>
              </w:rPr>
            </w:pPr>
          </w:p>
        </w:tc>
        <w:tc>
          <w:tcPr>
            <w:tcW w:w="575" w:type="pct"/>
            <w:vMerge w:val="restart"/>
            <w:vAlign w:val="center"/>
          </w:tcPr>
          <w:p w14:paraId="031F64E2">
            <w:pPr>
              <w:adjustRightInd w:val="0"/>
              <w:snapToGrid w:val="0"/>
              <w:spacing w:line="240" w:lineRule="auto"/>
              <w:ind w:firstLine="0" w:firstLineChars="0"/>
              <w:jc w:val="center"/>
              <w:rPr>
                <w:sz w:val="18"/>
                <w:szCs w:val="18"/>
              </w:rPr>
            </w:pPr>
            <w:r>
              <w:rPr>
                <w:sz w:val="18"/>
                <w:szCs w:val="18"/>
              </w:rPr>
              <w:t>2类</w:t>
            </w:r>
          </w:p>
        </w:tc>
        <w:tc>
          <w:tcPr>
            <w:tcW w:w="456" w:type="pct"/>
            <w:vMerge w:val="continue"/>
            <w:vAlign w:val="center"/>
          </w:tcPr>
          <w:p w14:paraId="666DF4C9">
            <w:pPr>
              <w:adjustRightInd w:val="0"/>
              <w:snapToGrid w:val="0"/>
              <w:spacing w:line="240" w:lineRule="auto"/>
              <w:ind w:firstLine="0" w:firstLineChars="0"/>
              <w:jc w:val="center"/>
              <w:rPr>
                <w:sz w:val="18"/>
                <w:szCs w:val="18"/>
              </w:rPr>
            </w:pPr>
          </w:p>
        </w:tc>
        <w:tc>
          <w:tcPr>
            <w:tcW w:w="733" w:type="pct"/>
            <w:vAlign w:val="center"/>
          </w:tcPr>
          <w:p w14:paraId="2354B630">
            <w:pPr>
              <w:adjustRightInd w:val="0"/>
              <w:snapToGrid w:val="0"/>
              <w:spacing w:line="240" w:lineRule="auto"/>
              <w:ind w:firstLine="0" w:firstLineChars="0"/>
              <w:jc w:val="center"/>
              <w:rPr>
                <w:sz w:val="18"/>
                <w:szCs w:val="18"/>
              </w:rPr>
            </w:pPr>
            <w:r>
              <w:rPr>
                <w:sz w:val="18"/>
                <w:szCs w:val="18"/>
              </w:rPr>
              <w:t>昼间</w:t>
            </w:r>
          </w:p>
        </w:tc>
        <w:tc>
          <w:tcPr>
            <w:tcW w:w="822" w:type="pct"/>
            <w:vAlign w:val="center"/>
          </w:tcPr>
          <w:p w14:paraId="03DE20E3">
            <w:pPr>
              <w:adjustRightInd w:val="0"/>
              <w:snapToGrid w:val="0"/>
              <w:spacing w:line="240" w:lineRule="auto"/>
              <w:ind w:firstLine="0" w:firstLineChars="0"/>
              <w:jc w:val="center"/>
              <w:rPr>
                <w:sz w:val="18"/>
                <w:szCs w:val="18"/>
              </w:rPr>
            </w:pPr>
            <w:r>
              <w:rPr>
                <w:sz w:val="18"/>
                <w:szCs w:val="18"/>
              </w:rPr>
              <w:t>60dB(A)</w:t>
            </w:r>
          </w:p>
        </w:tc>
        <w:tc>
          <w:tcPr>
            <w:tcW w:w="627" w:type="pct"/>
            <w:vMerge w:val="restart"/>
            <w:vAlign w:val="center"/>
          </w:tcPr>
          <w:p w14:paraId="7BA068F2">
            <w:pPr>
              <w:adjustRightInd w:val="0"/>
              <w:snapToGrid w:val="0"/>
              <w:spacing w:line="240" w:lineRule="auto"/>
              <w:ind w:firstLine="0" w:firstLineChars="0"/>
              <w:jc w:val="center"/>
              <w:rPr>
                <w:sz w:val="18"/>
                <w:szCs w:val="18"/>
              </w:rPr>
            </w:pPr>
            <w:r>
              <w:rPr>
                <w:rFonts w:hint="eastAsia"/>
                <w:sz w:val="18"/>
                <w:szCs w:val="18"/>
              </w:rPr>
              <w:t>升压站和风电场附近居民点</w:t>
            </w:r>
          </w:p>
        </w:tc>
      </w:tr>
      <w:tr w14:paraId="424FBA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61E56B5A">
            <w:pPr>
              <w:adjustRightInd w:val="0"/>
              <w:snapToGrid w:val="0"/>
              <w:spacing w:line="240" w:lineRule="auto"/>
              <w:ind w:firstLine="0" w:firstLineChars="0"/>
              <w:jc w:val="center"/>
              <w:rPr>
                <w:sz w:val="18"/>
                <w:szCs w:val="18"/>
              </w:rPr>
            </w:pPr>
          </w:p>
        </w:tc>
        <w:tc>
          <w:tcPr>
            <w:tcW w:w="1117" w:type="pct"/>
            <w:vMerge w:val="continue"/>
            <w:vAlign w:val="center"/>
          </w:tcPr>
          <w:p w14:paraId="39543935">
            <w:pPr>
              <w:adjustRightInd w:val="0"/>
              <w:snapToGrid w:val="0"/>
              <w:spacing w:line="240" w:lineRule="auto"/>
              <w:ind w:firstLine="0" w:firstLineChars="0"/>
              <w:jc w:val="center"/>
              <w:rPr>
                <w:sz w:val="18"/>
                <w:szCs w:val="18"/>
              </w:rPr>
            </w:pPr>
          </w:p>
        </w:tc>
        <w:tc>
          <w:tcPr>
            <w:tcW w:w="575" w:type="pct"/>
            <w:vMerge w:val="continue"/>
            <w:vAlign w:val="center"/>
          </w:tcPr>
          <w:p w14:paraId="6F23741A">
            <w:pPr>
              <w:adjustRightInd w:val="0"/>
              <w:snapToGrid w:val="0"/>
              <w:spacing w:line="240" w:lineRule="auto"/>
              <w:ind w:firstLine="0" w:firstLineChars="0"/>
              <w:jc w:val="center"/>
              <w:rPr>
                <w:sz w:val="18"/>
                <w:szCs w:val="18"/>
              </w:rPr>
            </w:pPr>
          </w:p>
        </w:tc>
        <w:tc>
          <w:tcPr>
            <w:tcW w:w="456" w:type="pct"/>
            <w:vMerge w:val="continue"/>
            <w:vAlign w:val="center"/>
          </w:tcPr>
          <w:p w14:paraId="3E29FF15">
            <w:pPr>
              <w:adjustRightInd w:val="0"/>
              <w:snapToGrid w:val="0"/>
              <w:spacing w:line="240" w:lineRule="auto"/>
              <w:ind w:firstLine="0" w:firstLineChars="0"/>
              <w:jc w:val="center"/>
              <w:rPr>
                <w:sz w:val="18"/>
                <w:szCs w:val="18"/>
              </w:rPr>
            </w:pPr>
          </w:p>
        </w:tc>
        <w:tc>
          <w:tcPr>
            <w:tcW w:w="733" w:type="pct"/>
            <w:vAlign w:val="center"/>
          </w:tcPr>
          <w:p w14:paraId="6C2BA95C">
            <w:pPr>
              <w:adjustRightInd w:val="0"/>
              <w:snapToGrid w:val="0"/>
              <w:spacing w:line="240" w:lineRule="auto"/>
              <w:ind w:firstLine="0" w:firstLineChars="0"/>
              <w:jc w:val="center"/>
              <w:rPr>
                <w:sz w:val="18"/>
                <w:szCs w:val="18"/>
              </w:rPr>
            </w:pPr>
            <w:r>
              <w:rPr>
                <w:sz w:val="18"/>
                <w:szCs w:val="18"/>
              </w:rPr>
              <w:t>夜间</w:t>
            </w:r>
          </w:p>
        </w:tc>
        <w:tc>
          <w:tcPr>
            <w:tcW w:w="822" w:type="pct"/>
            <w:vAlign w:val="center"/>
          </w:tcPr>
          <w:p w14:paraId="620D1B5E">
            <w:pPr>
              <w:adjustRightInd w:val="0"/>
              <w:snapToGrid w:val="0"/>
              <w:spacing w:line="240" w:lineRule="auto"/>
              <w:ind w:firstLine="0" w:firstLineChars="0"/>
              <w:jc w:val="center"/>
              <w:rPr>
                <w:sz w:val="18"/>
                <w:szCs w:val="18"/>
              </w:rPr>
            </w:pPr>
            <w:r>
              <w:rPr>
                <w:sz w:val="18"/>
                <w:szCs w:val="18"/>
              </w:rPr>
              <w:t>50dB(A)</w:t>
            </w:r>
          </w:p>
        </w:tc>
        <w:tc>
          <w:tcPr>
            <w:tcW w:w="627" w:type="pct"/>
            <w:vMerge w:val="continue"/>
            <w:vAlign w:val="center"/>
          </w:tcPr>
          <w:p w14:paraId="2BDFC32F">
            <w:pPr>
              <w:adjustRightInd w:val="0"/>
              <w:snapToGrid w:val="0"/>
              <w:spacing w:line="240" w:lineRule="auto"/>
              <w:ind w:firstLine="0" w:firstLineChars="0"/>
              <w:jc w:val="center"/>
              <w:rPr>
                <w:sz w:val="18"/>
                <w:szCs w:val="18"/>
              </w:rPr>
            </w:pPr>
          </w:p>
        </w:tc>
      </w:tr>
      <w:tr w14:paraId="3951F5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07AC7466">
            <w:pPr>
              <w:adjustRightInd w:val="0"/>
              <w:snapToGrid w:val="0"/>
              <w:spacing w:line="240" w:lineRule="auto"/>
              <w:ind w:firstLine="0" w:firstLineChars="0"/>
              <w:jc w:val="center"/>
              <w:rPr>
                <w:sz w:val="18"/>
                <w:szCs w:val="18"/>
              </w:rPr>
            </w:pPr>
          </w:p>
        </w:tc>
        <w:tc>
          <w:tcPr>
            <w:tcW w:w="1117" w:type="pct"/>
            <w:vMerge w:val="continue"/>
            <w:vAlign w:val="center"/>
          </w:tcPr>
          <w:p w14:paraId="7DFA29E5">
            <w:pPr>
              <w:adjustRightInd w:val="0"/>
              <w:snapToGrid w:val="0"/>
              <w:spacing w:line="240" w:lineRule="auto"/>
              <w:ind w:firstLine="0" w:firstLineChars="0"/>
              <w:jc w:val="center"/>
              <w:rPr>
                <w:sz w:val="18"/>
                <w:szCs w:val="18"/>
              </w:rPr>
            </w:pPr>
          </w:p>
        </w:tc>
        <w:tc>
          <w:tcPr>
            <w:tcW w:w="575" w:type="pct"/>
            <w:vMerge w:val="restart"/>
            <w:vAlign w:val="center"/>
          </w:tcPr>
          <w:p w14:paraId="012622EB">
            <w:pPr>
              <w:adjustRightInd w:val="0"/>
              <w:snapToGrid w:val="0"/>
              <w:spacing w:line="240" w:lineRule="auto"/>
              <w:ind w:firstLine="0" w:firstLineChars="0"/>
              <w:jc w:val="center"/>
              <w:rPr>
                <w:sz w:val="18"/>
                <w:szCs w:val="18"/>
              </w:rPr>
            </w:pPr>
            <w:r>
              <w:rPr>
                <w:sz w:val="18"/>
                <w:szCs w:val="18"/>
              </w:rPr>
              <w:t>4a类</w:t>
            </w:r>
          </w:p>
        </w:tc>
        <w:tc>
          <w:tcPr>
            <w:tcW w:w="456" w:type="pct"/>
            <w:vMerge w:val="continue"/>
            <w:vAlign w:val="center"/>
          </w:tcPr>
          <w:p w14:paraId="2F163410">
            <w:pPr>
              <w:adjustRightInd w:val="0"/>
              <w:snapToGrid w:val="0"/>
              <w:spacing w:line="240" w:lineRule="auto"/>
              <w:ind w:firstLine="0" w:firstLineChars="0"/>
              <w:jc w:val="center"/>
              <w:rPr>
                <w:sz w:val="18"/>
                <w:szCs w:val="18"/>
              </w:rPr>
            </w:pPr>
          </w:p>
        </w:tc>
        <w:tc>
          <w:tcPr>
            <w:tcW w:w="733" w:type="pct"/>
            <w:vAlign w:val="center"/>
          </w:tcPr>
          <w:p w14:paraId="01D8277A">
            <w:pPr>
              <w:adjustRightInd w:val="0"/>
              <w:snapToGrid w:val="0"/>
              <w:spacing w:line="240" w:lineRule="auto"/>
              <w:ind w:firstLine="0" w:firstLineChars="0"/>
              <w:jc w:val="center"/>
              <w:rPr>
                <w:sz w:val="18"/>
                <w:szCs w:val="18"/>
              </w:rPr>
            </w:pPr>
            <w:r>
              <w:rPr>
                <w:sz w:val="18"/>
                <w:szCs w:val="18"/>
              </w:rPr>
              <w:t>昼间</w:t>
            </w:r>
          </w:p>
        </w:tc>
        <w:tc>
          <w:tcPr>
            <w:tcW w:w="822" w:type="pct"/>
            <w:vAlign w:val="center"/>
          </w:tcPr>
          <w:p w14:paraId="5C6F343F">
            <w:pPr>
              <w:adjustRightInd w:val="0"/>
              <w:snapToGrid w:val="0"/>
              <w:spacing w:line="240" w:lineRule="auto"/>
              <w:ind w:firstLine="0" w:firstLineChars="0"/>
              <w:jc w:val="center"/>
              <w:rPr>
                <w:sz w:val="18"/>
                <w:szCs w:val="18"/>
              </w:rPr>
            </w:pPr>
            <w:r>
              <w:rPr>
                <w:sz w:val="18"/>
                <w:szCs w:val="18"/>
              </w:rPr>
              <w:t>70dB(A)</w:t>
            </w:r>
          </w:p>
        </w:tc>
        <w:tc>
          <w:tcPr>
            <w:tcW w:w="627" w:type="pct"/>
            <w:vMerge w:val="restart"/>
            <w:vAlign w:val="center"/>
          </w:tcPr>
          <w:p w14:paraId="31342A92">
            <w:pPr>
              <w:adjustRightInd w:val="0"/>
              <w:snapToGrid w:val="0"/>
              <w:spacing w:line="240" w:lineRule="auto"/>
              <w:ind w:firstLine="0" w:firstLineChars="0"/>
              <w:jc w:val="center"/>
              <w:rPr>
                <w:sz w:val="18"/>
                <w:szCs w:val="18"/>
              </w:rPr>
            </w:pPr>
            <w:r>
              <w:rPr>
                <w:sz w:val="18"/>
                <w:szCs w:val="18"/>
              </w:rPr>
              <w:t>交通干线两侧</w:t>
            </w:r>
          </w:p>
        </w:tc>
      </w:tr>
      <w:tr w14:paraId="2974B6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183FA258">
            <w:pPr>
              <w:adjustRightInd w:val="0"/>
              <w:snapToGrid w:val="0"/>
              <w:spacing w:line="240" w:lineRule="auto"/>
              <w:ind w:firstLine="0" w:firstLineChars="0"/>
              <w:jc w:val="center"/>
              <w:rPr>
                <w:sz w:val="18"/>
                <w:szCs w:val="18"/>
              </w:rPr>
            </w:pPr>
          </w:p>
        </w:tc>
        <w:tc>
          <w:tcPr>
            <w:tcW w:w="1117" w:type="pct"/>
            <w:vMerge w:val="continue"/>
            <w:vAlign w:val="center"/>
          </w:tcPr>
          <w:p w14:paraId="5C43D977">
            <w:pPr>
              <w:adjustRightInd w:val="0"/>
              <w:snapToGrid w:val="0"/>
              <w:spacing w:line="240" w:lineRule="auto"/>
              <w:ind w:firstLine="0" w:firstLineChars="0"/>
              <w:jc w:val="center"/>
              <w:rPr>
                <w:sz w:val="18"/>
                <w:szCs w:val="18"/>
              </w:rPr>
            </w:pPr>
          </w:p>
        </w:tc>
        <w:tc>
          <w:tcPr>
            <w:tcW w:w="575" w:type="pct"/>
            <w:vMerge w:val="continue"/>
            <w:vAlign w:val="center"/>
          </w:tcPr>
          <w:p w14:paraId="31FA9FB8">
            <w:pPr>
              <w:adjustRightInd w:val="0"/>
              <w:snapToGrid w:val="0"/>
              <w:spacing w:line="240" w:lineRule="auto"/>
              <w:ind w:firstLine="0" w:firstLineChars="0"/>
              <w:jc w:val="center"/>
              <w:rPr>
                <w:sz w:val="18"/>
                <w:szCs w:val="18"/>
              </w:rPr>
            </w:pPr>
          </w:p>
        </w:tc>
        <w:tc>
          <w:tcPr>
            <w:tcW w:w="456" w:type="pct"/>
            <w:vMerge w:val="continue"/>
            <w:vAlign w:val="center"/>
          </w:tcPr>
          <w:p w14:paraId="76CE287D">
            <w:pPr>
              <w:adjustRightInd w:val="0"/>
              <w:snapToGrid w:val="0"/>
              <w:spacing w:line="240" w:lineRule="auto"/>
              <w:ind w:firstLine="0" w:firstLineChars="0"/>
              <w:jc w:val="center"/>
              <w:rPr>
                <w:sz w:val="18"/>
                <w:szCs w:val="18"/>
              </w:rPr>
            </w:pPr>
          </w:p>
        </w:tc>
        <w:tc>
          <w:tcPr>
            <w:tcW w:w="733" w:type="pct"/>
            <w:vAlign w:val="center"/>
          </w:tcPr>
          <w:p w14:paraId="5DF42AA9">
            <w:pPr>
              <w:adjustRightInd w:val="0"/>
              <w:snapToGrid w:val="0"/>
              <w:spacing w:line="240" w:lineRule="auto"/>
              <w:ind w:firstLine="0" w:firstLineChars="0"/>
              <w:jc w:val="center"/>
              <w:rPr>
                <w:sz w:val="18"/>
                <w:szCs w:val="18"/>
              </w:rPr>
            </w:pPr>
            <w:r>
              <w:rPr>
                <w:sz w:val="18"/>
                <w:szCs w:val="18"/>
              </w:rPr>
              <w:t>夜间</w:t>
            </w:r>
          </w:p>
        </w:tc>
        <w:tc>
          <w:tcPr>
            <w:tcW w:w="822" w:type="pct"/>
            <w:vAlign w:val="center"/>
          </w:tcPr>
          <w:p w14:paraId="7B157AEB">
            <w:pPr>
              <w:adjustRightInd w:val="0"/>
              <w:snapToGrid w:val="0"/>
              <w:spacing w:line="240" w:lineRule="auto"/>
              <w:ind w:firstLine="0" w:firstLineChars="0"/>
              <w:jc w:val="center"/>
              <w:rPr>
                <w:sz w:val="18"/>
                <w:szCs w:val="18"/>
              </w:rPr>
            </w:pPr>
            <w:r>
              <w:rPr>
                <w:sz w:val="18"/>
                <w:szCs w:val="18"/>
              </w:rPr>
              <w:t>55dB(A)</w:t>
            </w:r>
          </w:p>
        </w:tc>
        <w:tc>
          <w:tcPr>
            <w:tcW w:w="627" w:type="pct"/>
            <w:vMerge w:val="continue"/>
            <w:vAlign w:val="center"/>
          </w:tcPr>
          <w:p w14:paraId="02198E4C">
            <w:pPr>
              <w:adjustRightInd w:val="0"/>
              <w:snapToGrid w:val="0"/>
              <w:spacing w:line="240" w:lineRule="auto"/>
              <w:ind w:firstLine="0" w:firstLineChars="0"/>
              <w:jc w:val="center"/>
              <w:rPr>
                <w:sz w:val="18"/>
                <w:szCs w:val="18"/>
              </w:rPr>
            </w:pPr>
          </w:p>
        </w:tc>
      </w:tr>
      <w:tr w14:paraId="51FC72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restart"/>
            <w:vAlign w:val="center"/>
          </w:tcPr>
          <w:p w14:paraId="7D79E725">
            <w:pPr>
              <w:adjustRightInd w:val="0"/>
              <w:snapToGrid w:val="0"/>
              <w:spacing w:line="240" w:lineRule="auto"/>
              <w:ind w:firstLine="0" w:firstLineChars="0"/>
              <w:jc w:val="center"/>
              <w:rPr>
                <w:sz w:val="18"/>
                <w:szCs w:val="18"/>
              </w:rPr>
            </w:pPr>
            <w:r>
              <w:rPr>
                <w:sz w:val="18"/>
                <w:szCs w:val="18"/>
              </w:rPr>
              <w:t>环境空气</w:t>
            </w:r>
          </w:p>
        </w:tc>
        <w:tc>
          <w:tcPr>
            <w:tcW w:w="1117" w:type="pct"/>
            <w:vMerge w:val="restart"/>
            <w:vAlign w:val="center"/>
          </w:tcPr>
          <w:p w14:paraId="48A56B08">
            <w:pPr>
              <w:adjustRightInd w:val="0"/>
              <w:snapToGrid w:val="0"/>
              <w:spacing w:line="240" w:lineRule="auto"/>
              <w:ind w:firstLine="0" w:firstLineChars="0"/>
              <w:jc w:val="center"/>
              <w:rPr>
                <w:sz w:val="18"/>
                <w:szCs w:val="18"/>
              </w:rPr>
            </w:pPr>
            <w:r>
              <w:rPr>
                <w:sz w:val="18"/>
                <w:szCs w:val="18"/>
              </w:rPr>
              <w:t>《环境空气质量标准》(GB3095-2012)</w:t>
            </w:r>
          </w:p>
        </w:tc>
        <w:tc>
          <w:tcPr>
            <w:tcW w:w="575" w:type="pct"/>
            <w:vMerge w:val="restart"/>
            <w:vAlign w:val="center"/>
          </w:tcPr>
          <w:p w14:paraId="0D07DDAA">
            <w:pPr>
              <w:adjustRightInd w:val="0"/>
              <w:snapToGrid w:val="0"/>
              <w:spacing w:line="240" w:lineRule="auto"/>
              <w:ind w:firstLine="0" w:firstLineChars="0"/>
              <w:jc w:val="center"/>
              <w:rPr>
                <w:sz w:val="18"/>
                <w:szCs w:val="18"/>
              </w:rPr>
            </w:pPr>
            <w:r>
              <w:rPr>
                <w:sz w:val="18"/>
                <w:szCs w:val="18"/>
              </w:rPr>
              <w:t>二类</w:t>
            </w:r>
          </w:p>
        </w:tc>
        <w:tc>
          <w:tcPr>
            <w:tcW w:w="456" w:type="pct"/>
            <w:vMerge w:val="restart"/>
            <w:vAlign w:val="center"/>
          </w:tcPr>
          <w:p w14:paraId="01CF6860">
            <w:pPr>
              <w:adjustRightInd w:val="0"/>
              <w:snapToGrid w:val="0"/>
              <w:spacing w:line="240" w:lineRule="auto"/>
              <w:ind w:firstLine="0" w:firstLineChars="0"/>
              <w:jc w:val="center"/>
              <w:rPr>
                <w:sz w:val="18"/>
                <w:szCs w:val="18"/>
              </w:rPr>
            </w:pPr>
            <w:r>
              <w:rPr>
                <w:sz w:val="18"/>
                <w:szCs w:val="18"/>
              </w:rPr>
              <w:t>SO</w:t>
            </w:r>
            <w:r>
              <w:rPr>
                <w:sz w:val="18"/>
                <w:szCs w:val="18"/>
                <w:vertAlign w:val="subscript"/>
              </w:rPr>
              <w:t>2</w:t>
            </w:r>
          </w:p>
        </w:tc>
        <w:tc>
          <w:tcPr>
            <w:tcW w:w="733" w:type="pct"/>
            <w:vAlign w:val="center"/>
          </w:tcPr>
          <w:p w14:paraId="0CE3E566">
            <w:pPr>
              <w:adjustRightInd w:val="0"/>
              <w:snapToGrid w:val="0"/>
              <w:spacing w:line="240" w:lineRule="auto"/>
              <w:ind w:firstLine="0" w:firstLineChars="0"/>
              <w:jc w:val="center"/>
              <w:rPr>
                <w:sz w:val="18"/>
                <w:szCs w:val="18"/>
              </w:rPr>
            </w:pPr>
            <w:r>
              <w:rPr>
                <w:sz w:val="18"/>
                <w:szCs w:val="18"/>
              </w:rPr>
              <w:t>年平均</w:t>
            </w:r>
          </w:p>
        </w:tc>
        <w:tc>
          <w:tcPr>
            <w:tcW w:w="822" w:type="pct"/>
            <w:vAlign w:val="center"/>
          </w:tcPr>
          <w:p w14:paraId="1DE42837">
            <w:pPr>
              <w:pStyle w:val="187"/>
              <w:snapToGrid w:val="0"/>
              <w:spacing w:line="240" w:lineRule="auto"/>
              <w:ind w:firstLine="0" w:firstLineChars="0"/>
              <w:rPr>
                <w:sz w:val="18"/>
                <w:szCs w:val="18"/>
              </w:rPr>
            </w:pPr>
            <w:r>
              <w:rPr>
                <w:sz w:val="18"/>
                <w:szCs w:val="18"/>
              </w:rPr>
              <w:t>60ug/m</w:t>
            </w:r>
            <w:r>
              <w:rPr>
                <w:sz w:val="18"/>
                <w:szCs w:val="18"/>
                <w:vertAlign w:val="superscript"/>
              </w:rPr>
              <w:t>3</w:t>
            </w:r>
          </w:p>
        </w:tc>
        <w:tc>
          <w:tcPr>
            <w:tcW w:w="627" w:type="pct"/>
            <w:vMerge w:val="restart"/>
            <w:vAlign w:val="center"/>
          </w:tcPr>
          <w:p w14:paraId="54E78C41">
            <w:pPr>
              <w:adjustRightInd w:val="0"/>
              <w:snapToGrid w:val="0"/>
              <w:spacing w:line="240" w:lineRule="auto"/>
              <w:ind w:firstLine="0" w:firstLineChars="0"/>
              <w:jc w:val="center"/>
              <w:rPr>
                <w:sz w:val="18"/>
                <w:szCs w:val="18"/>
              </w:rPr>
            </w:pPr>
            <w:r>
              <w:rPr>
                <w:sz w:val="18"/>
                <w:szCs w:val="18"/>
              </w:rPr>
              <w:t>评价区域内环境空气质量。</w:t>
            </w:r>
          </w:p>
        </w:tc>
      </w:tr>
      <w:tr w14:paraId="6192E2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5CCAAC01">
            <w:pPr>
              <w:adjustRightInd w:val="0"/>
              <w:snapToGrid w:val="0"/>
              <w:spacing w:line="240" w:lineRule="auto"/>
              <w:ind w:firstLine="0" w:firstLineChars="0"/>
              <w:jc w:val="center"/>
              <w:rPr>
                <w:sz w:val="18"/>
                <w:szCs w:val="18"/>
              </w:rPr>
            </w:pPr>
          </w:p>
        </w:tc>
        <w:tc>
          <w:tcPr>
            <w:tcW w:w="1117" w:type="pct"/>
            <w:vMerge w:val="continue"/>
            <w:vAlign w:val="center"/>
          </w:tcPr>
          <w:p w14:paraId="6635790E">
            <w:pPr>
              <w:adjustRightInd w:val="0"/>
              <w:snapToGrid w:val="0"/>
              <w:spacing w:line="240" w:lineRule="auto"/>
              <w:ind w:firstLine="0" w:firstLineChars="0"/>
              <w:jc w:val="center"/>
              <w:rPr>
                <w:sz w:val="18"/>
                <w:szCs w:val="18"/>
              </w:rPr>
            </w:pPr>
          </w:p>
        </w:tc>
        <w:tc>
          <w:tcPr>
            <w:tcW w:w="575" w:type="pct"/>
            <w:vMerge w:val="continue"/>
            <w:vAlign w:val="center"/>
          </w:tcPr>
          <w:p w14:paraId="2C71EDFF">
            <w:pPr>
              <w:adjustRightInd w:val="0"/>
              <w:snapToGrid w:val="0"/>
              <w:spacing w:line="240" w:lineRule="auto"/>
              <w:ind w:firstLine="0" w:firstLineChars="0"/>
              <w:jc w:val="center"/>
              <w:rPr>
                <w:sz w:val="18"/>
                <w:szCs w:val="18"/>
              </w:rPr>
            </w:pPr>
          </w:p>
        </w:tc>
        <w:tc>
          <w:tcPr>
            <w:tcW w:w="456" w:type="pct"/>
            <w:vMerge w:val="continue"/>
            <w:vAlign w:val="center"/>
          </w:tcPr>
          <w:p w14:paraId="29C4164C">
            <w:pPr>
              <w:adjustRightInd w:val="0"/>
              <w:snapToGrid w:val="0"/>
              <w:spacing w:line="240" w:lineRule="auto"/>
              <w:ind w:firstLine="0" w:firstLineChars="0"/>
              <w:jc w:val="center"/>
              <w:rPr>
                <w:sz w:val="18"/>
                <w:szCs w:val="18"/>
              </w:rPr>
            </w:pPr>
          </w:p>
        </w:tc>
        <w:tc>
          <w:tcPr>
            <w:tcW w:w="733" w:type="pct"/>
            <w:vAlign w:val="center"/>
          </w:tcPr>
          <w:p w14:paraId="62982019">
            <w:pPr>
              <w:adjustRightInd w:val="0"/>
              <w:snapToGrid w:val="0"/>
              <w:spacing w:line="240" w:lineRule="auto"/>
              <w:ind w:firstLine="0" w:firstLineChars="0"/>
              <w:jc w:val="center"/>
              <w:rPr>
                <w:sz w:val="18"/>
                <w:szCs w:val="18"/>
              </w:rPr>
            </w:pPr>
            <w:r>
              <w:rPr>
                <w:rFonts w:hint="eastAsia"/>
                <w:sz w:val="18"/>
                <w:szCs w:val="18"/>
              </w:rPr>
              <w:t>2</w:t>
            </w:r>
            <w:r>
              <w:rPr>
                <w:sz w:val="18"/>
                <w:szCs w:val="18"/>
              </w:rPr>
              <w:t>4</w:t>
            </w:r>
            <w:r>
              <w:rPr>
                <w:rFonts w:hint="eastAsia"/>
                <w:sz w:val="18"/>
                <w:szCs w:val="18"/>
              </w:rPr>
              <w:t>小时</w:t>
            </w:r>
            <w:r>
              <w:rPr>
                <w:sz w:val="18"/>
                <w:szCs w:val="18"/>
              </w:rPr>
              <w:t>平均</w:t>
            </w:r>
          </w:p>
        </w:tc>
        <w:tc>
          <w:tcPr>
            <w:tcW w:w="822" w:type="pct"/>
            <w:vAlign w:val="center"/>
          </w:tcPr>
          <w:p w14:paraId="01144BA8">
            <w:pPr>
              <w:pStyle w:val="187"/>
              <w:snapToGrid w:val="0"/>
              <w:spacing w:line="240" w:lineRule="auto"/>
              <w:ind w:firstLine="0" w:firstLineChars="0"/>
              <w:rPr>
                <w:sz w:val="18"/>
                <w:szCs w:val="18"/>
              </w:rPr>
            </w:pPr>
            <w:r>
              <w:rPr>
                <w:sz w:val="18"/>
                <w:szCs w:val="18"/>
              </w:rPr>
              <w:t>150ug/m</w:t>
            </w:r>
            <w:r>
              <w:rPr>
                <w:sz w:val="18"/>
                <w:szCs w:val="18"/>
                <w:vertAlign w:val="superscript"/>
              </w:rPr>
              <w:t>3</w:t>
            </w:r>
          </w:p>
        </w:tc>
        <w:tc>
          <w:tcPr>
            <w:tcW w:w="627" w:type="pct"/>
            <w:vMerge w:val="continue"/>
            <w:vAlign w:val="center"/>
          </w:tcPr>
          <w:p w14:paraId="02A72714">
            <w:pPr>
              <w:adjustRightInd w:val="0"/>
              <w:snapToGrid w:val="0"/>
              <w:spacing w:line="240" w:lineRule="auto"/>
              <w:ind w:firstLine="0" w:firstLineChars="0"/>
              <w:jc w:val="center"/>
              <w:rPr>
                <w:sz w:val="18"/>
                <w:szCs w:val="18"/>
              </w:rPr>
            </w:pPr>
          </w:p>
        </w:tc>
      </w:tr>
      <w:tr w14:paraId="2DC9B3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5B151666">
            <w:pPr>
              <w:adjustRightInd w:val="0"/>
              <w:snapToGrid w:val="0"/>
              <w:spacing w:line="240" w:lineRule="auto"/>
              <w:ind w:firstLine="0" w:firstLineChars="0"/>
              <w:jc w:val="center"/>
              <w:rPr>
                <w:sz w:val="18"/>
                <w:szCs w:val="18"/>
              </w:rPr>
            </w:pPr>
          </w:p>
        </w:tc>
        <w:tc>
          <w:tcPr>
            <w:tcW w:w="1117" w:type="pct"/>
            <w:vMerge w:val="continue"/>
            <w:vAlign w:val="center"/>
          </w:tcPr>
          <w:p w14:paraId="530932CD">
            <w:pPr>
              <w:adjustRightInd w:val="0"/>
              <w:snapToGrid w:val="0"/>
              <w:spacing w:line="240" w:lineRule="auto"/>
              <w:ind w:firstLine="0" w:firstLineChars="0"/>
              <w:jc w:val="center"/>
              <w:rPr>
                <w:sz w:val="18"/>
                <w:szCs w:val="18"/>
              </w:rPr>
            </w:pPr>
          </w:p>
        </w:tc>
        <w:tc>
          <w:tcPr>
            <w:tcW w:w="575" w:type="pct"/>
            <w:vMerge w:val="continue"/>
            <w:vAlign w:val="center"/>
          </w:tcPr>
          <w:p w14:paraId="22EEC3F5">
            <w:pPr>
              <w:adjustRightInd w:val="0"/>
              <w:snapToGrid w:val="0"/>
              <w:spacing w:line="240" w:lineRule="auto"/>
              <w:ind w:firstLine="0" w:firstLineChars="0"/>
              <w:jc w:val="center"/>
              <w:rPr>
                <w:sz w:val="18"/>
                <w:szCs w:val="18"/>
              </w:rPr>
            </w:pPr>
          </w:p>
        </w:tc>
        <w:tc>
          <w:tcPr>
            <w:tcW w:w="456" w:type="pct"/>
            <w:vMerge w:val="continue"/>
            <w:vAlign w:val="center"/>
          </w:tcPr>
          <w:p w14:paraId="3CE04D8B">
            <w:pPr>
              <w:adjustRightInd w:val="0"/>
              <w:snapToGrid w:val="0"/>
              <w:spacing w:line="240" w:lineRule="auto"/>
              <w:ind w:firstLine="0" w:firstLineChars="0"/>
              <w:jc w:val="center"/>
              <w:rPr>
                <w:sz w:val="18"/>
                <w:szCs w:val="18"/>
              </w:rPr>
            </w:pPr>
          </w:p>
        </w:tc>
        <w:tc>
          <w:tcPr>
            <w:tcW w:w="733" w:type="pct"/>
            <w:vAlign w:val="center"/>
          </w:tcPr>
          <w:p w14:paraId="040BA88A">
            <w:pPr>
              <w:adjustRightInd w:val="0"/>
              <w:snapToGrid w:val="0"/>
              <w:spacing w:line="240" w:lineRule="auto"/>
              <w:ind w:firstLine="0" w:firstLineChars="0"/>
              <w:jc w:val="center"/>
              <w:rPr>
                <w:sz w:val="18"/>
                <w:szCs w:val="18"/>
              </w:rPr>
            </w:pPr>
            <w:r>
              <w:rPr>
                <w:rFonts w:hint="eastAsia"/>
                <w:sz w:val="18"/>
                <w:szCs w:val="18"/>
              </w:rPr>
              <w:t>1</w:t>
            </w:r>
            <w:r>
              <w:rPr>
                <w:sz w:val="18"/>
                <w:szCs w:val="18"/>
              </w:rPr>
              <w:t>小时平均</w:t>
            </w:r>
          </w:p>
        </w:tc>
        <w:tc>
          <w:tcPr>
            <w:tcW w:w="822" w:type="pct"/>
            <w:vAlign w:val="center"/>
          </w:tcPr>
          <w:p w14:paraId="4E4D5DD8">
            <w:pPr>
              <w:pStyle w:val="187"/>
              <w:snapToGrid w:val="0"/>
              <w:spacing w:line="240" w:lineRule="auto"/>
              <w:ind w:firstLine="0" w:firstLineChars="0"/>
              <w:rPr>
                <w:sz w:val="18"/>
                <w:szCs w:val="18"/>
              </w:rPr>
            </w:pPr>
            <w:r>
              <w:rPr>
                <w:sz w:val="18"/>
                <w:szCs w:val="18"/>
              </w:rPr>
              <w:t>500ug/m</w:t>
            </w:r>
            <w:r>
              <w:rPr>
                <w:sz w:val="18"/>
                <w:szCs w:val="18"/>
                <w:vertAlign w:val="superscript"/>
              </w:rPr>
              <w:t>3</w:t>
            </w:r>
          </w:p>
        </w:tc>
        <w:tc>
          <w:tcPr>
            <w:tcW w:w="627" w:type="pct"/>
            <w:vMerge w:val="continue"/>
            <w:vAlign w:val="center"/>
          </w:tcPr>
          <w:p w14:paraId="09160BA7">
            <w:pPr>
              <w:adjustRightInd w:val="0"/>
              <w:snapToGrid w:val="0"/>
              <w:spacing w:line="240" w:lineRule="auto"/>
              <w:ind w:firstLine="0" w:firstLineChars="0"/>
              <w:jc w:val="center"/>
              <w:rPr>
                <w:sz w:val="18"/>
                <w:szCs w:val="18"/>
              </w:rPr>
            </w:pPr>
          </w:p>
        </w:tc>
      </w:tr>
      <w:tr w14:paraId="23CAD9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2DF8FBD0">
            <w:pPr>
              <w:adjustRightInd w:val="0"/>
              <w:snapToGrid w:val="0"/>
              <w:spacing w:line="240" w:lineRule="auto"/>
              <w:ind w:firstLine="0" w:firstLineChars="0"/>
              <w:jc w:val="center"/>
              <w:rPr>
                <w:sz w:val="18"/>
                <w:szCs w:val="18"/>
              </w:rPr>
            </w:pPr>
          </w:p>
        </w:tc>
        <w:tc>
          <w:tcPr>
            <w:tcW w:w="1117" w:type="pct"/>
            <w:vMerge w:val="continue"/>
            <w:vAlign w:val="center"/>
          </w:tcPr>
          <w:p w14:paraId="43E13620">
            <w:pPr>
              <w:adjustRightInd w:val="0"/>
              <w:snapToGrid w:val="0"/>
              <w:spacing w:line="240" w:lineRule="auto"/>
              <w:ind w:firstLine="0" w:firstLineChars="0"/>
              <w:jc w:val="center"/>
              <w:rPr>
                <w:sz w:val="18"/>
                <w:szCs w:val="18"/>
              </w:rPr>
            </w:pPr>
          </w:p>
        </w:tc>
        <w:tc>
          <w:tcPr>
            <w:tcW w:w="575" w:type="pct"/>
            <w:vMerge w:val="continue"/>
            <w:vAlign w:val="center"/>
          </w:tcPr>
          <w:p w14:paraId="31E6421E">
            <w:pPr>
              <w:adjustRightInd w:val="0"/>
              <w:snapToGrid w:val="0"/>
              <w:spacing w:line="240" w:lineRule="auto"/>
              <w:ind w:firstLine="0" w:firstLineChars="0"/>
              <w:jc w:val="center"/>
              <w:rPr>
                <w:sz w:val="18"/>
                <w:szCs w:val="18"/>
              </w:rPr>
            </w:pPr>
          </w:p>
        </w:tc>
        <w:tc>
          <w:tcPr>
            <w:tcW w:w="456" w:type="pct"/>
            <w:vMerge w:val="restart"/>
            <w:vAlign w:val="center"/>
          </w:tcPr>
          <w:p w14:paraId="6983403A">
            <w:pPr>
              <w:adjustRightInd w:val="0"/>
              <w:snapToGrid w:val="0"/>
              <w:spacing w:line="240" w:lineRule="auto"/>
              <w:ind w:firstLine="0" w:firstLineChars="0"/>
              <w:jc w:val="center"/>
              <w:rPr>
                <w:sz w:val="18"/>
                <w:szCs w:val="18"/>
              </w:rPr>
            </w:pPr>
            <w:r>
              <w:rPr>
                <w:sz w:val="18"/>
                <w:szCs w:val="18"/>
              </w:rPr>
              <w:t>NO</w:t>
            </w:r>
            <w:r>
              <w:rPr>
                <w:sz w:val="18"/>
                <w:szCs w:val="18"/>
                <w:vertAlign w:val="subscript"/>
              </w:rPr>
              <w:t>2</w:t>
            </w:r>
          </w:p>
        </w:tc>
        <w:tc>
          <w:tcPr>
            <w:tcW w:w="733" w:type="pct"/>
            <w:vAlign w:val="center"/>
          </w:tcPr>
          <w:p w14:paraId="6B43EE46">
            <w:pPr>
              <w:adjustRightInd w:val="0"/>
              <w:snapToGrid w:val="0"/>
              <w:spacing w:line="240" w:lineRule="auto"/>
              <w:ind w:firstLine="0" w:firstLineChars="0"/>
              <w:jc w:val="center"/>
              <w:rPr>
                <w:sz w:val="18"/>
                <w:szCs w:val="18"/>
              </w:rPr>
            </w:pPr>
            <w:r>
              <w:rPr>
                <w:sz w:val="18"/>
                <w:szCs w:val="18"/>
              </w:rPr>
              <w:t>年平均</w:t>
            </w:r>
          </w:p>
        </w:tc>
        <w:tc>
          <w:tcPr>
            <w:tcW w:w="822" w:type="pct"/>
            <w:vAlign w:val="center"/>
          </w:tcPr>
          <w:p w14:paraId="2818E147">
            <w:pPr>
              <w:pStyle w:val="187"/>
              <w:snapToGrid w:val="0"/>
              <w:spacing w:line="240" w:lineRule="auto"/>
              <w:ind w:firstLine="0" w:firstLineChars="0"/>
              <w:rPr>
                <w:sz w:val="18"/>
                <w:szCs w:val="18"/>
              </w:rPr>
            </w:pPr>
            <w:r>
              <w:rPr>
                <w:sz w:val="18"/>
                <w:szCs w:val="18"/>
              </w:rPr>
              <w:t>40ug/m</w:t>
            </w:r>
            <w:r>
              <w:rPr>
                <w:sz w:val="18"/>
                <w:szCs w:val="18"/>
                <w:vertAlign w:val="superscript"/>
              </w:rPr>
              <w:t>3</w:t>
            </w:r>
          </w:p>
        </w:tc>
        <w:tc>
          <w:tcPr>
            <w:tcW w:w="627" w:type="pct"/>
            <w:vMerge w:val="continue"/>
            <w:vAlign w:val="center"/>
          </w:tcPr>
          <w:p w14:paraId="5D871F5B">
            <w:pPr>
              <w:adjustRightInd w:val="0"/>
              <w:snapToGrid w:val="0"/>
              <w:spacing w:line="240" w:lineRule="auto"/>
              <w:ind w:firstLine="0" w:firstLineChars="0"/>
              <w:jc w:val="center"/>
              <w:rPr>
                <w:sz w:val="18"/>
                <w:szCs w:val="18"/>
              </w:rPr>
            </w:pPr>
          </w:p>
        </w:tc>
      </w:tr>
      <w:tr w14:paraId="37E568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380A9FDE">
            <w:pPr>
              <w:adjustRightInd w:val="0"/>
              <w:snapToGrid w:val="0"/>
              <w:spacing w:line="240" w:lineRule="auto"/>
              <w:ind w:firstLine="0" w:firstLineChars="0"/>
              <w:jc w:val="center"/>
              <w:rPr>
                <w:sz w:val="18"/>
                <w:szCs w:val="18"/>
              </w:rPr>
            </w:pPr>
          </w:p>
        </w:tc>
        <w:tc>
          <w:tcPr>
            <w:tcW w:w="1117" w:type="pct"/>
            <w:vMerge w:val="continue"/>
            <w:vAlign w:val="center"/>
          </w:tcPr>
          <w:p w14:paraId="0AA3E6F6">
            <w:pPr>
              <w:adjustRightInd w:val="0"/>
              <w:snapToGrid w:val="0"/>
              <w:spacing w:line="240" w:lineRule="auto"/>
              <w:ind w:firstLine="0" w:firstLineChars="0"/>
              <w:jc w:val="center"/>
              <w:rPr>
                <w:sz w:val="18"/>
                <w:szCs w:val="18"/>
              </w:rPr>
            </w:pPr>
          </w:p>
        </w:tc>
        <w:tc>
          <w:tcPr>
            <w:tcW w:w="575" w:type="pct"/>
            <w:vMerge w:val="continue"/>
            <w:vAlign w:val="center"/>
          </w:tcPr>
          <w:p w14:paraId="4CE020A4">
            <w:pPr>
              <w:adjustRightInd w:val="0"/>
              <w:snapToGrid w:val="0"/>
              <w:spacing w:line="240" w:lineRule="auto"/>
              <w:ind w:firstLine="0" w:firstLineChars="0"/>
              <w:jc w:val="center"/>
              <w:rPr>
                <w:sz w:val="18"/>
                <w:szCs w:val="18"/>
              </w:rPr>
            </w:pPr>
          </w:p>
        </w:tc>
        <w:tc>
          <w:tcPr>
            <w:tcW w:w="456" w:type="pct"/>
            <w:vMerge w:val="continue"/>
            <w:vAlign w:val="center"/>
          </w:tcPr>
          <w:p w14:paraId="4D511309">
            <w:pPr>
              <w:adjustRightInd w:val="0"/>
              <w:snapToGrid w:val="0"/>
              <w:spacing w:line="240" w:lineRule="auto"/>
              <w:ind w:firstLine="0" w:firstLineChars="0"/>
              <w:jc w:val="center"/>
              <w:rPr>
                <w:sz w:val="18"/>
                <w:szCs w:val="18"/>
              </w:rPr>
            </w:pPr>
          </w:p>
        </w:tc>
        <w:tc>
          <w:tcPr>
            <w:tcW w:w="733" w:type="pct"/>
            <w:vAlign w:val="center"/>
          </w:tcPr>
          <w:p w14:paraId="3A5429D8">
            <w:pPr>
              <w:adjustRightInd w:val="0"/>
              <w:snapToGrid w:val="0"/>
              <w:spacing w:line="240" w:lineRule="auto"/>
              <w:ind w:firstLine="0" w:firstLineChars="0"/>
              <w:jc w:val="center"/>
              <w:rPr>
                <w:sz w:val="18"/>
                <w:szCs w:val="18"/>
              </w:rPr>
            </w:pPr>
            <w:r>
              <w:rPr>
                <w:rFonts w:hint="eastAsia"/>
                <w:sz w:val="18"/>
                <w:szCs w:val="18"/>
              </w:rPr>
              <w:t>2</w:t>
            </w:r>
            <w:r>
              <w:rPr>
                <w:sz w:val="18"/>
                <w:szCs w:val="18"/>
              </w:rPr>
              <w:t>4</w:t>
            </w:r>
            <w:r>
              <w:rPr>
                <w:rFonts w:hint="eastAsia"/>
                <w:sz w:val="18"/>
                <w:szCs w:val="18"/>
              </w:rPr>
              <w:t>小时</w:t>
            </w:r>
            <w:r>
              <w:rPr>
                <w:sz w:val="18"/>
                <w:szCs w:val="18"/>
              </w:rPr>
              <w:t>平均</w:t>
            </w:r>
          </w:p>
        </w:tc>
        <w:tc>
          <w:tcPr>
            <w:tcW w:w="822" w:type="pct"/>
            <w:vAlign w:val="center"/>
          </w:tcPr>
          <w:p w14:paraId="49D61AAF">
            <w:pPr>
              <w:pStyle w:val="187"/>
              <w:snapToGrid w:val="0"/>
              <w:spacing w:line="240" w:lineRule="auto"/>
              <w:ind w:firstLine="0" w:firstLineChars="0"/>
              <w:rPr>
                <w:sz w:val="18"/>
                <w:szCs w:val="18"/>
              </w:rPr>
            </w:pPr>
            <w:r>
              <w:rPr>
                <w:sz w:val="18"/>
                <w:szCs w:val="18"/>
              </w:rPr>
              <w:t>80ug/m</w:t>
            </w:r>
            <w:r>
              <w:rPr>
                <w:sz w:val="18"/>
                <w:szCs w:val="18"/>
                <w:vertAlign w:val="superscript"/>
              </w:rPr>
              <w:t>3</w:t>
            </w:r>
          </w:p>
        </w:tc>
        <w:tc>
          <w:tcPr>
            <w:tcW w:w="627" w:type="pct"/>
            <w:vMerge w:val="continue"/>
            <w:vAlign w:val="center"/>
          </w:tcPr>
          <w:p w14:paraId="35CA95E6">
            <w:pPr>
              <w:adjustRightInd w:val="0"/>
              <w:snapToGrid w:val="0"/>
              <w:spacing w:line="240" w:lineRule="auto"/>
              <w:ind w:firstLine="0" w:firstLineChars="0"/>
              <w:jc w:val="center"/>
              <w:rPr>
                <w:sz w:val="18"/>
                <w:szCs w:val="18"/>
              </w:rPr>
            </w:pPr>
          </w:p>
        </w:tc>
      </w:tr>
      <w:tr w14:paraId="672A22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6EF8F0B">
            <w:pPr>
              <w:adjustRightInd w:val="0"/>
              <w:snapToGrid w:val="0"/>
              <w:spacing w:line="240" w:lineRule="auto"/>
              <w:ind w:firstLine="0" w:firstLineChars="0"/>
              <w:jc w:val="center"/>
              <w:rPr>
                <w:sz w:val="18"/>
                <w:szCs w:val="18"/>
              </w:rPr>
            </w:pPr>
          </w:p>
        </w:tc>
        <w:tc>
          <w:tcPr>
            <w:tcW w:w="1117" w:type="pct"/>
            <w:vMerge w:val="continue"/>
            <w:vAlign w:val="center"/>
          </w:tcPr>
          <w:p w14:paraId="5F4F9347">
            <w:pPr>
              <w:adjustRightInd w:val="0"/>
              <w:snapToGrid w:val="0"/>
              <w:spacing w:line="240" w:lineRule="auto"/>
              <w:ind w:firstLine="0" w:firstLineChars="0"/>
              <w:jc w:val="center"/>
              <w:rPr>
                <w:sz w:val="18"/>
                <w:szCs w:val="18"/>
              </w:rPr>
            </w:pPr>
          </w:p>
        </w:tc>
        <w:tc>
          <w:tcPr>
            <w:tcW w:w="575" w:type="pct"/>
            <w:vMerge w:val="continue"/>
            <w:vAlign w:val="center"/>
          </w:tcPr>
          <w:p w14:paraId="0AD1F56B">
            <w:pPr>
              <w:adjustRightInd w:val="0"/>
              <w:snapToGrid w:val="0"/>
              <w:spacing w:line="240" w:lineRule="auto"/>
              <w:ind w:firstLine="0" w:firstLineChars="0"/>
              <w:jc w:val="center"/>
              <w:rPr>
                <w:sz w:val="18"/>
                <w:szCs w:val="18"/>
              </w:rPr>
            </w:pPr>
          </w:p>
        </w:tc>
        <w:tc>
          <w:tcPr>
            <w:tcW w:w="456" w:type="pct"/>
            <w:vMerge w:val="continue"/>
            <w:vAlign w:val="center"/>
          </w:tcPr>
          <w:p w14:paraId="33C0CF8E">
            <w:pPr>
              <w:adjustRightInd w:val="0"/>
              <w:snapToGrid w:val="0"/>
              <w:spacing w:line="240" w:lineRule="auto"/>
              <w:ind w:firstLine="0" w:firstLineChars="0"/>
              <w:jc w:val="center"/>
              <w:rPr>
                <w:sz w:val="18"/>
                <w:szCs w:val="18"/>
              </w:rPr>
            </w:pPr>
          </w:p>
        </w:tc>
        <w:tc>
          <w:tcPr>
            <w:tcW w:w="733" w:type="pct"/>
            <w:vAlign w:val="center"/>
          </w:tcPr>
          <w:p w14:paraId="06E75195">
            <w:pPr>
              <w:adjustRightInd w:val="0"/>
              <w:snapToGrid w:val="0"/>
              <w:spacing w:line="240" w:lineRule="auto"/>
              <w:ind w:firstLine="0" w:firstLineChars="0"/>
              <w:jc w:val="center"/>
              <w:rPr>
                <w:sz w:val="18"/>
                <w:szCs w:val="18"/>
              </w:rPr>
            </w:pPr>
            <w:r>
              <w:rPr>
                <w:rFonts w:hint="eastAsia"/>
                <w:sz w:val="18"/>
                <w:szCs w:val="18"/>
              </w:rPr>
              <w:t>1</w:t>
            </w:r>
            <w:r>
              <w:rPr>
                <w:sz w:val="18"/>
                <w:szCs w:val="18"/>
              </w:rPr>
              <w:t>小时平均</w:t>
            </w:r>
          </w:p>
        </w:tc>
        <w:tc>
          <w:tcPr>
            <w:tcW w:w="822" w:type="pct"/>
            <w:vAlign w:val="center"/>
          </w:tcPr>
          <w:p w14:paraId="7331702E">
            <w:pPr>
              <w:pStyle w:val="187"/>
              <w:snapToGrid w:val="0"/>
              <w:spacing w:line="240" w:lineRule="auto"/>
              <w:ind w:firstLine="0" w:firstLineChars="0"/>
              <w:rPr>
                <w:sz w:val="18"/>
                <w:szCs w:val="18"/>
              </w:rPr>
            </w:pPr>
            <w:r>
              <w:rPr>
                <w:sz w:val="18"/>
                <w:szCs w:val="18"/>
              </w:rPr>
              <w:t>200ug/m</w:t>
            </w:r>
            <w:r>
              <w:rPr>
                <w:sz w:val="18"/>
                <w:szCs w:val="18"/>
                <w:vertAlign w:val="superscript"/>
              </w:rPr>
              <w:t>3</w:t>
            </w:r>
          </w:p>
        </w:tc>
        <w:tc>
          <w:tcPr>
            <w:tcW w:w="627" w:type="pct"/>
            <w:vMerge w:val="continue"/>
            <w:vAlign w:val="center"/>
          </w:tcPr>
          <w:p w14:paraId="4AA9979C">
            <w:pPr>
              <w:adjustRightInd w:val="0"/>
              <w:snapToGrid w:val="0"/>
              <w:spacing w:line="240" w:lineRule="auto"/>
              <w:ind w:firstLine="0" w:firstLineChars="0"/>
              <w:jc w:val="center"/>
              <w:rPr>
                <w:sz w:val="18"/>
                <w:szCs w:val="18"/>
              </w:rPr>
            </w:pPr>
          </w:p>
        </w:tc>
      </w:tr>
      <w:tr w14:paraId="262AA1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566AFE89">
            <w:pPr>
              <w:adjustRightInd w:val="0"/>
              <w:snapToGrid w:val="0"/>
              <w:spacing w:line="240" w:lineRule="auto"/>
              <w:ind w:firstLine="0" w:firstLineChars="0"/>
              <w:jc w:val="center"/>
              <w:rPr>
                <w:sz w:val="18"/>
                <w:szCs w:val="18"/>
              </w:rPr>
            </w:pPr>
          </w:p>
        </w:tc>
        <w:tc>
          <w:tcPr>
            <w:tcW w:w="1117" w:type="pct"/>
            <w:vMerge w:val="continue"/>
            <w:vAlign w:val="center"/>
          </w:tcPr>
          <w:p w14:paraId="61B3A55C">
            <w:pPr>
              <w:adjustRightInd w:val="0"/>
              <w:snapToGrid w:val="0"/>
              <w:spacing w:line="240" w:lineRule="auto"/>
              <w:ind w:firstLine="0" w:firstLineChars="0"/>
              <w:jc w:val="center"/>
              <w:rPr>
                <w:sz w:val="18"/>
                <w:szCs w:val="18"/>
              </w:rPr>
            </w:pPr>
          </w:p>
        </w:tc>
        <w:tc>
          <w:tcPr>
            <w:tcW w:w="575" w:type="pct"/>
            <w:vMerge w:val="continue"/>
            <w:vAlign w:val="center"/>
          </w:tcPr>
          <w:p w14:paraId="43DBA139">
            <w:pPr>
              <w:adjustRightInd w:val="0"/>
              <w:snapToGrid w:val="0"/>
              <w:spacing w:line="240" w:lineRule="auto"/>
              <w:ind w:firstLine="0" w:firstLineChars="0"/>
              <w:jc w:val="center"/>
              <w:rPr>
                <w:sz w:val="18"/>
                <w:szCs w:val="18"/>
              </w:rPr>
            </w:pPr>
          </w:p>
        </w:tc>
        <w:tc>
          <w:tcPr>
            <w:tcW w:w="456" w:type="pct"/>
            <w:vMerge w:val="restart"/>
            <w:vAlign w:val="center"/>
          </w:tcPr>
          <w:p w14:paraId="5BC4E9A3">
            <w:pPr>
              <w:adjustRightInd w:val="0"/>
              <w:snapToGrid w:val="0"/>
              <w:spacing w:line="240" w:lineRule="auto"/>
              <w:ind w:firstLine="0" w:firstLineChars="0"/>
              <w:jc w:val="center"/>
              <w:rPr>
                <w:sz w:val="18"/>
                <w:szCs w:val="18"/>
              </w:rPr>
            </w:pPr>
            <w:r>
              <w:rPr>
                <w:sz w:val="18"/>
                <w:szCs w:val="18"/>
              </w:rPr>
              <w:t>PM</w:t>
            </w:r>
            <w:r>
              <w:rPr>
                <w:sz w:val="18"/>
                <w:szCs w:val="18"/>
                <w:vertAlign w:val="subscript"/>
              </w:rPr>
              <w:t>10</w:t>
            </w:r>
          </w:p>
        </w:tc>
        <w:tc>
          <w:tcPr>
            <w:tcW w:w="733" w:type="pct"/>
            <w:vAlign w:val="center"/>
          </w:tcPr>
          <w:p w14:paraId="2C43FB91">
            <w:pPr>
              <w:adjustRightInd w:val="0"/>
              <w:snapToGrid w:val="0"/>
              <w:spacing w:line="240" w:lineRule="auto"/>
              <w:ind w:firstLine="0" w:firstLineChars="0"/>
              <w:jc w:val="center"/>
              <w:rPr>
                <w:sz w:val="18"/>
                <w:szCs w:val="18"/>
              </w:rPr>
            </w:pPr>
            <w:r>
              <w:rPr>
                <w:sz w:val="18"/>
                <w:szCs w:val="18"/>
              </w:rPr>
              <w:t>年平均</w:t>
            </w:r>
          </w:p>
        </w:tc>
        <w:tc>
          <w:tcPr>
            <w:tcW w:w="822" w:type="pct"/>
            <w:vAlign w:val="center"/>
          </w:tcPr>
          <w:p w14:paraId="4716ABFD">
            <w:pPr>
              <w:pStyle w:val="187"/>
              <w:snapToGrid w:val="0"/>
              <w:spacing w:line="240" w:lineRule="auto"/>
              <w:ind w:firstLine="0" w:firstLineChars="0"/>
              <w:rPr>
                <w:sz w:val="18"/>
                <w:szCs w:val="18"/>
              </w:rPr>
            </w:pPr>
            <w:r>
              <w:rPr>
                <w:sz w:val="18"/>
                <w:szCs w:val="18"/>
              </w:rPr>
              <w:t>70ug/m</w:t>
            </w:r>
            <w:r>
              <w:rPr>
                <w:sz w:val="18"/>
                <w:szCs w:val="18"/>
                <w:vertAlign w:val="superscript"/>
              </w:rPr>
              <w:t>3</w:t>
            </w:r>
          </w:p>
        </w:tc>
        <w:tc>
          <w:tcPr>
            <w:tcW w:w="627" w:type="pct"/>
            <w:vMerge w:val="continue"/>
            <w:vAlign w:val="center"/>
          </w:tcPr>
          <w:p w14:paraId="4BD0D93C">
            <w:pPr>
              <w:adjustRightInd w:val="0"/>
              <w:snapToGrid w:val="0"/>
              <w:spacing w:line="240" w:lineRule="auto"/>
              <w:ind w:firstLine="0" w:firstLineChars="0"/>
              <w:jc w:val="center"/>
              <w:rPr>
                <w:sz w:val="18"/>
                <w:szCs w:val="18"/>
              </w:rPr>
            </w:pPr>
          </w:p>
        </w:tc>
      </w:tr>
      <w:tr w14:paraId="0140EC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4C8FCD82">
            <w:pPr>
              <w:adjustRightInd w:val="0"/>
              <w:snapToGrid w:val="0"/>
              <w:spacing w:line="240" w:lineRule="auto"/>
              <w:ind w:firstLine="0" w:firstLineChars="0"/>
              <w:jc w:val="center"/>
              <w:rPr>
                <w:sz w:val="18"/>
                <w:szCs w:val="18"/>
              </w:rPr>
            </w:pPr>
          </w:p>
        </w:tc>
        <w:tc>
          <w:tcPr>
            <w:tcW w:w="1117" w:type="pct"/>
            <w:vMerge w:val="continue"/>
            <w:vAlign w:val="center"/>
          </w:tcPr>
          <w:p w14:paraId="43CBDF99">
            <w:pPr>
              <w:adjustRightInd w:val="0"/>
              <w:snapToGrid w:val="0"/>
              <w:spacing w:line="240" w:lineRule="auto"/>
              <w:ind w:firstLine="0" w:firstLineChars="0"/>
              <w:jc w:val="center"/>
              <w:rPr>
                <w:sz w:val="18"/>
                <w:szCs w:val="18"/>
              </w:rPr>
            </w:pPr>
          </w:p>
        </w:tc>
        <w:tc>
          <w:tcPr>
            <w:tcW w:w="575" w:type="pct"/>
            <w:vMerge w:val="continue"/>
            <w:vAlign w:val="center"/>
          </w:tcPr>
          <w:p w14:paraId="7F4DD595">
            <w:pPr>
              <w:adjustRightInd w:val="0"/>
              <w:snapToGrid w:val="0"/>
              <w:spacing w:line="240" w:lineRule="auto"/>
              <w:ind w:firstLine="0" w:firstLineChars="0"/>
              <w:jc w:val="center"/>
              <w:rPr>
                <w:sz w:val="18"/>
                <w:szCs w:val="18"/>
              </w:rPr>
            </w:pPr>
          </w:p>
        </w:tc>
        <w:tc>
          <w:tcPr>
            <w:tcW w:w="456" w:type="pct"/>
            <w:vMerge w:val="continue"/>
            <w:vAlign w:val="center"/>
          </w:tcPr>
          <w:p w14:paraId="6807AFA2">
            <w:pPr>
              <w:adjustRightInd w:val="0"/>
              <w:snapToGrid w:val="0"/>
              <w:spacing w:line="240" w:lineRule="auto"/>
              <w:ind w:firstLine="0" w:firstLineChars="0"/>
              <w:jc w:val="center"/>
              <w:rPr>
                <w:sz w:val="18"/>
                <w:szCs w:val="18"/>
              </w:rPr>
            </w:pPr>
          </w:p>
        </w:tc>
        <w:tc>
          <w:tcPr>
            <w:tcW w:w="733" w:type="pct"/>
            <w:vAlign w:val="center"/>
          </w:tcPr>
          <w:p w14:paraId="09E9D975">
            <w:pPr>
              <w:adjustRightInd w:val="0"/>
              <w:snapToGrid w:val="0"/>
              <w:spacing w:line="240" w:lineRule="auto"/>
              <w:ind w:firstLine="0" w:firstLineChars="0"/>
              <w:jc w:val="center"/>
              <w:rPr>
                <w:sz w:val="18"/>
                <w:szCs w:val="18"/>
              </w:rPr>
            </w:pPr>
            <w:r>
              <w:rPr>
                <w:rFonts w:hint="eastAsia"/>
                <w:sz w:val="18"/>
                <w:szCs w:val="18"/>
              </w:rPr>
              <w:t>2</w:t>
            </w:r>
            <w:r>
              <w:rPr>
                <w:sz w:val="18"/>
                <w:szCs w:val="18"/>
              </w:rPr>
              <w:t>4</w:t>
            </w:r>
            <w:r>
              <w:rPr>
                <w:rFonts w:hint="eastAsia"/>
                <w:sz w:val="18"/>
                <w:szCs w:val="18"/>
              </w:rPr>
              <w:t>小时</w:t>
            </w:r>
            <w:r>
              <w:rPr>
                <w:sz w:val="18"/>
                <w:szCs w:val="18"/>
              </w:rPr>
              <w:t>平均</w:t>
            </w:r>
          </w:p>
        </w:tc>
        <w:tc>
          <w:tcPr>
            <w:tcW w:w="822" w:type="pct"/>
            <w:vAlign w:val="center"/>
          </w:tcPr>
          <w:p w14:paraId="6B481DCA">
            <w:pPr>
              <w:pStyle w:val="187"/>
              <w:snapToGrid w:val="0"/>
              <w:spacing w:line="240" w:lineRule="auto"/>
              <w:ind w:firstLine="0" w:firstLineChars="0"/>
              <w:rPr>
                <w:sz w:val="18"/>
                <w:szCs w:val="18"/>
              </w:rPr>
            </w:pPr>
            <w:r>
              <w:rPr>
                <w:sz w:val="18"/>
                <w:szCs w:val="18"/>
              </w:rPr>
              <w:t>150ug/m</w:t>
            </w:r>
            <w:r>
              <w:rPr>
                <w:sz w:val="18"/>
                <w:szCs w:val="18"/>
                <w:vertAlign w:val="superscript"/>
              </w:rPr>
              <w:t>3</w:t>
            </w:r>
          </w:p>
        </w:tc>
        <w:tc>
          <w:tcPr>
            <w:tcW w:w="627" w:type="pct"/>
            <w:vMerge w:val="continue"/>
            <w:vAlign w:val="center"/>
          </w:tcPr>
          <w:p w14:paraId="48ABC8BE">
            <w:pPr>
              <w:adjustRightInd w:val="0"/>
              <w:snapToGrid w:val="0"/>
              <w:spacing w:line="240" w:lineRule="auto"/>
              <w:ind w:firstLine="0" w:firstLineChars="0"/>
              <w:jc w:val="center"/>
              <w:rPr>
                <w:sz w:val="18"/>
                <w:szCs w:val="18"/>
              </w:rPr>
            </w:pPr>
          </w:p>
        </w:tc>
      </w:tr>
      <w:tr w14:paraId="75028F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32B71B0C">
            <w:pPr>
              <w:adjustRightInd w:val="0"/>
              <w:snapToGrid w:val="0"/>
              <w:spacing w:line="240" w:lineRule="auto"/>
              <w:ind w:firstLine="0" w:firstLineChars="0"/>
              <w:jc w:val="center"/>
              <w:rPr>
                <w:sz w:val="18"/>
                <w:szCs w:val="18"/>
              </w:rPr>
            </w:pPr>
          </w:p>
        </w:tc>
        <w:tc>
          <w:tcPr>
            <w:tcW w:w="1117" w:type="pct"/>
            <w:vMerge w:val="continue"/>
            <w:vAlign w:val="center"/>
          </w:tcPr>
          <w:p w14:paraId="35956E9B">
            <w:pPr>
              <w:adjustRightInd w:val="0"/>
              <w:snapToGrid w:val="0"/>
              <w:spacing w:line="240" w:lineRule="auto"/>
              <w:ind w:firstLine="0" w:firstLineChars="0"/>
              <w:jc w:val="center"/>
              <w:rPr>
                <w:sz w:val="18"/>
                <w:szCs w:val="18"/>
              </w:rPr>
            </w:pPr>
          </w:p>
        </w:tc>
        <w:tc>
          <w:tcPr>
            <w:tcW w:w="575" w:type="pct"/>
            <w:vMerge w:val="continue"/>
            <w:vAlign w:val="center"/>
          </w:tcPr>
          <w:p w14:paraId="40C10E15">
            <w:pPr>
              <w:adjustRightInd w:val="0"/>
              <w:snapToGrid w:val="0"/>
              <w:spacing w:line="240" w:lineRule="auto"/>
              <w:ind w:firstLine="0" w:firstLineChars="0"/>
              <w:jc w:val="center"/>
              <w:rPr>
                <w:sz w:val="18"/>
                <w:szCs w:val="18"/>
              </w:rPr>
            </w:pPr>
          </w:p>
        </w:tc>
        <w:tc>
          <w:tcPr>
            <w:tcW w:w="456" w:type="pct"/>
            <w:vMerge w:val="restart"/>
            <w:vAlign w:val="center"/>
          </w:tcPr>
          <w:p w14:paraId="49460EA6">
            <w:pPr>
              <w:adjustRightInd w:val="0"/>
              <w:snapToGrid w:val="0"/>
              <w:spacing w:line="240" w:lineRule="auto"/>
              <w:ind w:firstLine="0" w:firstLineChars="0"/>
              <w:jc w:val="center"/>
              <w:rPr>
                <w:sz w:val="18"/>
                <w:szCs w:val="18"/>
              </w:rPr>
            </w:pPr>
            <w:r>
              <w:rPr>
                <w:sz w:val="18"/>
                <w:szCs w:val="18"/>
              </w:rPr>
              <w:t>PM</w:t>
            </w:r>
            <w:r>
              <w:rPr>
                <w:sz w:val="18"/>
                <w:szCs w:val="18"/>
                <w:vertAlign w:val="subscript"/>
              </w:rPr>
              <w:t>2.5</w:t>
            </w:r>
          </w:p>
        </w:tc>
        <w:tc>
          <w:tcPr>
            <w:tcW w:w="733" w:type="pct"/>
            <w:vAlign w:val="center"/>
          </w:tcPr>
          <w:p w14:paraId="1FACDA09">
            <w:pPr>
              <w:adjustRightInd w:val="0"/>
              <w:snapToGrid w:val="0"/>
              <w:spacing w:line="240" w:lineRule="auto"/>
              <w:ind w:firstLine="0" w:firstLineChars="0"/>
              <w:jc w:val="center"/>
              <w:rPr>
                <w:sz w:val="18"/>
                <w:szCs w:val="18"/>
              </w:rPr>
            </w:pPr>
            <w:r>
              <w:rPr>
                <w:sz w:val="18"/>
                <w:szCs w:val="18"/>
              </w:rPr>
              <w:t>年平均</w:t>
            </w:r>
          </w:p>
        </w:tc>
        <w:tc>
          <w:tcPr>
            <w:tcW w:w="822" w:type="pct"/>
            <w:vAlign w:val="center"/>
          </w:tcPr>
          <w:p w14:paraId="45355C0B">
            <w:pPr>
              <w:pStyle w:val="187"/>
              <w:snapToGrid w:val="0"/>
              <w:spacing w:line="240" w:lineRule="auto"/>
              <w:ind w:firstLine="0" w:firstLineChars="0"/>
              <w:rPr>
                <w:sz w:val="18"/>
                <w:szCs w:val="18"/>
              </w:rPr>
            </w:pPr>
            <w:r>
              <w:rPr>
                <w:sz w:val="18"/>
                <w:szCs w:val="18"/>
              </w:rPr>
              <w:t>35ug/m</w:t>
            </w:r>
            <w:r>
              <w:rPr>
                <w:sz w:val="18"/>
                <w:szCs w:val="18"/>
                <w:vertAlign w:val="superscript"/>
              </w:rPr>
              <w:t>3</w:t>
            </w:r>
          </w:p>
        </w:tc>
        <w:tc>
          <w:tcPr>
            <w:tcW w:w="627" w:type="pct"/>
            <w:vMerge w:val="continue"/>
            <w:vAlign w:val="center"/>
          </w:tcPr>
          <w:p w14:paraId="2B18E47E">
            <w:pPr>
              <w:adjustRightInd w:val="0"/>
              <w:snapToGrid w:val="0"/>
              <w:spacing w:line="240" w:lineRule="auto"/>
              <w:ind w:firstLine="0" w:firstLineChars="0"/>
              <w:jc w:val="center"/>
              <w:rPr>
                <w:sz w:val="18"/>
                <w:szCs w:val="18"/>
              </w:rPr>
            </w:pPr>
          </w:p>
        </w:tc>
      </w:tr>
      <w:tr w14:paraId="37595F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E382C9C">
            <w:pPr>
              <w:adjustRightInd w:val="0"/>
              <w:snapToGrid w:val="0"/>
              <w:spacing w:line="240" w:lineRule="auto"/>
              <w:ind w:firstLine="0" w:firstLineChars="0"/>
              <w:jc w:val="center"/>
              <w:rPr>
                <w:sz w:val="18"/>
                <w:szCs w:val="18"/>
              </w:rPr>
            </w:pPr>
          </w:p>
        </w:tc>
        <w:tc>
          <w:tcPr>
            <w:tcW w:w="1117" w:type="pct"/>
            <w:vMerge w:val="continue"/>
            <w:vAlign w:val="center"/>
          </w:tcPr>
          <w:p w14:paraId="4C1452FC">
            <w:pPr>
              <w:adjustRightInd w:val="0"/>
              <w:snapToGrid w:val="0"/>
              <w:spacing w:line="240" w:lineRule="auto"/>
              <w:ind w:firstLine="0" w:firstLineChars="0"/>
              <w:jc w:val="center"/>
              <w:rPr>
                <w:sz w:val="18"/>
                <w:szCs w:val="18"/>
              </w:rPr>
            </w:pPr>
          </w:p>
        </w:tc>
        <w:tc>
          <w:tcPr>
            <w:tcW w:w="575" w:type="pct"/>
            <w:vMerge w:val="continue"/>
            <w:vAlign w:val="center"/>
          </w:tcPr>
          <w:p w14:paraId="42C06031">
            <w:pPr>
              <w:adjustRightInd w:val="0"/>
              <w:snapToGrid w:val="0"/>
              <w:spacing w:line="240" w:lineRule="auto"/>
              <w:ind w:firstLine="0" w:firstLineChars="0"/>
              <w:jc w:val="center"/>
              <w:rPr>
                <w:sz w:val="18"/>
                <w:szCs w:val="18"/>
              </w:rPr>
            </w:pPr>
          </w:p>
        </w:tc>
        <w:tc>
          <w:tcPr>
            <w:tcW w:w="456" w:type="pct"/>
            <w:vMerge w:val="continue"/>
            <w:vAlign w:val="center"/>
          </w:tcPr>
          <w:p w14:paraId="69371F0D">
            <w:pPr>
              <w:adjustRightInd w:val="0"/>
              <w:snapToGrid w:val="0"/>
              <w:spacing w:line="240" w:lineRule="auto"/>
              <w:ind w:firstLine="0" w:firstLineChars="0"/>
              <w:jc w:val="center"/>
              <w:rPr>
                <w:sz w:val="18"/>
                <w:szCs w:val="18"/>
              </w:rPr>
            </w:pPr>
          </w:p>
        </w:tc>
        <w:tc>
          <w:tcPr>
            <w:tcW w:w="733" w:type="pct"/>
            <w:vAlign w:val="center"/>
          </w:tcPr>
          <w:p w14:paraId="02AF1B1B">
            <w:pPr>
              <w:adjustRightInd w:val="0"/>
              <w:snapToGrid w:val="0"/>
              <w:spacing w:line="240" w:lineRule="auto"/>
              <w:ind w:firstLine="0" w:firstLineChars="0"/>
              <w:jc w:val="center"/>
              <w:rPr>
                <w:sz w:val="18"/>
                <w:szCs w:val="18"/>
              </w:rPr>
            </w:pPr>
            <w:r>
              <w:rPr>
                <w:rFonts w:hint="eastAsia"/>
                <w:sz w:val="18"/>
                <w:szCs w:val="18"/>
              </w:rPr>
              <w:t>2</w:t>
            </w:r>
            <w:r>
              <w:rPr>
                <w:sz w:val="18"/>
                <w:szCs w:val="18"/>
              </w:rPr>
              <w:t>4</w:t>
            </w:r>
            <w:r>
              <w:rPr>
                <w:rFonts w:hint="eastAsia"/>
                <w:sz w:val="18"/>
                <w:szCs w:val="18"/>
              </w:rPr>
              <w:t>小时</w:t>
            </w:r>
            <w:r>
              <w:rPr>
                <w:sz w:val="18"/>
                <w:szCs w:val="18"/>
              </w:rPr>
              <w:t>平均</w:t>
            </w:r>
          </w:p>
        </w:tc>
        <w:tc>
          <w:tcPr>
            <w:tcW w:w="822" w:type="pct"/>
            <w:vAlign w:val="center"/>
          </w:tcPr>
          <w:p w14:paraId="12AF8512">
            <w:pPr>
              <w:pStyle w:val="187"/>
              <w:snapToGrid w:val="0"/>
              <w:spacing w:line="240" w:lineRule="auto"/>
              <w:ind w:firstLine="0" w:firstLineChars="0"/>
              <w:rPr>
                <w:sz w:val="18"/>
                <w:szCs w:val="18"/>
              </w:rPr>
            </w:pPr>
            <w:r>
              <w:rPr>
                <w:sz w:val="18"/>
                <w:szCs w:val="18"/>
              </w:rPr>
              <w:t>75ug/m</w:t>
            </w:r>
            <w:r>
              <w:rPr>
                <w:sz w:val="18"/>
                <w:szCs w:val="18"/>
                <w:vertAlign w:val="superscript"/>
              </w:rPr>
              <w:t>3</w:t>
            </w:r>
          </w:p>
        </w:tc>
        <w:tc>
          <w:tcPr>
            <w:tcW w:w="627" w:type="pct"/>
            <w:vMerge w:val="continue"/>
            <w:vAlign w:val="center"/>
          </w:tcPr>
          <w:p w14:paraId="7290C819">
            <w:pPr>
              <w:adjustRightInd w:val="0"/>
              <w:snapToGrid w:val="0"/>
              <w:spacing w:line="240" w:lineRule="auto"/>
              <w:ind w:firstLine="0" w:firstLineChars="0"/>
              <w:jc w:val="center"/>
              <w:rPr>
                <w:sz w:val="18"/>
                <w:szCs w:val="18"/>
              </w:rPr>
            </w:pPr>
          </w:p>
        </w:tc>
      </w:tr>
      <w:tr w14:paraId="08700F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AB6FA74">
            <w:pPr>
              <w:adjustRightInd w:val="0"/>
              <w:snapToGrid w:val="0"/>
              <w:spacing w:line="240" w:lineRule="auto"/>
              <w:ind w:firstLine="0" w:firstLineChars="0"/>
              <w:jc w:val="center"/>
              <w:rPr>
                <w:sz w:val="18"/>
                <w:szCs w:val="18"/>
              </w:rPr>
            </w:pPr>
          </w:p>
        </w:tc>
        <w:tc>
          <w:tcPr>
            <w:tcW w:w="1117" w:type="pct"/>
            <w:vMerge w:val="continue"/>
            <w:vAlign w:val="center"/>
          </w:tcPr>
          <w:p w14:paraId="58B33936">
            <w:pPr>
              <w:adjustRightInd w:val="0"/>
              <w:snapToGrid w:val="0"/>
              <w:spacing w:line="240" w:lineRule="auto"/>
              <w:ind w:firstLine="0" w:firstLineChars="0"/>
              <w:jc w:val="center"/>
              <w:rPr>
                <w:sz w:val="18"/>
                <w:szCs w:val="18"/>
              </w:rPr>
            </w:pPr>
          </w:p>
        </w:tc>
        <w:tc>
          <w:tcPr>
            <w:tcW w:w="575" w:type="pct"/>
            <w:vMerge w:val="continue"/>
            <w:vAlign w:val="center"/>
          </w:tcPr>
          <w:p w14:paraId="6EA6BD3B">
            <w:pPr>
              <w:adjustRightInd w:val="0"/>
              <w:snapToGrid w:val="0"/>
              <w:spacing w:line="240" w:lineRule="auto"/>
              <w:ind w:firstLine="0" w:firstLineChars="0"/>
              <w:jc w:val="center"/>
              <w:rPr>
                <w:sz w:val="18"/>
                <w:szCs w:val="18"/>
              </w:rPr>
            </w:pPr>
          </w:p>
        </w:tc>
        <w:tc>
          <w:tcPr>
            <w:tcW w:w="456" w:type="pct"/>
            <w:vMerge w:val="restart"/>
            <w:vAlign w:val="center"/>
          </w:tcPr>
          <w:p w14:paraId="0DB680DD">
            <w:pPr>
              <w:adjustRightInd w:val="0"/>
              <w:snapToGrid w:val="0"/>
              <w:spacing w:line="240" w:lineRule="auto"/>
              <w:ind w:firstLine="0" w:firstLineChars="0"/>
              <w:jc w:val="center"/>
              <w:rPr>
                <w:sz w:val="18"/>
                <w:szCs w:val="18"/>
              </w:rPr>
            </w:pPr>
            <w:r>
              <w:rPr>
                <w:kern w:val="0"/>
                <w:sz w:val="18"/>
                <w:szCs w:val="18"/>
              </w:rPr>
              <w:t>CO</w:t>
            </w:r>
          </w:p>
        </w:tc>
        <w:tc>
          <w:tcPr>
            <w:tcW w:w="733" w:type="pct"/>
            <w:vAlign w:val="center"/>
          </w:tcPr>
          <w:p w14:paraId="2D7A5EA6">
            <w:pPr>
              <w:pStyle w:val="187"/>
              <w:snapToGrid w:val="0"/>
              <w:spacing w:line="240" w:lineRule="auto"/>
              <w:ind w:firstLine="0" w:firstLineChars="0"/>
              <w:rPr>
                <w:sz w:val="18"/>
                <w:szCs w:val="18"/>
              </w:rPr>
            </w:pPr>
            <w:r>
              <w:rPr>
                <w:rFonts w:hint="eastAsia"/>
                <w:sz w:val="18"/>
                <w:szCs w:val="18"/>
              </w:rPr>
              <w:t>2</w:t>
            </w:r>
            <w:r>
              <w:rPr>
                <w:sz w:val="18"/>
                <w:szCs w:val="18"/>
              </w:rPr>
              <w:t>4</w:t>
            </w:r>
            <w:r>
              <w:rPr>
                <w:rFonts w:hint="eastAsia"/>
                <w:sz w:val="18"/>
                <w:szCs w:val="18"/>
              </w:rPr>
              <w:t>小时</w:t>
            </w:r>
            <w:r>
              <w:rPr>
                <w:sz w:val="18"/>
                <w:szCs w:val="18"/>
              </w:rPr>
              <w:t>平均</w:t>
            </w:r>
          </w:p>
        </w:tc>
        <w:tc>
          <w:tcPr>
            <w:tcW w:w="822" w:type="pct"/>
            <w:vAlign w:val="center"/>
          </w:tcPr>
          <w:p w14:paraId="4A8DE144">
            <w:pPr>
              <w:pStyle w:val="187"/>
              <w:snapToGrid w:val="0"/>
              <w:spacing w:line="240" w:lineRule="auto"/>
              <w:ind w:firstLine="0" w:firstLineChars="0"/>
              <w:rPr>
                <w:sz w:val="18"/>
                <w:szCs w:val="18"/>
              </w:rPr>
            </w:pPr>
            <w:r>
              <w:rPr>
                <w:sz w:val="18"/>
                <w:szCs w:val="18"/>
              </w:rPr>
              <w:t>4000ug/m</w:t>
            </w:r>
            <w:r>
              <w:rPr>
                <w:sz w:val="18"/>
                <w:szCs w:val="18"/>
                <w:vertAlign w:val="superscript"/>
              </w:rPr>
              <w:t>3</w:t>
            </w:r>
          </w:p>
        </w:tc>
        <w:tc>
          <w:tcPr>
            <w:tcW w:w="627" w:type="pct"/>
            <w:vMerge w:val="continue"/>
            <w:vAlign w:val="center"/>
          </w:tcPr>
          <w:p w14:paraId="4007DB2C">
            <w:pPr>
              <w:adjustRightInd w:val="0"/>
              <w:snapToGrid w:val="0"/>
              <w:spacing w:line="240" w:lineRule="auto"/>
              <w:ind w:firstLine="0" w:firstLineChars="0"/>
              <w:jc w:val="center"/>
              <w:rPr>
                <w:sz w:val="18"/>
                <w:szCs w:val="18"/>
              </w:rPr>
            </w:pPr>
          </w:p>
        </w:tc>
      </w:tr>
      <w:tr w14:paraId="719190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4E07375D">
            <w:pPr>
              <w:adjustRightInd w:val="0"/>
              <w:snapToGrid w:val="0"/>
              <w:spacing w:line="240" w:lineRule="auto"/>
              <w:ind w:firstLine="0" w:firstLineChars="0"/>
              <w:jc w:val="center"/>
              <w:rPr>
                <w:sz w:val="18"/>
                <w:szCs w:val="18"/>
              </w:rPr>
            </w:pPr>
          </w:p>
        </w:tc>
        <w:tc>
          <w:tcPr>
            <w:tcW w:w="1117" w:type="pct"/>
            <w:vMerge w:val="continue"/>
            <w:vAlign w:val="center"/>
          </w:tcPr>
          <w:p w14:paraId="05E3CE72">
            <w:pPr>
              <w:adjustRightInd w:val="0"/>
              <w:snapToGrid w:val="0"/>
              <w:spacing w:line="240" w:lineRule="auto"/>
              <w:ind w:firstLine="0" w:firstLineChars="0"/>
              <w:jc w:val="center"/>
              <w:rPr>
                <w:sz w:val="18"/>
                <w:szCs w:val="18"/>
              </w:rPr>
            </w:pPr>
          </w:p>
        </w:tc>
        <w:tc>
          <w:tcPr>
            <w:tcW w:w="575" w:type="pct"/>
            <w:vMerge w:val="continue"/>
            <w:vAlign w:val="center"/>
          </w:tcPr>
          <w:p w14:paraId="0F738EDC">
            <w:pPr>
              <w:adjustRightInd w:val="0"/>
              <w:snapToGrid w:val="0"/>
              <w:spacing w:line="240" w:lineRule="auto"/>
              <w:ind w:firstLine="0" w:firstLineChars="0"/>
              <w:jc w:val="center"/>
              <w:rPr>
                <w:sz w:val="18"/>
                <w:szCs w:val="18"/>
              </w:rPr>
            </w:pPr>
          </w:p>
        </w:tc>
        <w:tc>
          <w:tcPr>
            <w:tcW w:w="456" w:type="pct"/>
            <w:vMerge w:val="continue"/>
            <w:vAlign w:val="center"/>
          </w:tcPr>
          <w:p w14:paraId="5F3C3E2D">
            <w:pPr>
              <w:adjustRightInd w:val="0"/>
              <w:snapToGrid w:val="0"/>
              <w:spacing w:line="240" w:lineRule="auto"/>
              <w:ind w:firstLine="0" w:firstLineChars="0"/>
              <w:jc w:val="center"/>
              <w:rPr>
                <w:sz w:val="18"/>
                <w:szCs w:val="18"/>
              </w:rPr>
            </w:pPr>
          </w:p>
        </w:tc>
        <w:tc>
          <w:tcPr>
            <w:tcW w:w="733" w:type="pct"/>
            <w:vAlign w:val="center"/>
          </w:tcPr>
          <w:p w14:paraId="252A1D4A">
            <w:pPr>
              <w:pStyle w:val="187"/>
              <w:snapToGrid w:val="0"/>
              <w:spacing w:line="240" w:lineRule="auto"/>
              <w:ind w:firstLine="0" w:firstLineChars="0"/>
              <w:rPr>
                <w:sz w:val="18"/>
                <w:szCs w:val="18"/>
              </w:rPr>
            </w:pPr>
            <w:r>
              <w:rPr>
                <w:sz w:val="18"/>
                <w:szCs w:val="18"/>
              </w:rPr>
              <w:t>1小时平均</w:t>
            </w:r>
          </w:p>
        </w:tc>
        <w:tc>
          <w:tcPr>
            <w:tcW w:w="822" w:type="pct"/>
            <w:vAlign w:val="center"/>
          </w:tcPr>
          <w:p w14:paraId="5BB26AA9">
            <w:pPr>
              <w:pStyle w:val="187"/>
              <w:snapToGrid w:val="0"/>
              <w:spacing w:line="240" w:lineRule="auto"/>
              <w:ind w:firstLine="0" w:firstLineChars="0"/>
              <w:rPr>
                <w:sz w:val="18"/>
                <w:szCs w:val="18"/>
              </w:rPr>
            </w:pPr>
            <w:r>
              <w:rPr>
                <w:sz w:val="18"/>
                <w:szCs w:val="18"/>
              </w:rPr>
              <w:t>10000ug/m</w:t>
            </w:r>
            <w:r>
              <w:rPr>
                <w:sz w:val="18"/>
                <w:szCs w:val="18"/>
                <w:vertAlign w:val="superscript"/>
              </w:rPr>
              <w:t>3</w:t>
            </w:r>
          </w:p>
        </w:tc>
        <w:tc>
          <w:tcPr>
            <w:tcW w:w="627" w:type="pct"/>
            <w:vMerge w:val="continue"/>
            <w:vAlign w:val="center"/>
          </w:tcPr>
          <w:p w14:paraId="66B2B9DF">
            <w:pPr>
              <w:adjustRightInd w:val="0"/>
              <w:snapToGrid w:val="0"/>
              <w:spacing w:line="240" w:lineRule="auto"/>
              <w:ind w:firstLine="0" w:firstLineChars="0"/>
              <w:jc w:val="center"/>
              <w:rPr>
                <w:sz w:val="18"/>
                <w:szCs w:val="18"/>
              </w:rPr>
            </w:pPr>
          </w:p>
        </w:tc>
      </w:tr>
      <w:tr w14:paraId="6363F3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8522B74">
            <w:pPr>
              <w:adjustRightInd w:val="0"/>
              <w:snapToGrid w:val="0"/>
              <w:spacing w:line="240" w:lineRule="auto"/>
              <w:ind w:firstLine="0" w:firstLineChars="0"/>
              <w:jc w:val="center"/>
              <w:rPr>
                <w:sz w:val="18"/>
                <w:szCs w:val="18"/>
              </w:rPr>
            </w:pPr>
          </w:p>
        </w:tc>
        <w:tc>
          <w:tcPr>
            <w:tcW w:w="1117" w:type="pct"/>
            <w:vMerge w:val="continue"/>
            <w:vAlign w:val="center"/>
          </w:tcPr>
          <w:p w14:paraId="035A04A5">
            <w:pPr>
              <w:adjustRightInd w:val="0"/>
              <w:snapToGrid w:val="0"/>
              <w:spacing w:line="240" w:lineRule="auto"/>
              <w:ind w:firstLine="0" w:firstLineChars="0"/>
              <w:jc w:val="center"/>
              <w:rPr>
                <w:sz w:val="18"/>
                <w:szCs w:val="18"/>
              </w:rPr>
            </w:pPr>
          </w:p>
        </w:tc>
        <w:tc>
          <w:tcPr>
            <w:tcW w:w="575" w:type="pct"/>
            <w:vMerge w:val="continue"/>
            <w:vAlign w:val="center"/>
          </w:tcPr>
          <w:p w14:paraId="2F70D907">
            <w:pPr>
              <w:adjustRightInd w:val="0"/>
              <w:snapToGrid w:val="0"/>
              <w:spacing w:line="240" w:lineRule="auto"/>
              <w:ind w:firstLine="0" w:firstLineChars="0"/>
              <w:jc w:val="center"/>
              <w:rPr>
                <w:sz w:val="18"/>
                <w:szCs w:val="18"/>
              </w:rPr>
            </w:pPr>
          </w:p>
        </w:tc>
        <w:tc>
          <w:tcPr>
            <w:tcW w:w="456" w:type="pct"/>
            <w:vMerge w:val="restart"/>
            <w:vAlign w:val="center"/>
          </w:tcPr>
          <w:p w14:paraId="1742A608">
            <w:pPr>
              <w:adjustRightInd w:val="0"/>
              <w:snapToGrid w:val="0"/>
              <w:spacing w:line="240" w:lineRule="auto"/>
              <w:ind w:firstLine="0" w:firstLineChars="0"/>
              <w:jc w:val="center"/>
              <w:rPr>
                <w:sz w:val="18"/>
                <w:szCs w:val="18"/>
              </w:rPr>
            </w:pPr>
            <w:r>
              <w:rPr>
                <w:kern w:val="0"/>
                <w:sz w:val="18"/>
                <w:szCs w:val="18"/>
              </w:rPr>
              <w:t>O</w:t>
            </w:r>
            <w:r>
              <w:rPr>
                <w:kern w:val="0"/>
                <w:sz w:val="18"/>
                <w:szCs w:val="18"/>
                <w:vertAlign w:val="subscript"/>
              </w:rPr>
              <w:t>3</w:t>
            </w:r>
          </w:p>
        </w:tc>
        <w:tc>
          <w:tcPr>
            <w:tcW w:w="733" w:type="pct"/>
            <w:vAlign w:val="center"/>
          </w:tcPr>
          <w:p w14:paraId="72E83521">
            <w:pPr>
              <w:pStyle w:val="187"/>
              <w:snapToGrid w:val="0"/>
              <w:spacing w:line="240" w:lineRule="auto"/>
              <w:ind w:firstLine="0" w:firstLineChars="0"/>
              <w:rPr>
                <w:sz w:val="18"/>
                <w:szCs w:val="18"/>
              </w:rPr>
            </w:pPr>
            <w:r>
              <w:rPr>
                <w:sz w:val="18"/>
                <w:szCs w:val="18"/>
              </w:rPr>
              <w:t>日最大8小时平均</w:t>
            </w:r>
          </w:p>
        </w:tc>
        <w:tc>
          <w:tcPr>
            <w:tcW w:w="822" w:type="pct"/>
            <w:vAlign w:val="center"/>
          </w:tcPr>
          <w:p w14:paraId="514B23FB">
            <w:pPr>
              <w:pStyle w:val="187"/>
              <w:snapToGrid w:val="0"/>
              <w:spacing w:line="240" w:lineRule="auto"/>
              <w:ind w:firstLine="0" w:firstLineChars="0"/>
              <w:rPr>
                <w:sz w:val="18"/>
                <w:szCs w:val="18"/>
              </w:rPr>
            </w:pPr>
            <w:r>
              <w:rPr>
                <w:sz w:val="18"/>
                <w:szCs w:val="18"/>
              </w:rPr>
              <w:t>160ug/m</w:t>
            </w:r>
            <w:r>
              <w:rPr>
                <w:sz w:val="18"/>
                <w:szCs w:val="18"/>
                <w:vertAlign w:val="superscript"/>
              </w:rPr>
              <w:t>3</w:t>
            </w:r>
          </w:p>
        </w:tc>
        <w:tc>
          <w:tcPr>
            <w:tcW w:w="627" w:type="pct"/>
            <w:vMerge w:val="continue"/>
            <w:vAlign w:val="center"/>
          </w:tcPr>
          <w:p w14:paraId="4AB02ABA">
            <w:pPr>
              <w:adjustRightInd w:val="0"/>
              <w:snapToGrid w:val="0"/>
              <w:spacing w:line="240" w:lineRule="auto"/>
              <w:ind w:firstLine="0" w:firstLineChars="0"/>
              <w:jc w:val="center"/>
              <w:rPr>
                <w:sz w:val="18"/>
                <w:szCs w:val="18"/>
              </w:rPr>
            </w:pPr>
          </w:p>
        </w:tc>
      </w:tr>
      <w:tr w14:paraId="6C7338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0C82EA66">
            <w:pPr>
              <w:adjustRightInd w:val="0"/>
              <w:snapToGrid w:val="0"/>
              <w:spacing w:line="240" w:lineRule="auto"/>
              <w:ind w:firstLine="0" w:firstLineChars="0"/>
              <w:jc w:val="center"/>
              <w:rPr>
                <w:sz w:val="18"/>
                <w:szCs w:val="18"/>
              </w:rPr>
            </w:pPr>
          </w:p>
        </w:tc>
        <w:tc>
          <w:tcPr>
            <w:tcW w:w="1117" w:type="pct"/>
            <w:vMerge w:val="continue"/>
            <w:vAlign w:val="center"/>
          </w:tcPr>
          <w:p w14:paraId="156708CC">
            <w:pPr>
              <w:adjustRightInd w:val="0"/>
              <w:snapToGrid w:val="0"/>
              <w:spacing w:line="240" w:lineRule="auto"/>
              <w:ind w:firstLine="0" w:firstLineChars="0"/>
              <w:jc w:val="center"/>
              <w:rPr>
                <w:sz w:val="18"/>
                <w:szCs w:val="18"/>
              </w:rPr>
            </w:pPr>
          </w:p>
        </w:tc>
        <w:tc>
          <w:tcPr>
            <w:tcW w:w="575" w:type="pct"/>
            <w:vMerge w:val="continue"/>
            <w:vAlign w:val="center"/>
          </w:tcPr>
          <w:p w14:paraId="2CC9475D">
            <w:pPr>
              <w:adjustRightInd w:val="0"/>
              <w:snapToGrid w:val="0"/>
              <w:spacing w:line="240" w:lineRule="auto"/>
              <w:ind w:firstLine="0" w:firstLineChars="0"/>
              <w:jc w:val="center"/>
              <w:rPr>
                <w:sz w:val="18"/>
                <w:szCs w:val="18"/>
              </w:rPr>
            </w:pPr>
          </w:p>
        </w:tc>
        <w:tc>
          <w:tcPr>
            <w:tcW w:w="456" w:type="pct"/>
            <w:vMerge w:val="continue"/>
            <w:vAlign w:val="center"/>
          </w:tcPr>
          <w:p w14:paraId="40C378AD">
            <w:pPr>
              <w:adjustRightInd w:val="0"/>
              <w:snapToGrid w:val="0"/>
              <w:spacing w:line="240" w:lineRule="auto"/>
              <w:ind w:firstLine="0" w:firstLineChars="0"/>
              <w:jc w:val="center"/>
              <w:rPr>
                <w:sz w:val="18"/>
                <w:szCs w:val="18"/>
              </w:rPr>
            </w:pPr>
          </w:p>
        </w:tc>
        <w:tc>
          <w:tcPr>
            <w:tcW w:w="733" w:type="pct"/>
            <w:vAlign w:val="center"/>
          </w:tcPr>
          <w:p w14:paraId="25F9600A">
            <w:pPr>
              <w:pStyle w:val="187"/>
              <w:snapToGrid w:val="0"/>
              <w:spacing w:line="240" w:lineRule="auto"/>
              <w:ind w:firstLine="0" w:firstLineChars="0"/>
              <w:rPr>
                <w:sz w:val="18"/>
                <w:szCs w:val="18"/>
              </w:rPr>
            </w:pPr>
            <w:r>
              <w:rPr>
                <w:sz w:val="18"/>
                <w:szCs w:val="18"/>
              </w:rPr>
              <w:t>1小时平均</w:t>
            </w:r>
          </w:p>
        </w:tc>
        <w:tc>
          <w:tcPr>
            <w:tcW w:w="822" w:type="pct"/>
            <w:vAlign w:val="center"/>
          </w:tcPr>
          <w:p w14:paraId="6AE61547">
            <w:pPr>
              <w:pStyle w:val="187"/>
              <w:snapToGrid w:val="0"/>
              <w:spacing w:line="240" w:lineRule="auto"/>
              <w:ind w:firstLine="0" w:firstLineChars="0"/>
              <w:rPr>
                <w:sz w:val="18"/>
                <w:szCs w:val="18"/>
              </w:rPr>
            </w:pPr>
            <w:r>
              <w:rPr>
                <w:sz w:val="18"/>
                <w:szCs w:val="18"/>
              </w:rPr>
              <w:t>200ug/m</w:t>
            </w:r>
            <w:r>
              <w:rPr>
                <w:sz w:val="18"/>
                <w:szCs w:val="18"/>
                <w:vertAlign w:val="superscript"/>
              </w:rPr>
              <w:t>3</w:t>
            </w:r>
          </w:p>
        </w:tc>
        <w:tc>
          <w:tcPr>
            <w:tcW w:w="627" w:type="pct"/>
            <w:vMerge w:val="continue"/>
            <w:vAlign w:val="center"/>
          </w:tcPr>
          <w:p w14:paraId="17CB4719">
            <w:pPr>
              <w:adjustRightInd w:val="0"/>
              <w:snapToGrid w:val="0"/>
              <w:spacing w:line="240" w:lineRule="auto"/>
              <w:ind w:firstLine="0" w:firstLineChars="0"/>
              <w:jc w:val="center"/>
              <w:rPr>
                <w:sz w:val="18"/>
                <w:szCs w:val="18"/>
              </w:rPr>
            </w:pPr>
          </w:p>
        </w:tc>
      </w:tr>
      <w:tr w14:paraId="751F10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1B5570E7">
            <w:pPr>
              <w:adjustRightInd w:val="0"/>
              <w:snapToGrid w:val="0"/>
              <w:spacing w:line="240" w:lineRule="auto"/>
              <w:ind w:firstLine="0" w:firstLineChars="0"/>
              <w:jc w:val="center"/>
              <w:rPr>
                <w:sz w:val="18"/>
                <w:szCs w:val="18"/>
              </w:rPr>
            </w:pPr>
          </w:p>
        </w:tc>
        <w:tc>
          <w:tcPr>
            <w:tcW w:w="1117" w:type="pct"/>
            <w:vMerge w:val="continue"/>
            <w:vAlign w:val="center"/>
          </w:tcPr>
          <w:p w14:paraId="37D8FC4D">
            <w:pPr>
              <w:adjustRightInd w:val="0"/>
              <w:snapToGrid w:val="0"/>
              <w:spacing w:line="240" w:lineRule="auto"/>
              <w:ind w:firstLine="0" w:firstLineChars="0"/>
              <w:jc w:val="center"/>
              <w:rPr>
                <w:sz w:val="18"/>
                <w:szCs w:val="18"/>
              </w:rPr>
            </w:pPr>
          </w:p>
        </w:tc>
        <w:tc>
          <w:tcPr>
            <w:tcW w:w="575" w:type="pct"/>
            <w:vMerge w:val="continue"/>
            <w:vAlign w:val="center"/>
          </w:tcPr>
          <w:p w14:paraId="1A53DA29">
            <w:pPr>
              <w:adjustRightInd w:val="0"/>
              <w:snapToGrid w:val="0"/>
              <w:spacing w:line="240" w:lineRule="auto"/>
              <w:ind w:firstLine="0" w:firstLineChars="0"/>
              <w:jc w:val="center"/>
              <w:rPr>
                <w:sz w:val="18"/>
                <w:szCs w:val="18"/>
              </w:rPr>
            </w:pPr>
          </w:p>
        </w:tc>
        <w:tc>
          <w:tcPr>
            <w:tcW w:w="456" w:type="pct"/>
            <w:vMerge w:val="restart"/>
            <w:vAlign w:val="center"/>
          </w:tcPr>
          <w:p w14:paraId="1DE5159D">
            <w:pPr>
              <w:adjustRightInd w:val="0"/>
              <w:snapToGrid w:val="0"/>
              <w:spacing w:line="240" w:lineRule="auto"/>
              <w:ind w:firstLine="0" w:firstLineChars="0"/>
              <w:jc w:val="center"/>
              <w:rPr>
                <w:sz w:val="18"/>
                <w:szCs w:val="18"/>
              </w:rPr>
            </w:pPr>
            <w:r>
              <w:rPr>
                <w:rFonts w:hint="eastAsia"/>
                <w:sz w:val="18"/>
                <w:szCs w:val="18"/>
              </w:rPr>
              <w:t>T</w:t>
            </w:r>
            <w:r>
              <w:rPr>
                <w:sz w:val="18"/>
                <w:szCs w:val="18"/>
              </w:rPr>
              <w:t>SP</w:t>
            </w:r>
          </w:p>
        </w:tc>
        <w:tc>
          <w:tcPr>
            <w:tcW w:w="733" w:type="pct"/>
            <w:vAlign w:val="center"/>
          </w:tcPr>
          <w:p w14:paraId="787ADCC8">
            <w:pPr>
              <w:pStyle w:val="187"/>
              <w:snapToGrid w:val="0"/>
              <w:spacing w:line="240" w:lineRule="auto"/>
              <w:ind w:firstLine="0" w:firstLineChars="0"/>
              <w:rPr>
                <w:sz w:val="18"/>
                <w:szCs w:val="18"/>
              </w:rPr>
            </w:pPr>
            <w:r>
              <w:rPr>
                <w:sz w:val="18"/>
                <w:szCs w:val="18"/>
              </w:rPr>
              <w:t>年平均</w:t>
            </w:r>
          </w:p>
        </w:tc>
        <w:tc>
          <w:tcPr>
            <w:tcW w:w="822" w:type="pct"/>
            <w:vAlign w:val="center"/>
          </w:tcPr>
          <w:p w14:paraId="1C74E011">
            <w:pPr>
              <w:pStyle w:val="187"/>
              <w:snapToGrid w:val="0"/>
              <w:spacing w:line="240" w:lineRule="auto"/>
              <w:ind w:firstLine="0" w:firstLineChars="0"/>
              <w:rPr>
                <w:sz w:val="18"/>
                <w:szCs w:val="18"/>
              </w:rPr>
            </w:pPr>
            <w:r>
              <w:rPr>
                <w:sz w:val="18"/>
                <w:szCs w:val="18"/>
              </w:rPr>
              <w:t>200ug/m</w:t>
            </w:r>
            <w:r>
              <w:rPr>
                <w:sz w:val="18"/>
                <w:szCs w:val="18"/>
                <w:vertAlign w:val="superscript"/>
              </w:rPr>
              <w:t>3</w:t>
            </w:r>
          </w:p>
        </w:tc>
        <w:tc>
          <w:tcPr>
            <w:tcW w:w="627" w:type="pct"/>
            <w:vMerge w:val="continue"/>
            <w:vAlign w:val="center"/>
          </w:tcPr>
          <w:p w14:paraId="4AC4A5F2">
            <w:pPr>
              <w:adjustRightInd w:val="0"/>
              <w:snapToGrid w:val="0"/>
              <w:spacing w:line="240" w:lineRule="auto"/>
              <w:ind w:firstLine="0" w:firstLineChars="0"/>
              <w:jc w:val="center"/>
              <w:rPr>
                <w:sz w:val="18"/>
                <w:szCs w:val="18"/>
              </w:rPr>
            </w:pPr>
          </w:p>
        </w:tc>
      </w:tr>
      <w:tr w14:paraId="768C49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43C7F0D0">
            <w:pPr>
              <w:adjustRightInd w:val="0"/>
              <w:snapToGrid w:val="0"/>
              <w:spacing w:line="240" w:lineRule="auto"/>
              <w:ind w:firstLine="0" w:firstLineChars="0"/>
              <w:jc w:val="center"/>
              <w:rPr>
                <w:sz w:val="18"/>
                <w:szCs w:val="18"/>
              </w:rPr>
            </w:pPr>
          </w:p>
        </w:tc>
        <w:tc>
          <w:tcPr>
            <w:tcW w:w="1117" w:type="pct"/>
            <w:vMerge w:val="continue"/>
            <w:vAlign w:val="center"/>
          </w:tcPr>
          <w:p w14:paraId="686E22F8">
            <w:pPr>
              <w:adjustRightInd w:val="0"/>
              <w:snapToGrid w:val="0"/>
              <w:spacing w:line="240" w:lineRule="auto"/>
              <w:ind w:firstLine="0" w:firstLineChars="0"/>
              <w:jc w:val="center"/>
              <w:rPr>
                <w:sz w:val="18"/>
                <w:szCs w:val="18"/>
              </w:rPr>
            </w:pPr>
          </w:p>
        </w:tc>
        <w:tc>
          <w:tcPr>
            <w:tcW w:w="575" w:type="pct"/>
            <w:vMerge w:val="continue"/>
            <w:vAlign w:val="center"/>
          </w:tcPr>
          <w:p w14:paraId="644061E7">
            <w:pPr>
              <w:adjustRightInd w:val="0"/>
              <w:snapToGrid w:val="0"/>
              <w:spacing w:line="240" w:lineRule="auto"/>
              <w:ind w:firstLine="0" w:firstLineChars="0"/>
              <w:jc w:val="center"/>
              <w:rPr>
                <w:sz w:val="18"/>
                <w:szCs w:val="18"/>
              </w:rPr>
            </w:pPr>
          </w:p>
        </w:tc>
        <w:tc>
          <w:tcPr>
            <w:tcW w:w="456" w:type="pct"/>
            <w:vMerge w:val="continue"/>
            <w:vAlign w:val="center"/>
          </w:tcPr>
          <w:p w14:paraId="14F8C4A5">
            <w:pPr>
              <w:adjustRightInd w:val="0"/>
              <w:snapToGrid w:val="0"/>
              <w:spacing w:line="240" w:lineRule="auto"/>
              <w:ind w:firstLine="0" w:firstLineChars="0"/>
              <w:jc w:val="center"/>
              <w:rPr>
                <w:sz w:val="18"/>
                <w:szCs w:val="18"/>
              </w:rPr>
            </w:pPr>
          </w:p>
        </w:tc>
        <w:tc>
          <w:tcPr>
            <w:tcW w:w="733" w:type="pct"/>
            <w:vAlign w:val="center"/>
          </w:tcPr>
          <w:p w14:paraId="269CACBC">
            <w:pPr>
              <w:pStyle w:val="187"/>
              <w:snapToGrid w:val="0"/>
              <w:spacing w:line="240" w:lineRule="auto"/>
              <w:ind w:firstLine="0" w:firstLineChars="0"/>
              <w:rPr>
                <w:sz w:val="18"/>
                <w:szCs w:val="18"/>
              </w:rPr>
            </w:pPr>
            <w:r>
              <w:rPr>
                <w:rFonts w:hint="eastAsia"/>
                <w:sz w:val="18"/>
                <w:szCs w:val="18"/>
              </w:rPr>
              <w:t>2</w:t>
            </w:r>
            <w:r>
              <w:rPr>
                <w:sz w:val="18"/>
                <w:szCs w:val="18"/>
              </w:rPr>
              <w:t>4</w:t>
            </w:r>
            <w:r>
              <w:rPr>
                <w:rFonts w:hint="eastAsia"/>
                <w:sz w:val="18"/>
                <w:szCs w:val="18"/>
              </w:rPr>
              <w:t>小时</w:t>
            </w:r>
            <w:r>
              <w:rPr>
                <w:sz w:val="18"/>
                <w:szCs w:val="18"/>
              </w:rPr>
              <w:t>平均</w:t>
            </w:r>
          </w:p>
        </w:tc>
        <w:tc>
          <w:tcPr>
            <w:tcW w:w="822" w:type="pct"/>
            <w:vAlign w:val="center"/>
          </w:tcPr>
          <w:p w14:paraId="639B6403">
            <w:pPr>
              <w:pStyle w:val="187"/>
              <w:snapToGrid w:val="0"/>
              <w:spacing w:line="240" w:lineRule="auto"/>
              <w:ind w:firstLine="0" w:firstLineChars="0"/>
              <w:rPr>
                <w:sz w:val="18"/>
                <w:szCs w:val="18"/>
              </w:rPr>
            </w:pPr>
            <w:r>
              <w:rPr>
                <w:sz w:val="18"/>
                <w:szCs w:val="18"/>
              </w:rPr>
              <w:t>300ug/m</w:t>
            </w:r>
            <w:r>
              <w:rPr>
                <w:sz w:val="18"/>
                <w:szCs w:val="18"/>
                <w:vertAlign w:val="superscript"/>
              </w:rPr>
              <w:t>3</w:t>
            </w:r>
          </w:p>
        </w:tc>
        <w:tc>
          <w:tcPr>
            <w:tcW w:w="627" w:type="pct"/>
            <w:vMerge w:val="continue"/>
            <w:vAlign w:val="center"/>
          </w:tcPr>
          <w:p w14:paraId="5B58BE60">
            <w:pPr>
              <w:adjustRightInd w:val="0"/>
              <w:snapToGrid w:val="0"/>
              <w:spacing w:line="240" w:lineRule="auto"/>
              <w:ind w:firstLine="0" w:firstLineChars="0"/>
              <w:jc w:val="center"/>
              <w:rPr>
                <w:sz w:val="18"/>
                <w:szCs w:val="18"/>
              </w:rPr>
            </w:pPr>
          </w:p>
        </w:tc>
      </w:tr>
      <w:tr w14:paraId="47E5C1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restart"/>
            <w:vAlign w:val="center"/>
          </w:tcPr>
          <w:p w14:paraId="7EE52CC5">
            <w:pPr>
              <w:adjustRightInd w:val="0"/>
              <w:snapToGrid w:val="0"/>
              <w:spacing w:line="240" w:lineRule="auto"/>
              <w:ind w:firstLine="0" w:firstLineChars="0"/>
              <w:jc w:val="center"/>
              <w:rPr>
                <w:sz w:val="18"/>
                <w:szCs w:val="18"/>
              </w:rPr>
            </w:pPr>
            <w:r>
              <w:rPr>
                <w:sz w:val="18"/>
                <w:szCs w:val="18"/>
              </w:rPr>
              <w:t>地表水环境</w:t>
            </w:r>
          </w:p>
        </w:tc>
        <w:tc>
          <w:tcPr>
            <w:tcW w:w="1117" w:type="pct"/>
            <w:vMerge w:val="restart"/>
            <w:vAlign w:val="center"/>
          </w:tcPr>
          <w:p w14:paraId="38F37016">
            <w:pPr>
              <w:adjustRightInd w:val="0"/>
              <w:snapToGrid w:val="0"/>
              <w:spacing w:line="240" w:lineRule="auto"/>
              <w:ind w:firstLine="0" w:firstLineChars="0"/>
              <w:jc w:val="center"/>
              <w:rPr>
                <w:sz w:val="18"/>
                <w:szCs w:val="18"/>
              </w:rPr>
            </w:pPr>
            <w:r>
              <w:rPr>
                <w:sz w:val="18"/>
                <w:szCs w:val="18"/>
              </w:rPr>
              <w:t>《地表水环境质量标准》(GB3838-2002)</w:t>
            </w:r>
          </w:p>
        </w:tc>
        <w:tc>
          <w:tcPr>
            <w:tcW w:w="575" w:type="pct"/>
            <w:vMerge w:val="restart"/>
            <w:vAlign w:val="center"/>
          </w:tcPr>
          <w:p w14:paraId="6E1FD2D5">
            <w:pPr>
              <w:adjustRightInd w:val="0"/>
              <w:snapToGrid w:val="0"/>
              <w:spacing w:line="240" w:lineRule="auto"/>
              <w:ind w:firstLine="0" w:firstLineChars="0"/>
              <w:jc w:val="center"/>
              <w:rPr>
                <w:sz w:val="18"/>
                <w:szCs w:val="18"/>
              </w:rPr>
            </w:pPr>
            <w:r>
              <w:rPr>
                <w:sz w:val="18"/>
                <w:szCs w:val="18"/>
              </w:rPr>
              <w:t>III类</w:t>
            </w:r>
          </w:p>
        </w:tc>
        <w:tc>
          <w:tcPr>
            <w:tcW w:w="1189" w:type="pct"/>
            <w:gridSpan w:val="2"/>
            <w:vAlign w:val="center"/>
          </w:tcPr>
          <w:p w14:paraId="55E82339">
            <w:pPr>
              <w:adjustRightInd w:val="0"/>
              <w:snapToGrid w:val="0"/>
              <w:spacing w:line="240" w:lineRule="auto"/>
              <w:ind w:firstLine="0" w:firstLineChars="0"/>
              <w:jc w:val="center"/>
              <w:rPr>
                <w:sz w:val="18"/>
                <w:szCs w:val="18"/>
              </w:rPr>
            </w:pPr>
            <w:r>
              <w:rPr>
                <w:sz w:val="18"/>
                <w:szCs w:val="18"/>
              </w:rPr>
              <w:t>pH</w:t>
            </w:r>
          </w:p>
        </w:tc>
        <w:tc>
          <w:tcPr>
            <w:tcW w:w="822" w:type="pct"/>
            <w:vAlign w:val="center"/>
          </w:tcPr>
          <w:p w14:paraId="459C26A3">
            <w:pPr>
              <w:adjustRightInd w:val="0"/>
              <w:snapToGrid w:val="0"/>
              <w:spacing w:line="240" w:lineRule="auto"/>
              <w:ind w:firstLine="0" w:firstLineChars="0"/>
              <w:jc w:val="center"/>
              <w:rPr>
                <w:sz w:val="18"/>
                <w:szCs w:val="18"/>
              </w:rPr>
            </w:pPr>
            <w:r>
              <w:rPr>
                <w:sz w:val="18"/>
                <w:szCs w:val="18"/>
              </w:rPr>
              <w:t>6～9</w:t>
            </w:r>
          </w:p>
        </w:tc>
        <w:tc>
          <w:tcPr>
            <w:tcW w:w="627" w:type="pct"/>
            <w:vMerge w:val="restart"/>
            <w:vAlign w:val="center"/>
          </w:tcPr>
          <w:p w14:paraId="12830865">
            <w:pPr>
              <w:adjustRightInd w:val="0"/>
              <w:snapToGrid w:val="0"/>
              <w:spacing w:line="240" w:lineRule="auto"/>
              <w:ind w:firstLine="0" w:firstLineChars="0"/>
              <w:rPr>
                <w:sz w:val="18"/>
                <w:szCs w:val="18"/>
              </w:rPr>
            </w:pPr>
            <w:r>
              <w:rPr>
                <w:sz w:val="18"/>
                <w:szCs w:val="18"/>
              </w:rPr>
              <w:t>评价范围内水库、沟渠</w:t>
            </w:r>
            <w:r>
              <w:rPr>
                <w:rFonts w:hint="eastAsia"/>
                <w:sz w:val="18"/>
                <w:szCs w:val="18"/>
              </w:rPr>
              <w:t>，饮用水水源二级保护区</w:t>
            </w:r>
          </w:p>
        </w:tc>
      </w:tr>
      <w:tr w14:paraId="2161BE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54418358">
            <w:pPr>
              <w:adjustRightInd w:val="0"/>
              <w:snapToGrid w:val="0"/>
              <w:spacing w:line="240" w:lineRule="auto"/>
              <w:ind w:firstLine="0" w:firstLineChars="0"/>
              <w:jc w:val="center"/>
              <w:rPr>
                <w:sz w:val="18"/>
                <w:szCs w:val="18"/>
              </w:rPr>
            </w:pPr>
          </w:p>
        </w:tc>
        <w:tc>
          <w:tcPr>
            <w:tcW w:w="1117" w:type="pct"/>
            <w:vMerge w:val="continue"/>
            <w:vAlign w:val="center"/>
          </w:tcPr>
          <w:p w14:paraId="7058A29A">
            <w:pPr>
              <w:adjustRightInd w:val="0"/>
              <w:snapToGrid w:val="0"/>
              <w:spacing w:line="240" w:lineRule="auto"/>
              <w:ind w:firstLine="0" w:firstLineChars="0"/>
              <w:jc w:val="center"/>
              <w:rPr>
                <w:sz w:val="18"/>
                <w:szCs w:val="18"/>
              </w:rPr>
            </w:pPr>
          </w:p>
        </w:tc>
        <w:tc>
          <w:tcPr>
            <w:tcW w:w="575" w:type="pct"/>
            <w:vMerge w:val="continue"/>
            <w:vAlign w:val="center"/>
          </w:tcPr>
          <w:p w14:paraId="1362F3C5">
            <w:pPr>
              <w:adjustRightInd w:val="0"/>
              <w:snapToGrid w:val="0"/>
              <w:spacing w:line="240" w:lineRule="auto"/>
              <w:ind w:firstLine="0" w:firstLineChars="0"/>
              <w:jc w:val="center"/>
              <w:rPr>
                <w:sz w:val="18"/>
                <w:szCs w:val="18"/>
              </w:rPr>
            </w:pPr>
          </w:p>
        </w:tc>
        <w:tc>
          <w:tcPr>
            <w:tcW w:w="1189" w:type="pct"/>
            <w:gridSpan w:val="2"/>
            <w:vAlign w:val="center"/>
          </w:tcPr>
          <w:p w14:paraId="562E8FED">
            <w:pPr>
              <w:adjustRightInd w:val="0"/>
              <w:snapToGrid w:val="0"/>
              <w:spacing w:line="240" w:lineRule="auto"/>
              <w:ind w:firstLine="0" w:firstLineChars="0"/>
              <w:jc w:val="center"/>
              <w:rPr>
                <w:sz w:val="18"/>
                <w:szCs w:val="18"/>
              </w:rPr>
            </w:pPr>
            <w:r>
              <w:rPr>
                <w:sz w:val="18"/>
                <w:szCs w:val="18"/>
              </w:rPr>
              <w:t>COD</w:t>
            </w:r>
            <w:r>
              <w:rPr>
                <w:sz w:val="18"/>
                <w:szCs w:val="18"/>
                <w:vertAlign w:val="subscript"/>
              </w:rPr>
              <w:t>Cr</w:t>
            </w:r>
          </w:p>
        </w:tc>
        <w:tc>
          <w:tcPr>
            <w:tcW w:w="822" w:type="pct"/>
            <w:vAlign w:val="center"/>
          </w:tcPr>
          <w:p w14:paraId="53545C40">
            <w:pPr>
              <w:adjustRightInd w:val="0"/>
              <w:snapToGrid w:val="0"/>
              <w:spacing w:line="240" w:lineRule="auto"/>
              <w:ind w:firstLine="0" w:firstLineChars="0"/>
              <w:jc w:val="center"/>
              <w:rPr>
                <w:sz w:val="18"/>
                <w:szCs w:val="18"/>
              </w:rPr>
            </w:pPr>
            <w:r>
              <w:rPr>
                <w:sz w:val="18"/>
                <w:szCs w:val="18"/>
              </w:rPr>
              <w:t>20</w:t>
            </w:r>
            <w:r>
              <w:rPr>
                <w:bCs/>
                <w:sz w:val="18"/>
                <w:szCs w:val="18"/>
              </w:rPr>
              <w:t>mg/L</w:t>
            </w:r>
          </w:p>
        </w:tc>
        <w:tc>
          <w:tcPr>
            <w:tcW w:w="627" w:type="pct"/>
            <w:vMerge w:val="continue"/>
            <w:vAlign w:val="center"/>
          </w:tcPr>
          <w:p w14:paraId="6663E554">
            <w:pPr>
              <w:adjustRightInd w:val="0"/>
              <w:snapToGrid w:val="0"/>
              <w:spacing w:line="240" w:lineRule="auto"/>
              <w:ind w:firstLine="0" w:firstLineChars="0"/>
              <w:jc w:val="center"/>
              <w:rPr>
                <w:sz w:val="18"/>
                <w:szCs w:val="18"/>
              </w:rPr>
            </w:pPr>
          </w:p>
        </w:tc>
      </w:tr>
      <w:tr w14:paraId="334DF5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3DE19EE8">
            <w:pPr>
              <w:adjustRightInd w:val="0"/>
              <w:snapToGrid w:val="0"/>
              <w:spacing w:line="240" w:lineRule="auto"/>
              <w:ind w:firstLine="0" w:firstLineChars="0"/>
              <w:jc w:val="center"/>
              <w:rPr>
                <w:sz w:val="18"/>
                <w:szCs w:val="18"/>
              </w:rPr>
            </w:pPr>
          </w:p>
        </w:tc>
        <w:tc>
          <w:tcPr>
            <w:tcW w:w="1117" w:type="pct"/>
            <w:vMerge w:val="continue"/>
            <w:vAlign w:val="center"/>
          </w:tcPr>
          <w:p w14:paraId="1399FB5B">
            <w:pPr>
              <w:adjustRightInd w:val="0"/>
              <w:snapToGrid w:val="0"/>
              <w:spacing w:line="240" w:lineRule="auto"/>
              <w:ind w:firstLine="0" w:firstLineChars="0"/>
              <w:jc w:val="center"/>
              <w:rPr>
                <w:sz w:val="18"/>
                <w:szCs w:val="18"/>
              </w:rPr>
            </w:pPr>
          </w:p>
        </w:tc>
        <w:tc>
          <w:tcPr>
            <w:tcW w:w="575" w:type="pct"/>
            <w:vMerge w:val="continue"/>
            <w:vAlign w:val="center"/>
          </w:tcPr>
          <w:p w14:paraId="154C9A11">
            <w:pPr>
              <w:adjustRightInd w:val="0"/>
              <w:snapToGrid w:val="0"/>
              <w:spacing w:line="240" w:lineRule="auto"/>
              <w:ind w:firstLine="0" w:firstLineChars="0"/>
              <w:jc w:val="center"/>
              <w:rPr>
                <w:sz w:val="18"/>
                <w:szCs w:val="18"/>
              </w:rPr>
            </w:pPr>
          </w:p>
        </w:tc>
        <w:tc>
          <w:tcPr>
            <w:tcW w:w="1189" w:type="pct"/>
            <w:gridSpan w:val="2"/>
            <w:vAlign w:val="center"/>
          </w:tcPr>
          <w:p w14:paraId="36BF4702">
            <w:pPr>
              <w:adjustRightInd w:val="0"/>
              <w:snapToGrid w:val="0"/>
              <w:spacing w:line="240" w:lineRule="auto"/>
              <w:ind w:firstLine="0" w:firstLineChars="0"/>
              <w:jc w:val="center"/>
              <w:rPr>
                <w:sz w:val="18"/>
                <w:szCs w:val="18"/>
              </w:rPr>
            </w:pPr>
            <w:r>
              <w:rPr>
                <w:sz w:val="18"/>
                <w:szCs w:val="18"/>
              </w:rPr>
              <w:t>BOD</w:t>
            </w:r>
            <w:r>
              <w:rPr>
                <w:sz w:val="18"/>
                <w:szCs w:val="18"/>
                <w:vertAlign w:val="subscript"/>
              </w:rPr>
              <w:t>5</w:t>
            </w:r>
          </w:p>
        </w:tc>
        <w:tc>
          <w:tcPr>
            <w:tcW w:w="822" w:type="pct"/>
            <w:vAlign w:val="center"/>
          </w:tcPr>
          <w:p w14:paraId="6313E07B">
            <w:pPr>
              <w:adjustRightInd w:val="0"/>
              <w:snapToGrid w:val="0"/>
              <w:spacing w:line="240" w:lineRule="auto"/>
              <w:ind w:firstLine="0" w:firstLineChars="0"/>
              <w:jc w:val="center"/>
              <w:rPr>
                <w:sz w:val="18"/>
                <w:szCs w:val="18"/>
              </w:rPr>
            </w:pPr>
            <w:r>
              <w:rPr>
                <w:sz w:val="18"/>
                <w:szCs w:val="18"/>
              </w:rPr>
              <w:t>4mg/L</w:t>
            </w:r>
          </w:p>
        </w:tc>
        <w:tc>
          <w:tcPr>
            <w:tcW w:w="627" w:type="pct"/>
            <w:vMerge w:val="continue"/>
            <w:vAlign w:val="center"/>
          </w:tcPr>
          <w:p w14:paraId="0C97B6D6">
            <w:pPr>
              <w:adjustRightInd w:val="0"/>
              <w:snapToGrid w:val="0"/>
              <w:spacing w:line="240" w:lineRule="auto"/>
              <w:ind w:firstLine="0" w:firstLineChars="0"/>
              <w:jc w:val="center"/>
              <w:rPr>
                <w:sz w:val="18"/>
                <w:szCs w:val="18"/>
              </w:rPr>
            </w:pPr>
          </w:p>
        </w:tc>
      </w:tr>
      <w:tr w14:paraId="4D8244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50D5CD33">
            <w:pPr>
              <w:adjustRightInd w:val="0"/>
              <w:snapToGrid w:val="0"/>
              <w:spacing w:line="240" w:lineRule="auto"/>
              <w:ind w:firstLine="0" w:firstLineChars="0"/>
              <w:jc w:val="center"/>
              <w:rPr>
                <w:sz w:val="18"/>
                <w:szCs w:val="18"/>
              </w:rPr>
            </w:pPr>
          </w:p>
        </w:tc>
        <w:tc>
          <w:tcPr>
            <w:tcW w:w="1117" w:type="pct"/>
            <w:vMerge w:val="continue"/>
            <w:vAlign w:val="center"/>
          </w:tcPr>
          <w:p w14:paraId="352E0CF2">
            <w:pPr>
              <w:adjustRightInd w:val="0"/>
              <w:snapToGrid w:val="0"/>
              <w:spacing w:line="240" w:lineRule="auto"/>
              <w:ind w:firstLine="0" w:firstLineChars="0"/>
              <w:jc w:val="center"/>
              <w:rPr>
                <w:sz w:val="18"/>
                <w:szCs w:val="18"/>
              </w:rPr>
            </w:pPr>
          </w:p>
        </w:tc>
        <w:tc>
          <w:tcPr>
            <w:tcW w:w="575" w:type="pct"/>
            <w:vMerge w:val="continue"/>
            <w:vAlign w:val="center"/>
          </w:tcPr>
          <w:p w14:paraId="42B37D93">
            <w:pPr>
              <w:adjustRightInd w:val="0"/>
              <w:snapToGrid w:val="0"/>
              <w:spacing w:line="240" w:lineRule="auto"/>
              <w:ind w:firstLine="0" w:firstLineChars="0"/>
              <w:jc w:val="center"/>
              <w:rPr>
                <w:sz w:val="18"/>
                <w:szCs w:val="18"/>
              </w:rPr>
            </w:pPr>
          </w:p>
        </w:tc>
        <w:tc>
          <w:tcPr>
            <w:tcW w:w="1189" w:type="pct"/>
            <w:gridSpan w:val="2"/>
            <w:vAlign w:val="center"/>
          </w:tcPr>
          <w:p w14:paraId="7AE54C30">
            <w:pPr>
              <w:adjustRightInd w:val="0"/>
              <w:snapToGrid w:val="0"/>
              <w:spacing w:line="240" w:lineRule="auto"/>
              <w:ind w:firstLine="0" w:firstLineChars="0"/>
              <w:jc w:val="center"/>
              <w:rPr>
                <w:sz w:val="18"/>
                <w:szCs w:val="18"/>
              </w:rPr>
            </w:pPr>
            <w:r>
              <w:rPr>
                <w:sz w:val="18"/>
                <w:szCs w:val="18"/>
              </w:rPr>
              <w:t>NH</w:t>
            </w:r>
            <w:r>
              <w:rPr>
                <w:sz w:val="18"/>
                <w:szCs w:val="18"/>
                <w:vertAlign w:val="subscript"/>
              </w:rPr>
              <w:t>3</w:t>
            </w:r>
            <w:r>
              <w:rPr>
                <w:sz w:val="18"/>
                <w:szCs w:val="18"/>
              </w:rPr>
              <w:t>-N</w:t>
            </w:r>
          </w:p>
        </w:tc>
        <w:tc>
          <w:tcPr>
            <w:tcW w:w="822" w:type="pct"/>
            <w:vAlign w:val="center"/>
          </w:tcPr>
          <w:p w14:paraId="49A8BAD5">
            <w:pPr>
              <w:adjustRightInd w:val="0"/>
              <w:snapToGrid w:val="0"/>
              <w:spacing w:line="240" w:lineRule="auto"/>
              <w:ind w:firstLine="0" w:firstLineChars="0"/>
              <w:jc w:val="center"/>
              <w:rPr>
                <w:sz w:val="18"/>
                <w:szCs w:val="18"/>
              </w:rPr>
            </w:pPr>
            <w:r>
              <w:rPr>
                <w:sz w:val="18"/>
                <w:szCs w:val="18"/>
              </w:rPr>
              <w:t>1.0mg/L</w:t>
            </w:r>
          </w:p>
        </w:tc>
        <w:tc>
          <w:tcPr>
            <w:tcW w:w="627" w:type="pct"/>
            <w:vMerge w:val="continue"/>
            <w:vAlign w:val="center"/>
          </w:tcPr>
          <w:p w14:paraId="69145EB5">
            <w:pPr>
              <w:adjustRightInd w:val="0"/>
              <w:snapToGrid w:val="0"/>
              <w:spacing w:line="240" w:lineRule="auto"/>
              <w:ind w:firstLine="0" w:firstLineChars="0"/>
              <w:jc w:val="center"/>
              <w:rPr>
                <w:sz w:val="18"/>
                <w:szCs w:val="18"/>
              </w:rPr>
            </w:pPr>
          </w:p>
        </w:tc>
      </w:tr>
      <w:tr w14:paraId="28BB76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197ABCE9">
            <w:pPr>
              <w:adjustRightInd w:val="0"/>
              <w:snapToGrid w:val="0"/>
              <w:spacing w:line="240" w:lineRule="auto"/>
              <w:ind w:firstLine="0" w:firstLineChars="0"/>
              <w:jc w:val="center"/>
              <w:rPr>
                <w:sz w:val="18"/>
                <w:szCs w:val="18"/>
              </w:rPr>
            </w:pPr>
          </w:p>
        </w:tc>
        <w:tc>
          <w:tcPr>
            <w:tcW w:w="1117" w:type="pct"/>
            <w:vMerge w:val="continue"/>
            <w:vAlign w:val="center"/>
          </w:tcPr>
          <w:p w14:paraId="14AE03F9">
            <w:pPr>
              <w:adjustRightInd w:val="0"/>
              <w:snapToGrid w:val="0"/>
              <w:spacing w:line="240" w:lineRule="auto"/>
              <w:ind w:firstLine="0" w:firstLineChars="0"/>
              <w:jc w:val="center"/>
              <w:rPr>
                <w:sz w:val="18"/>
                <w:szCs w:val="18"/>
              </w:rPr>
            </w:pPr>
          </w:p>
        </w:tc>
        <w:tc>
          <w:tcPr>
            <w:tcW w:w="575" w:type="pct"/>
            <w:vMerge w:val="continue"/>
            <w:vAlign w:val="center"/>
          </w:tcPr>
          <w:p w14:paraId="72DB2C50">
            <w:pPr>
              <w:adjustRightInd w:val="0"/>
              <w:snapToGrid w:val="0"/>
              <w:spacing w:line="240" w:lineRule="auto"/>
              <w:ind w:firstLine="0" w:firstLineChars="0"/>
              <w:jc w:val="center"/>
              <w:rPr>
                <w:sz w:val="18"/>
                <w:szCs w:val="18"/>
              </w:rPr>
            </w:pPr>
          </w:p>
        </w:tc>
        <w:tc>
          <w:tcPr>
            <w:tcW w:w="1189" w:type="pct"/>
            <w:gridSpan w:val="2"/>
            <w:vAlign w:val="center"/>
          </w:tcPr>
          <w:p w14:paraId="5D3FF67E">
            <w:pPr>
              <w:adjustRightInd w:val="0"/>
              <w:snapToGrid w:val="0"/>
              <w:spacing w:line="240" w:lineRule="auto"/>
              <w:ind w:firstLine="0" w:firstLineChars="0"/>
              <w:jc w:val="center"/>
              <w:rPr>
                <w:sz w:val="18"/>
                <w:szCs w:val="18"/>
              </w:rPr>
            </w:pPr>
            <w:r>
              <w:rPr>
                <w:sz w:val="18"/>
                <w:szCs w:val="18"/>
              </w:rPr>
              <w:t>石油类</w:t>
            </w:r>
          </w:p>
        </w:tc>
        <w:tc>
          <w:tcPr>
            <w:tcW w:w="822" w:type="pct"/>
            <w:vAlign w:val="center"/>
          </w:tcPr>
          <w:p w14:paraId="79E01C4F">
            <w:pPr>
              <w:adjustRightInd w:val="0"/>
              <w:snapToGrid w:val="0"/>
              <w:spacing w:line="240" w:lineRule="auto"/>
              <w:ind w:firstLine="0" w:firstLineChars="0"/>
              <w:jc w:val="center"/>
              <w:rPr>
                <w:sz w:val="18"/>
                <w:szCs w:val="18"/>
              </w:rPr>
            </w:pPr>
            <w:r>
              <w:rPr>
                <w:sz w:val="18"/>
                <w:szCs w:val="18"/>
              </w:rPr>
              <w:t>0.05mg/L</w:t>
            </w:r>
          </w:p>
        </w:tc>
        <w:tc>
          <w:tcPr>
            <w:tcW w:w="627" w:type="pct"/>
            <w:vMerge w:val="continue"/>
            <w:vAlign w:val="center"/>
          </w:tcPr>
          <w:p w14:paraId="25AAE90E">
            <w:pPr>
              <w:adjustRightInd w:val="0"/>
              <w:snapToGrid w:val="0"/>
              <w:spacing w:line="240" w:lineRule="auto"/>
              <w:ind w:firstLine="0" w:firstLineChars="0"/>
              <w:jc w:val="center"/>
              <w:rPr>
                <w:sz w:val="18"/>
                <w:szCs w:val="18"/>
              </w:rPr>
            </w:pPr>
          </w:p>
        </w:tc>
      </w:tr>
      <w:tr w14:paraId="254CE9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3AB86AB5">
            <w:pPr>
              <w:adjustRightInd w:val="0"/>
              <w:snapToGrid w:val="0"/>
              <w:spacing w:line="240" w:lineRule="auto"/>
              <w:ind w:firstLine="0" w:firstLineChars="0"/>
              <w:jc w:val="center"/>
              <w:rPr>
                <w:sz w:val="18"/>
                <w:szCs w:val="18"/>
              </w:rPr>
            </w:pPr>
          </w:p>
        </w:tc>
        <w:tc>
          <w:tcPr>
            <w:tcW w:w="1117" w:type="pct"/>
            <w:vMerge w:val="continue"/>
            <w:vAlign w:val="center"/>
          </w:tcPr>
          <w:p w14:paraId="4FE27FF0">
            <w:pPr>
              <w:adjustRightInd w:val="0"/>
              <w:snapToGrid w:val="0"/>
              <w:spacing w:line="240" w:lineRule="auto"/>
              <w:ind w:firstLine="0" w:firstLineChars="0"/>
              <w:jc w:val="center"/>
              <w:rPr>
                <w:sz w:val="18"/>
                <w:szCs w:val="18"/>
              </w:rPr>
            </w:pPr>
          </w:p>
        </w:tc>
        <w:tc>
          <w:tcPr>
            <w:tcW w:w="575" w:type="pct"/>
            <w:vMerge w:val="continue"/>
            <w:vAlign w:val="center"/>
          </w:tcPr>
          <w:p w14:paraId="3F530064">
            <w:pPr>
              <w:adjustRightInd w:val="0"/>
              <w:snapToGrid w:val="0"/>
              <w:spacing w:line="240" w:lineRule="auto"/>
              <w:ind w:firstLine="0" w:firstLineChars="0"/>
              <w:jc w:val="center"/>
              <w:rPr>
                <w:sz w:val="18"/>
                <w:szCs w:val="18"/>
              </w:rPr>
            </w:pPr>
          </w:p>
        </w:tc>
        <w:tc>
          <w:tcPr>
            <w:tcW w:w="1189" w:type="pct"/>
            <w:gridSpan w:val="2"/>
            <w:vAlign w:val="center"/>
          </w:tcPr>
          <w:p w14:paraId="6E42CCE0">
            <w:pPr>
              <w:adjustRightInd w:val="0"/>
              <w:snapToGrid w:val="0"/>
              <w:spacing w:line="240" w:lineRule="auto"/>
              <w:ind w:firstLine="0" w:firstLineChars="0"/>
              <w:jc w:val="center"/>
              <w:rPr>
                <w:sz w:val="18"/>
                <w:szCs w:val="18"/>
              </w:rPr>
            </w:pPr>
            <w:r>
              <w:rPr>
                <w:sz w:val="18"/>
                <w:szCs w:val="18"/>
              </w:rPr>
              <w:t>总磷</w:t>
            </w:r>
          </w:p>
        </w:tc>
        <w:tc>
          <w:tcPr>
            <w:tcW w:w="822" w:type="pct"/>
            <w:vAlign w:val="center"/>
          </w:tcPr>
          <w:p w14:paraId="13BA9155">
            <w:pPr>
              <w:adjustRightInd w:val="0"/>
              <w:snapToGrid w:val="0"/>
              <w:spacing w:line="240" w:lineRule="auto"/>
              <w:ind w:firstLine="0" w:firstLineChars="0"/>
              <w:jc w:val="center"/>
              <w:rPr>
                <w:sz w:val="18"/>
                <w:szCs w:val="18"/>
              </w:rPr>
            </w:pPr>
            <w:r>
              <w:rPr>
                <w:sz w:val="18"/>
                <w:szCs w:val="18"/>
              </w:rPr>
              <w:t>0.2mg/L</w:t>
            </w:r>
          </w:p>
        </w:tc>
        <w:tc>
          <w:tcPr>
            <w:tcW w:w="627" w:type="pct"/>
            <w:vMerge w:val="continue"/>
            <w:vAlign w:val="center"/>
          </w:tcPr>
          <w:p w14:paraId="77662957">
            <w:pPr>
              <w:adjustRightInd w:val="0"/>
              <w:snapToGrid w:val="0"/>
              <w:spacing w:line="240" w:lineRule="auto"/>
              <w:ind w:firstLine="0" w:firstLineChars="0"/>
              <w:jc w:val="center"/>
              <w:rPr>
                <w:sz w:val="18"/>
                <w:szCs w:val="18"/>
              </w:rPr>
            </w:pPr>
          </w:p>
        </w:tc>
      </w:tr>
      <w:tr w14:paraId="1B3072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1294F6FB">
            <w:pPr>
              <w:adjustRightInd w:val="0"/>
              <w:snapToGrid w:val="0"/>
              <w:spacing w:line="240" w:lineRule="auto"/>
              <w:ind w:firstLine="0" w:firstLineChars="0"/>
              <w:jc w:val="center"/>
              <w:rPr>
                <w:sz w:val="18"/>
                <w:szCs w:val="18"/>
              </w:rPr>
            </w:pPr>
          </w:p>
        </w:tc>
        <w:tc>
          <w:tcPr>
            <w:tcW w:w="1117" w:type="pct"/>
            <w:vMerge w:val="continue"/>
            <w:vAlign w:val="center"/>
          </w:tcPr>
          <w:p w14:paraId="77D3C68F">
            <w:pPr>
              <w:adjustRightInd w:val="0"/>
              <w:snapToGrid w:val="0"/>
              <w:spacing w:line="240" w:lineRule="auto"/>
              <w:ind w:firstLine="0" w:firstLineChars="0"/>
              <w:jc w:val="center"/>
              <w:rPr>
                <w:sz w:val="18"/>
                <w:szCs w:val="18"/>
              </w:rPr>
            </w:pPr>
          </w:p>
        </w:tc>
        <w:tc>
          <w:tcPr>
            <w:tcW w:w="575" w:type="pct"/>
            <w:vMerge w:val="continue"/>
            <w:vAlign w:val="center"/>
          </w:tcPr>
          <w:p w14:paraId="127551D1">
            <w:pPr>
              <w:adjustRightInd w:val="0"/>
              <w:snapToGrid w:val="0"/>
              <w:spacing w:line="240" w:lineRule="auto"/>
              <w:ind w:firstLine="0" w:firstLineChars="0"/>
              <w:jc w:val="center"/>
              <w:rPr>
                <w:sz w:val="18"/>
                <w:szCs w:val="18"/>
              </w:rPr>
            </w:pPr>
          </w:p>
        </w:tc>
        <w:tc>
          <w:tcPr>
            <w:tcW w:w="1189" w:type="pct"/>
            <w:gridSpan w:val="2"/>
            <w:vAlign w:val="center"/>
          </w:tcPr>
          <w:p w14:paraId="39D067C3">
            <w:pPr>
              <w:adjustRightInd w:val="0"/>
              <w:snapToGrid w:val="0"/>
              <w:spacing w:line="240" w:lineRule="auto"/>
              <w:ind w:firstLine="0" w:firstLineChars="0"/>
              <w:jc w:val="center"/>
              <w:rPr>
                <w:sz w:val="18"/>
                <w:szCs w:val="18"/>
              </w:rPr>
            </w:pPr>
            <w:r>
              <w:rPr>
                <w:rFonts w:hint="eastAsia"/>
                <w:sz w:val="18"/>
                <w:szCs w:val="18"/>
              </w:rPr>
              <w:t>总氮</w:t>
            </w:r>
          </w:p>
        </w:tc>
        <w:tc>
          <w:tcPr>
            <w:tcW w:w="822" w:type="pct"/>
            <w:vAlign w:val="center"/>
          </w:tcPr>
          <w:p w14:paraId="0B297D75">
            <w:pPr>
              <w:adjustRightInd w:val="0"/>
              <w:snapToGrid w:val="0"/>
              <w:spacing w:line="240" w:lineRule="auto"/>
              <w:ind w:firstLine="0" w:firstLineChars="0"/>
              <w:jc w:val="center"/>
              <w:rPr>
                <w:sz w:val="18"/>
                <w:szCs w:val="18"/>
              </w:rPr>
            </w:pPr>
            <w:r>
              <w:rPr>
                <w:sz w:val="18"/>
                <w:szCs w:val="18"/>
              </w:rPr>
              <w:t>0.5mg/L</w:t>
            </w:r>
          </w:p>
        </w:tc>
        <w:tc>
          <w:tcPr>
            <w:tcW w:w="627" w:type="pct"/>
            <w:vMerge w:val="continue"/>
            <w:vAlign w:val="center"/>
          </w:tcPr>
          <w:p w14:paraId="51BEAE45">
            <w:pPr>
              <w:adjustRightInd w:val="0"/>
              <w:snapToGrid w:val="0"/>
              <w:spacing w:line="240" w:lineRule="auto"/>
              <w:ind w:firstLine="0" w:firstLineChars="0"/>
              <w:jc w:val="center"/>
              <w:rPr>
                <w:sz w:val="18"/>
                <w:szCs w:val="18"/>
              </w:rPr>
            </w:pPr>
          </w:p>
        </w:tc>
      </w:tr>
      <w:tr w14:paraId="1BF650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2CB1AF64">
            <w:pPr>
              <w:adjustRightInd w:val="0"/>
              <w:snapToGrid w:val="0"/>
              <w:spacing w:line="240" w:lineRule="auto"/>
              <w:ind w:firstLine="0" w:firstLineChars="0"/>
              <w:jc w:val="center"/>
              <w:rPr>
                <w:sz w:val="18"/>
                <w:szCs w:val="18"/>
              </w:rPr>
            </w:pPr>
          </w:p>
        </w:tc>
        <w:tc>
          <w:tcPr>
            <w:tcW w:w="1117" w:type="pct"/>
            <w:vMerge w:val="continue"/>
            <w:vAlign w:val="center"/>
          </w:tcPr>
          <w:p w14:paraId="37A265A5">
            <w:pPr>
              <w:adjustRightInd w:val="0"/>
              <w:snapToGrid w:val="0"/>
              <w:spacing w:line="240" w:lineRule="auto"/>
              <w:ind w:firstLine="0" w:firstLineChars="0"/>
              <w:jc w:val="center"/>
              <w:rPr>
                <w:sz w:val="18"/>
                <w:szCs w:val="18"/>
              </w:rPr>
            </w:pPr>
          </w:p>
        </w:tc>
        <w:tc>
          <w:tcPr>
            <w:tcW w:w="575" w:type="pct"/>
            <w:vMerge w:val="continue"/>
            <w:vAlign w:val="center"/>
          </w:tcPr>
          <w:p w14:paraId="6C224E5E">
            <w:pPr>
              <w:adjustRightInd w:val="0"/>
              <w:snapToGrid w:val="0"/>
              <w:spacing w:line="240" w:lineRule="auto"/>
              <w:ind w:firstLine="0" w:firstLineChars="0"/>
              <w:jc w:val="center"/>
              <w:rPr>
                <w:sz w:val="18"/>
                <w:szCs w:val="18"/>
              </w:rPr>
            </w:pPr>
          </w:p>
        </w:tc>
        <w:tc>
          <w:tcPr>
            <w:tcW w:w="1189" w:type="pct"/>
            <w:gridSpan w:val="2"/>
            <w:vAlign w:val="center"/>
          </w:tcPr>
          <w:p w14:paraId="7B256DC5">
            <w:pPr>
              <w:adjustRightInd w:val="0"/>
              <w:snapToGrid w:val="0"/>
              <w:spacing w:line="240" w:lineRule="auto"/>
              <w:ind w:firstLine="0" w:firstLineChars="0"/>
              <w:jc w:val="center"/>
              <w:rPr>
                <w:sz w:val="18"/>
                <w:szCs w:val="18"/>
              </w:rPr>
            </w:pPr>
            <w:r>
              <w:rPr>
                <w:sz w:val="18"/>
                <w:szCs w:val="18"/>
              </w:rPr>
              <w:t>粪大肠菌群</w:t>
            </w:r>
          </w:p>
        </w:tc>
        <w:tc>
          <w:tcPr>
            <w:tcW w:w="822" w:type="pct"/>
            <w:vAlign w:val="center"/>
          </w:tcPr>
          <w:p w14:paraId="65F1280F">
            <w:pPr>
              <w:adjustRightInd w:val="0"/>
              <w:snapToGrid w:val="0"/>
              <w:spacing w:line="240" w:lineRule="auto"/>
              <w:ind w:firstLine="0" w:firstLineChars="0"/>
              <w:jc w:val="center"/>
              <w:rPr>
                <w:sz w:val="18"/>
                <w:szCs w:val="18"/>
              </w:rPr>
            </w:pPr>
            <w:r>
              <w:rPr>
                <w:sz w:val="18"/>
                <w:szCs w:val="18"/>
              </w:rPr>
              <w:t>≤10000个/L</w:t>
            </w:r>
          </w:p>
        </w:tc>
        <w:tc>
          <w:tcPr>
            <w:tcW w:w="627" w:type="pct"/>
            <w:vMerge w:val="continue"/>
            <w:vAlign w:val="center"/>
          </w:tcPr>
          <w:p w14:paraId="6F9AAD46">
            <w:pPr>
              <w:adjustRightInd w:val="0"/>
              <w:snapToGrid w:val="0"/>
              <w:spacing w:line="240" w:lineRule="auto"/>
              <w:ind w:firstLine="0" w:firstLineChars="0"/>
              <w:jc w:val="center"/>
              <w:rPr>
                <w:sz w:val="18"/>
                <w:szCs w:val="18"/>
              </w:rPr>
            </w:pPr>
          </w:p>
        </w:tc>
      </w:tr>
      <w:tr w14:paraId="4F56A3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538900A1">
            <w:pPr>
              <w:adjustRightInd w:val="0"/>
              <w:snapToGrid w:val="0"/>
              <w:spacing w:line="240" w:lineRule="auto"/>
              <w:ind w:firstLine="0" w:firstLineChars="0"/>
              <w:jc w:val="center"/>
              <w:rPr>
                <w:sz w:val="18"/>
                <w:szCs w:val="18"/>
              </w:rPr>
            </w:pPr>
          </w:p>
        </w:tc>
        <w:tc>
          <w:tcPr>
            <w:tcW w:w="1117" w:type="pct"/>
            <w:vMerge w:val="continue"/>
            <w:vAlign w:val="center"/>
          </w:tcPr>
          <w:p w14:paraId="49EA123B">
            <w:pPr>
              <w:adjustRightInd w:val="0"/>
              <w:snapToGrid w:val="0"/>
              <w:spacing w:line="240" w:lineRule="auto"/>
              <w:ind w:firstLine="0" w:firstLineChars="0"/>
              <w:jc w:val="center"/>
              <w:rPr>
                <w:sz w:val="18"/>
                <w:szCs w:val="18"/>
              </w:rPr>
            </w:pPr>
          </w:p>
        </w:tc>
        <w:tc>
          <w:tcPr>
            <w:tcW w:w="575" w:type="pct"/>
            <w:vMerge w:val="continue"/>
            <w:vAlign w:val="center"/>
          </w:tcPr>
          <w:p w14:paraId="33CA30EF">
            <w:pPr>
              <w:adjustRightInd w:val="0"/>
              <w:snapToGrid w:val="0"/>
              <w:spacing w:line="240" w:lineRule="auto"/>
              <w:ind w:firstLine="0" w:firstLineChars="0"/>
              <w:jc w:val="center"/>
              <w:rPr>
                <w:sz w:val="18"/>
                <w:szCs w:val="18"/>
              </w:rPr>
            </w:pPr>
          </w:p>
        </w:tc>
        <w:tc>
          <w:tcPr>
            <w:tcW w:w="1189" w:type="pct"/>
            <w:gridSpan w:val="2"/>
            <w:vAlign w:val="center"/>
          </w:tcPr>
          <w:p w14:paraId="6EC40FF2">
            <w:pPr>
              <w:adjustRightInd w:val="0"/>
              <w:snapToGrid w:val="0"/>
              <w:spacing w:line="240" w:lineRule="auto"/>
              <w:ind w:firstLine="0" w:firstLineChars="0"/>
              <w:jc w:val="center"/>
              <w:rPr>
                <w:sz w:val="18"/>
                <w:szCs w:val="18"/>
              </w:rPr>
            </w:pPr>
            <w:r>
              <w:rPr>
                <w:rFonts w:hint="eastAsia"/>
                <w:sz w:val="18"/>
                <w:szCs w:val="18"/>
              </w:rPr>
              <w:t>悬浮物*</w:t>
            </w:r>
          </w:p>
        </w:tc>
        <w:tc>
          <w:tcPr>
            <w:tcW w:w="822" w:type="pct"/>
            <w:vAlign w:val="center"/>
          </w:tcPr>
          <w:p w14:paraId="72A4AFEC">
            <w:pPr>
              <w:adjustRightInd w:val="0"/>
              <w:snapToGrid w:val="0"/>
              <w:spacing w:line="240" w:lineRule="auto"/>
              <w:ind w:firstLine="0" w:firstLineChars="0"/>
              <w:jc w:val="center"/>
              <w:rPr>
                <w:sz w:val="18"/>
                <w:szCs w:val="18"/>
              </w:rPr>
            </w:pPr>
            <w:r>
              <w:rPr>
                <w:sz w:val="18"/>
                <w:szCs w:val="18"/>
              </w:rPr>
              <w:t>≤30</w:t>
            </w:r>
            <w:r>
              <w:rPr>
                <w:rFonts w:hint="eastAsia"/>
                <w:sz w:val="18"/>
                <w:szCs w:val="18"/>
              </w:rPr>
              <w:t>mg</w:t>
            </w:r>
            <w:r>
              <w:rPr>
                <w:sz w:val="18"/>
                <w:szCs w:val="18"/>
              </w:rPr>
              <w:t>/L</w:t>
            </w:r>
          </w:p>
        </w:tc>
        <w:tc>
          <w:tcPr>
            <w:tcW w:w="627" w:type="pct"/>
            <w:vMerge w:val="continue"/>
            <w:vAlign w:val="center"/>
          </w:tcPr>
          <w:p w14:paraId="32FDD810">
            <w:pPr>
              <w:adjustRightInd w:val="0"/>
              <w:snapToGrid w:val="0"/>
              <w:spacing w:line="240" w:lineRule="auto"/>
              <w:ind w:firstLine="0" w:firstLineChars="0"/>
              <w:jc w:val="center"/>
              <w:rPr>
                <w:sz w:val="18"/>
                <w:szCs w:val="18"/>
              </w:rPr>
            </w:pPr>
          </w:p>
        </w:tc>
      </w:tr>
      <w:tr w14:paraId="3755DD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4" w:hRule="atLeast"/>
          <w:jc w:val="center"/>
        </w:trPr>
        <w:tc>
          <w:tcPr>
            <w:tcW w:w="670" w:type="pct"/>
            <w:vMerge w:val="continue"/>
            <w:vAlign w:val="center"/>
          </w:tcPr>
          <w:p w14:paraId="49D9757B">
            <w:pPr>
              <w:adjustRightInd w:val="0"/>
              <w:snapToGrid w:val="0"/>
              <w:spacing w:line="240" w:lineRule="auto"/>
              <w:ind w:firstLine="0" w:firstLineChars="0"/>
              <w:jc w:val="center"/>
              <w:rPr>
                <w:sz w:val="18"/>
                <w:szCs w:val="18"/>
              </w:rPr>
            </w:pPr>
          </w:p>
        </w:tc>
        <w:tc>
          <w:tcPr>
            <w:tcW w:w="1117" w:type="pct"/>
            <w:vMerge w:val="continue"/>
            <w:vAlign w:val="center"/>
          </w:tcPr>
          <w:p w14:paraId="367CD6DC">
            <w:pPr>
              <w:adjustRightInd w:val="0"/>
              <w:snapToGrid w:val="0"/>
              <w:spacing w:line="240" w:lineRule="auto"/>
              <w:ind w:firstLine="0" w:firstLineChars="0"/>
              <w:jc w:val="center"/>
              <w:rPr>
                <w:sz w:val="18"/>
                <w:szCs w:val="18"/>
              </w:rPr>
            </w:pPr>
          </w:p>
        </w:tc>
        <w:tc>
          <w:tcPr>
            <w:tcW w:w="575" w:type="pct"/>
            <w:vMerge w:val="restart"/>
            <w:vAlign w:val="center"/>
          </w:tcPr>
          <w:p w14:paraId="6E4B9454">
            <w:pPr>
              <w:adjustRightInd w:val="0"/>
              <w:snapToGrid w:val="0"/>
              <w:spacing w:line="240" w:lineRule="auto"/>
              <w:ind w:firstLine="0" w:firstLineChars="0"/>
              <w:jc w:val="center"/>
              <w:rPr>
                <w:sz w:val="18"/>
                <w:szCs w:val="18"/>
              </w:rPr>
            </w:pPr>
            <w:r>
              <w:rPr>
                <w:sz w:val="18"/>
                <w:szCs w:val="18"/>
              </w:rPr>
              <w:t>II类</w:t>
            </w:r>
          </w:p>
        </w:tc>
        <w:tc>
          <w:tcPr>
            <w:tcW w:w="1189" w:type="pct"/>
            <w:gridSpan w:val="2"/>
            <w:vAlign w:val="center"/>
          </w:tcPr>
          <w:p w14:paraId="6486559F">
            <w:pPr>
              <w:adjustRightInd w:val="0"/>
              <w:snapToGrid w:val="0"/>
              <w:spacing w:line="240" w:lineRule="auto"/>
              <w:ind w:firstLine="0" w:firstLineChars="0"/>
              <w:jc w:val="center"/>
              <w:rPr>
                <w:sz w:val="18"/>
                <w:szCs w:val="18"/>
              </w:rPr>
            </w:pPr>
            <w:r>
              <w:rPr>
                <w:sz w:val="18"/>
                <w:szCs w:val="18"/>
              </w:rPr>
              <w:t>pH</w:t>
            </w:r>
          </w:p>
        </w:tc>
        <w:tc>
          <w:tcPr>
            <w:tcW w:w="822" w:type="pct"/>
            <w:vAlign w:val="center"/>
          </w:tcPr>
          <w:p w14:paraId="108F9F63">
            <w:pPr>
              <w:adjustRightInd w:val="0"/>
              <w:snapToGrid w:val="0"/>
              <w:spacing w:line="240" w:lineRule="auto"/>
              <w:ind w:firstLine="0" w:firstLineChars="0"/>
              <w:jc w:val="center"/>
              <w:rPr>
                <w:sz w:val="18"/>
                <w:szCs w:val="18"/>
              </w:rPr>
            </w:pPr>
            <w:r>
              <w:rPr>
                <w:sz w:val="18"/>
                <w:szCs w:val="18"/>
              </w:rPr>
              <w:t>6～9</w:t>
            </w:r>
          </w:p>
        </w:tc>
        <w:tc>
          <w:tcPr>
            <w:tcW w:w="627" w:type="pct"/>
            <w:vMerge w:val="restart"/>
            <w:vAlign w:val="center"/>
          </w:tcPr>
          <w:p w14:paraId="70E25EA5">
            <w:pPr>
              <w:adjustRightInd w:val="0"/>
              <w:snapToGrid w:val="0"/>
              <w:spacing w:line="240" w:lineRule="auto"/>
              <w:ind w:firstLine="0" w:firstLineChars="0"/>
              <w:jc w:val="center"/>
              <w:rPr>
                <w:sz w:val="18"/>
                <w:szCs w:val="18"/>
              </w:rPr>
            </w:pPr>
            <w:r>
              <w:rPr>
                <w:rFonts w:hint="eastAsia"/>
                <w:sz w:val="18"/>
                <w:szCs w:val="18"/>
              </w:rPr>
              <w:t>饮用水水源一级保护区</w:t>
            </w:r>
          </w:p>
        </w:tc>
      </w:tr>
      <w:tr w14:paraId="16F7C4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417821A">
            <w:pPr>
              <w:adjustRightInd w:val="0"/>
              <w:snapToGrid w:val="0"/>
              <w:spacing w:line="240" w:lineRule="auto"/>
              <w:ind w:firstLine="0" w:firstLineChars="0"/>
              <w:jc w:val="center"/>
              <w:rPr>
                <w:sz w:val="18"/>
                <w:szCs w:val="18"/>
              </w:rPr>
            </w:pPr>
          </w:p>
        </w:tc>
        <w:tc>
          <w:tcPr>
            <w:tcW w:w="1117" w:type="pct"/>
            <w:vMerge w:val="continue"/>
            <w:vAlign w:val="center"/>
          </w:tcPr>
          <w:p w14:paraId="44E702F3">
            <w:pPr>
              <w:adjustRightInd w:val="0"/>
              <w:snapToGrid w:val="0"/>
              <w:spacing w:line="240" w:lineRule="auto"/>
              <w:ind w:firstLine="0" w:firstLineChars="0"/>
              <w:jc w:val="center"/>
              <w:rPr>
                <w:sz w:val="18"/>
                <w:szCs w:val="18"/>
              </w:rPr>
            </w:pPr>
          </w:p>
        </w:tc>
        <w:tc>
          <w:tcPr>
            <w:tcW w:w="575" w:type="pct"/>
            <w:vMerge w:val="continue"/>
            <w:vAlign w:val="center"/>
          </w:tcPr>
          <w:p w14:paraId="6D690682">
            <w:pPr>
              <w:adjustRightInd w:val="0"/>
              <w:snapToGrid w:val="0"/>
              <w:spacing w:line="240" w:lineRule="auto"/>
              <w:ind w:firstLine="0" w:firstLineChars="0"/>
              <w:jc w:val="center"/>
              <w:rPr>
                <w:sz w:val="18"/>
                <w:szCs w:val="18"/>
              </w:rPr>
            </w:pPr>
          </w:p>
        </w:tc>
        <w:tc>
          <w:tcPr>
            <w:tcW w:w="1189" w:type="pct"/>
            <w:gridSpan w:val="2"/>
            <w:vAlign w:val="center"/>
          </w:tcPr>
          <w:p w14:paraId="712B8815">
            <w:pPr>
              <w:adjustRightInd w:val="0"/>
              <w:snapToGrid w:val="0"/>
              <w:spacing w:line="240" w:lineRule="auto"/>
              <w:ind w:firstLine="0" w:firstLineChars="0"/>
              <w:jc w:val="center"/>
              <w:rPr>
                <w:sz w:val="18"/>
                <w:szCs w:val="18"/>
              </w:rPr>
            </w:pPr>
            <w:r>
              <w:rPr>
                <w:sz w:val="18"/>
                <w:szCs w:val="18"/>
              </w:rPr>
              <w:t>COD</w:t>
            </w:r>
            <w:r>
              <w:rPr>
                <w:sz w:val="18"/>
                <w:szCs w:val="18"/>
                <w:vertAlign w:val="subscript"/>
              </w:rPr>
              <w:t>Cr</w:t>
            </w:r>
          </w:p>
        </w:tc>
        <w:tc>
          <w:tcPr>
            <w:tcW w:w="822" w:type="pct"/>
            <w:vAlign w:val="center"/>
          </w:tcPr>
          <w:p w14:paraId="2E108C56">
            <w:pPr>
              <w:adjustRightInd w:val="0"/>
              <w:snapToGrid w:val="0"/>
              <w:spacing w:line="240" w:lineRule="auto"/>
              <w:ind w:firstLine="0" w:firstLineChars="0"/>
              <w:jc w:val="center"/>
              <w:rPr>
                <w:sz w:val="18"/>
                <w:szCs w:val="18"/>
              </w:rPr>
            </w:pPr>
            <w:r>
              <w:rPr>
                <w:sz w:val="18"/>
                <w:szCs w:val="18"/>
              </w:rPr>
              <w:t>15</w:t>
            </w:r>
            <w:r>
              <w:rPr>
                <w:bCs/>
                <w:sz w:val="18"/>
                <w:szCs w:val="18"/>
              </w:rPr>
              <w:t>mg/L</w:t>
            </w:r>
          </w:p>
        </w:tc>
        <w:tc>
          <w:tcPr>
            <w:tcW w:w="627" w:type="pct"/>
            <w:vMerge w:val="continue"/>
            <w:vAlign w:val="center"/>
          </w:tcPr>
          <w:p w14:paraId="4BE478B6">
            <w:pPr>
              <w:adjustRightInd w:val="0"/>
              <w:snapToGrid w:val="0"/>
              <w:spacing w:line="240" w:lineRule="auto"/>
              <w:ind w:firstLine="0" w:firstLineChars="0"/>
              <w:jc w:val="center"/>
              <w:rPr>
                <w:sz w:val="18"/>
                <w:szCs w:val="18"/>
              </w:rPr>
            </w:pPr>
          </w:p>
        </w:tc>
      </w:tr>
      <w:tr w14:paraId="48D587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3A2D8E99">
            <w:pPr>
              <w:adjustRightInd w:val="0"/>
              <w:snapToGrid w:val="0"/>
              <w:spacing w:line="240" w:lineRule="auto"/>
              <w:ind w:firstLine="0" w:firstLineChars="0"/>
              <w:jc w:val="center"/>
              <w:rPr>
                <w:sz w:val="18"/>
                <w:szCs w:val="18"/>
              </w:rPr>
            </w:pPr>
          </w:p>
        </w:tc>
        <w:tc>
          <w:tcPr>
            <w:tcW w:w="1117" w:type="pct"/>
            <w:vMerge w:val="continue"/>
            <w:vAlign w:val="center"/>
          </w:tcPr>
          <w:p w14:paraId="00C4496B">
            <w:pPr>
              <w:adjustRightInd w:val="0"/>
              <w:snapToGrid w:val="0"/>
              <w:spacing w:line="240" w:lineRule="auto"/>
              <w:ind w:firstLine="0" w:firstLineChars="0"/>
              <w:jc w:val="center"/>
              <w:rPr>
                <w:sz w:val="18"/>
                <w:szCs w:val="18"/>
              </w:rPr>
            </w:pPr>
          </w:p>
        </w:tc>
        <w:tc>
          <w:tcPr>
            <w:tcW w:w="575" w:type="pct"/>
            <w:vMerge w:val="continue"/>
            <w:vAlign w:val="center"/>
          </w:tcPr>
          <w:p w14:paraId="05414C71">
            <w:pPr>
              <w:adjustRightInd w:val="0"/>
              <w:snapToGrid w:val="0"/>
              <w:spacing w:line="240" w:lineRule="auto"/>
              <w:ind w:firstLine="0" w:firstLineChars="0"/>
              <w:jc w:val="center"/>
              <w:rPr>
                <w:sz w:val="18"/>
                <w:szCs w:val="18"/>
              </w:rPr>
            </w:pPr>
          </w:p>
        </w:tc>
        <w:tc>
          <w:tcPr>
            <w:tcW w:w="1189" w:type="pct"/>
            <w:gridSpan w:val="2"/>
            <w:vAlign w:val="center"/>
          </w:tcPr>
          <w:p w14:paraId="351E31DE">
            <w:pPr>
              <w:adjustRightInd w:val="0"/>
              <w:snapToGrid w:val="0"/>
              <w:spacing w:line="240" w:lineRule="auto"/>
              <w:ind w:firstLine="0" w:firstLineChars="0"/>
              <w:jc w:val="center"/>
              <w:rPr>
                <w:sz w:val="18"/>
                <w:szCs w:val="18"/>
              </w:rPr>
            </w:pPr>
            <w:r>
              <w:rPr>
                <w:sz w:val="18"/>
                <w:szCs w:val="18"/>
              </w:rPr>
              <w:t>BOD</w:t>
            </w:r>
            <w:r>
              <w:rPr>
                <w:sz w:val="18"/>
                <w:szCs w:val="18"/>
                <w:vertAlign w:val="subscript"/>
              </w:rPr>
              <w:t>5</w:t>
            </w:r>
          </w:p>
        </w:tc>
        <w:tc>
          <w:tcPr>
            <w:tcW w:w="822" w:type="pct"/>
            <w:vAlign w:val="center"/>
          </w:tcPr>
          <w:p w14:paraId="626BD411">
            <w:pPr>
              <w:adjustRightInd w:val="0"/>
              <w:snapToGrid w:val="0"/>
              <w:spacing w:line="240" w:lineRule="auto"/>
              <w:ind w:firstLine="0" w:firstLineChars="0"/>
              <w:jc w:val="center"/>
              <w:rPr>
                <w:sz w:val="18"/>
                <w:szCs w:val="18"/>
              </w:rPr>
            </w:pPr>
            <w:r>
              <w:rPr>
                <w:sz w:val="18"/>
                <w:szCs w:val="18"/>
              </w:rPr>
              <w:t>3mg/L</w:t>
            </w:r>
          </w:p>
        </w:tc>
        <w:tc>
          <w:tcPr>
            <w:tcW w:w="627" w:type="pct"/>
            <w:vMerge w:val="continue"/>
            <w:vAlign w:val="center"/>
          </w:tcPr>
          <w:p w14:paraId="5DB3767D">
            <w:pPr>
              <w:adjustRightInd w:val="0"/>
              <w:snapToGrid w:val="0"/>
              <w:spacing w:line="240" w:lineRule="auto"/>
              <w:ind w:firstLine="0" w:firstLineChars="0"/>
              <w:jc w:val="center"/>
              <w:rPr>
                <w:sz w:val="18"/>
                <w:szCs w:val="18"/>
              </w:rPr>
            </w:pPr>
          </w:p>
        </w:tc>
      </w:tr>
      <w:tr w14:paraId="642843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42BE2CE0">
            <w:pPr>
              <w:adjustRightInd w:val="0"/>
              <w:snapToGrid w:val="0"/>
              <w:spacing w:line="240" w:lineRule="auto"/>
              <w:ind w:firstLine="0" w:firstLineChars="0"/>
              <w:jc w:val="center"/>
              <w:rPr>
                <w:sz w:val="18"/>
                <w:szCs w:val="18"/>
              </w:rPr>
            </w:pPr>
          </w:p>
        </w:tc>
        <w:tc>
          <w:tcPr>
            <w:tcW w:w="1117" w:type="pct"/>
            <w:vMerge w:val="continue"/>
            <w:vAlign w:val="center"/>
          </w:tcPr>
          <w:p w14:paraId="14CC627F">
            <w:pPr>
              <w:adjustRightInd w:val="0"/>
              <w:snapToGrid w:val="0"/>
              <w:spacing w:line="240" w:lineRule="auto"/>
              <w:ind w:firstLine="0" w:firstLineChars="0"/>
              <w:jc w:val="center"/>
              <w:rPr>
                <w:sz w:val="18"/>
                <w:szCs w:val="18"/>
              </w:rPr>
            </w:pPr>
          </w:p>
        </w:tc>
        <w:tc>
          <w:tcPr>
            <w:tcW w:w="575" w:type="pct"/>
            <w:vMerge w:val="continue"/>
            <w:vAlign w:val="center"/>
          </w:tcPr>
          <w:p w14:paraId="7FEB62CC">
            <w:pPr>
              <w:adjustRightInd w:val="0"/>
              <w:snapToGrid w:val="0"/>
              <w:spacing w:line="240" w:lineRule="auto"/>
              <w:ind w:firstLine="0" w:firstLineChars="0"/>
              <w:jc w:val="center"/>
              <w:rPr>
                <w:sz w:val="18"/>
                <w:szCs w:val="18"/>
              </w:rPr>
            </w:pPr>
          </w:p>
        </w:tc>
        <w:tc>
          <w:tcPr>
            <w:tcW w:w="1189" w:type="pct"/>
            <w:gridSpan w:val="2"/>
            <w:vAlign w:val="center"/>
          </w:tcPr>
          <w:p w14:paraId="043A22F3">
            <w:pPr>
              <w:adjustRightInd w:val="0"/>
              <w:snapToGrid w:val="0"/>
              <w:spacing w:line="240" w:lineRule="auto"/>
              <w:ind w:firstLine="0" w:firstLineChars="0"/>
              <w:jc w:val="center"/>
              <w:rPr>
                <w:sz w:val="18"/>
                <w:szCs w:val="18"/>
              </w:rPr>
            </w:pPr>
            <w:r>
              <w:rPr>
                <w:sz w:val="18"/>
                <w:szCs w:val="18"/>
              </w:rPr>
              <w:t>NH</w:t>
            </w:r>
            <w:r>
              <w:rPr>
                <w:sz w:val="18"/>
                <w:szCs w:val="18"/>
                <w:vertAlign w:val="subscript"/>
              </w:rPr>
              <w:t>3</w:t>
            </w:r>
            <w:r>
              <w:rPr>
                <w:sz w:val="18"/>
                <w:szCs w:val="18"/>
              </w:rPr>
              <w:t>-N</w:t>
            </w:r>
          </w:p>
        </w:tc>
        <w:tc>
          <w:tcPr>
            <w:tcW w:w="822" w:type="pct"/>
            <w:vAlign w:val="center"/>
          </w:tcPr>
          <w:p w14:paraId="455B7B0D">
            <w:pPr>
              <w:adjustRightInd w:val="0"/>
              <w:snapToGrid w:val="0"/>
              <w:spacing w:line="240" w:lineRule="auto"/>
              <w:ind w:firstLine="0" w:firstLineChars="0"/>
              <w:jc w:val="center"/>
              <w:rPr>
                <w:sz w:val="18"/>
                <w:szCs w:val="18"/>
              </w:rPr>
            </w:pPr>
            <w:r>
              <w:rPr>
                <w:sz w:val="18"/>
                <w:szCs w:val="18"/>
              </w:rPr>
              <w:t>0.5mg/L</w:t>
            </w:r>
          </w:p>
        </w:tc>
        <w:tc>
          <w:tcPr>
            <w:tcW w:w="627" w:type="pct"/>
            <w:vMerge w:val="continue"/>
            <w:vAlign w:val="center"/>
          </w:tcPr>
          <w:p w14:paraId="618C7318">
            <w:pPr>
              <w:adjustRightInd w:val="0"/>
              <w:snapToGrid w:val="0"/>
              <w:spacing w:line="240" w:lineRule="auto"/>
              <w:ind w:firstLine="0" w:firstLineChars="0"/>
              <w:jc w:val="center"/>
              <w:rPr>
                <w:sz w:val="18"/>
                <w:szCs w:val="18"/>
              </w:rPr>
            </w:pPr>
          </w:p>
        </w:tc>
      </w:tr>
      <w:tr w14:paraId="7A5842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7B6234A">
            <w:pPr>
              <w:adjustRightInd w:val="0"/>
              <w:snapToGrid w:val="0"/>
              <w:spacing w:line="240" w:lineRule="auto"/>
              <w:ind w:firstLine="0" w:firstLineChars="0"/>
              <w:jc w:val="center"/>
              <w:rPr>
                <w:sz w:val="18"/>
                <w:szCs w:val="18"/>
              </w:rPr>
            </w:pPr>
          </w:p>
        </w:tc>
        <w:tc>
          <w:tcPr>
            <w:tcW w:w="1117" w:type="pct"/>
            <w:vMerge w:val="continue"/>
            <w:vAlign w:val="center"/>
          </w:tcPr>
          <w:p w14:paraId="2174BE81">
            <w:pPr>
              <w:adjustRightInd w:val="0"/>
              <w:snapToGrid w:val="0"/>
              <w:spacing w:line="240" w:lineRule="auto"/>
              <w:ind w:firstLine="0" w:firstLineChars="0"/>
              <w:jc w:val="center"/>
              <w:rPr>
                <w:sz w:val="18"/>
                <w:szCs w:val="18"/>
              </w:rPr>
            </w:pPr>
          </w:p>
        </w:tc>
        <w:tc>
          <w:tcPr>
            <w:tcW w:w="575" w:type="pct"/>
            <w:vMerge w:val="continue"/>
            <w:vAlign w:val="center"/>
          </w:tcPr>
          <w:p w14:paraId="16BD0EA4">
            <w:pPr>
              <w:adjustRightInd w:val="0"/>
              <w:snapToGrid w:val="0"/>
              <w:spacing w:line="240" w:lineRule="auto"/>
              <w:ind w:firstLine="0" w:firstLineChars="0"/>
              <w:jc w:val="center"/>
              <w:rPr>
                <w:sz w:val="18"/>
                <w:szCs w:val="18"/>
              </w:rPr>
            </w:pPr>
          </w:p>
        </w:tc>
        <w:tc>
          <w:tcPr>
            <w:tcW w:w="1189" w:type="pct"/>
            <w:gridSpan w:val="2"/>
            <w:vAlign w:val="center"/>
          </w:tcPr>
          <w:p w14:paraId="6DE770C2">
            <w:pPr>
              <w:adjustRightInd w:val="0"/>
              <w:snapToGrid w:val="0"/>
              <w:spacing w:line="240" w:lineRule="auto"/>
              <w:ind w:firstLine="0" w:firstLineChars="0"/>
              <w:jc w:val="center"/>
              <w:rPr>
                <w:sz w:val="18"/>
                <w:szCs w:val="18"/>
              </w:rPr>
            </w:pPr>
            <w:r>
              <w:rPr>
                <w:sz w:val="18"/>
                <w:szCs w:val="18"/>
              </w:rPr>
              <w:t>石油类</w:t>
            </w:r>
          </w:p>
        </w:tc>
        <w:tc>
          <w:tcPr>
            <w:tcW w:w="822" w:type="pct"/>
            <w:vAlign w:val="center"/>
          </w:tcPr>
          <w:p w14:paraId="62DDB1BE">
            <w:pPr>
              <w:adjustRightInd w:val="0"/>
              <w:snapToGrid w:val="0"/>
              <w:spacing w:line="240" w:lineRule="auto"/>
              <w:ind w:firstLine="0" w:firstLineChars="0"/>
              <w:jc w:val="center"/>
              <w:rPr>
                <w:sz w:val="18"/>
                <w:szCs w:val="18"/>
              </w:rPr>
            </w:pPr>
            <w:r>
              <w:rPr>
                <w:sz w:val="18"/>
                <w:szCs w:val="18"/>
              </w:rPr>
              <w:t>0.05mg/L</w:t>
            </w:r>
          </w:p>
        </w:tc>
        <w:tc>
          <w:tcPr>
            <w:tcW w:w="627" w:type="pct"/>
            <w:vMerge w:val="continue"/>
            <w:vAlign w:val="center"/>
          </w:tcPr>
          <w:p w14:paraId="6DF8BC2F">
            <w:pPr>
              <w:adjustRightInd w:val="0"/>
              <w:snapToGrid w:val="0"/>
              <w:spacing w:line="240" w:lineRule="auto"/>
              <w:ind w:firstLine="0" w:firstLineChars="0"/>
              <w:jc w:val="center"/>
              <w:rPr>
                <w:sz w:val="18"/>
                <w:szCs w:val="18"/>
              </w:rPr>
            </w:pPr>
          </w:p>
        </w:tc>
      </w:tr>
      <w:tr w14:paraId="76B058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26EB9511">
            <w:pPr>
              <w:adjustRightInd w:val="0"/>
              <w:snapToGrid w:val="0"/>
              <w:spacing w:line="240" w:lineRule="auto"/>
              <w:ind w:firstLine="0" w:firstLineChars="0"/>
              <w:jc w:val="center"/>
              <w:rPr>
                <w:sz w:val="18"/>
                <w:szCs w:val="18"/>
              </w:rPr>
            </w:pPr>
          </w:p>
        </w:tc>
        <w:tc>
          <w:tcPr>
            <w:tcW w:w="1117" w:type="pct"/>
            <w:vMerge w:val="continue"/>
            <w:vAlign w:val="center"/>
          </w:tcPr>
          <w:p w14:paraId="36C26FA3">
            <w:pPr>
              <w:adjustRightInd w:val="0"/>
              <w:snapToGrid w:val="0"/>
              <w:spacing w:line="240" w:lineRule="auto"/>
              <w:ind w:firstLine="0" w:firstLineChars="0"/>
              <w:jc w:val="center"/>
              <w:rPr>
                <w:sz w:val="18"/>
                <w:szCs w:val="18"/>
              </w:rPr>
            </w:pPr>
          </w:p>
        </w:tc>
        <w:tc>
          <w:tcPr>
            <w:tcW w:w="575" w:type="pct"/>
            <w:vMerge w:val="continue"/>
            <w:vAlign w:val="center"/>
          </w:tcPr>
          <w:p w14:paraId="5C419E79">
            <w:pPr>
              <w:adjustRightInd w:val="0"/>
              <w:snapToGrid w:val="0"/>
              <w:spacing w:line="240" w:lineRule="auto"/>
              <w:ind w:firstLine="0" w:firstLineChars="0"/>
              <w:jc w:val="center"/>
              <w:rPr>
                <w:sz w:val="18"/>
                <w:szCs w:val="18"/>
              </w:rPr>
            </w:pPr>
          </w:p>
        </w:tc>
        <w:tc>
          <w:tcPr>
            <w:tcW w:w="1189" w:type="pct"/>
            <w:gridSpan w:val="2"/>
            <w:vAlign w:val="center"/>
          </w:tcPr>
          <w:p w14:paraId="5C697520">
            <w:pPr>
              <w:adjustRightInd w:val="0"/>
              <w:snapToGrid w:val="0"/>
              <w:spacing w:line="240" w:lineRule="auto"/>
              <w:ind w:firstLine="0" w:firstLineChars="0"/>
              <w:jc w:val="center"/>
              <w:rPr>
                <w:sz w:val="18"/>
                <w:szCs w:val="18"/>
              </w:rPr>
            </w:pPr>
            <w:r>
              <w:rPr>
                <w:sz w:val="18"/>
                <w:szCs w:val="18"/>
              </w:rPr>
              <w:t>总磷</w:t>
            </w:r>
          </w:p>
        </w:tc>
        <w:tc>
          <w:tcPr>
            <w:tcW w:w="822" w:type="pct"/>
            <w:vAlign w:val="center"/>
          </w:tcPr>
          <w:p w14:paraId="54BF3F6A">
            <w:pPr>
              <w:adjustRightInd w:val="0"/>
              <w:snapToGrid w:val="0"/>
              <w:spacing w:line="240" w:lineRule="auto"/>
              <w:ind w:firstLine="0" w:firstLineChars="0"/>
              <w:jc w:val="center"/>
              <w:rPr>
                <w:sz w:val="18"/>
                <w:szCs w:val="18"/>
              </w:rPr>
            </w:pPr>
            <w:r>
              <w:rPr>
                <w:sz w:val="18"/>
                <w:szCs w:val="18"/>
              </w:rPr>
              <w:t>0.1mg/L</w:t>
            </w:r>
          </w:p>
        </w:tc>
        <w:tc>
          <w:tcPr>
            <w:tcW w:w="627" w:type="pct"/>
            <w:vMerge w:val="continue"/>
            <w:vAlign w:val="center"/>
          </w:tcPr>
          <w:p w14:paraId="47F0A9D6">
            <w:pPr>
              <w:adjustRightInd w:val="0"/>
              <w:snapToGrid w:val="0"/>
              <w:spacing w:line="240" w:lineRule="auto"/>
              <w:ind w:firstLine="0" w:firstLineChars="0"/>
              <w:jc w:val="center"/>
              <w:rPr>
                <w:sz w:val="18"/>
                <w:szCs w:val="18"/>
              </w:rPr>
            </w:pPr>
          </w:p>
        </w:tc>
      </w:tr>
      <w:tr w14:paraId="7AF701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664F4772">
            <w:pPr>
              <w:adjustRightInd w:val="0"/>
              <w:snapToGrid w:val="0"/>
              <w:spacing w:line="240" w:lineRule="auto"/>
              <w:ind w:firstLine="0" w:firstLineChars="0"/>
              <w:jc w:val="center"/>
              <w:rPr>
                <w:sz w:val="18"/>
                <w:szCs w:val="18"/>
              </w:rPr>
            </w:pPr>
          </w:p>
        </w:tc>
        <w:tc>
          <w:tcPr>
            <w:tcW w:w="1117" w:type="pct"/>
            <w:vMerge w:val="continue"/>
            <w:vAlign w:val="center"/>
          </w:tcPr>
          <w:p w14:paraId="0A74BCCE">
            <w:pPr>
              <w:adjustRightInd w:val="0"/>
              <w:snapToGrid w:val="0"/>
              <w:spacing w:line="240" w:lineRule="auto"/>
              <w:ind w:firstLine="0" w:firstLineChars="0"/>
              <w:jc w:val="center"/>
              <w:rPr>
                <w:sz w:val="18"/>
                <w:szCs w:val="18"/>
              </w:rPr>
            </w:pPr>
          </w:p>
        </w:tc>
        <w:tc>
          <w:tcPr>
            <w:tcW w:w="575" w:type="pct"/>
            <w:vMerge w:val="continue"/>
            <w:vAlign w:val="center"/>
          </w:tcPr>
          <w:p w14:paraId="3B7BDCE3">
            <w:pPr>
              <w:adjustRightInd w:val="0"/>
              <w:snapToGrid w:val="0"/>
              <w:spacing w:line="240" w:lineRule="auto"/>
              <w:ind w:firstLine="0" w:firstLineChars="0"/>
              <w:jc w:val="center"/>
              <w:rPr>
                <w:sz w:val="18"/>
                <w:szCs w:val="18"/>
              </w:rPr>
            </w:pPr>
          </w:p>
        </w:tc>
        <w:tc>
          <w:tcPr>
            <w:tcW w:w="1189" w:type="pct"/>
            <w:gridSpan w:val="2"/>
            <w:vAlign w:val="center"/>
          </w:tcPr>
          <w:p w14:paraId="19D5D732">
            <w:pPr>
              <w:adjustRightInd w:val="0"/>
              <w:snapToGrid w:val="0"/>
              <w:spacing w:line="240" w:lineRule="auto"/>
              <w:ind w:firstLine="0" w:firstLineChars="0"/>
              <w:jc w:val="center"/>
              <w:rPr>
                <w:sz w:val="18"/>
                <w:szCs w:val="18"/>
              </w:rPr>
            </w:pPr>
            <w:r>
              <w:rPr>
                <w:rFonts w:hint="eastAsia"/>
                <w:sz w:val="18"/>
                <w:szCs w:val="18"/>
              </w:rPr>
              <w:t>总氮</w:t>
            </w:r>
          </w:p>
        </w:tc>
        <w:tc>
          <w:tcPr>
            <w:tcW w:w="822" w:type="pct"/>
            <w:vAlign w:val="center"/>
          </w:tcPr>
          <w:p w14:paraId="3BAD4DC4">
            <w:pPr>
              <w:adjustRightInd w:val="0"/>
              <w:snapToGrid w:val="0"/>
              <w:spacing w:line="240" w:lineRule="auto"/>
              <w:ind w:firstLine="0" w:firstLineChars="0"/>
              <w:jc w:val="center"/>
              <w:rPr>
                <w:sz w:val="18"/>
                <w:szCs w:val="18"/>
              </w:rPr>
            </w:pPr>
            <w:r>
              <w:rPr>
                <w:sz w:val="18"/>
                <w:szCs w:val="18"/>
              </w:rPr>
              <w:t>1.0mg/L</w:t>
            </w:r>
          </w:p>
        </w:tc>
        <w:tc>
          <w:tcPr>
            <w:tcW w:w="627" w:type="pct"/>
            <w:vMerge w:val="continue"/>
            <w:vAlign w:val="center"/>
          </w:tcPr>
          <w:p w14:paraId="028D1F50">
            <w:pPr>
              <w:adjustRightInd w:val="0"/>
              <w:snapToGrid w:val="0"/>
              <w:spacing w:line="240" w:lineRule="auto"/>
              <w:ind w:firstLine="0" w:firstLineChars="0"/>
              <w:jc w:val="center"/>
              <w:rPr>
                <w:sz w:val="18"/>
                <w:szCs w:val="18"/>
              </w:rPr>
            </w:pPr>
          </w:p>
        </w:tc>
      </w:tr>
      <w:tr w14:paraId="746E2F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70" w:type="pct"/>
            <w:vMerge w:val="continue"/>
            <w:vAlign w:val="center"/>
          </w:tcPr>
          <w:p w14:paraId="71148DD8">
            <w:pPr>
              <w:adjustRightInd w:val="0"/>
              <w:snapToGrid w:val="0"/>
              <w:spacing w:line="240" w:lineRule="auto"/>
              <w:ind w:firstLine="0" w:firstLineChars="0"/>
              <w:jc w:val="center"/>
              <w:rPr>
                <w:sz w:val="18"/>
                <w:szCs w:val="18"/>
              </w:rPr>
            </w:pPr>
          </w:p>
        </w:tc>
        <w:tc>
          <w:tcPr>
            <w:tcW w:w="1117" w:type="pct"/>
            <w:vMerge w:val="continue"/>
            <w:vAlign w:val="center"/>
          </w:tcPr>
          <w:p w14:paraId="3C929220">
            <w:pPr>
              <w:adjustRightInd w:val="0"/>
              <w:snapToGrid w:val="0"/>
              <w:spacing w:line="240" w:lineRule="auto"/>
              <w:ind w:firstLine="0" w:firstLineChars="0"/>
              <w:jc w:val="center"/>
              <w:rPr>
                <w:sz w:val="18"/>
                <w:szCs w:val="18"/>
              </w:rPr>
            </w:pPr>
          </w:p>
        </w:tc>
        <w:tc>
          <w:tcPr>
            <w:tcW w:w="575" w:type="pct"/>
            <w:vMerge w:val="continue"/>
            <w:vAlign w:val="center"/>
          </w:tcPr>
          <w:p w14:paraId="5DFCBCCD">
            <w:pPr>
              <w:adjustRightInd w:val="0"/>
              <w:snapToGrid w:val="0"/>
              <w:spacing w:line="240" w:lineRule="auto"/>
              <w:ind w:firstLine="0" w:firstLineChars="0"/>
              <w:jc w:val="center"/>
              <w:rPr>
                <w:sz w:val="18"/>
                <w:szCs w:val="18"/>
              </w:rPr>
            </w:pPr>
          </w:p>
        </w:tc>
        <w:tc>
          <w:tcPr>
            <w:tcW w:w="1189" w:type="pct"/>
            <w:gridSpan w:val="2"/>
            <w:vAlign w:val="center"/>
          </w:tcPr>
          <w:p w14:paraId="43E3E2E2">
            <w:pPr>
              <w:adjustRightInd w:val="0"/>
              <w:snapToGrid w:val="0"/>
              <w:spacing w:line="240" w:lineRule="auto"/>
              <w:ind w:firstLine="0" w:firstLineChars="0"/>
              <w:jc w:val="center"/>
              <w:rPr>
                <w:sz w:val="18"/>
                <w:szCs w:val="18"/>
              </w:rPr>
            </w:pPr>
            <w:r>
              <w:rPr>
                <w:sz w:val="18"/>
                <w:szCs w:val="18"/>
              </w:rPr>
              <w:t>粪大肠菌群</w:t>
            </w:r>
          </w:p>
        </w:tc>
        <w:tc>
          <w:tcPr>
            <w:tcW w:w="822" w:type="pct"/>
            <w:vAlign w:val="center"/>
          </w:tcPr>
          <w:p w14:paraId="1883CCD9">
            <w:pPr>
              <w:adjustRightInd w:val="0"/>
              <w:snapToGrid w:val="0"/>
              <w:spacing w:line="240" w:lineRule="auto"/>
              <w:ind w:firstLine="0" w:firstLineChars="0"/>
              <w:jc w:val="center"/>
              <w:rPr>
                <w:sz w:val="18"/>
                <w:szCs w:val="18"/>
              </w:rPr>
            </w:pPr>
            <w:r>
              <w:rPr>
                <w:sz w:val="18"/>
                <w:szCs w:val="18"/>
              </w:rPr>
              <w:t>≤2000个/L</w:t>
            </w:r>
          </w:p>
        </w:tc>
        <w:tc>
          <w:tcPr>
            <w:tcW w:w="627" w:type="pct"/>
            <w:vMerge w:val="continue"/>
            <w:vAlign w:val="center"/>
          </w:tcPr>
          <w:p w14:paraId="13566505">
            <w:pPr>
              <w:adjustRightInd w:val="0"/>
              <w:snapToGrid w:val="0"/>
              <w:spacing w:line="240" w:lineRule="auto"/>
              <w:ind w:firstLine="0" w:firstLineChars="0"/>
              <w:jc w:val="center"/>
              <w:rPr>
                <w:sz w:val="18"/>
                <w:szCs w:val="18"/>
              </w:rPr>
            </w:pPr>
          </w:p>
        </w:tc>
      </w:tr>
      <w:tr w14:paraId="07DB9F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4" w:hRule="atLeast"/>
          <w:jc w:val="center"/>
        </w:trPr>
        <w:tc>
          <w:tcPr>
            <w:tcW w:w="670" w:type="pct"/>
            <w:vMerge w:val="continue"/>
            <w:vAlign w:val="center"/>
          </w:tcPr>
          <w:p w14:paraId="42224F85">
            <w:pPr>
              <w:adjustRightInd w:val="0"/>
              <w:snapToGrid w:val="0"/>
              <w:spacing w:line="240" w:lineRule="auto"/>
              <w:ind w:firstLine="0" w:firstLineChars="0"/>
              <w:jc w:val="center"/>
              <w:rPr>
                <w:sz w:val="18"/>
                <w:szCs w:val="18"/>
              </w:rPr>
            </w:pPr>
          </w:p>
        </w:tc>
        <w:tc>
          <w:tcPr>
            <w:tcW w:w="1117" w:type="pct"/>
            <w:vMerge w:val="continue"/>
            <w:vAlign w:val="center"/>
          </w:tcPr>
          <w:p w14:paraId="3951765C">
            <w:pPr>
              <w:adjustRightInd w:val="0"/>
              <w:snapToGrid w:val="0"/>
              <w:spacing w:line="240" w:lineRule="auto"/>
              <w:ind w:firstLine="0" w:firstLineChars="0"/>
              <w:jc w:val="center"/>
              <w:rPr>
                <w:sz w:val="18"/>
                <w:szCs w:val="18"/>
              </w:rPr>
            </w:pPr>
          </w:p>
        </w:tc>
        <w:tc>
          <w:tcPr>
            <w:tcW w:w="575" w:type="pct"/>
            <w:vMerge w:val="continue"/>
            <w:vAlign w:val="center"/>
          </w:tcPr>
          <w:p w14:paraId="0536877C">
            <w:pPr>
              <w:adjustRightInd w:val="0"/>
              <w:snapToGrid w:val="0"/>
              <w:spacing w:line="240" w:lineRule="auto"/>
              <w:ind w:firstLine="0" w:firstLineChars="0"/>
              <w:jc w:val="center"/>
              <w:rPr>
                <w:sz w:val="18"/>
                <w:szCs w:val="18"/>
              </w:rPr>
            </w:pPr>
          </w:p>
        </w:tc>
        <w:tc>
          <w:tcPr>
            <w:tcW w:w="1189" w:type="pct"/>
            <w:gridSpan w:val="2"/>
            <w:vAlign w:val="center"/>
          </w:tcPr>
          <w:p w14:paraId="17F84E48">
            <w:pPr>
              <w:adjustRightInd w:val="0"/>
              <w:snapToGrid w:val="0"/>
              <w:spacing w:line="240" w:lineRule="auto"/>
              <w:ind w:firstLine="0" w:firstLineChars="0"/>
              <w:jc w:val="center"/>
              <w:rPr>
                <w:sz w:val="18"/>
                <w:szCs w:val="18"/>
              </w:rPr>
            </w:pPr>
            <w:r>
              <w:rPr>
                <w:rFonts w:hint="eastAsia"/>
                <w:sz w:val="18"/>
                <w:szCs w:val="18"/>
              </w:rPr>
              <w:t>悬浮物*</w:t>
            </w:r>
          </w:p>
        </w:tc>
        <w:tc>
          <w:tcPr>
            <w:tcW w:w="822" w:type="pct"/>
            <w:vAlign w:val="center"/>
          </w:tcPr>
          <w:p w14:paraId="2BDFD668">
            <w:pPr>
              <w:adjustRightInd w:val="0"/>
              <w:snapToGrid w:val="0"/>
              <w:spacing w:line="240" w:lineRule="auto"/>
              <w:ind w:firstLine="0" w:firstLineChars="0"/>
              <w:jc w:val="center"/>
              <w:rPr>
                <w:sz w:val="18"/>
                <w:szCs w:val="18"/>
              </w:rPr>
            </w:pPr>
            <w:r>
              <w:rPr>
                <w:sz w:val="18"/>
                <w:szCs w:val="18"/>
              </w:rPr>
              <w:t>≤25</w:t>
            </w:r>
            <w:r>
              <w:rPr>
                <w:rFonts w:hint="eastAsia"/>
                <w:sz w:val="18"/>
                <w:szCs w:val="18"/>
              </w:rPr>
              <w:t>mg</w:t>
            </w:r>
            <w:r>
              <w:rPr>
                <w:sz w:val="18"/>
                <w:szCs w:val="18"/>
              </w:rPr>
              <w:t>/L</w:t>
            </w:r>
          </w:p>
        </w:tc>
        <w:tc>
          <w:tcPr>
            <w:tcW w:w="627" w:type="pct"/>
            <w:vMerge w:val="continue"/>
            <w:vAlign w:val="center"/>
          </w:tcPr>
          <w:p w14:paraId="45311ABD">
            <w:pPr>
              <w:adjustRightInd w:val="0"/>
              <w:snapToGrid w:val="0"/>
              <w:spacing w:line="240" w:lineRule="auto"/>
              <w:ind w:firstLine="0" w:firstLineChars="0"/>
              <w:jc w:val="center"/>
              <w:rPr>
                <w:sz w:val="18"/>
                <w:szCs w:val="18"/>
              </w:rPr>
            </w:pPr>
          </w:p>
        </w:tc>
      </w:tr>
      <w:tr w14:paraId="6AB564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5000" w:type="pct"/>
            <w:gridSpan w:val="7"/>
            <w:vAlign w:val="center"/>
          </w:tcPr>
          <w:p w14:paraId="0F708545">
            <w:pPr>
              <w:adjustRightInd w:val="0"/>
              <w:snapToGrid w:val="0"/>
              <w:spacing w:line="240" w:lineRule="auto"/>
              <w:ind w:firstLine="0" w:firstLineChars="0"/>
              <w:rPr>
                <w:sz w:val="18"/>
                <w:szCs w:val="18"/>
              </w:rPr>
            </w:pPr>
            <w:r>
              <w:rPr>
                <w:rFonts w:hint="eastAsia"/>
                <w:sz w:val="18"/>
                <w:szCs w:val="18"/>
              </w:rPr>
              <w:t>备注：悬浮物*参照执行水利部《地表水资源质量标准》（S</w:t>
            </w:r>
            <w:r>
              <w:rPr>
                <w:sz w:val="18"/>
                <w:szCs w:val="18"/>
              </w:rPr>
              <w:t>L63-1994</w:t>
            </w:r>
            <w:r>
              <w:rPr>
                <w:rFonts w:hint="eastAsia"/>
                <w:sz w:val="18"/>
                <w:szCs w:val="18"/>
              </w:rPr>
              <w:t>）中二级/三级标准</w:t>
            </w:r>
          </w:p>
        </w:tc>
      </w:tr>
    </w:tbl>
    <w:p w14:paraId="4BE18585">
      <w:pPr>
        <w:tabs>
          <w:tab w:val="clear" w:pos="480"/>
        </w:tabs>
        <w:spacing w:line="240" w:lineRule="auto"/>
        <w:ind w:firstLine="0" w:firstLineChars="0"/>
        <w:jc w:val="center"/>
        <w:rPr>
          <w:b/>
          <w:bCs/>
        </w:rPr>
      </w:pPr>
      <w:r>
        <w:rPr>
          <w:rFonts w:hAnsi="宋体"/>
          <w:b/>
          <w:bCs/>
          <w:szCs w:val="21"/>
        </w:rPr>
        <w:t>表</w:t>
      </w:r>
      <w:r>
        <w:rPr>
          <w:b/>
          <w:bCs/>
        </w:rPr>
        <w:t>2.4-2</w:t>
      </w:r>
      <w:r>
        <w:rPr>
          <w:rFonts w:hAnsi="宋体"/>
          <w:b/>
          <w:bCs/>
          <w:szCs w:val="21"/>
        </w:rPr>
        <w:t>土壤环境质量标准（建设用地）单位：</w:t>
      </w:r>
      <w:r>
        <w:rPr>
          <w:b/>
          <w:bCs/>
          <w:szCs w:val="21"/>
        </w:rPr>
        <w:t>mg/kg</w:t>
      </w:r>
      <w:r>
        <w:rPr>
          <w:rFonts w:hAnsi="宋体"/>
          <w:sz w:val="21"/>
          <w:szCs w:val="21"/>
        </w:rPr>
        <w:t>（</w:t>
      </w:r>
      <w:r>
        <w:rPr>
          <w:sz w:val="21"/>
          <w:szCs w:val="21"/>
        </w:rPr>
        <w:t>pH</w:t>
      </w:r>
      <w:r>
        <w:rPr>
          <w:rFonts w:hAnsi="宋体"/>
          <w:sz w:val="21"/>
          <w:szCs w:val="21"/>
        </w:rPr>
        <w:t>除外）</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25"/>
        <w:gridCol w:w="2032"/>
        <w:gridCol w:w="1336"/>
        <w:gridCol w:w="1038"/>
        <w:gridCol w:w="1038"/>
        <w:gridCol w:w="989"/>
        <w:gridCol w:w="1083"/>
      </w:tblGrid>
      <w:tr w14:paraId="14F950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Merge w:val="restart"/>
            <w:vAlign w:val="center"/>
          </w:tcPr>
          <w:p w14:paraId="25CC18C8">
            <w:pPr>
              <w:tabs>
                <w:tab w:val="clear" w:pos="480"/>
              </w:tabs>
              <w:spacing w:line="240" w:lineRule="auto"/>
              <w:ind w:firstLine="0" w:firstLineChars="0"/>
              <w:jc w:val="center"/>
              <w:rPr>
                <w:sz w:val="18"/>
                <w:szCs w:val="18"/>
              </w:rPr>
            </w:pPr>
            <w:r>
              <w:rPr>
                <w:sz w:val="18"/>
                <w:szCs w:val="18"/>
              </w:rPr>
              <w:t>序号</w:t>
            </w:r>
          </w:p>
        </w:tc>
        <w:tc>
          <w:tcPr>
            <w:tcW w:w="1218" w:type="pct"/>
            <w:vMerge w:val="restart"/>
            <w:vAlign w:val="center"/>
          </w:tcPr>
          <w:p w14:paraId="21DF85DA">
            <w:pPr>
              <w:tabs>
                <w:tab w:val="clear" w:pos="480"/>
              </w:tabs>
              <w:spacing w:line="240" w:lineRule="auto"/>
              <w:ind w:firstLine="0" w:firstLineChars="0"/>
              <w:jc w:val="center"/>
              <w:rPr>
                <w:sz w:val="18"/>
                <w:szCs w:val="18"/>
              </w:rPr>
            </w:pPr>
            <w:r>
              <w:rPr>
                <w:sz w:val="18"/>
                <w:szCs w:val="18"/>
              </w:rPr>
              <w:t>污染物项目</w:t>
            </w:r>
          </w:p>
        </w:tc>
        <w:tc>
          <w:tcPr>
            <w:tcW w:w="801" w:type="pct"/>
            <w:vMerge w:val="restart"/>
            <w:vAlign w:val="center"/>
          </w:tcPr>
          <w:p w14:paraId="171EC3D4">
            <w:pPr>
              <w:tabs>
                <w:tab w:val="clear" w:pos="480"/>
              </w:tabs>
              <w:spacing w:line="240" w:lineRule="auto"/>
              <w:ind w:firstLine="0" w:firstLineChars="0"/>
              <w:jc w:val="center"/>
              <w:rPr>
                <w:sz w:val="18"/>
                <w:szCs w:val="18"/>
              </w:rPr>
            </w:pPr>
            <w:r>
              <w:rPr>
                <w:sz w:val="18"/>
                <w:szCs w:val="18"/>
              </w:rPr>
              <w:t>CAS编号</w:t>
            </w:r>
          </w:p>
        </w:tc>
        <w:tc>
          <w:tcPr>
            <w:tcW w:w="1244" w:type="pct"/>
            <w:gridSpan w:val="2"/>
            <w:vAlign w:val="center"/>
          </w:tcPr>
          <w:p w14:paraId="124B685F">
            <w:pPr>
              <w:tabs>
                <w:tab w:val="clear" w:pos="480"/>
              </w:tabs>
              <w:spacing w:line="240" w:lineRule="auto"/>
              <w:ind w:firstLine="0" w:firstLineChars="0"/>
              <w:jc w:val="center"/>
              <w:rPr>
                <w:sz w:val="18"/>
                <w:szCs w:val="18"/>
              </w:rPr>
            </w:pPr>
            <w:r>
              <w:rPr>
                <w:sz w:val="18"/>
                <w:szCs w:val="18"/>
              </w:rPr>
              <w:t>筛选值</w:t>
            </w:r>
          </w:p>
        </w:tc>
        <w:tc>
          <w:tcPr>
            <w:tcW w:w="1242" w:type="pct"/>
            <w:gridSpan w:val="2"/>
            <w:vAlign w:val="center"/>
          </w:tcPr>
          <w:p w14:paraId="71EFBB82">
            <w:pPr>
              <w:tabs>
                <w:tab w:val="clear" w:pos="480"/>
              </w:tabs>
              <w:spacing w:line="240" w:lineRule="auto"/>
              <w:ind w:firstLine="0" w:firstLineChars="0"/>
              <w:jc w:val="center"/>
              <w:rPr>
                <w:sz w:val="18"/>
                <w:szCs w:val="18"/>
              </w:rPr>
            </w:pPr>
            <w:r>
              <w:rPr>
                <w:sz w:val="18"/>
                <w:szCs w:val="18"/>
              </w:rPr>
              <w:t>管制值</w:t>
            </w:r>
          </w:p>
        </w:tc>
      </w:tr>
      <w:tr w14:paraId="200C4A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Merge w:val="continue"/>
            <w:vAlign w:val="center"/>
          </w:tcPr>
          <w:p w14:paraId="3B923C74">
            <w:pPr>
              <w:tabs>
                <w:tab w:val="clear" w:pos="480"/>
              </w:tabs>
              <w:spacing w:line="240" w:lineRule="auto"/>
              <w:ind w:firstLine="0" w:firstLineChars="0"/>
              <w:jc w:val="center"/>
              <w:rPr>
                <w:sz w:val="18"/>
                <w:szCs w:val="18"/>
              </w:rPr>
            </w:pPr>
          </w:p>
        </w:tc>
        <w:tc>
          <w:tcPr>
            <w:tcW w:w="1218" w:type="pct"/>
            <w:vMerge w:val="continue"/>
            <w:vAlign w:val="center"/>
          </w:tcPr>
          <w:p w14:paraId="742614F0">
            <w:pPr>
              <w:tabs>
                <w:tab w:val="clear" w:pos="480"/>
              </w:tabs>
              <w:spacing w:line="240" w:lineRule="auto"/>
              <w:ind w:firstLine="0" w:firstLineChars="0"/>
              <w:jc w:val="center"/>
              <w:rPr>
                <w:sz w:val="18"/>
                <w:szCs w:val="18"/>
              </w:rPr>
            </w:pPr>
          </w:p>
        </w:tc>
        <w:tc>
          <w:tcPr>
            <w:tcW w:w="801" w:type="pct"/>
            <w:vMerge w:val="continue"/>
            <w:vAlign w:val="center"/>
          </w:tcPr>
          <w:p w14:paraId="73FE437B">
            <w:pPr>
              <w:tabs>
                <w:tab w:val="clear" w:pos="480"/>
              </w:tabs>
              <w:spacing w:line="240" w:lineRule="auto"/>
              <w:ind w:firstLine="0" w:firstLineChars="0"/>
              <w:jc w:val="center"/>
              <w:rPr>
                <w:sz w:val="18"/>
                <w:szCs w:val="18"/>
              </w:rPr>
            </w:pPr>
          </w:p>
        </w:tc>
        <w:tc>
          <w:tcPr>
            <w:tcW w:w="622" w:type="pct"/>
            <w:vAlign w:val="center"/>
          </w:tcPr>
          <w:p w14:paraId="7C6FAF1B">
            <w:pPr>
              <w:tabs>
                <w:tab w:val="clear" w:pos="480"/>
              </w:tabs>
              <w:spacing w:line="240" w:lineRule="auto"/>
              <w:ind w:firstLine="0" w:firstLineChars="0"/>
              <w:jc w:val="center"/>
              <w:rPr>
                <w:sz w:val="18"/>
                <w:szCs w:val="18"/>
              </w:rPr>
            </w:pPr>
            <w:r>
              <w:rPr>
                <w:sz w:val="18"/>
                <w:szCs w:val="18"/>
              </w:rPr>
              <w:t>第一类</w:t>
            </w:r>
          </w:p>
          <w:p w14:paraId="639D8E86">
            <w:pPr>
              <w:tabs>
                <w:tab w:val="clear" w:pos="480"/>
              </w:tabs>
              <w:spacing w:line="240" w:lineRule="auto"/>
              <w:ind w:firstLine="0" w:firstLineChars="0"/>
              <w:jc w:val="center"/>
              <w:rPr>
                <w:sz w:val="18"/>
                <w:szCs w:val="18"/>
              </w:rPr>
            </w:pPr>
            <w:r>
              <w:rPr>
                <w:sz w:val="18"/>
                <w:szCs w:val="18"/>
              </w:rPr>
              <w:t>用地</w:t>
            </w:r>
          </w:p>
        </w:tc>
        <w:tc>
          <w:tcPr>
            <w:tcW w:w="622" w:type="pct"/>
            <w:vAlign w:val="center"/>
          </w:tcPr>
          <w:p w14:paraId="2E71A44A">
            <w:pPr>
              <w:tabs>
                <w:tab w:val="clear" w:pos="480"/>
              </w:tabs>
              <w:spacing w:line="240" w:lineRule="auto"/>
              <w:ind w:firstLine="0" w:firstLineChars="0"/>
              <w:jc w:val="center"/>
              <w:rPr>
                <w:sz w:val="18"/>
                <w:szCs w:val="18"/>
              </w:rPr>
            </w:pPr>
            <w:r>
              <w:rPr>
                <w:sz w:val="18"/>
                <w:szCs w:val="18"/>
              </w:rPr>
              <w:t>第二类</w:t>
            </w:r>
          </w:p>
          <w:p w14:paraId="58B87D27">
            <w:pPr>
              <w:tabs>
                <w:tab w:val="clear" w:pos="480"/>
              </w:tabs>
              <w:spacing w:line="240" w:lineRule="auto"/>
              <w:ind w:firstLine="0" w:firstLineChars="0"/>
              <w:jc w:val="center"/>
              <w:rPr>
                <w:sz w:val="18"/>
                <w:szCs w:val="18"/>
              </w:rPr>
            </w:pPr>
            <w:r>
              <w:rPr>
                <w:sz w:val="18"/>
                <w:szCs w:val="18"/>
              </w:rPr>
              <w:t>用地</w:t>
            </w:r>
          </w:p>
        </w:tc>
        <w:tc>
          <w:tcPr>
            <w:tcW w:w="593" w:type="pct"/>
            <w:vAlign w:val="center"/>
          </w:tcPr>
          <w:p w14:paraId="38A62BF1">
            <w:pPr>
              <w:tabs>
                <w:tab w:val="clear" w:pos="480"/>
              </w:tabs>
              <w:spacing w:line="240" w:lineRule="auto"/>
              <w:ind w:firstLine="0" w:firstLineChars="0"/>
              <w:jc w:val="center"/>
              <w:rPr>
                <w:sz w:val="18"/>
                <w:szCs w:val="18"/>
              </w:rPr>
            </w:pPr>
            <w:r>
              <w:rPr>
                <w:sz w:val="18"/>
                <w:szCs w:val="18"/>
              </w:rPr>
              <w:t>第一类</w:t>
            </w:r>
          </w:p>
          <w:p w14:paraId="59F0902B">
            <w:pPr>
              <w:tabs>
                <w:tab w:val="clear" w:pos="480"/>
              </w:tabs>
              <w:spacing w:line="240" w:lineRule="auto"/>
              <w:ind w:firstLine="0" w:firstLineChars="0"/>
              <w:jc w:val="center"/>
              <w:rPr>
                <w:sz w:val="18"/>
                <w:szCs w:val="18"/>
              </w:rPr>
            </w:pPr>
            <w:r>
              <w:rPr>
                <w:sz w:val="18"/>
                <w:szCs w:val="18"/>
              </w:rPr>
              <w:t>用地</w:t>
            </w:r>
          </w:p>
        </w:tc>
        <w:tc>
          <w:tcPr>
            <w:tcW w:w="649" w:type="pct"/>
            <w:vAlign w:val="center"/>
          </w:tcPr>
          <w:p w14:paraId="7CD7B6BB">
            <w:pPr>
              <w:tabs>
                <w:tab w:val="clear" w:pos="480"/>
              </w:tabs>
              <w:spacing w:line="240" w:lineRule="auto"/>
              <w:ind w:firstLine="0" w:firstLineChars="0"/>
              <w:jc w:val="center"/>
              <w:rPr>
                <w:sz w:val="18"/>
                <w:szCs w:val="18"/>
              </w:rPr>
            </w:pPr>
            <w:r>
              <w:rPr>
                <w:sz w:val="18"/>
                <w:szCs w:val="18"/>
              </w:rPr>
              <w:t>第二类</w:t>
            </w:r>
          </w:p>
          <w:p w14:paraId="7A8A2076">
            <w:pPr>
              <w:tabs>
                <w:tab w:val="clear" w:pos="480"/>
              </w:tabs>
              <w:spacing w:line="240" w:lineRule="auto"/>
              <w:ind w:firstLine="0" w:firstLineChars="0"/>
              <w:jc w:val="center"/>
              <w:rPr>
                <w:sz w:val="18"/>
                <w:szCs w:val="18"/>
              </w:rPr>
            </w:pPr>
            <w:r>
              <w:rPr>
                <w:sz w:val="18"/>
                <w:szCs w:val="18"/>
              </w:rPr>
              <w:t>用地</w:t>
            </w:r>
          </w:p>
        </w:tc>
      </w:tr>
      <w:tr w14:paraId="4EE8A2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7"/>
            <w:vAlign w:val="center"/>
          </w:tcPr>
          <w:p w14:paraId="12A13E88">
            <w:pPr>
              <w:tabs>
                <w:tab w:val="clear" w:pos="480"/>
              </w:tabs>
              <w:spacing w:line="240" w:lineRule="auto"/>
              <w:ind w:firstLine="0" w:firstLineChars="0"/>
              <w:jc w:val="center"/>
              <w:rPr>
                <w:sz w:val="18"/>
                <w:szCs w:val="18"/>
              </w:rPr>
            </w:pPr>
            <w:r>
              <w:rPr>
                <w:sz w:val="18"/>
                <w:szCs w:val="18"/>
              </w:rPr>
              <w:t>重金属和无机物</w:t>
            </w:r>
          </w:p>
        </w:tc>
      </w:tr>
      <w:tr w14:paraId="120E23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D9BB57D">
            <w:pPr>
              <w:tabs>
                <w:tab w:val="clear" w:pos="480"/>
              </w:tabs>
              <w:spacing w:line="240" w:lineRule="auto"/>
              <w:ind w:firstLine="0" w:firstLineChars="0"/>
              <w:jc w:val="center"/>
              <w:rPr>
                <w:sz w:val="18"/>
                <w:szCs w:val="18"/>
              </w:rPr>
            </w:pPr>
            <w:r>
              <w:rPr>
                <w:sz w:val="18"/>
                <w:szCs w:val="18"/>
              </w:rPr>
              <w:t>1</w:t>
            </w:r>
          </w:p>
        </w:tc>
        <w:tc>
          <w:tcPr>
            <w:tcW w:w="1218" w:type="pct"/>
            <w:vAlign w:val="center"/>
          </w:tcPr>
          <w:p w14:paraId="698E4DEE">
            <w:pPr>
              <w:tabs>
                <w:tab w:val="clear" w:pos="480"/>
              </w:tabs>
              <w:spacing w:line="240" w:lineRule="auto"/>
              <w:ind w:firstLine="0" w:firstLineChars="0"/>
              <w:jc w:val="center"/>
              <w:rPr>
                <w:sz w:val="18"/>
                <w:szCs w:val="18"/>
              </w:rPr>
            </w:pPr>
            <w:r>
              <w:rPr>
                <w:sz w:val="18"/>
                <w:szCs w:val="18"/>
              </w:rPr>
              <w:t>砷</w:t>
            </w:r>
          </w:p>
        </w:tc>
        <w:tc>
          <w:tcPr>
            <w:tcW w:w="801" w:type="pct"/>
            <w:vAlign w:val="center"/>
          </w:tcPr>
          <w:p w14:paraId="13509548">
            <w:pPr>
              <w:tabs>
                <w:tab w:val="clear" w:pos="480"/>
              </w:tabs>
              <w:spacing w:line="240" w:lineRule="auto"/>
              <w:ind w:firstLine="0" w:firstLineChars="0"/>
              <w:jc w:val="center"/>
              <w:rPr>
                <w:sz w:val="18"/>
                <w:szCs w:val="18"/>
              </w:rPr>
            </w:pPr>
            <w:r>
              <w:rPr>
                <w:sz w:val="18"/>
                <w:szCs w:val="18"/>
              </w:rPr>
              <w:t>7440-38-2</w:t>
            </w:r>
          </w:p>
        </w:tc>
        <w:tc>
          <w:tcPr>
            <w:tcW w:w="622" w:type="pct"/>
            <w:vAlign w:val="center"/>
          </w:tcPr>
          <w:p w14:paraId="157B9B43">
            <w:pPr>
              <w:tabs>
                <w:tab w:val="clear" w:pos="480"/>
              </w:tabs>
              <w:spacing w:line="240" w:lineRule="auto"/>
              <w:ind w:firstLine="0" w:firstLineChars="0"/>
              <w:jc w:val="center"/>
              <w:rPr>
                <w:sz w:val="18"/>
                <w:szCs w:val="18"/>
              </w:rPr>
            </w:pPr>
            <w:r>
              <w:rPr>
                <w:sz w:val="18"/>
                <w:szCs w:val="18"/>
              </w:rPr>
              <w:t>20</w:t>
            </w:r>
            <w:r>
              <w:rPr>
                <w:rFonts w:hint="eastAsia" w:ascii="宋体" w:hAnsi="宋体" w:cs="宋体"/>
                <w:sz w:val="18"/>
                <w:szCs w:val="18"/>
              </w:rPr>
              <w:t>①</w:t>
            </w:r>
          </w:p>
        </w:tc>
        <w:tc>
          <w:tcPr>
            <w:tcW w:w="622" w:type="pct"/>
            <w:vAlign w:val="center"/>
          </w:tcPr>
          <w:p w14:paraId="42002458">
            <w:pPr>
              <w:tabs>
                <w:tab w:val="clear" w:pos="480"/>
              </w:tabs>
              <w:spacing w:line="240" w:lineRule="auto"/>
              <w:ind w:firstLine="0" w:firstLineChars="0"/>
              <w:jc w:val="center"/>
              <w:rPr>
                <w:sz w:val="18"/>
                <w:szCs w:val="18"/>
              </w:rPr>
            </w:pPr>
            <w:r>
              <w:rPr>
                <w:sz w:val="18"/>
                <w:szCs w:val="18"/>
              </w:rPr>
              <w:t>60</w:t>
            </w:r>
            <w:r>
              <w:rPr>
                <w:rFonts w:hint="eastAsia" w:ascii="宋体" w:hAnsi="宋体" w:cs="宋体"/>
                <w:sz w:val="18"/>
                <w:szCs w:val="18"/>
              </w:rPr>
              <w:t>①</w:t>
            </w:r>
          </w:p>
        </w:tc>
        <w:tc>
          <w:tcPr>
            <w:tcW w:w="593" w:type="pct"/>
            <w:vAlign w:val="center"/>
          </w:tcPr>
          <w:p w14:paraId="1A7F16FE">
            <w:pPr>
              <w:tabs>
                <w:tab w:val="clear" w:pos="480"/>
              </w:tabs>
              <w:spacing w:line="240" w:lineRule="auto"/>
              <w:ind w:firstLine="0" w:firstLineChars="0"/>
              <w:jc w:val="center"/>
              <w:rPr>
                <w:sz w:val="18"/>
                <w:szCs w:val="18"/>
              </w:rPr>
            </w:pPr>
            <w:r>
              <w:rPr>
                <w:sz w:val="18"/>
                <w:szCs w:val="18"/>
              </w:rPr>
              <w:t>120</w:t>
            </w:r>
          </w:p>
        </w:tc>
        <w:tc>
          <w:tcPr>
            <w:tcW w:w="649" w:type="pct"/>
            <w:vAlign w:val="center"/>
          </w:tcPr>
          <w:p w14:paraId="18A1CBA4">
            <w:pPr>
              <w:tabs>
                <w:tab w:val="clear" w:pos="480"/>
              </w:tabs>
              <w:spacing w:line="240" w:lineRule="auto"/>
              <w:ind w:firstLine="0" w:firstLineChars="0"/>
              <w:jc w:val="center"/>
              <w:rPr>
                <w:sz w:val="18"/>
                <w:szCs w:val="18"/>
              </w:rPr>
            </w:pPr>
            <w:r>
              <w:rPr>
                <w:sz w:val="18"/>
                <w:szCs w:val="18"/>
              </w:rPr>
              <w:t>140</w:t>
            </w:r>
          </w:p>
        </w:tc>
      </w:tr>
      <w:tr w14:paraId="20B95E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36F0631">
            <w:pPr>
              <w:tabs>
                <w:tab w:val="clear" w:pos="480"/>
              </w:tabs>
              <w:spacing w:line="240" w:lineRule="auto"/>
              <w:ind w:firstLine="0" w:firstLineChars="0"/>
              <w:jc w:val="center"/>
              <w:rPr>
                <w:sz w:val="18"/>
                <w:szCs w:val="18"/>
              </w:rPr>
            </w:pPr>
            <w:r>
              <w:rPr>
                <w:sz w:val="18"/>
                <w:szCs w:val="18"/>
              </w:rPr>
              <w:t>2</w:t>
            </w:r>
          </w:p>
        </w:tc>
        <w:tc>
          <w:tcPr>
            <w:tcW w:w="1218" w:type="pct"/>
            <w:vAlign w:val="center"/>
          </w:tcPr>
          <w:p w14:paraId="154D5F1E">
            <w:pPr>
              <w:tabs>
                <w:tab w:val="clear" w:pos="480"/>
              </w:tabs>
              <w:spacing w:line="240" w:lineRule="auto"/>
              <w:ind w:firstLine="0" w:firstLineChars="0"/>
              <w:jc w:val="center"/>
              <w:rPr>
                <w:sz w:val="18"/>
                <w:szCs w:val="18"/>
              </w:rPr>
            </w:pPr>
            <w:r>
              <w:rPr>
                <w:sz w:val="18"/>
                <w:szCs w:val="18"/>
              </w:rPr>
              <w:t>镉</w:t>
            </w:r>
          </w:p>
        </w:tc>
        <w:tc>
          <w:tcPr>
            <w:tcW w:w="801" w:type="pct"/>
            <w:vAlign w:val="center"/>
          </w:tcPr>
          <w:p w14:paraId="5446C928">
            <w:pPr>
              <w:tabs>
                <w:tab w:val="clear" w:pos="480"/>
              </w:tabs>
              <w:spacing w:line="240" w:lineRule="auto"/>
              <w:ind w:firstLine="0" w:firstLineChars="0"/>
              <w:jc w:val="center"/>
              <w:rPr>
                <w:sz w:val="18"/>
                <w:szCs w:val="18"/>
              </w:rPr>
            </w:pPr>
            <w:r>
              <w:rPr>
                <w:sz w:val="18"/>
                <w:szCs w:val="18"/>
              </w:rPr>
              <w:t>7440-43-9</w:t>
            </w:r>
          </w:p>
        </w:tc>
        <w:tc>
          <w:tcPr>
            <w:tcW w:w="622" w:type="pct"/>
            <w:vAlign w:val="center"/>
          </w:tcPr>
          <w:p w14:paraId="3A9FD368">
            <w:pPr>
              <w:tabs>
                <w:tab w:val="clear" w:pos="480"/>
              </w:tabs>
              <w:spacing w:line="240" w:lineRule="auto"/>
              <w:ind w:firstLine="0" w:firstLineChars="0"/>
              <w:jc w:val="center"/>
              <w:rPr>
                <w:sz w:val="18"/>
                <w:szCs w:val="18"/>
              </w:rPr>
            </w:pPr>
            <w:r>
              <w:rPr>
                <w:sz w:val="18"/>
                <w:szCs w:val="18"/>
              </w:rPr>
              <w:t>20</w:t>
            </w:r>
          </w:p>
        </w:tc>
        <w:tc>
          <w:tcPr>
            <w:tcW w:w="622" w:type="pct"/>
            <w:vAlign w:val="center"/>
          </w:tcPr>
          <w:p w14:paraId="207E0863">
            <w:pPr>
              <w:tabs>
                <w:tab w:val="clear" w:pos="480"/>
              </w:tabs>
              <w:spacing w:line="240" w:lineRule="auto"/>
              <w:ind w:firstLine="0" w:firstLineChars="0"/>
              <w:jc w:val="center"/>
              <w:rPr>
                <w:sz w:val="18"/>
                <w:szCs w:val="18"/>
              </w:rPr>
            </w:pPr>
            <w:r>
              <w:rPr>
                <w:sz w:val="18"/>
                <w:szCs w:val="18"/>
              </w:rPr>
              <w:t>65</w:t>
            </w:r>
          </w:p>
        </w:tc>
        <w:tc>
          <w:tcPr>
            <w:tcW w:w="593" w:type="pct"/>
            <w:vAlign w:val="center"/>
          </w:tcPr>
          <w:p w14:paraId="1E147C02">
            <w:pPr>
              <w:tabs>
                <w:tab w:val="clear" w:pos="480"/>
              </w:tabs>
              <w:spacing w:line="240" w:lineRule="auto"/>
              <w:ind w:firstLine="0" w:firstLineChars="0"/>
              <w:jc w:val="center"/>
              <w:rPr>
                <w:sz w:val="18"/>
                <w:szCs w:val="18"/>
              </w:rPr>
            </w:pPr>
            <w:r>
              <w:rPr>
                <w:sz w:val="18"/>
                <w:szCs w:val="18"/>
              </w:rPr>
              <w:t>47</w:t>
            </w:r>
          </w:p>
        </w:tc>
        <w:tc>
          <w:tcPr>
            <w:tcW w:w="649" w:type="pct"/>
            <w:vAlign w:val="center"/>
          </w:tcPr>
          <w:p w14:paraId="12E61B7E">
            <w:pPr>
              <w:tabs>
                <w:tab w:val="clear" w:pos="480"/>
              </w:tabs>
              <w:spacing w:line="240" w:lineRule="auto"/>
              <w:ind w:firstLine="0" w:firstLineChars="0"/>
              <w:jc w:val="center"/>
              <w:rPr>
                <w:sz w:val="18"/>
                <w:szCs w:val="18"/>
              </w:rPr>
            </w:pPr>
            <w:r>
              <w:rPr>
                <w:sz w:val="18"/>
                <w:szCs w:val="18"/>
              </w:rPr>
              <w:t>172</w:t>
            </w:r>
          </w:p>
        </w:tc>
      </w:tr>
      <w:tr w14:paraId="46F66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025EE767">
            <w:pPr>
              <w:tabs>
                <w:tab w:val="clear" w:pos="480"/>
              </w:tabs>
              <w:spacing w:line="240" w:lineRule="auto"/>
              <w:ind w:firstLine="0" w:firstLineChars="0"/>
              <w:jc w:val="center"/>
              <w:rPr>
                <w:sz w:val="18"/>
                <w:szCs w:val="18"/>
              </w:rPr>
            </w:pPr>
            <w:r>
              <w:rPr>
                <w:sz w:val="18"/>
                <w:szCs w:val="18"/>
              </w:rPr>
              <w:t>3</w:t>
            </w:r>
          </w:p>
        </w:tc>
        <w:tc>
          <w:tcPr>
            <w:tcW w:w="1218" w:type="pct"/>
            <w:vAlign w:val="center"/>
          </w:tcPr>
          <w:p w14:paraId="0DE001FC">
            <w:pPr>
              <w:tabs>
                <w:tab w:val="clear" w:pos="480"/>
              </w:tabs>
              <w:spacing w:line="240" w:lineRule="auto"/>
              <w:ind w:firstLine="0" w:firstLineChars="0"/>
              <w:jc w:val="center"/>
              <w:rPr>
                <w:sz w:val="18"/>
                <w:szCs w:val="18"/>
              </w:rPr>
            </w:pPr>
            <w:r>
              <w:rPr>
                <w:sz w:val="18"/>
                <w:szCs w:val="18"/>
              </w:rPr>
              <w:t>铬（六价）</w:t>
            </w:r>
          </w:p>
        </w:tc>
        <w:tc>
          <w:tcPr>
            <w:tcW w:w="801" w:type="pct"/>
            <w:vAlign w:val="center"/>
          </w:tcPr>
          <w:p w14:paraId="65B8D06D">
            <w:pPr>
              <w:tabs>
                <w:tab w:val="clear" w:pos="480"/>
              </w:tabs>
              <w:spacing w:line="240" w:lineRule="auto"/>
              <w:ind w:firstLine="0" w:firstLineChars="0"/>
              <w:jc w:val="center"/>
              <w:rPr>
                <w:sz w:val="18"/>
                <w:szCs w:val="18"/>
              </w:rPr>
            </w:pPr>
            <w:r>
              <w:rPr>
                <w:sz w:val="18"/>
                <w:szCs w:val="18"/>
              </w:rPr>
              <w:t>18540-29-9</w:t>
            </w:r>
          </w:p>
        </w:tc>
        <w:tc>
          <w:tcPr>
            <w:tcW w:w="622" w:type="pct"/>
            <w:vAlign w:val="center"/>
          </w:tcPr>
          <w:p w14:paraId="7E20D90F">
            <w:pPr>
              <w:tabs>
                <w:tab w:val="clear" w:pos="480"/>
              </w:tabs>
              <w:spacing w:line="240" w:lineRule="auto"/>
              <w:ind w:firstLine="0" w:firstLineChars="0"/>
              <w:jc w:val="center"/>
              <w:rPr>
                <w:sz w:val="18"/>
                <w:szCs w:val="18"/>
              </w:rPr>
            </w:pPr>
            <w:r>
              <w:rPr>
                <w:sz w:val="18"/>
                <w:szCs w:val="18"/>
              </w:rPr>
              <w:t>3.0</w:t>
            </w:r>
          </w:p>
        </w:tc>
        <w:tc>
          <w:tcPr>
            <w:tcW w:w="622" w:type="pct"/>
            <w:vAlign w:val="center"/>
          </w:tcPr>
          <w:p w14:paraId="4D341121">
            <w:pPr>
              <w:tabs>
                <w:tab w:val="clear" w:pos="480"/>
              </w:tabs>
              <w:spacing w:line="240" w:lineRule="auto"/>
              <w:ind w:firstLine="0" w:firstLineChars="0"/>
              <w:jc w:val="center"/>
              <w:rPr>
                <w:sz w:val="18"/>
                <w:szCs w:val="18"/>
              </w:rPr>
            </w:pPr>
            <w:r>
              <w:rPr>
                <w:sz w:val="18"/>
                <w:szCs w:val="18"/>
              </w:rPr>
              <w:t>5.7</w:t>
            </w:r>
          </w:p>
        </w:tc>
        <w:tc>
          <w:tcPr>
            <w:tcW w:w="593" w:type="pct"/>
            <w:vAlign w:val="center"/>
          </w:tcPr>
          <w:p w14:paraId="6182026B">
            <w:pPr>
              <w:tabs>
                <w:tab w:val="clear" w:pos="480"/>
              </w:tabs>
              <w:spacing w:line="240" w:lineRule="auto"/>
              <w:ind w:firstLine="0" w:firstLineChars="0"/>
              <w:jc w:val="center"/>
              <w:rPr>
                <w:sz w:val="18"/>
                <w:szCs w:val="18"/>
              </w:rPr>
            </w:pPr>
            <w:r>
              <w:rPr>
                <w:sz w:val="18"/>
                <w:szCs w:val="18"/>
              </w:rPr>
              <w:t>30</w:t>
            </w:r>
          </w:p>
        </w:tc>
        <w:tc>
          <w:tcPr>
            <w:tcW w:w="649" w:type="pct"/>
            <w:vAlign w:val="center"/>
          </w:tcPr>
          <w:p w14:paraId="53A39E22">
            <w:pPr>
              <w:tabs>
                <w:tab w:val="clear" w:pos="480"/>
              </w:tabs>
              <w:spacing w:line="240" w:lineRule="auto"/>
              <w:ind w:firstLine="0" w:firstLineChars="0"/>
              <w:jc w:val="center"/>
              <w:rPr>
                <w:sz w:val="18"/>
                <w:szCs w:val="18"/>
              </w:rPr>
            </w:pPr>
            <w:r>
              <w:rPr>
                <w:sz w:val="18"/>
                <w:szCs w:val="18"/>
              </w:rPr>
              <w:t>78</w:t>
            </w:r>
          </w:p>
        </w:tc>
      </w:tr>
      <w:tr w14:paraId="661659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7500D1B1">
            <w:pPr>
              <w:tabs>
                <w:tab w:val="clear" w:pos="480"/>
              </w:tabs>
              <w:spacing w:line="240" w:lineRule="auto"/>
              <w:ind w:firstLine="0" w:firstLineChars="0"/>
              <w:jc w:val="center"/>
              <w:rPr>
                <w:sz w:val="18"/>
                <w:szCs w:val="18"/>
              </w:rPr>
            </w:pPr>
            <w:r>
              <w:rPr>
                <w:sz w:val="18"/>
                <w:szCs w:val="18"/>
              </w:rPr>
              <w:t>4</w:t>
            </w:r>
          </w:p>
        </w:tc>
        <w:tc>
          <w:tcPr>
            <w:tcW w:w="1218" w:type="pct"/>
            <w:vAlign w:val="center"/>
          </w:tcPr>
          <w:p w14:paraId="3B796F02">
            <w:pPr>
              <w:tabs>
                <w:tab w:val="clear" w:pos="480"/>
              </w:tabs>
              <w:spacing w:line="240" w:lineRule="auto"/>
              <w:ind w:firstLine="0" w:firstLineChars="0"/>
              <w:jc w:val="center"/>
              <w:rPr>
                <w:sz w:val="18"/>
                <w:szCs w:val="18"/>
              </w:rPr>
            </w:pPr>
            <w:r>
              <w:rPr>
                <w:sz w:val="18"/>
                <w:szCs w:val="18"/>
              </w:rPr>
              <w:t>铜</w:t>
            </w:r>
          </w:p>
        </w:tc>
        <w:tc>
          <w:tcPr>
            <w:tcW w:w="801" w:type="pct"/>
            <w:vAlign w:val="center"/>
          </w:tcPr>
          <w:p w14:paraId="3CA4755F">
            <w:pPr>
              <w:tabs>
                <w:tab w:val="clear" w:pos="480"/>
              </w:tabs>
              <w:spacing w:line="240" w:lineRule="auto"/>
              <w:ind w:firstLine="0" w:firstLineChars="0"/>
              <w:jc w:val="center"/>
              <w:rPr>
                <w:sz w:val="18"/>
                <w:szCs w:val="18"/>
              </w:rPr>
            </w:pPr>
            <w:r>
              <w:rPr>
                <w:sz w:val="18"/>
                <w:szCs w:val="18"/>
              </w:rPr>
              <w:t>7440-50-8</w:t>
            </w:r>
          </w:p>
        </w:tc>
        <w:tc>
          <w:tcPr>
            <w:tcW w:w="622" w:type="pct"/>
            <w:vAlign w:val="center"/>
          </w:tcPr>
          <w:p w14:paraId="0C378898">
            <w:pPr>
              <w:tabs>
                <w:tab w:val="clear" w:pos="480"/>
              </w:tabs>
              <w:spacing w:line="240" w:lineRule="auto"/>
              <w:ind w:firstLine="0" w:firstLineChars="0"/>
              <w:jc w:val="center"/>
              <w:rPr>
                <w:sz w:val="18"/>
                <w:szCs w:val="18"/>
              </w:rPr>
            </w:pPr>
            <w:r>
              <w:rPr>
                <w:sz w:val="18"/>
                <w:szCs w:val="18"/>
              </w:rPr>
              <w:t>2000</w:t>
            </w:r>
          </w:p>
        </w:tc>
        <w:tc>
          <w:tcPr>
            <w:tcW w:w="622" w:type="pct"/>
            <w:vAlign w:val="center"/>
          </w:tcPr>
          <w:p w14:paraId="497FE2D8">
            <w:pPr>
              <w:tabs>
                <w:tab w:val="clear" w:pos="480"/>
              </w:tabs>
              <w:spacing w:line="240" w:lineRule="auto"/>
              <w:ind w:firstLine="0" w:firstLineChars="0"/>
              <w:jc w:val="center"/>
              <w:rPr>
                <w:sz w:val="18"/>
                <w:szCs w:val="18"/>
              </w:rPr>
            </w:pPr>
            <w:r>
              <w:rPr>
                <w:sz w:val="18"/>
                <w:szCs w:val="18"/>
              </w:rPr>
              <w:t>18000</w:t>
            </w:r>
          </w:p>
        </w:tc>
        <w:tc>
          <w:tcPr>
            <w:tcW w:w="593" w:type="pct"/>
            <w:vAlign w:val="center"/>
          </w:tcPr>
          <w:p w14:paraId="4A2E5814">
            <w:pPr>
              <w:tabs>
                <w:tab w:val="clear" w:pos="480"/>
              </w:tabs>
              <w:spacing w:line="240" w:lineRule="auto"/>
              <w:ind w:firstLine="0" w:firstLineChars="0"/>
              <w:jc w:val="center"/>
              <w:rPr>
                <w:sz w:val="18"/>
                <w:szCs w:val="18"/>
              </w:rPr>
            </w:pPr>
            <w:r>
              <w:rPr>
                <w:sz w:val="18"/>
                <w:szCs w:val="18"/>
              </w:rPr>
              <w:t>8000</w:t>
            </w:r>
          </w:p>
        </w:tc>
        <w:tc>
          <w:tcPr>
            <w:tcW w:w="649" w:type="pct"/>
            <w:vAlign w:val="center"/>
          </w:tcPr>
          <w:p w14:paraId="6EF5C869">
            <w:pPr>
              <w:tabs>
                <w:tab w:val="clear" w:pos="480"/>
              </w:tabs>
              <w:spacing w:line="240" w:lineRule="auto"/>
              <w:ind w:firstLine="0" w:firstLineChars="0"/>
              <w:jc w:val="center"/>
              <w:rPr>
                <w:sz w:val="18"/>
                <w:szCs w:val="18"/>
              </w:rPr>
            </w:pPr>
            <w:r>
              <w:rPr>
                <w:sz w:val="18"/>
                <w:szCs w:val="18"/>
              </w:rPr>
              <w:t>36000</w:t>
            </w:r>
          </w:p>
        </w:tc>
      </w:tr>
      <w:tr w14:paraId="6D1F6F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0273AEE9">
            <w:pPr>
              <w:tabs>
                <w:tab w:val="clear" w:pos="480"/>
              </w:tabs>
              <w:spacing w:line="240" w:lineRule="auto"/>
              <w:ind w:firstLine="0" w:firstLineChars="0"/>
              <w:jc w:val="center"/>
              <w:rPr>
                <w:sz w:val="18"/>
                <w:szCs w:val="18"/>
              </w:rPr>
            </w:pPr>
            <w:r>
              <w:rPr>
                <w:sz w:val="18"/>
                <w:szCs w:val="18"/>
              </w:rPr>
              <w:t>5</w:t>
            </w:r>
          </w:p>
        </w:tc>
        <w:tc>
          <w:tcPr>
            <w:tcW w:w="1218" w:type="pct"/>
            <w:vAlign w:val="center"/>
          </w:tcPr>
          <w:p w14:paraId="2B09D159">
            <w:pPr>
              <w:tabs>
                <w:tab w:val="clear" w:pos="480"/>
              </w:tabs>
              <w:spacing w:line="240" w:lineRule="auto"/>
              <w:ind w:firstLine="0" w:firstLineChars="0"/>
              <w:jc w:val="center"/>
              <w:rPr>
                <w:sz w:val="18"/>
                <w:szCs w:val="18"/>
              </w:rPr>
            </w:pPr>
            <w:r>
              <w:rPr>
                <w:sz w:val="18"/>
                <w:szCs w:val="18"/>
              </w:rPr>
              <w:t>铅</w:t>
            </w:r>
          </w:p>
        </w:tc>
        <w:tc>
          <w:tcPr>
            <w:tcW w:w="801" w:type="pct"/>
            <w:vAlign w:val="center"/>
          </w:tcPr>
          <w:p w14:paraId="32B11FB9">
            <w:pPr>
              <w:tabs>
                <w:tab w:val="clear" w:pos="480"/>
              </w:tabs>
              <w:spacing w:line="240" w:lineRule="auto"/>
              <w:ind w:firstLine="0" w:firstLineChars="0"/>
              <w:jc w:val="center"/>
              <w:rPr>
                <w:sz w:val="18"/>
                <w:szCs w:val="18"/>
              </w:rPr>
            </w:pPr>
            <w:r>
              <w:rPr>
                <w:sz w:val="18"/>
                <w:szCs w:val="18"/>
              </w:rPr>
              <w:t>7439-92-1</w:t>
            </w:r>
          </w:p>
        </w:tc>
        <w:tc>
          <w:tcPr>
            <w:tcW w:w="622" w:type="pct"/>
            <w:vAlign w:val="center"/>
          </w:tcPr>
          <w:p w14:paraId="501AC543">
            <w:pPr>
              <w:tabs>
                <w:tab w:val="clear" w:pos="480"/>
              </w:tabs>
              <w:spacing w:line="240" w:lineRule="auto"/>
              <w:ind w:firstLine="0" w:firstLineChars="0"/>
              <w:jc w:val="center"/>
              <w:rPr>
                <w:sz w:val="18"/>
                <w:szCs w:val="18"/>
              </w:rPr>
            </w:pPr>
            <w:r>
              <w:rPr>
                <w:sz w:val="18"/>
                <w:szCs w:val="18"/>
              </w:rPr>
              <w:t>400</w:t>
            </w:r>
          </w:p>
        </w:tc>
        <w:tc>
          <w:tcPr>
            <w:tcW w:w="622" w:type="pct"/>
            <w:vAlign w:val="center"/>
          </w:tcPr>
          <w:p w14:paraId="2E0E7900">
            <w:pPr>
              <w:tabs>
                <w:tab w:val="clear" w:pos="480"/>
              </w:tabs>
              <w:spacing w:line="240" w:lineRule="auto"/>
              <w:ind w:firstLine="0" w:firstLineChars="0"/>
              <w:jc w:val="center"/>
              <w:rPr>
                <w:sz w:val="18"/>
                <w:szCs w:val="18"/>
              </w:rPr>
            </w:pPr>
            <w:r>
              <w:rPr>
                <w:sz w:val="18"/>
                <w:szCs w:val="18"/>
              </w:rPr>
              <w:t>800</w:t>
            </w:r>
          </w:p>
        </w:tc>
        <w:tc>
          <w:tcPr>
            <w:tcW w:w="593" w:type="pct"/>
            <w:vAlign w:val="center"/>
          </w:tcPr>
          <w:p w14:paraId="7C44D0C9">
            <w:pPr>
              <w:tabs>
                <w:tab w:val="clear" w:pos="480"/>
              </w:tabs>
              <w:spacing w:line="240" w:lineRule="auto"/>
              <w:ind w:firstLine="0" w:firstLineChars="0"/>
              <w:jc w:val="center"/>
              <w:rPr>
                <w:sz w:val="18"/>
                <w:szCs w:val="18"/>
              </w:rPr>
            </w:pPr>
            <w:r>
              <w:rPr>
                <w:sz w:val="18"/>
                <w:szCs w:val="18"/>
              </w:rPr>
              <w:t>800</w:t>
            </w:r>
          </w:p>
        </w:tc>
        <w:tc>
          <w:tcPr>
            <w:tcW w:w="649" w:type="pct"/>
            <w:vAlign w:val="center"/>
          </w:tcPr>
          <w:p w14:paraId="770A9C69">
            <w:pPr>
              <w:tabs>
                <w:tab w:val="clear" w:pos="480"/>
              </w:tabs>
              <w:spacing w:line="240" w:lineRule="auto"/>
              <w:ind w:firstLine="0" w:firstLineChars="0"/>
              <w:jc w:val="center"/>
              <w:rPr>
                <w:sz w:val="18"/>
                <w:szCs w:val="18"/>
              </w:rPr>
            </w:pPr>
            <w:r>
              <w:rPr>
                <w:sz w:val="18"/>
                <w:szCs w:val="18"/>
              </w:rPr>
              <w:t>2500</w:t>
            </w:r>
          </w:p>
        </w:tc>
      </w:tr>
      <w:tr w14:paraId="6735AD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6A126325">
            <w:pPr>
              <w:tabs>
                <w:tab w:val="clear" w:pos="480"/>
              </w:tabs>
              <w:spacing w:line="240" w:lineRule="auto"/>
              <w:ind w:firstLine="0" w:firstLineChars="0"/>
              <w:jc w:val="center"/>
              <w:rPr>
                <w:sz w:val="18"/>
                <w:szCs w:val="18"/>
              </w:rPr>
            </w:pPr>
            <w:r>
              <w:rPr>
                <w:sz w:val="18"/>
                <w:szCs w:val="18"/>
              </w:rPr>
              <w:t>6</w:t>
            </w:r>
          </w:p>
        </w:tc>
        <w:tc>
          <w:tcPr>
            <w:tcW w:w="1218" w:type="pct"/>
            <w:vAlign w:val="center"/>
          </w:tcPr>
          <w:p w14:paraId="5E726CC3">
            <w:pPr>
              <w:tabs>
                <w:tab w:val="clear" w:pos="480"/>
              </w:tabs>
              <w:spacing w:line="240" w:lineRule="auto"/>
              <w:ind w:firstLine="0" w:firstLineChars="0"/>
              <w:jc w:val="center"/>
              <w:rPr>
                <w:sz w:val="18"/>
                <w:szCs w:val="18"/>
              </w:rPr>
            </w:pPr>
            <w:r>
              <w:rPr>
                <w:sz w:val="18"/>
                <w:szCs w:val="18"/>
              </w:rPr>
              <w:t>汞</w:t>
            </w:r>
          </w:p>
        </w:tc>
        <w:tc>
          <w:tcPr>
            <w:tcW w:w="801" w:type="pct"/>
            <w:vAlign w:val="center"/>
          </w:tcPr>
          <w:p w14:paraId="66C36B60">
            <w:pPr>
              <w:tabs>
                <w:tab w:val="clear" w:pos="480"/>
              </w:tabs>
              <w:spacing w:line="240" w:lineRule="auto"/>
              <w:ind w:firstLine="0" w:firstLineChars="0"/>
              <w:jc w:val="center"/>
              <w:rPr>
                <w:sz w:val="18"/>
                <w:szCs w:val="18"/>
              </w:rPr>
            </w:pPr>
            <w:r>
              <w:rPr>
                <w:sz w:val="18"/>
                <w:szCs w:val="18"/>
              </w:rPr>
              <w:t>7439-97-6</w:t>
            </w:r>
          </w:p>
        </w:tc>
        <w:tc>
          <w:tcPr>
            <w:tcW w:w="622" w:type="pct"/>
            <w:vAlign w:val="center"/>
          </w:tcPr>
          <w:p w14:paraId="71FB2959">
            <w:pPr>
              <w:tabs>
                <w:tab w:val="clear" w:pos="480"/>
              </w:tabs>
              <w:spacing w:line="240" w:lineRule="auto"/>
              <w:ind w:firstLine="0" w:firstLineChars="0"/>
              <w:jc w:val="center"/>
              <w:rPr>
                <w:sz w:val="18"/>
                <w:szCs w:val="18"/>
              </w:rPr>
            </w:pPr>
            <w:r>
              <w:rPr>
                <w:sz w:val="18"/>
                <w:szCs w:val="18"/>
              </w:rPr>
              <w:t>8</w:t>
            </w:r>
          </w:p>
        </w:tc>
        <w:tc>
          <w:tcPr>
            <w:tcW w:w="622" w:type="pct"/>
            <w:vAlign w:val="center"/>
          </w:tcPr>
          <w:p w14:paraId="4B6E359D">
            <w:pPr>
              <w:tabs>
                <w:tab w:val="clear" w:pos="480"/>
              </w:tabs>
              <w:spacing w:line="240" w:lineRule="auto"/>
              <w:ind w:firstLine="0" w:firstLineChars="0"/>
              <w:jc w:val="center"/>
              <w:rPr>
                <w:sz w:val="18"/>
                <w:szCs w:val="18"/>
              </w:rPr>
            </w:pPr>
            <w:r>
              <w:rPr>
                <w:sz w:val="18"/>
                <w:szCs w:val="18"/>
              </w:rPr>
              <w:t>38</w:t>
            </w:r>
          </w:p>
        </w:tc>
        <w:tc>
          <w:tcPr>
            <w:tcW w:w="593" w:type="pct"/>
            <w:vAlign w:val="center"/>
          </w:tcPr>
          <w:p w14:paraId="5E0BB2A8">
            <w:pPr>
              <w:tabs>
                <w:tab w:val="clear" w:pos="480"/>
              </w:tabs>
              <w:spacing w:line="240" w:lineRule="auto"/>
              <w:ind w:firstLine="0" w:firstLineChars="0"/>
              <w:jc w:val="center"/>
              <w:rPr>
                <w:sz w:val="18"/>
                <w:szCs w:val="18"/>
              </w:rPr>
            </w:pPr>
            <w:r>
              <w:rPr>
                <w:sz w:val="18"/>
                <w:szCs w:val="18"/>
              </w:rPr>
              <w:t>33</w:t>
            </w:r>
          </w:p>
        </w:tc>
        <w:tc>
          <w:tcPr>
            <w:tcW w:w="649" w:type="pct"/>
            <w:vAlign w:val="center"/>
          </w:tcPr>
          <w:p w14:paraId="01D1C315">
            <w:pPr>
              <w:tabs>
                <w:tab w:val="clear" w:pos="480"/>
              </w:tabs>
              <w:spacing w:line="240" w:lineRule="auto"/>
              <w:ind w:firstLine="0" w:firstLineChars="0"/>
              <w:jc w:val="center"/>
              <w:rPr>
                <w:sz w:val="18"/>
                <w:szCs w:val="18"/>
              </w:rPr>
            </w:pPr>
            <w:r>
              <w:rPr>
                <w:sz w:val="18"/>
                <w:szCs w:val="18"/>
              </w:rPr>
              <w:t>82</w:t>
            </w:r>
          </w:p>
        </w:tc>
      </w:tr>
      <w:tr w14:paraId="1DE0A0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1449266">
            <w:pPr>
              <w:tabs>
                <w:tab w:val="clear" w:pos="480"/>
              </w:tabs>
              <w:spacing w:line="240" w:lineRule="auto"/>
              <w:ind w:firstLine="0" w:firstLineChars="0"/>
              <w:jc w:val="center"/>
              <w:rPr>
                <w:sz w:val="18"/>
                <w:szCs w:val="18"/>
              </w:rPr>
            </w:pPr>
            <w:r>
              <w:rPr>
                <w:sz w:val="18"/>
                <w:szCs w:val="18"/>
              </w:rPr>
              <w:t>7</w:t>
            </w:r>
          </w:p>
        </w:tc>
        <w:tc>
          <w:tcPr>
            <w:tcW w:w="1218" w:type="pct"/>
            <w:vAlign w:val="center"/>
          </w:tcPr>
          <w:p w14:paraId="0EB1203C">
            <w:pPr>
              <w:tabs>
                <w:tab w:val="clear" w:pos="480"/>
              </w:tabs>
              <w:spacing w:line="240" w:lineRule="auto"/>
              <w:ind w:firstLine="0" w:firstLineChars="0"/>
              <w:jc w:val="center"/>
              <w:rPr>
                <w:sz w:val="18"/>
                <w:szCs w:val="18"/>
              </w:rPr>
            </w:pPr>
            <w:r>
              <w:rPr>
                <w:sz w:val="18"/>
                <w:szCs w:val="18"/>
              </w:rPr>
              <w:t>镍</w:t>
            </w:r>
          </w:p>
        </w:tc>
        <w:tc>
          <w:tcPr>
            <w:tcW w:w="801" w:type="pct"/>
            <w:vAlign w:val="center"/>
          </w:tcPr>
          <w:p w14:paraId="3C2E54B8">
            <w:pPr>
              <w:tabs>
                <w:tab w:val="clear" w:pos="480"/>
              </w:tabs>
              <w:spacing w:line="240" w:lineRule="auto"/>
              <w:ind w:firstLine="0" w:firstLineChars="0"/>
              <w:jc w:val="center"/>
              <w:rPr>
                <w:sz w:val="18"/>
                <w:szCs w:val="18"/>
              </w:rPr>
            </w:pPr>
            <w:r>
              <w:rPr>
                <w:sz w:val="18"/>
                <w:szCs w:val="18"/>
              </w:rPr>
              <w:t>7440-02-0</w:t>
            </w:r>
          </w:p>
        </w:tc>
        <w:tc>
          <w:tcPr>
            <w:tcW w:w="622" w:type="pct"/>
            <w:vAlign w:val="center"/>
          </w:tcPr>
          <w:p w14:paraId="5874F627">
            <w:pPr>
              <w:tabs>
                <w:tab w:val="clear" w:pos="480"/>
              </w:tabs>
              <w:spacing w:line="240" w:lineRule="auto"/>
              <w:ind w:firstLine="0" w:firstLineChars="0"/>
              <w:jc w:val="center"/>
              <w:rPr>
                <w:sz w:val="18"/>
                <w:szCs w:val="18"/>
              </w:rPr>
            </w:pPr>
            <w:r>
              <w:rPr>
                <w:sz w:val="18"/>
                <w:szCs w:val="18"/>
              </w:rPr>
              <w:t>150</w:t>
            </w:r>
          </w:p>
        </w:tc>
        <w:tc>
          <w:tcPr>
            <w:tcW w:w="622" w:type="pct"/>
            <w:vAlign w:val="center"/>
          </w:tcPr>
          <w:p w14:paraId="1A1411CF">
            <w:pPr>
              <w:tabs>
                <w:tab w:val="clear" w:pos="480"/>
              </w:tabs>
              <w:spacing w:line="240" w:lineRule="auto"/>
              <w:ind w:firstLine="0" w:firstLineChars="0"/>
              <w:jc w:val="center"/>
              <w:rPr>
                <w:sz w:val="18"/>
                <w:szCs w:val="18"/>
              </w:rPr>
            </w:pPr>
            <w:r>
              <w:rPr>
                <w:sz w:val="18"/>
                <w:szCs w:val="18"/>
              </w:rPr>
              <w:t>900</w:t>
            </w:r>
          </w:p>
        </w:tc>
        <w:tc>
          <w:tcPr>
            <w:tcW w:w="593" w:type="pct"/>
            <w:vAlign w:val="center"/>
          </w:tcPr>
          <w:p w14:paraId="0EFBEB4C">
            <w:pPr>
              <w:tabs>
                <w:tab w:val="clear" w:pos="480"/>
              </w:tabs>
              <w:spacing w:line="240" w:lineRule="auto"/>
              <w:ind w:firstLine="0" w:firstLineChars="0"/>
              <w:jc w:val="center"/>
              <w:rPr>
                <w:sz w:val="18"/>
                <w:szCs w:val="18"/>
              </w:rPr>
            </w:pPr>
            <w:r>
              <w:rPr>
                <w:sz w:val="18"/>
                <w:szCs w:val="18"/>
              </w:rPr>
              <w:t>600</w:t>
            </w:r>
          </w:p>
        </w:tc>
        <w:tc>
          <w:tcPr>
            <w:tcW w:w="649" w:type="pct"/>
            <w:vAlign w:val="center"/>
          </w:tcPr>
          <w:p w14:paraId="717E85D1">
            <w:pPr>
              <w:tabs>
                <w:tab w:val="clear" w:pos="480"/>
              </w:tabs>
              <w:spacing w:line="240" w:lineRule="auto"/>
              <w:ind w:firstLine="0" w:firstLineChars="0"/>
              <w:jc w:val="center"/>
              <w:rPr>
                <w:sz w:val="18"/>
                <w:szCs w:val="18"/>
              </w:rPr>
            </w:pPr>
            <w:r>
              <w:rPr>
                <w:sz w:val="18"/>
                <w:szCs w:val="18"/>
              </w:rPr>
              <w:t>2000</w:t>
            </w:r>
          </w:p>
        </w:tc>
      </w:tr>
      <w:tr w14:paraId="6AA284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7"/>
            <w:vAlign w:val="center"/>
          </w:tcPr>
          <w:p w14:paraId="4D7A5F30">
            <w:pPr>
              <w:tabs>
                <w:tab w:val="clear" w:pos="480"/>
              </w:tabs>
              <w:spacing w:line="240" w:lineRule="auto"/>
              <w:ind w:firstLine="0" w:firstLineChars="0"/>
              <w:jc w:val="center"/>
              <w:rPr>
                <w:sz w:val="18"/>
                <w:szCs w:val="18"/>
              </w:rPr>
            </w:pPr>
            <w:r>
              <w:rPr>
                <w:sz w:val="18"/>
                <w:szCs w:val="18"/>
              </w:rPr>
              <w:t>挥发性有机物</w:t>
            </w:r>
          </w:p>
        </w:tc>
      </w:tr>
      <w:tr w14:paraId="6F315B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77C63C25">
            <w:pPr>
              <w:tabs>
                <w:tab w:val="clear" w:pos="480"/>
              </w:tabs>
              <w:spacing w:line="240" w:lineRule="auto"/>
              <w:ind w:firstLine="0" w:firstLineChars="0"/>
              <w:jc w:val="center"/>
              <w:rPr>
                <w:sz w:val="18"/>
                <w:szCs w:val="18"/>
              </w:rPr>
            </w:pPr>
            <w:r>
              <w:rPr>
                <w:sz w:val="18"/>
                <w:szCs w:val="18"/>
              </w:rPr>
              <w:t>8</w:t>
            </w:r>
          </w:p>
        </w:tc>
        <w:tc>
          <w:tcPr>
            <w:tcW w:w="1218" w:type="pct"/>
            <w:vAlign w:val="center"/>
          </w:tcPr>
          <w:p w14:paraId="0AFE51BA">
            <w:pPr>
              <w:tabs>
                <w:tab w:val="clear" w:pos="480"/>
              </w:tabs>
              <w:spacing w:line="240" w:lineRule="auto"/>
              <w:ind w:firstLine="0" w:firstLineChars="0"/>
              <w:jc w:val="center"/>
              <w:rPr>
                <w:sz w:val="18"/>
                <w:szCs w:val="18"/>
              </w:rPr>
            </w:pPr>
            <w:r>
              <w:rPr>
                <w:sz w:val="18"/>
                <w:szCs w:val="18"/>
              </w:rPr>
              <w:t>四氯化碳</w:t>
            </w:r>
          </w:p>
        </w:tc>
        <w:tc>
          <w:tcPr>
            <w:tcW w:w="801" w:type="pct"/>
            <w:vAlign w:val="center"/>
          </w:tcPr>
          <w:p w14:paraId="599210D4">
            <w:pPr>
              <w:tabs>
                <w:tab w:val="clear" w:pos="480"/>
              </w:tabs>
              <w:spacing w:line="240" w:lineRule="auto"/>
              <w:ind w:firstLine="0" w:firstLineChars="0"/>
              <w:jc w:val="center"/>
              <w:rPr>
                <w:sz w:val="18"/>
                <w:szCs w:val="18"/>
              </w:rPr>
            </w:pPr>
            <w:r>
              <w:rPr>
                <w:sz w:val="18"/>
                <w:szCs w:val="18"/>
              </w:rPr>
              <w:t>56-23-5</w:t>
            </w:r>
          </w:p>
        </w:tc>
        <w:tc>
          <w:tcPr>
            <w:tcW w:w="622" w:type="pct"/>
            <w:vAlign w:val="center"/>
          </w:tcPr>
          <w:p w14:paraId="539C8110">
            <w:pPr>
              <w:tabs>
                <w:tab w:val="clear" w:pos="480"/>
              </w:tabs>
              <w:spacing w:line="240" w:lineRule="auto"/>
              <w:ind w:firstLine="0" w:firstLineChars="0"/>
              <w:jc w:val="center"/>
              <w:rPr>
                <w:sz w:val="18"/>
                <w:szCs w:val="18"/>
              </w:rPr>
            </w:pPr>
            <w:r>
              <w:rPr>
                <w:sz w:val="18"/>
                <w:szCs w:val="18"/>
              </w:rPr>
              <w:t>0.9</w:t>
            </w:r>
          </w:p>
        </w:tc>
        <w:tc>
          <w:tcPr>
            <w:tcW w:w="622" w:type="pct"/>
            <w:vAlign w:val="center"/>
          </w:tcPr>
          <w:p w14:paraId="361019CE">
            <w:pPr>
              <w:tabs>
                <w:tab w:val="clear" w:pos="480"/>
              </w:tabs>
              <w:spacing w:line="240" w:lineRule="auto"/>
              <w:ind w:firstLine="0" w:firstLineChars="0"/>
              <w:jc w:val="center"/>
              <w:rPr>
                <w:sz w:val="18"/>
                <w:szCs w:val="18"/>
              </w:rPr>
            </w:pPr>
            <w:r>
              <w:rPr>
                <w:sz w:val="18"/>
                <w:szCs w:val="18"/>
              </w:rPr>
              <w:t>2.8</w:t>
            </w:r>
          </w:p>
        </w:tc>
        <w:tc>
          <w:tcPr>
            <w:tcW w:w="593" w:type="pct"/>
            <w:vAlign w:val="center"/>
          </w:tcPr>
          <w:p w14:paraId="22BAC942">
            <w:pPr>
              <w:tabs>
                <w:tab w:val="clear" w:pos="480"/>
              </w:tabs>
              <w:spacing w:line="240" w:lineRule="auto"/>
              <w:ind w:firstLine="0" w:firstLineChars="0"/>
              <w:jc w:val="center"/>
              <w:rPr>
                <w:sz w:val="18"/>
                <w:szCs w:val="18"/>
              </w:rPr>
            </w:pPr>
            <w:r>
              <w:rPr>
                <w:sz w:val="18"/>
                <w:szCs w:val="18"/>
              </w:rPr>
              <w:t>9</w:t>
            </w:r>
          </w:p>
        </w:tc>
        <w:tc>
          <w:tcPr>
            <w:tcW w:w="649" w:type="pct"/>
            <w:vAlign w:val="center"/>
          </w:tcPr>
          <w:p w14:paraId="72C79F26">
            <w:pPr>
              <w:tabs>
                <w:tab w:val="clear" w:pos="480"/>
              </w:tabs>
              <w:spacing w:line="240" w:lineRule="auto"/>
              <w:ind w:firstLine="0" w:firstLineChars="0"/>
              <w:jc w:val="center"/>
              <w:rPr>
                <w:sz w:val="18"/>
                <w:szCs w:val="18"/>
              </w:rPr>
            </w:pPr>
            <w:r>
              <w:rPr>
                <w:sz w:val="18"/>
                <w:szCs w:val="18"/>
              </w:rPr>
              <w:t>36</w:t>
            </w:r>
          </w:p>
        </w:tc>
      </w:tr>
      <w:tr w14:paraId="3E9374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5382EC2A">
            <w:pPr>
              <w:tabs>
                <w:tab w:val="clear" w:pos="480"/>
              </w:tabs>
              <w:spacing w:line="240" w:lineRule="auto"/>
              <w:ind w:firstLine="0" w:firstLineChars="0"/>
              <w:jc w:val="center"/>
              <w:rPr>
                <w:sz w:val="18"/>
                <w:szCs w:val="18"/>
              </w:rPr>
            </w:pPr>
            <w:r>
              <w:rPr>
                <w:sz w:val="18"/>
                <w:szCs w:val="18"/>
              </w:rPr>
              <w:t>9</w:t>
            </w:r>
          </w:p>
        </w:tc>
        <w:tc>
          <w:tcPr>
            <w:tcW w:w="1218" w:type="pct"/>
            <w:vAlign w:val="center"/>
          </w:tcPr>
          <w:p w14:paraId="60AAF0FB">
            <w:pPr>
              <w:tabs>
                <w:tab w:val="clear" w:pos="480"/>
              </w:tabs>
              <w:spacing w:line="240" w:lineRule="auto"/>
              <w:ind w:firstLine="0" w:firstLineChars="0"/>
              <w:jc w:val="center"/>
              <w:rPr>
                <w:sz w:val="18"/>
                <w:szCs w:val="18"/>
              </w:rPr>
            </w:pPr>
            <w:r>
              <w:rPr>
                <w:sz w:val="18"/>
                <w:szCs w:val="18"/>
              </w:rPr>
              <w:t>氯仿</w:t>
            </w:r>
          </w:p>
        </w:tc>
        <w:tc>
          <w:tcPr>
            <w:tcW w:w="801" w:type="pct"/>
            <w:vAlign w:val="center"/>
          </w:tcPr>
          <w:p w14:paraId="18EBB257">
            <w:pPr>
              <w:tabs>
                <w:tab w:val="clear" w:pos="480"/>
              </w:tabs>
              <w:spacing w:line="240" w:lineRule="auto"/>
              <w:ind w:firstLine="0" w:firstLineChars="0"/>
              <w:jc w:val="center"/>
              <w:rPr>
                <w:sz w:val="18"/>
                <w:szCs w:val="18"/>
              </w:rPr>
            </w:pPr>
            <w:r>
              <w:rPr>
                <w:sz w:val="18"/>
                <w:szCs w:val="18"/>
              </w:rPr>
              <w:t>67-66-3</w:t>
            </w:r>
          </w:p>
        </w:tc>
        <w:tc>
          <w:tcPr>
            <w:tcW w:w="622" w:type="pct"/>
            <w:vAlign w:val="center"/>
          </w:tcPr>
          <w:p w14:paraId="25256F53">
            <w:pPr>
              <w:tabs>
                <w:tab w:val="clear" w:pos="480"/>
              </w:tabs>
              <w:spacing w:line="240" w:lineRule="auto"/>
              <w:ind w:firstLine="0" w:firstLineChars="0"/>
              <w:jc w:val="center"/>
              <w:rPr>
                <w:sz w:val="18"/>
                <w:szCs w:val="18"/>
              </w:rPr>
            </w:pPr>
            <w:r>
              <w:rPr>
                <w:sz w:val="18"/>
                <w:szCs w:val="18"/>
              </w:rPr>
              <w:t>0.3</w:t>
            </w:r>
          </w:p>
        </w:tc>
        <w:tc>
          <w:tcPr>
            <w:tcW w:w="622" w:type="pct"/>
            <w:vAlign w:val="center"/>
          </w:tcPr>
          <w:p w14:paraId="282C9414">
            <w:pPr>
              <w:tabs>
                <w:tab w:val="clear" w:pos="480"/>
              </w:tabs>
              <w:spacing w:line="240" w:lineRule="auto"/>
              <w:ind w:firstLine="0" w:firstLineChars="0"/>
              <w:jc w:val="center"/>
              <w:rPr>
                <w:sz w:val="18"/>
                <w:szCs w:val="18"/>
              </w:rPr>
            </w:pPr>
            <w:r>
              <w:rPr>
                <w:sz w:val="18"/>
                <w:szCs w:val="18"/>
              </w:rPr>
              <w:t>0.9</w:t>
            </w:r>
          </w:p>
        </w:tc>
        <w:tc>
          <w:tcPr>
            <w:tcW w:w="593" w:type="pct"/>
            <w:vAlign w:val="center"/>
          </w:tcPr>
          <w:p w14:paraId="51397D56">
            <w:pPr>
              <w:tabs>
                <w:tab w:val="clear" w:pos="480"/>
              </w:tabs>
              <w:spacing w:line="240" w:lineRule="auto"/>
              <w:ind w:firstLine="0" w:firstLineChars="0"/>
              <w:jc w:val="center"/>
              <w:rPr>
                <w:sz w:val="18"/>
                <w:szCs w:val="18"/>
              </w:rPr>
            </w:pPr>
            <w:r>
              <w:rPr>
                <w:sz w:val="18"/>
                <w:szCs w:val="18"/>
              </w:rPr>
              <w:t>5</w:t>
            </w:r>
          </w:p>
        </w:tc>
        <w:tc>
          <w:tcPr>
            <w:tcW w:w="649" w:type="pct"/>
            <w:vAlign w:val="center"/>
          </w:tcPr>
          <w:p w14:paraId="258A1D51">
            <w:pPr>
              <w:tabs>
                <w:tab w:val="clear" w:pos="480"/>
              </w:tabs>
              <w:spacing w:line="240" w:lineRule="auto"/>
              <w:ind w:firstLine="0" w:firstLineChars="0"/>
              <w:jc w:val="center"/>
              <w:rPr>
                <w:sz w:val="18"/>
                <w:szCs w:val="18"/>
              </w:rPr>
            </w:pPr>
            <w:r>
              <w:rPr>
                <w:sz w:val="18"/>
                <w:szCs w:val="18"/>
              </w:rPr>
              <w:t>10</w:t>
            </w:r>
          </w:p>
        </w:tc>
      </w:tr>
      <w:tr w14:paraId="0561F1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39E68F28">
            <w:pPr>
              <w:tabs>
                <w:tab w:val="clear" w:pos="480"/>
              </w:tabs>
              <w:spacing w:line="240" w:lineRule="auto"/>
              <w:ind w:firstLine="0" w:firstLineChars="0"/>
              <w:jc w:val="center"/>
              <w:rPr>
                <w:sz w:val="18"/>
                <w:szCs w:val="18"/>
              </w:rPr>
            </w:pPr>
            <w:r>
              <w:rPr>
                <w:sz w:val="18"/>
                <w:szCs w:val="18"/>
              </w:rPr>
              <w:t>10</w:t>
            </w:r>
          </w:p>
        </w:tc>
        <w:tc>
          <w:tcPr>
            <w:tcW w:w="1218" w:type="pct"/>
            <w:vAlign w:val="center"/>
          </w:tcPr>
          <w:p w14:paraId="5D0EBA49">
            <w:pPr>
              <w:tabs>
                <w:tab w:val="clear" w:pos="480"/>
              </w:tabs>
              <w:spacing w:line="240" w:lineRule="auto"/>
              <w:ind w:firstLine="0" w:firstLineChars="0"/>
              <w:jc w:val="center"/>
              <w:rPr>
                <w:sz w:val="18"/>
                <w:szCs w:val="18"/>
              </w:rPr>
            </w:pPr>
            <w:r>
              <w:rPr>
                <w:sz w:val="18"/>
                <w:szCs w:val="18"/>
              </w:rPr>
              <w:t>氯甲烷</w:t>
            </w:r>
          </w:p>
        </w:tc>
        <w:tc>
          <w:tcPr>
            <w:tcW w:w="801" w:type="pct"/>
            <w:vAlign w:val="center"/>
          </w:tcPr>
          <w:p w14:paraId="190D6AAC">
            <w:pPr>
              <w:tabs>
                <w:tab w:val="clear" w:pos="480"/>
              </w:tabs>
              <w:spacing w:line="240" w:lineRule="auto"/>
              <w:ind w:firstLine="0" w:firstLineChars="0"/>
              <w:jc w:val="center"/>
              <w:rPr>
                <w:sz w:val="18"/>
                <w:szCs w:val="18"/>
              </w:rPr>
            </w:pPr>
            <w:r>
              <w:rPr>
                <w:sz w:val="18"/>
                <w:szCs w:val="18"/>
              </w:rPr>
              <w:t>74-87-3</w:t>
            </w:r>
          </w:p>
        </w:tc>
        <w:tc>
          <w:tcPr>
            <w:tcW w:w="622" w:type="pct"/>
            <w:vAlign w:val="center"/>
          </w:tcPr>
          <w:p w14:paraId="32C20E65">
            <w:pPr>
              <w:tabs>
                <w:tab w:val="clear" w:pos="480"/>
              </w:tabs>
              <w:spacing w:line="240" w:lineRule="auto"/>
              <w:ind w:firstLine="0" w:firstLineChars="0"/>
              <w:jc w:val="center"/>
              <w:rPr>
                <w:sz w:val="18"/>
                <w:szCs w:val="18"/>
              </w:rPr>
            </w:pPr>
            <w:r>
              <w:rPr>
                <w:sz w:val="18"/>
                <w:szCs w:val="18"/>
              </w:rPr>
              <w:t>12</w:t>
            </w:r>
          </w:p>
        </w:tc>
        <w:tc>
          <w:tcPr>
            <w:tcW w:w="622" w:type="pct"/>
            <w:vAlign w:val="center"/>
          </w:tcPr>
          <w:p w14:paraId="59AEFE39">
            <w:pPr>
              <w:tabs>
                <w:tab w:val="clear" w:pos="480"/>
              </w:tabs>
              <w:spacing w:line="240" w:lineRule="auto"/>
              <w:ind w:firstLine="0" w:firstLineChars="0"/>
              <w:jc w:val="center"/>
              <w:rPr>
                <w:sz w:val="18"/>
                <w:szCs w:val="18"/>
              </w:rPr>
            </w:pPr>
            <w:r>
              <w:rPr>
                <w:sz w:val="18"/>
                <w:szCs w:val="18"/>
              </w:rPr>
              <w:t>37</w:t>
            </w:r>
          </w:p>
        </w:tc>
        <w:tc>
          <w:tcPr>
            <w:tcW w:w="593" w:type="pct"/>
            <w:vAlign w:val="center"/>
          </w:tcPr>
          <w:p w14:paraId="295BC021">
            <w:pPr>
              <w:tabs>
                <w:tab w:val="clear" w:pos="480"/>
              </w:tabs>
              <w:spacing w:line="240" w:lineRule="auto"/>
              <w:ind w:firstLine="0" w:firstLineChars="0"/>
              <w:jc w:val="center"/>
              <w:rPr>
                <w:sz w:val="18"/>
                <w:szCs w:val="18"/>
              </w:rPr>
            </w:pPr>
            <w:r>
              <w:rPr>
                <w:sz w:val="18"/>
                <w:szCs w:val="18"/>
              </w:rPr>
              <w:t>21</w:t>
            </w:r>
          </w:p>
        </w:tc>
        <w:tc>
          <w:tcPr>
            <w:tcW w:w="649" w:type="pct"/>
            <w:vAlign w:val="center"/>
          </w:tcPr>
          <w:p w14:paraId="3FE66949">
            <w:pPr>
              <w:tabs>
                <w:tab w:val="clear" w:pos="480"/>
              </w:tabs>
              <w:spacing w:line="240" w:lineRule="auto"/>
              <w:ind w:firstLine="0" w:firstLineChars="0"/>
              <w:jc w:val="center"/>
              <w:rPr>
                <w:sz w:val="18"/>
                <w:szCs w:val="18"/>
              </w:rPr>
            </w:pPr>
            <w:r>
              <w:rPr>
                <w:sz w:val="18"/>
                <w:szCs w:val="18"/>
              </w:rPr>
              <w:t>120</w:t>
            </w:r>
          </w:p>
        </w:tc>
      </w:tr>
      <w:tr w14:paraId="5444F2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9732ABC">
            <w:pPr>
              <w:tabs>
                <w:tab w:val="clear" w:pos="480"/>
              </w:tabs>
              <w:spacing w:line="240" w:lineRule="auto"/>
              <w:ind w:firstLine="0" w:firstLineChars="0"/>
              <w:jc w:val="center"/>
              <w:rPr>
                <w:sz w:val="18"/>
                <w:szCs w:val="18"/>
              </w:rPr>
            </w:pPr>
            <w:r>
              <w:rPr>
                <w:sz w:val="18"/>
                <w:szCs w:val="18"/>
              </w:rPr>
              <w:t>11</w:t>
            </w:r>
          </w:p>
        </w:tc>
        <w:tc>
          <w:tcPr>
            <w:tcW w:w="1218" w:type="pct"/>
            <w:vAlign w:val="center"/>
          </w:tcPr>
          <w:p w14:paraId="723B2943">
            <w:pPr>
              <w:tabs>
                <w:tab w:val="clear" w:pos="480"/>
              </w:tabs>
              <w:spacing w:line="240" w:lineRule="auto"/>
              <w:ind w:firstLine="0" w:firstLineChars="0"/>
              <w:jc w:val="center"/>
              <w:rPr>
                <w:sz w:val="18"/>
                <w:szCs w:val="18"/>
              </w:rPr>
            </w:pPr>
            <w:r>
              <w:rPr>
                <w:sz w:val="18"/>
                <w:szCs w:val="18"/>
              </w:rPr>
              <w:t>1，1-二氯乙烷</w:t>
            </w:r>
          </w:p>
        </w:tc>
        <w:tc>
          <w:tcPr>
            <w:tcW w:w="801" w:type="pct"/>
            <w:vAlign w:val="center"/>
          </w:tcPr>
          <w:p w14:paraId="62AAEDAB">
            <w:pPr>
              <w:tabs>
                <w:tab w:val="clear" w:pos="480"/>
              </w:tabs>
              <w:spacing w:line="240" w:lineRule="auto"/>
              <w:ind w:firstLine="0" w:firstLineChars="0"/>
              <w:jc w:val="center"/>
              <w:rPr>
                <w:sz w:val="18"/>
                <w:szCs w:val="18"/>
              </w:rPr>
            </w:pPr>
            <w:r>
              <w:rPr>
                <w:sz w:val="18"/>
                <w:szCs w:val="18"/>
              </w:rPr>
              <w:t>75-34-3</w:t>
            </w:r>
          </w:p>
        </w:tc>
        <w:tc>
          <w:tcPr>
            <w:tcW w:w="622" w:type="pct"/>
            <w:vAlign w:val="center"/>
          </w:tcPr>
          <w:p w14:paraId="526C9C8D">
            <w:pPr>
              <w:tabs>
                <w:tab w:val="clear" w:pos="480"/>
              </w:tabs>
              <w:spacing w:line="240" w:lineRule="auto"/>
              <w:ind w:firstLine="0" w:firstLineChars="0"/>
              <w:jc w:val="center"/>
              <w:rPr>
                <w:sz w:val="18"/>
                <w:szCs w:val="18"/>
              </w:rPr>
            </w:pPr>
            <w:r>
              <w:rPr>
                <w:sz w:val="18"/>
                <w:szCs w:val="18"/>
              </w:rPr>
              <w:t>3</w:t>
            </w:r>
          </w:p>
        </w:tc>
        <w:tc>
          <w:tcPr>
            <w:tcW w:w="622" w:type="pct"/>
            <w:vAlign w:val="center"/>
          </w:tcPr>
          <w:p w14:paraId="2BBEA87D">
            <w:pPr>
              <w:tabs>
                <w:tab w:val="clear" w:pos="480"/>
              </w:tabs>
              <w:spacing w:line="240" w:lineRule="auto"/>
              <w:ind w:firstLine="0" w:firstLineChars="0"/>
              <w:jc w:val="center"/>
              <w:rPr>
                <w:sz w:val="18"/>
                <w:szCs w:val="18"/>
              </w:rPr>
            </w:pPr>
            <w:r>
              <w:rPr>
                <w:sz w:val="18"/>
                <w:szCs w:val="18"/>
              </w:rPr>
              <w:t>9</w:t>
            </w:r>
          </w:p>
        </w:tc>
        <w:tc>
          <w:tcPr>
            <w:tcW w:w="593" w:type="pct"/>
            <w:vAlign w:val="center"/>
          </w:tcPr>
          <w:p w14:paraId="4C528007">
            <w:pPr>
              <w:tabs>
                <w:tab w:val="clear" w:pos="480"/>
              </w:tabs>
              <w:spacing w:line="240" w:lineRule="auto"/>
              <w:ind w:firstLine="0" w:firstLineChars="0"/>
              <w:jc w:val="center"/>
              <w:rPr>
                <w:sz w:val="18"/>
                <w:szCs w:val="18"/>
              </w:rPr>
            </w:pPr>
            <w:r>
              <w:rPr>
                <w:sz w:val="18"/>
                <w:szCs w:val="18"/>
              </w:rPr>
              <w:t>20</w:t>
            </w:r>
          </w:p>
        </w:tc>
        <w:tc>
          <w:tcPr>
            <w:tcW w:w="649" w:type="pct"/>
            <w:vAlign w:val="center"/>
          </w:tcPr>
          <w:p w14:paraId="1406645D">
            <w:pPr>
              <w:tabs>
                <w:tab w:val="clear" w:pos="480"/>
              </w:tabs>
              <w:spacing w:line="240" w:lineRule="auto"/>
              <w:ind w:firstLine="0" w:firstLineChars="0"/>
              <w:jc w:val="center"/>
              <w:rPr>
                <w:sz w:val="18"/>
                <w:szCs w:val="18"/>
              </w:rPr>
            </w:pPr>
            <w:r>
              <w:rPr>
                <w:sz w:val="18"/>
                <w:szCs w:val="18"/>
              </w:rPr>
              <w:t>100</w:t>
            </w:r>
          </w:p>
        </w:tc>
      </w:tr>
      <w:tr w14:paraId="323C9E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74221EC5">
            <w:pPr>
              <w:tabs>
                <w:tab w:val="clear" w:pos="480"/>
              </w:tabs>
              <w:spacing w:line="240" w:lineRule="auto"/>
              <w:ind w:firstLine="0" w:firstLineChars="0"/>
              <w:jc w:val="center"/>
              <w:rPr>
                <w:sz w:val="18"/>
                <w:szCs w:val="18"/>
              </w:rPr>
            </w:pPr>
            <w:r>
              <w:rPr>
                <w:sz w:val="18"/>
                <w:szCs w:val="18"/>
              </w:rPr>
              <w:t>12</w:t>
            </w:r>
          </w:p>
        </w:tc>
        <w:tc>
          <w:tcPr>
            <w:tcW w:w="1218" w:type="pct"/>
            <w:vAlign w:val="center"/>
          </w:tcPr>
          <w:p w14:paraId="5C03560A">
            <w:pPr>
              <w:tabs>
                <w:tab w:val="clear" w:pos="480"/>
              </w:tabs>
              <w:spacing w:line="240" w:lineRule="auto"/>
              <w:ind w:firstLine="0" w:firstLineChars="0"/>
              <w:jc w:val="center"/>
              <w:rPr>
                <w:sz w:val="18"/>
                <w:szCs w:val="18"/>
              </w:rPr>
            </w:pPr>
            <w:r>
              <w:rPr>
                <w:sz w:val="18"/>
                <w:szCs w:val="18"/>
              </w:rPr>
              <w:t>1，2-二氯乙烷</w:t>
            </w:r>
          </w:p>
        </w:tc>
        <w:tc>
          <w:tcPr>
            <w:tcW w:w="801" w:type="pct"/>
            <w:vAlign w:val="center"/>
          </w:tcPr>
          <w:p w14:paraId="07089BD2">
            <w:pPr>
              <w:tabs>
                <w:tab w:val="clear" w:pos="480"/>
              </w:tabs>
              <w:spacing w:line="240" w:lineRule="auto"/>
              <w:ind w:firstLine="0" w:firstLineChars="0"/>
              <w:jc w:val="center"/>
              <w:rPr>
                <w:sz w:val="18"/>
                <w:szCs w:val="18"/>
              </w:rPr>
            </w:pPr>
            <w:r>
              <w:rPr>
                <w:sz w:val="18"/>
                <w:szCs w:val="18"/>
              </w:rPr>
              <w:t>107-06-2</w:t>
            </w:r>
          </w:p>
        </w:tc>
        <w:tc>
          <w:tcPr>
            <w:tcW w:w="622" w:type="pct"/>
            <w:vAlign w:val="center"/>
          </w:tcPr>
          <w:p w14:paraId="704E8720">
            <w:pPr>
              <w:tabs>
                <w:tab w:val="clear" w:pos="480"/>
              </w:tabs>
              <w:spacing w:line="240" w:lineRule="auto"/>
              <w:ind w:firstLine="0" w:firstLineChars="0"/>
              <w:jc w:val="center"/>
              <w:rPr>
                <w:sz w:val="18"/>
                <w:szCs w:val="18"/>
              </w:rPr>
            </w:pPr>
            <w:r>
              <w:rPr>
                <w:sz w:val="18"/>
                <w:szCs w:val="18"/>
              </w:rPr>
              <w:t>0.52</w:t>
            </w:r>
          </w:p>
        </w:tc>
        <w:tc>
          <w:tcPr>
            <w:tcW w:w="622" w:type="pct"/>
            <w:vAlign w:val="center"/>
          </w:tcPr>
          <w:p w14:paraId="0FA2CD8A">
            <w:pPr>
              <w:tabs>
                <w:tab w:val="clear" w:pos="480"/>
              </w:tabs>
              <w:spacing w:line="240" w:lineRule="auto"/>
              <w:ind w:firstLine="0" w:firstLineChars="0"/>
              <w:jc w:val="center"/>
              <w:rPr>
                <w:sz w:val="18"/>
                <w:szCs w:val="18"/>
              </w:rPr>
            </w:pPr>
            <w:r>
              <w:rPr>
                <w:sz w:val="18"/>
                <w:szCs w:val="18"/>
              </w:rPr>
              <w:t>5</w:t>
            </w:r>
          </w:p>
        </w:tc>
        <w:tc>
          <w:tcPr>
            <w:tcW w:w="593" w:type="pct"/>
            <w:vAlign w:val="center"/>
          </w:tcPr>
          <w:p w14:paraId="73B3E4CC">
            <w:pPr>
              <w:tabs>
                <w:tab w:val="clear" w:pos="480"/>
              </w:tabs>
              <w:spacing w:line="240" w:lineRule="auto"/>
              <w:ind w:firstLine="0" w:firstLineChars="0"/>
              <w:jc w:val="center"/>
              <w:rPr>
                <w:sz w:val="18"/>
                <w:szCs w:val="18"/>
              </w:rPr>
            </w:pPr>
            <w:r>
              <w:rPr>
                <w:sz w:val="18"/>
                <w:szCs w:val="18"/>
              </w:rPr>
              <w:t>6</w:t>
            </w:r>
          </w:p>
        </w:tc>
        <w:tc>
          <w:tcPr>
            <w:tcW w:w="649" w:type="pct"/>
            <w:vAlign w:val="center"/>
          </w:tcPr>
          <w:p w14:paraId="575D52C1">
            <w:pPr>
              <w:tabs>
                <w:tab w:val="clear" w:pos="480"/>
              </w:tabs>
              <w:spacing w:line="240" w:lineRule="auto"/>
              <w:ind w:firstLine="0" w:firstLineChars="0"/>
              <w:jc w:val="center"/>
              <w:rPr>
                <w:sz w:val="18"/>
                <w:szCs w:val="18"/>
              </w:rPr>
            </w:pPr>
            <w:r>
              <w:rPr>
                <w:sz w:val="18"/>
                <w:szCs w:val="18"/>
              </w:rPr>
              <w:t>21</w:t>
            </w:r>
          </w:p>
        </w:tc>
      </w:tr>
      <w:tr w14:paraId="3B17F1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5A9EBBF7">
            <w:pPr>
              <w:tabs>
                <w:tab w:val="clear" w:pos="480"/>
              </w:tabs>
              <w:spacing w:line="240" w:lineRule="auto"/>
              <w:ind w:firstLine="0" w:firstLineChars="0"/>
              <w:jc w:val="center"/>
              <w:rPr>
                <w:sz w:val="18"/>
                <w:szCs w:val="18"/>
              </w:rPr>
            </w:pPr>
            <w:r>
              <w:rPr>
                <w:sz w:val="18"/>
                <w:szCs w:val="18"/>
              </w:rPr>
              <w:t>13</w:t>
            </w:r>
          </w:p>
        </w:tc>
        <w:tc>
          <w:tcPr>
            <w:tcW w:w="1218" w:type="pct"/>
            <w:vAlign w:val="center"/>
          </w:tcPr>
          <w:p w14:paraId="169DCA06">
            <w:pPr>
              <w:tabs>
                <w:tab w:val="clear" w:pos="480"/>
              </w:tabs>
              <w:spacing w:line="240" w:lineRule="auto"/>
              <w:ind w:firstLine="0" w:firstLineChars="0"/>
              <w:jc w:val="center"/>
              <w:rPr>
                <w:sz w:val="18"/>
                <w:szCs w:val="18"/>
              </w:rPr>
            </w:pPr>
            <w:r>
              <w:rPr>
                <w:sz w:val="18"/>
                <w:szCs w:val="18"/>
              </w:rPr>
              <w:t>1，1-二氯乙烯</w:t>
            </w:r>
          </w:p>
        </w:tc>
        <w:tc>
          <w:tcPr>
            <w:tcW w:w="801" w:type="pct"/>
            <w:vAlign w:val="center"/>
          </w:tcPr>
          <w:p w14:paraId="3E5C131C">
            <w:pPr>
              <w:tabs>
                <w:tab w:val="clear" w:pos="480"/>
              </w:tabs>
              <w:spacing w:line="240" w:lineRule="auto"/>
              <w:ind w:firstLine="0" w:firstLineChars="0"/>
              <w:jc w:val="center"/>
              <w:rPr>
                <w:sz w:val="18"/>
                <w:szCs w:val="18"/>
              </w:rPr>
            </w:pPr>
            <w:r>
              <w:rPr>
                <w:sz w:val="18"/>
                <w:szCs w:val="18"/>
              </w:rPr>
              <w:t>75-35-4</w:t>
            </w:r>
          </w:p>
        </w:tc>
        <w:tc>
          <w:tcPr>
            <w:tcW w:w="622" w:type="pct"/>
            <w:vAlign w:val="center"/>
          </w:tcPr>
          <w:p w14:paraId="6D55E539">
            <w:pPr>
              <w:tabs>
                <w:tab w:val="clear" w:pos="480"/>
              </w:tabs>
              <w:spacing w:line="240" w:lineRule="auto"/>
              <w:ind w:firstLine="0" w:firstLineChars="0"/>
              <w:jc w:val="center"/>
              <w:rPr>
                <w:sz w:val="18"/>
                <w:szCs w:val="18"/>
              </w:rPr>
            </w:pPr>
            <w:r>
              <w:rPr>
                <w:sz w:val="18"/>
                <w:szCs w:val="18"/>
              </w:rPr>
              <w:t>12</w:t>
            </w:r>
          </w:p>
        </w:tc>
        <w:tc>
          <w:tcPr>
            <w:tcW w:w="622" w:type="pct"/>
            <w:vAlign w:val="center"/>
          </w:tcPr>
          <w:p w14:paraId="1347A390">
            <w:pPr>
              <w:tabs>
                <w:tab w:val="clear" w:pos="480"/>
              </w:tabs>
              <w:spacing w:line="240" w:lineRule="auto"/>
              <w:ind w:firstLine="0" w:firstLineChars="0"/>
              <w:jc w:val="center"/>
              <w:rPr>
                <w:sz w:val="18"/>
                <w:szCs w:val="18"/>
              </w:rPr>
            </w:pPr>
            <w:r>
              <w:rPr>
                <w:sz w:val="18"/>
                <w:szCs w:val="18"/>
              </w:rPr>
              <w:t>66</w:t>
            </w:r>
          </w:p>
        </w:tc>
        <w:tc>
          <w:tcPr>
            <w:tcW w:w="593" w:type="pct"/>
            <w:vAlign w:val="center"/>
          </w:tcPr>
          <w:p w14:paraId="3E5A757F">
            <w:pPr>
              <w:tabs>
                <w:tab w:val="clear" w:pos="480"/>
              </w:tabs>
              <w:spacing w:line="240" w:lineRule="auto"/>
              <w:ind w:firstLine="0" w:firstLineChars="0"/>
              <w:jc w:val="center"/>
              <w:rPr>
                <w:sz w:val="18"/>
                <w:szCs w:val="18"/>
              </w:rPr>
            </w:pPr>
            <w:r>
              <w:rPr>
                <w:sz w:val="18"/>
                <w:szCs w:val="18"/>
              </w:rPr>
              <w:t>40</w:t>
            </w:r>
          </w:p>
        </w:tc>
        <w:tc>
          <w:tcPr>
            <w:tcW w:w="649" w:type="pct"/>
            <w:vAlign w:val="center"/>
          </w:tcPr>
          <w:p w14:paraId="2F5A6D18">
            <w:pPr>
              <w:tabs>
                <w:tab w:val="clear" w:pos="480"/>
              </w:tabs>
              <w:spacing w:line="240" w:lineRule="auto"/>
              <w:ind w:firstLine="0" w:firstLineChars="0"/>
              <w:jc w:val="center"/>
              <w:rPr>
                <w:sz w:val="18"/>
                <w:szCs w:val="18"/>
              </w:rPr>
            </w:pPr>
            <w:r>
              <w:rPr>
                <w:sz w:val="18"/>
                <w:szCs w:val="18"/>
              </w:rPr>
              <w:t>200</w:t>
            </w:r>
          </w:p>
        </w:tc>
      </w:tr>
      <w:tr w14:paraId="0DEAB5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086AC68">
            <w:pPr>
              <w:tabs>
                <w:tab w:val="clear" w:pos="480"/>
              </w:tabs>
              <w:spacing w:line="240" w:lineRule="auto"/>
              <w:ind w:firstLine="0" w:firstLineChars="0"/>
              <w:jc w:val="center"/>
              <w:rPr>
                <w:sz w:val="18"/>
                <w:szCs w:val="18"/>
              </w:rPr>
            </w:pPr>
            <w:r>
              <w:rPr>
                <w:sz w:val="18"/>
                <w:szCs w:val="18"/>
              </w:rPr>
              <w:t>14</w:t>
            </w:r>
          </w:p>
        </w:tc>
        <w:tc>
          <w:tcPr>
            <w:tcW w:w="1218" w:type="pct"/>
            <w:vAlign w:val="center"/>
          </w:tcPr>
          <w:p w14:paraId="6990C5DB">
            <w:pPr>
              <w:tabs>
                <w:tab w:val="clear" w:pos="480"/>
              </w:tabs>
              <w:spacing w:line="240" w:lineRule="auto"/>
              <w:ind w:firstLine="0" w:firstLineChars="0"/>
              <w:jc w:val="center"/>
              <w:rPr>
                <w:sz w:val="18"/>
                <w:szCs w:val="18"/>
              </w:rPr>
            </w:pPr>
            <w:r>
              <w:rPr>
                <w:sz w:val="18"/>
                <w:szCs w:val="18"/>
              </w:rPr>
              <w:t>顺-1，2-二氯乙烯</w:t>
            </w:r>
          </w:p>
        </w:tc>
        <w:tc>
          <w:tcPr>
            <w:tcW w:w="801" w:type="pct"/>
            <w:vAlign w:val="center"/>
          </w:tcPr>
          <w:p w14:paraId="7203459C">
            <w:pPr>
              <w:tabs>
                <w:tab w:val="clear" w:pos="480"/>
              </w:tabs>
              <w:spacing w:line="240" w:lineRule="auto"/>
              <w:ind w:firstLine="0" w:firstLineChars="0"/>
              <w:jc w:val="center"/>
              <w:rPr>
                <w:sz w:val="18"/>
                <w:szCs w:val="18"/>
              </w:rPr>
            </w:pPr>
            <w:r>
              <w:rPr>
                <w:sz w:val="18"/>
                <w:szCs w:val="18"/>
              </w:rPr>
              <w:t>156-59-2</w:t>
            </w:r>
          </w:p>
        </w:tc>
        <w:tc>
          <w:tcPr>
            <w:tcW w:w="622" w:type="pct"/>
            <w:vAlign w:val="center"/>
          </w:tcPr>
          <w:p w14:paraId="029276D3">
            <w:pPr>
              <w:tabs>
                <w:tab w:val="clear" w:pos="480"/>
              </w:tabs>
              <w:spacing w:line="240" w:lineRule="auto"/>
              <w:ind w:firstLine="0" w:firstLineChars="0"/>
              <w:jc w:val="center"/>
              <w:rPr>
                <w:sz w:val="18"/>
                <w:szCs w:val="18"/>
              </w:rPr>
            </w:pPr>
            <w:r>
              <w:rPr>
                <w:sz w:val="18"/>
                <w:szCs w:val="18"/>
              </w:rPr>
              <w:t>66</w:t>
            </w:r>
          </w:p>
        </w:tc>
        <w:tc>
          <w:tcPr>
            <w:tcW w:w="622" w:type="pct"/>
            <w:vAlign w:val="center"/>
          </w:tcPr>
          <w:p w14:paraId="47E52796">
            <w:pPr>
              <w:tabs>
                <w:tab w:val="clear" w:pos="480"/>
              </w:tabs>
              <w:spacing w:line="240" w:lineRule="auto"/>
              <w:ind w:firstLine="0" w:firstLineChars="0"/>
              <w:jc w:val="center"/>
              <w:rPr>
                <w:sz w:val="18"/>
                <w:szCs w:val="18"/>
              </w:rPr>
            </w:pPr>
            <w:r>
              <w:rPr>
                <w:sz w:val="18"/>
                <w:szCs w:val="18"/>
              </w:rPr>
              <w:t>596</w:t>
            </w:r>
          </w:p>
        </w:tc>
        <w:tc>
          <w:tcPr>
            <w:tcW w:w="593" w:type="pct"/>
            <w:vAlign w:val="center"/>
          </w:tcPr>
          <w:p w14:paraId="3D2C8268">
            <w:pPr>
              <w:tabs>
                <w:tab w:val="clear" w:pos="480"/>
              </w:tabs>
              <w:spacing w:line="240" w:lineRule="auto"/>
              <w:ind w:firstLine="0" w:firstLineChars="0"/>
              <w:jc w:val="center"/>
              <w:rPr>
                <w:sz w:val="18"/>
                <w:szCs w:val="18"/>
              </w:rPr>
            </w:pPr>
            <w:r>
              <w:rPr>
                <w:sz w:val="18"/>
                <w:szCs w:val="18"/>
              </w:rPr>
              <w:t>200</w:t>
            </w:r>
          </w:p>
        </w:tc>
        <w:tc>
          <w:tcPr>
            <w:tcW w:w="649" w:type="pct"/>
            <w:vAlign w:val="center"/>
          </w:tcPr>
          <w:p w14:paraId="6F93A340">
            <w:pPr>
              <w:tabs>
                <w:tab w:val="clear" w:pos="480"/>
              </w:tabs>
              <w:spacing w:line="240" w:lineRule="auto"/>
              <w:ind w:firstLine="0" w:firstLineChars="0"/>
              <w:jc w:val="center"/>
              <w:rPr>
                <w:sz w:val="18"/>
                <w:szCs w:val="18"/>
              </w:rPr>
            </w:pPr>
            <w:r>
              <w:rPr>
                <w:sz w:val="18"/>
                <w:szCs w:val="18"/>
              </w:rPr>
              <w:t>2000</w:t>
            </w:r>
          </w:p>
        </w:tc>
      </w:tr>
      <w:tr w14:paraId="47A925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003EF516">
            <w:pPr>
              <w:tabs>
                <w:tab w:val="clear" w:pos="480"/>
              </w:tabs>
              <w:spacing w:line="240" w:lineRule="auto"/>
              <w:ind w:firstLine="0" w:firstLineChars="0"/>
              <w:jc w:val="center"/>
              <w:rPr>
                <w:sz w:val="18"/>
                <w:szCs w:val="18"/>
              </w:rPr>
            </w:pPr>
            <w:r>
              <w:rPr>
                <w:sz w:val="18"/>
                <w:szCs w:val="18"/>
              </w:rPr>
              <w:t>15</w:t>
            </w:r>
          </w:p>
        </w:tc>
        <w:tc>
          <w:tcPr>
            <w:tcW w:w="1218" w:type="pct"/>
            <w:vAlign w:val="center"/>
          </w:tcPr>
          <w:p w14:paraId="0A4D0258">
            <w:pPr>
              <w:tabs>
                <w:tab w:val="clear" w:pos="480"/>
              </w:tabs>
              <w:spacing w:line="240" w:lineRule="auto"/>
              <w:ind w:firstLine="0" w:firstLineChars="0"/>
              <w:jc w:val="center"/>
              <w:rPr>
                <w:sz w:val="18"/>
                <w:szCs w:val="18"/>
              </w:rPr>
            </w:pPr>
            <w:r>
              <w:rPr>
                <w:sz w:val="18"/>
                <w:szCs w:val="18"/>
              </w:rPr>
              <w:t>反-1，2-二氯乙烯</w:t>
            </w:r>
          </w:p>
        </w:tc>
        <w:tc>
          <w:tcPr>
            <w:tcW w:w="801" w:type="pct"/>
            <w:vAlign w:val="center"/>
          </w:tcPr>
          <w:p w14:paraId="475FAA09">
            <w:pPr>
              <w:tabs>
                <w:tab w:val="clear" w:pos="480"/>
              </w:tabs>
              <w:spacing w:line="240" w:lineRule="auto"/>
              <w:ind w:firstLine="0" w:firstLineChars="0"/>
              <w:jc w:val="center"/>
              <w:rPr>
                <w:sz w:val="18"/>
                <w:szCs w:val="18"/>
              </w:rPr>
            </w:pPr>
            <w:r>
              <w:rPr>
                <w:sz w:val="18"/>
                <w:szCs w:val="18"/>
              </w:rPr>
              <w:t>156-60-5</w:t>
            </w:r>
          </w:p>
        </w:tc>
        <w:tc>
          <w:tcPr>
            <w:tcW w:w="622" w:type="pct"/>
            <w:vAlign w:val="center"/>
          </w:tcPr>
          <w:p w14:paraId="3C0AE8BD">
            <w:pPr>
              <w:tabs>
                <w:tab w:val="clear" w:pos="480"/>
              </w:tabs>
              <w:spacing w:line="240" w:lineRule="auto"/>
              <w:ind w:firstLine="0" w:firstLineChars="0"/>
              <w:jc w:val="center"/>
              <w:rPr>
                <w:sz w:val="18"/>
                <w:szCs w:val="18"/>
              </w:rPr>
            </w:pPr>
            <w:r>
              <w:rPr>
                <w:sz w:val="18"/>
                <w:szCs w:val="18"/>
              </w:rPr>
              <w:t>10</w:t>
            </w:r>
          </w:p>
        </w:tc>
        <w:tc>
          <w:tcPr>
            <w:tcW w:w="622" w:type="pct"/>
            <w:vAlign w:val="center"/>
          </w:tcPr>
          <w:p w14:paraId="098F5E2D">
            <w:pPr>
              <w:tabs>
                <w:tab w:val="clear" w:pos="480"/>
              </w:tabs>
              <w:spacing w:line="240" w:lineRule="auto"/>
              <w:ind w:firstLine="0" w:firstLineChars="0"/>
              <w:jc w:val="center"/>
              <w:rPr>
                <w:sz w:val="18"/>
                <w:szCs w:val="18"/>
              </w:rPr>
            </w:pPr>
            <w:r>
              <w:rPr>
                <w:sz w:val="18"/>
                <w:szCs w:val="18"/>
              </w:rPr>
              <w:t>54</w:t>
            </w:r>
          </w:p>
        </w:tc>
        <w:tc>
          <w:tcPr>
            <w:tcW w:w="593" w:type="pct"/>
            <w:vAlign w:val="center"/>
          </w:tcPr>
          <w:p w14:paraId="5C1C8AB6">
            <w:pPr>
              <w:tabs>
                <w:tab w:val="clear" w:pos="480"/>
              </w:tabs>
              <w:spacing w:line="240" w:lineRule="auto"/>
              <w:ind w:firstLine="0" w:firstLineChars="0"/>
              <w:jc w:val="center"/>
              <w:rPr>
                <w:sz w:val="18"/>
                <w:szCs w:val="18"/>
              </w:rPr>
            </w:pPr>
            <w:r>
              <w:rPr>
                <w:sz w:val="18"/>
                <w:szCs w:val="18"/>
              </w:rPr>
              <w:t>31</w:t>
            </w:r>
          </w:p>
        </w:tc>
        <w:tc>
          <w:tcPr>
            <w:tcW w:w="649" w:type="pct"/>
            <w:vAlign w:val="center"/>
          </w:tcPr>
          <w:p w14:paraId="4E0241F5">
            <w:pPr>
              <w:tabs>
                <w:tab w:val="clear" w:pos="480"/>
              </w:tabs>
              <w:spacing w:line="240" w:lineRule="auto"/>
              <w:ind w:firstLine="0" w:firstLineChars="0"/>
              <w:jc w:val="center"/>
              <w:rPr>
                <w:sz w:val="18"/>
                <w:szCs w:val="18"/>
              </w:rPr>
            </w:pPr>
            <w:r>
              <w:rPr>
                <w:sz w:val="18"/>
                <w:szCs w:val="18"/>
              </w:rPr>
              <w:t>163</w:t>
            </w:r>
          </w:p>
        </w:tc>
      </w:tr>
      <w:tr w14:paraId="7D49D8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3F17373D">
            <w:pPr>
              <w:tabs>
                <w:tab w:val="clear" w:pos="480"/>
              </w:tabs>
              <w:spacing w:line="240" w:lineRule="auto"/>
              <w:ind w:firstLine="0" w:firstLineChars="0"/>
              <w:jc w:val="center"/>
              <w:rPr>
                <w:sz w:val="18"/>
                <w:szCs w:val="18"/>
              </w:rPr>
            </w:pPr>
            <w:r>
              <w:rPr>
                <w:sz w:val="18"/>
                <w:szCs w:val="18"/>
              </w:rPr>
              <w:t>16</w:t>
            </w:r>
          </w:p>
        </w:tc>
        <w:tc>
          <w:tcPr>
            <w:tcW w:w="1218" w:type="pct"/>
            <w:vAlign w:val="center"/>
          </w:tcPr>
          <w:p w14:paraId="78AEED62">
            <w:pPr>
              <w:tabs>
                <w:tab w:val="clear" w:pos="480"/>
              </w:tabs>
              <w:spacing w:line="240" w:lineRule="auto"/>
              <w:ind w:firstLine="0" w:firstLineChars="0"/>
              <w:jc w:val="center"/>
              <w:rPr>
                <w:sz w:val="18"/>
                <w:szCs w:val="18"/>
              </w:rPr>
            </w:pPr>
            <w:r>
              <w:rPr>
                <w:sz w:val="18"/>
                <w:szCs w:val="18"/>
              </w:rPr>
              <w:t>二氯甲烷</w:t>
            </w:r>
          </w:p>
        </w:tc>
        <w:tc>
          <w:tcPr>
            <w:tcW w:w="801" w:type="pct"/>
            <w:vAlign w:val="center"/>
          </w:tcPr>
          <w:p w14:paraId="69D5BAB7">
            <w:pPr>
              <w:tabs>
                <w:tab w:val="clear" w:pos="480"/>
              </w:tabs>
              <w:spacing w:line="240" w:lineRule="auto"/>
              <w:ind w:firstLine="0" w:firstLineChars="0"/>
              <w:jc w:val="center"/>
              <w:rPr>
                <w:sz w:val="18"/>
                <w:szCs w:val="18"/>
              </w:rPr>
            </w:pPr>
            <w:r>
              <w:rPr>
                <w:sz w:val="18"/>
                <w:szCs w:val="18"/>
              </w:rPr>
              <w:t>75-09-2</w:t>
            </w:r>
          </w:p>
        </w:tc>
        <w:tc>
          <w:tcPr>
            <w:tcW w:w="622" w:type="pct"/>
            <w:vAlign w:val="center"/>
          </w:tcPr>
          <w:p w14:paraId="4768F0E5">
            <w:pPr>
              <w:tabs>
                <w:tab w:val="clear" w:pos="480"/>
              </w:tabs>
              <w:spacing w:line="240" w:lineRule="auto"/>
              <w:ind w:firstLine="0" w:firstLineChars="0"/>
              <w:jc w:val="center"/>
              <w:rPr>
                <w:sz w:val="18"/>
                <w:szCs w:val="18"/>
              </w:rPr>
            </w:pPr>
            <w:r>
              <w:rPr>
                <w:sz w:val="18"/>
                <w:szCs w:val="18"/>
              </w:rPr>
              <w:t>94</w:t>
            </w:r>
          </w:p>
        </w:tc>
        <w:tc>
          <w:tcPr>
            <w:tcW w:w="622" w:type="pct"/>
            <w:vAlign w:val="center"/>
          </w:tcPr>
          <w:p w14:paraId="1FEE690B">
            <w:pPr>
              <w:tabs>
                <w:tab w:val="clear" w:pos="480"/>
              </w:tabs>
              <w:spacing w:line="240" w:lineRule="auto"/>
              <w:ind w:firstLine="0" w:firstLineChars="0"/>
              <w:jc w:val="center"/>
              <w:rPr>
                <w:sz w:val="18"/>
                <w:szCs w:val="18"/>
              </w:rPr>
            </w:pPr>
            <w:r>
              <w:rPr>
                <w:sz w:val="18"/>
                <w:szCs w:val="18"/>
              </w:rPr>
              <w:t>616</w:t>
            </w:r>
          </w:p>
        </w:tc>
        <w:tc>
          <w:tcPr>
            <w:tcW w:w="593" w:type="pct"/>
            <w:vAlign w:val="center"/>
          </w:tcPr>
          <w:p w14:paraId="18409B66">
            <w:pPr>
              <w:tabs>
                <w:tab w:val="clear" w:pos="480"/>
              </w:tabs>
              <w:spacing w:line="240" w:lineRule="auto"/>
              <w:ind w:firstLine="0" w:firstLineChars="0"/>
              <w:jc w:val="center"/>
              <w:rPr>
                <w:sz w:val="18"/>
                <w:szCs w:val="18"/>
              </w:rPr>
            </w:pPr>
            <w:r>
              <w:rPr>
                <w:sz w:val="18"/>
                <w:szCs w:val="18"/>
              </w:rPr>
              <w:t>300</w:t>
            </w:r>
          </w:p>
        </w:tc>
        <w:tc>
          <w:tcPr>
            <w:tcW w:w="649" w:type="pct"/>
            <w:vAlign w:val="center"/>
          </w:tcPr>
          <w:p w14:paraId="019647B7">
            <w:pPr>
              <w:tabs>
                <w:tab w:val="clear" w:pos="480"/>
              </w:tabs>
              <w:spacing w:line="240" w:lineRule="auto"/>
              <w:ind w:firstLine="0" w:firstLineChars="0"/>
              <w:jc w:val="center"/>
              <w:rPr>
                <w:sz w:val="18"/>
                <w:szCs w:val="18"/>
              </w:rPr>
            </w:pPr>
            <w:r>
              <w:rPr>
                <w:sz w:val="18"/>
                <w:szCs w:val="18"/>
              </w:rPr>
              <w:t>2000</w:t>
            </w:r>
          </w:p>
        </w:tc>
      </w:tr>
      <w:tr w14:paraId="43E3D1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50A2A3C">
            <w:pPr>
              <w:tabs>
                <w:tab w:val="clear" w:pos="480"/>
              </w:tabs>
              <w:spacing w:line="240" w:lineRule="auto"/>
              <w:ind w:firstLine="0" w:firstLineChars="0"/>
              <w:jc w:val="center"/>
              <w:rPr>
                <w:sz w:val="18"/>
                <w:szCs w:val="18"/>
              </w:rPr>
            </w:pPr>
            <w:r>
              <w:rPr>
                <w:sz w:val="18"/>
                <w:szCs w:val="18"/>
              </w:rPr>
              <w:t>17</w:t>
            </w:r>
          </w:p>
        </w:tc>
        <w:tc>
          <w:tcPr>
            <w:tcW w:w="1218" w:type="pct"/>
            <w:vAlign w:val="center"/>
          </w:tcPr>
          <w:p w14:paraId="42030674">
            <w:pPr>
              <w:tabs>
                <w:tab w:val="clear" w:pos="480"/>
              </w:tabs>
              <w:spacing w:line="240" w:lineRule="auto"/>
              <w:ind w:firstLine="0" w:firstLineChars="0"/>
              <w:jc w:val="center"/>
              <w:rPr>
                <w:sz w:val="18"/>
                <w:szCs w:val="18"/>
              </w:rPr>
            </w:pPr>
            <w:r>
              <w:rPr>
                <w:sz w:val="18"/>
                <w:szCs w:val="18"/>
              </w:rPr>
              <w:t>1，2-二氯丙烷</w:t>
            </w:r>
          </w:p>
        </w:tc>
        <w:tc>
          <w:tcPr>
            <w:tcW w:w="801" w:type="pct"/>
            <w:vAlign w:val="center"/>
          </w:tcPr>
          <w:p w14:paraId="091B74FF">
            <w:pPr>
              <w:tabs>
                <w:tab w:val="clear" w:pos="480"/>
              </w:tabs>
              <w:spacing w:line="240" w:lineRule="auto"/>
              <w:ind w:firstLine="0" w:firstLineChars="0"/>
              <w:jc w:val="center"/>
              <w:rPr>
                <w:sz w:val="18"/>
                <w:szCs w:val="18"/>
              </w:rPr>
            </w:pPr>
            <w:r>
              <w:rPr>
                <w:sz w:val="18"/>
                <w:szCs w:val="18"/>
              </w:rPr>
              <w:t>78-87-5</w:t>
            </w:r>
          </w:p>
        </w:tc>
        <w:tc>
          <w:tcPr>
            <w:tcW w:w="622" w:type="pct"/>
            <w:vAlign w:val="center"/>
          </w:tcPr>
          <w:p w14:paraId="7D6420D7">
            <w:pPr>
              <w:tabs>
                <w:tab w:val="clear" w:pos="480"/>
              </w:tabs>
              <w:spacing w:line="240" w:lineRule="auto"/>
              <w:ind w:firstLine="0" w:firstLineChars="0"/>
              <w:jc w:val="center"/>
              <w:rPr>
                <w:sz w:val="18"/>
                <w:szCs w:val="18"/>
              </w:rPr>
            </w:pPr>
            <w:r>
              <w:rPr>
                <w:sz w:val="18"/>
                <w:szCs w:val="18"/>
              </w:rPr>
              <w:t>1</w:t>
            </w:r>
          </w:p>
        </w:tc>
        <w:tc>
          <w:tcPr>
            <w:tcW w:w="622" w:type="pct"/>
            <w:vAlign w:val="center"/>
          </w:tcPr>
          <w:p w14:paraId="054CDFE1">
            <w:pPr>
              <w:tabs>
                <w:tab w:val="clear" w:pos="480"/>
              </w:tabs>
              <w:spacing w:line="240" w:lineRule="auto"/>
              <w:ind w:firstLine="0" w:firstLineChars="0"/>
              <w:jc w:val="center"/>
              <w:rPr>
                <w:sz w:val="18"/>
                <w:szCs w:val="18"/>
              </w:rPr>
            </w:pPr>
            <w:r>
              <w:rPr>
                <w:sz w:val="18"/>
                <w:szCs w:val="18"/>
              </w:rPr>
              <w:t>5</w:t>
            </w:r>
          </w:p>
        </w:tc>
        <w:tc>
          <w:tcPr>
            <w:tcW w:w="593" w:type="pct"/>
            <w:vAlign w:val="center"/>
          </w:tcPr>
          <w:p w14:paraId="7135734E">
            <w:pPr>
              <w:tabs>
                <w:tab w:val="clear" w:pos="480"/>
              </w:tabs>
              <w:spacing w:line="240" w:lineRule="auto"/>
              <w:ind w:firstLine="0" w:firstLineChars="0"/>
              <w:jc w:val="center"/>
              <w:rPr>
                <w:sz w:val="18"/>
                <w:szCs w:val="18"/>
              </w:rPr>
            </w:pPr>
            <w:r>
              <w:rPr>
                <w:sz w:val="18"/>
                <w:szCs w:val="18"/>
              </w:rPr>
              <w:t>5</w:t>
            </w:r>
          </w:p>
        </w:tc>
        <w:tc>
          <w:tcPr>
            <w:tcW w:w="649" w:type="pct"/>
            <w:vAlign w:val="center"/>
          </w:tcPr>
          <w:p w14:paraId="2A957CDC">
            <w:pPr>
              <w:tabs>
                <w:tab w:val="clear" w:pos="480"/>
              </w:tabs>
              <w:spacing w:line="240" w:lineRule="auto"/>
              <w:ind w:firstLine="0" w:firstLineChars="0"/>
              <w:jc w:val="center"/>
              <w:rPr>
                <w:sz w:val="18"/>
                <w:szCs w:val="18"/>
              </w:rPr>
            </w:pPr>
            <w:r>
              <w:rPr>
                <w:sz w:val="18"/>
                <w:szCs w:val="18"/>
              </w:rPr>
              <w:t>47</w:t>
            </w:r>
          </w:p>
        </w:tc>
      </w:tr>
      <w:tr w14:paraId="3BBDF8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5F36835">
            <w:pPr>
              <w:tabs>
                <w:tab w:val="clear" w:pos="480"/>
              </w:tabs>
              <w:spacing w:line="240" w:lineRule="auto"/>
              <w:ind w:firstLine="0" w:firstLineChars="0"/>
              <w:jc w:val="center"/>
              <w:rPr>
                <w:sz w:val="18"/>
                <w:szCs w:val="18"/>
              </w:rPr>
            </w:pPr>
            <w:r>
              <w:rPr>
                <w:sz w:val="18"/>
                <w:szCs w:val="18"/>
              </w:rPr>
              <w:t>18</w:t>
            </w:r>
          </w:p>
        </w:tc>
        <w:tc>
          <w:tcPr>
            <w:tcW w:w="1218" w:type="pct"/>
            <w:vAlign w:val="center"/>
          </w:tcPr>
          <w:p w14:paraId="35F17379">
            <w:pPr>
              <w:tabs>
                <w:tab w:val="clear" w:pos="480"/>
              </w:tabs>
              <w:spacing w:line="240" w:lineRule="auto"/>
              <w:ind w:firstLine="0" w:firstLineChars="0"/>
              <w:jc w:val="center"/>
              <w:rPr>
                <w:sz w:val="18"/>
                <w:szCs w:val="18"/>
              </w:rPr>
            </w:pPr>
            <w:r>
              <w:rPr>
                <w:sz w:val="18"/>
                <w:szCs w:val="18"/>
              </w:rPr>
              <w:t>1，1，1，2-四氯乙烷</w:t>
            </w:r>
          </w:p>
        </w:tc>
        <w:tc>
          <w:tcPr>
            <w:tcW w:w="801" w:type="pct"/>
            <w:vAlign w:val="center"/>
          </w:tcPr>
          <w:p w14:paraId="0AE7C7F8">
            <w:pPr>
              <w:tabs>
                <w:tab w:val="clear" w:pos="480"/>
              </w:tabs>
              <w:spacing w:line="240" w:lineRule="auto"/>
              <w:ind w:firstLine="0" w:firstLineChars="0"/>
              <w:jc w:val="center"/>
              <w:rPr>
                <w:sz w:val="18"/>
                <w:szCs w:val="18"/>
              </w:rPr>
            </w:pPr>
            <w:r>
              <w:rPr>
                <w:sz w:val="18"/>
                <w:szCs w:val="18"/>
              </w:rPr>
              <w:t>630-20-6</w:t>
            </w:r>
          </w:p>
        </w:tc>
        <w:tc>
          <w:tcPr>
            <w:tcW w:w="622" w:type="pct"/>
            <w:vAlign w:val="center"/>
          </w:tcPr>
          <w:p w14:paraId="78EF34DB">
            <w:pPr>
              <w:tabs>
                <w:tab w:val="clear" w:pos="480"/>
              </w:tabs>
              <w:spacing w:line="240" w:lineRule="auto"/>
              <w:ind w:firstLine="0" w:firstLineChars="0"/>
              <w:jc w:val="center"/>
              <w:rPr>
                <w:sz w:val="18"/>
                <w:szCs w:val="18"/>
              </w:rPr>
            </w:pPr>
            <w:r>
              <w:rPr>
                <w:sz w:val="18"/>
                <w:szCs w:val="18"/>
              </w:rPr>
              <w:t>2.6</w:t>
            </w:r>
          </w:p>
        </w:tc>
        <w:tc>
          <w:tcPr>
            <w:tcW w:w="622" w:type="pct"/>
            <w:vAlign w:val="center"/>
          </w:tcPr>
          <w:p w14:paraId="0BCBA581">
            <w:pPr>
              <w:tabs>
                <w:tab w:val="clear" w:pos="480"/>
              </w:tabs>
              <w:spacing w:line="240" w:lineRule="auto"/>
              <w:ind w:firstLine="0" w:firstLineChars="0"/>
              <w:jc w:val="center"/>
              <w:rPr>
                <w:sz w:val="18"/>
                <w:szCs w:val="18"/>
              </w:rPr>
            </w:pPr>
            <w:r>
              <w:rPr>
                <w:sz w:val="18"/>
                <w:szCs w:val="18"/>
              </w:rPr>
              <w:t>10</w:t>
            </w:r>
          </w:p>
        </w:tc>
        <w:tc>
          <w:tcPr>
            <w:tcW w:w="593" w:type="pct"/>
            <w:vAlign w:val="center"/>
          </w:tcPr>
          <w:p w14:paraId="1E9907BA">
            <w:pPr>
              <w:tabs>
                <w:tab w:val="clear" w:pos="480"/>
              </w:tabs>
              <w:spacing w:line="240" w:lineRule="auto"/>
              <w:ind w:firstLine="0" w:firstLineChars="0"/>
              <w:jc w:val="center"/>
              <w:rPr>
                <w:sz w:val="18"/>
                <w:szCs w:val="18"/>
              </w:rPr>
            </w:pPr>
            <w:r>
              <w:rPr>
                <w:sz w:val="18"/>
                <w:szCs w:val="18"/>
              </w:rPr>
              <w:t>26</w:t>
            </w:r>
          </w:p>
        </w:tc>
        <w:tc>
          <w:tcPr>
            <w:tcW w:w="649" w:type="pct"/>
            <w:vAlign w:val="center"/>
          </w:tcPr>
          <w:p w14:paraId="6FCA3772">
            <w:pPr>
              <w:tabs>
                <w:tab w:val="clear" w:pos="480"/>
              </w:tabs>
              <w:spacing w:line="240" w:lineRule="auto"/>
              <w:ind w:firstLine="0" w:firstLineChars="0"/>
              <w:jc w:val="center"/>
              <w:rPr>
                <w:sz w:val="18"/>
                <w:szCs w:val="18"/>
              </w:rPr>
            </w:pPr>
            <w:r>
              <w:rPr>
                <w:sz w:val="18"/>
                <w:szCs w:val="18"/>
              </w:rPr>
              <w:t>100</w:t>
            </w:r>
          </w:p>
        </w:tc>
      </w:tr>
      <w:tr w14:paraId="7F2BEF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01E7394F">
            <w:pPr>
              <w:tabs>
                <w:tab w:val="clear" w:pos="480"/>
              </w:tabs>
              <w:spacing w:line="240" w:lineRule="auto"/>
              <w:ind w:firstLine="0" w:firstLineChars="0"/>
              <w:jc w:val="center"/>
              <w:rPr>
                <w:sz w:val="18"/>
                <w:szCs w:val="18"/>
              </w:rPr>
            </w:pPr>
            <w:r>
              <w:rPr>
                <w:sz w:val="18"/>
                <w:szCs w:val="18"/>
              </w:rPr>
              <w:t>19</w:t>
            </w:r>
          </w:p>
        </w:tc>
        <w:tc>
          <w:tcPr>
            <w:tcW w:w="1218" w:type="pct"/>
            <w:vAlign w:val="center"/>
          </w:tcPr>
          <w:p w14:paraId="1E8E4672">
            <w:pPr>
              <w:tabs>
                <w:tab w:val="clear" w:pos="480"/>
              </w:tabs>
              <w:spacing w:line="240" w:lineRule="auto"/>
              <w:ind w:firstLine="0" w:firstLineChars="0"/>
              <w:jc w:val="center"/>
              <w:rPr>
                <w:sz w:val="18"/>
                <w:szCs w:val="18"/>
              </w:rPr>
            </w:pPr>
            <w:r>
              <w:rPr>
                <w:sz w:val="18"/>
                <w:szCs w:val="18"/>
              </w:rPr>
              <w:t>1，1，2，2-四氯乙烷</w:t>
            </w:r>
          </w:p>
        </w:tc>
        <w:tc>
          <w:tcPr>
            <w:tcW w:w="801" w:type="pct"/>
            <w:vAlign w:val="center"/>
          </w:tcPr>
          <w:p w14:paraId="5331467A">
            <w:pPr>
              <w:tabs>
                <w:tab w:val="clear" w:pos="480"/>
              </w:tabs>
              <w:spacing w:line="240" w:lineRule="auto"/>
              <w:ind w:firstLine="0" w:firstLineChars="0"/>
              <w:jc w:val="center"/>
              <w:rPr>
                <w:sz w:val="18"/>
                <w:szCs w:val="18"/>
              </w:rPr>
            </w:pPr>
            <w:r>
              <w:rPr>
                <w:sz w:val="18"/>
                <w:szCs w:val="18"/>
              </w:rPr>
              <w:t>79-34-5</w:t>
            </w:r>
          </w:p>
        </w:tc>
        <w:tc>
          <w:tcPr>
            <w:tcW w:w="622" w:type="pct"/>
            <w:vAlign w:val="center"/>
          </w:tcPr>
          <w:p w14:paraId="2469969B">
            <w:pPr>
              <w:tabs>
                <w:tab w:val="clear" w:pos="480"/>
              </w:tabs>
              <w:spacing w:line="240" w:lineRule="auto"/>
              <w:ind w:firstLine="0" w:firstLineChars="0"/>
              <w:jc w:val="center"/>
              <w:rPr>
                <w:sz w:val="18"/>
                <w:szCs w:val="18"/>
              </w:rPr>
            </w:pPr>
            <w:r>
              <w:rPr>
                <w:sz w:val="18"/>
                <w:szCs w:val="18"/>
              </w:rPr>
              <w:t>1.6</w:t>
            </w:r>
          </w:p>
        </w:tc>
        <w:tc>
          <w:tcPr>
            <w:tcW w:w="622" w:type="pct"/>
            <w:vAlign w:val="center"/>
          </w:tcPr>
          <w:p w14:paraId="01C37B73">
            <w:pPr>
              <w:tabs>
                <w:tab w:val="clear" w:pos="480"/>
              </w:tabs>
              <w:spacing w:line="240" w:lineRule="auto"/>
              <w:ind w:firstLine="0" w:firstLineChars="0"/>
              <w:jc w:val="center"/>
              <w:rPr>
                <w:sz w:val="18"/>
                <w:szCs w:val="18"/>
              </w:rPr>
            </w:pPr>
            <w:r>
              <w:rPr>
                <w:sz w:val="18"/>
                <w:szCs w:val="18"/>
              </w:rPr>
              <w:t>6.8</w:t>
            </w:r>
          </w:p>
        </w:tc>
        <w:tc>
          <w:tcPr>
            <w:tcW w:w="593" w:type="pct"/>
            <w:vAlign w:val="center"/>
          </w:tcPr>
          <w:p w14:paraId="436394AA">
            <w:pPr>
              <w:tabs>
                <w:tab w:val="clear" w:pos="480"/>
              </w:tabs>
              <w:spacing w:line="240" w:lineRule="auto"/>
              <w:ind w:firstLine="0" w:firstLineChars="0"/>
              <w:jc w:val="center"/>
              <w:rPr>
                <w:sz w:val="18"/>
                <w:szCs w:val="18"/>
              </w:rPr>
            </w:pPr>
            <w:r>
              <w:rPr>
                <w:sz w:val="18"/>
                <w:szCs w:val="18"/>
              </w:rPr>
              <w:t>14</w:t>
            </w:r>
          </w:p>
        </w:tc>
        <w:tc>
          <w:tcPr>
            <w:tcW w:w="649" w:type="pct"/>
            <w:vAlign w:val="center"/>
          </w:tcPr>
          <w:p w14:paraId="5E4B05D7">
            <w:pPr>
              <w:tabs>
                <w:tab w:val="clear" w:pos="480"/>
              </w:tabs>
              <w:spacing w:line="240" w:lineRule="auto"/>
              <w:ind w:firstLine="0" w:firstLineChars="0"/>
              <w:jc w:val="center"/>
              <w:rPr>
                <w:sz w:val="18"/>
                <w:szCs w:val="18"/>
              </w:rPr>
            </w:pPr>
            <w:r>
              <w:rPr>
                <w:sz w:val="18"/>
                <w:szCs w:val="18"/>
              </w:rPr>
              <w:t>50</w:t>
            </w:r>
          </w:p>
        </w:tc>
      </w:tr>
      <w:tr w14:paraId="162199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539F7936">
            <w:pPr>
              <w:tabs>
                <w:tab w:val="clear" w:pos="480"/>
              </w:tabs>
              <w:spacing w:line="240" w:lineRule="auto"/>
              <w:ind w:firstLine="0" w:firstLineChars="0"/>
              <w:jc w:val="center"/>
              <w:rPr>
                <w:sz w:val="18"/>
                <w:szCs w:val="18"/>
              </w:rPr>
            </w:pPr>
            <w:r>
              <w:rPr>
                <w:sz w:val="18"/>
                <w:szCs w:val="18"/>
              </w:rPr>
              <w:t>20</w:t>
            </w:r>
          </w:p>
        </w:tc>
        <w:tc>
          <w:tcPr>
            <w:tcW w:w="1218" w:type="pct"/>
            <w:vAlign w:val="center"/>
          </w:tcPr>
          <w:p w14:paraId="27F9F60B">
            <w:pPr>
              <w:tabs>
                <w:tab w:val="clear" w:pos="480"/>
              </w:tabs>
              <w:spacing w:line="240" w:lineRule="auto"/>
              <w:ind w:firstLine="0" w:firstLineChars="0"/>
              <w:jc w:val="center"/>
              <w:rPr>
                <w:sz w:val="18"/>
                <w:szCs w:val="18"/>
              </w:rPr>
            </w:pPr>
            <w:r>
              <w:rPr>
                <w:sz w:val="18"/>
                <w:szCs w:val="18"/>
              </w:rPr>
              <w:t>四氯乙烯</w:t>
            </w:r>
          </w:p>
        </w:tc>
        <w:tc>
          <w:tcPr>
            <w:tcW w:w="801" w:type="pct"/>
            <w:vAlign w:val="center"/>
          </w:tcPr>
          <w:p w14:paraId="3B60CD47">
            <w:pPr>
              <w:tabs>
                <w:tab w:val="clear" w:pos="480"/>
              </w:tabs>
              <w:spacing w:line="240" w:lineRule="auto"/>
              <w:ind w:firstLine="0" w:firstLineChars="0"/>
              <w:jc w:val="center"/>
              <w:rPr>
                <w:sz w:val="18"/>
                <w:szCs w:val="18"/>
              </w:rPr>
            </w:pPr>
            <w:r>
              <w:rPr>
                <w:sz w:val="18"/>
                <w:szCs w:val="18"/>
              </w:rPr>
              <w:t>127-18-4</w:t>
            </w:r>
          </w:p>
        </w:tc>
        <w:tc>
          <w:tcPr>
            <w:tcW w:w="622" w:type="pct"/>
            <w:vAlign w:val="center"/>
          </w:tcPr>
          <w:p w14:paraId="0BAFE900">
            <w:pPr>
              <w:tabs>
                <w:tab w:val="clear" w:pos="480"/>
              </w:tabs>
              <w:spacing w:line="240" w:lineRule="auto"/>
              <w:ind w:firstLine="0" w:firstLineChars="0"/>
              <w:jc w:val="center"/>
              <w:rPr>
                <w:sz w:val="18"/>
                <w:szCs w:val="18"/>
              </w:rPr>
            </w:pPr>
            <w:r>
              <w:rPr>
                <w:sz w:val="18"/>
                <w:szCs w:val="18"/>
              </w:rPr>
              <w:t>11</w:t>
            </w:r>
          </w:p>
        </w:tc>
        <w:tc>
          <w:tcPr>
            <w:tcW w:w="622" w:type="pct"/>
            <w:vAlign w:val="center"/>
          </w:tcPr>
          <w:p w14:paraId="768A4E0F">
            <w:pPr>
              <w:tabs>
                <w:tab w:val="clear" w:pos="480"/>
              </w:tabs>
              <w:spacing w:line="240" w:lineRule="auto"/>
              <w:ind w:firstLine="0" w:firstLineChars="0"/>
              <w:jc w:val="center"/>
              <w:rPr>
                <w:sz w:val="18"/>
                <w:szCs w:val="18"/>
              </w:rPr>
            </w:pPr>
            <w:r>
              <w:rPr>
                <w:sz w:val="18"/>
                <w:szCs w:val="18"/>
              </w:rPr>
              <w:t>53</w:t>
            </w:r>
          </w:p>
        </w:tc>
        <w:tc>
          <w:tcPr>
            <w:tcW w:w="593" w:type="pct"/>
            <w:vAlign w:val="center"/>
          </w:tcPr>
          <w:p w14:paraId="32E183F8">
            <w:pPr>
              <w:tabs>
                <w:tab w:val="clear" w:pos="480"/>
              </w:tabs>
              <w:spacing w:line="240" w:lineRule="auto"/>
              <w:ind w:firstLine="0" w:firstLineChars="0"/>
              <w:jc w:val="center"/>
              <w:rPr>
                <w:sz w:val="18"/>
                <w:szCs w:val="18"/>
              </w:rPr>
            </w:pPr>
            <w:r>
              <w:rPr>
                <w:sz w:val="18"/>
                <w:szCs w:val="18"/>
              </w:rPr>
              <w:t>34</w:t>
            </w:r>
          </w:p>
        </w:tc>
        <w:tc>
          <w:tcPr>
            <w:tcW w:w="649" w:type="pct"/>
            <w:vAlign w:val="center"/>
          </w:tcPr>
          <w:p w14:paraId="109097F0">
            <w:pPr>
              <w:tabs>
                <w:tab w:val="clear" w:pos="480"/>
              </w:tabs>
              <w:spacing w:line="240" w:lineRule="auto"/>
              <w:ind w:firstLine="0" w:firstLineChars="0"/>
              <w:jc w:val="center"/>
              <w:rPr>
                <w:sz w:val="18"/>
                <w:szCs w:val="18"/>
              </w:rPr>
            </w:pPr>
            <w:r>
              <w:rPr>
                <w:sz w:val="18"/>
                <w:szCs w:val="18"/>
              </w:rPr>
              <w:t>183</w:t>
            </w:r>
          </w:p>
        </w:tc>
      </w:tr>
      <w:tr w14:paraId="18E4F0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21119E7">
            <w:pPr>
              <w:tabs>
                <w:tab w:val="clear" w:pos="480"/>
              </w:tabs>
              <w:spacing w:line="240" w:lineRule="auto"/>
              <w:ind w:firstLine="0" w:firstLineChars="0"/>
              <w:jc w:val="center"/>
              <w:rPr>
                <w:sz w:val="18"/>
                <w:szCs w:val="18"/>
              </w:rPr>
            </w:pPr>
            <w:r>
              <w:rPr>
                <w:sz w:val="18"/>
                <w:szCs w:val="18"/>
              </w:rPr>
              <w:t>21</w:t>
            </w:r>
          </w:p>
        </w:tc>
        <w:tc>
          <w:tcPr>
            <w:tcW w:w="1218" w:type="pct"/>
            <w:vAlign w:val="center"/>
          </w:tcPr>
          <w:p w14:paraId="051B7229">
            <w:pPr>
              <w:tabs>
                <w:tab w:val="clear" w:pos="480"/>
              </w:tabs>
              <w:spacing w:line="240" w:lineRule="auto"/>
              <w:ind w:firstLine="0" w:firstLineChars="0"/>
              <w:jc w:val="center"/>
              <w:rPr>
                <w:sz w:val="18"/>
                <w:szCs w:val="18"/>
              </w:rPr>
            </w:pPr>
            <w:r>
              <w:rPr>
                <w:sz w:val="18"/>
                <w:szCs w:val="18"/>
              </w:rPr>
              <w:t>1，1，1-三氯乙烷</w:t>
            </w:r>
          </w:p>
        </w:tc>
        <w:tc>
          <w:tcPr>
            <w:tcW w:w="801" w:type="pct"/>
            <w:vAlign w:val="center"/>
          </w:tcPr>
          <w:p w14:paraId="08F74E10">
            <w:pPr>
              <w:tabs>
                <w:tab w:val="clear" w:pos="480"/>
              </w:tabs>
              <w:spacing w:line="240" w:lineRule="auto"/>
              <w:ind w:firstLine="0" w:firstLineChars="0"/>
              <w:jc w:val="center"/>
              <w:rPr>
                <w:sz w:val="18"/>
                <w:szCs w:val="18"/>
              </w:rPr>
            </w:pPr>
            <w:r>
              <w:rPr>
                <w:sz w:val="18"/>
                <w:szCs w:val="18"/>
              </w:rPr>
              <w:t>71-55-6</w:t>
            </w:r>
          </w:p>
        </w:tc>
        <w:tc>
          <w:tcPr>
            <w:tcW w:w="622" w:type="pct"/>
            <w:vAlign w:val="center"/>
          </w:tcPr>
          <w:p w14:paraId="127A7403">
            <w:pPr>
              <w:tabs>
                <w:tab w:val="clear" w:pos="480"/>
              </w:tabs>
              <w:spacing w:line="240" w:lineRule="auto"/>
              <w:ind w:firstLine="0" w:firstLineChars="0"/>
              <w:jc w:val="center"/>
              <w:rPr>
                <w:sz w:val="18"/>
                <w:szCs w:val="18"/>
              </w:rPr>
            </w:pPr>
            <w:r>
              <w:rPr>
                <w:sz w:val="18"/>
                <w:szCs w:val="18"/>
              </w:rPr>
              <w:t>701</w:t>
            </w:r>
          </w:p>
        </w:tc>
        <w:tc>
          <w:tcPr>
            <w:tcW w:w="622" w:type="pct"/>
            <w:vAlign w:val="center"/>
          </w:tcPr>
          <w:p w14:paraId="7EC15367">
            <w:pPr>
              <w:tabs>
                <w:tab w:val="clear" w:pos="480"/>
              </w:tabs>
              <w:spacing w:line="240" w:lineRule="auto"/>
              <w:ind w:firstLine="0" w:firstLineChars="0"/>
              <w:jc w:val="center"/>
              <w:rPr>
                <w:sz w:val="18"/>
                <w:szCs w:val="18"/>
              </w:rPr>
            </w:pPr>
            <w:r>
              <w:rPr>
                <w:sz w:val="18"/>
                <w:szCs w:val="18"/>
              </w:rPr>
              <w:t>840</w:t>
            </w:r>
          </w:p>
        </w:tc>
        <w:tc>
          <w:tcPr>
            <w:tcW w:w="593" w:type="pct"/>
            <w:vAlign w:val="center"/>
          </w:tcPr>
          <w:p w14:paraId="59A99F16">
            <w:pPr>
              <w:tabs>
                <w:tab w:val="clear" w:pos="480"/>
              </w:tabs>
              <w:spacing w:line="240" w:lineRule="auto"/>
              <w:ind w:firstLine="0" w:firstLineChars="0"/>
              <w:jc w:val="center"/>
              <w:rPr>
                <w:sz w:val="18"/>
                <w:szCs w:val="18"/>
              </w:rPr>
            </w:pPr>
            <w:r>
              <w:rPr>
                <w:sz w:val="18"/>
                <w:szCs w:val="18"/>
              </w:rPr>
              <w:t>840</w:t>
            </w:r>
          </w:p>
        </w:tc>
        <w:tc>
          <w:tcPr>
            <w:tcW w:w="649" w:type="pct"/>
            <w:vAlign w:val="center"/>
          </w:tcPr>
          <w:p w14:paraId="5B48F4D2">
            <w:pPr>
              <w:tabs>
                <w:tab w:val="clear" w:pos="480"/>
              </w:tabs>
              <w:spacing w:line="240" w:lineRule="auto"/>
              <w:ind w:firstLine="0" w:firstLineChars="0"/>
              <w:jc w:val="center"/>
              <w:rPr>
                <w:sz w:val="18"/>
                <w:szCs w:val="18"/>
              </w:rPr>
            </w:pPr>
            <w:r>
              <w:rPr>
                <w:sz w:val="18"/>
                <w:szCs w:val="18"/>
              </w:rPr>
              <w:t>840</w:t>
            </w:r>
          </w:p>
        </w:tc>
      </w:tr>
      <w:tr w14:paraId="03F7F4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1E5CB9F">
            <w:pPr>
              <w:tabs>
                <w:tab w:val="clear" w:pos="480"/>
              </w:tabs>
              <w:spacing w:line="240" w:lineRule="auto"/>
              <w:ind w:firstLine="0" w:firstLineChars="0"/>
              <w:jc w:val="center"/>
              <w:rPr>
                <w:sz w:val="18"/>
                <w:szCs w:val="18"/>
              </w:rPr>
            </w:pPr>
            <w:r>
              <w:rPr>
                <w:sz w:val="18"/>
                <w:szCs w:val="18"/>
              </w:rPr>
              <w:t>22</w:t>
            </w:r>
          </w:p>
        </w:tc>
        <w:tc>
          <w:tcPr>
            <w:tcW w:w="1218" w:type="pct"/>
            <w:vAlign w:val="center"/>
          </w:tcPr>
          <w:p w14:paraId="07C15035">
            <w:pPr>
              <w:tabs>
                <w:tab w:val="clear" w:pos="480"/>
              </w:tabs>
              <w:spacing w:line="240" w:lineRule="auto"/>
              <w:ind w:firstLine="0" w:firstLineChars="0"/>
              <w:jc w:val="center"/>
              <w:rPr>
                <w:sz w:val="18"/>
                <w:szCs w:val="18"/>
              </w:rPr>
            </w:pPr>
            <w:r>
              <w:rPr>
                <w:sz w:val="18"/>
                <w:szCs w:val="18"/>
              </w:rPr>
              <w:t>1，1，2-三氯乙烷</w:t>
            </w:r>
          </w:p>
        </w:tc>
        <w:tc>
          <w:tcPr>
            <w:tcW w:w="801" w:type="pct"/>
            <w:vAlign w:val="center"/>
          </w:tcPr>
          <w:p w14:paraId="1E2EB2A2">
            <w:pPr>
              <w:tabs>
                <w:tab w:val="clear" w:pos="480"/>
              </w:tabs>
              <w:spacing w:line="240" w:lineRule="auto"/>
              <w:ind w:firstLine="0" w:firstLineChars="0"/>
              <w:jc w:val="center"/>
              <w:rPr>
                <w:sz w:val="18"/>
                <w:szCs w:val="18"/>
              </w:rPr>
            </w:pPr>
            <w:r>
              <w:rPr>
                <w:sz w:val="18"/>
                <w:szCs w:val="18"/>
              </w:rPr>
              <w:t>79-00-5</w:t>
            </w:r>
          </w:p>
        </w:tc>
        <w:tc>
          <w:tcPr>
            <w:tcW w:w="622" w:type="pct"/>
            <w:vAlign w:val="center"/>
          </w:tcPr>
          <w:p w14:paraId="0087BF3B">
            <w:pPr>
              <w:tabs>
                <w:tab w:val="clear" w:pos="480"/>
              </w:tabs>
              <w:spacing w:line="240" w:lineRule="auto"/>
              <w:ind w:firstLine="0" w:firstLineChars="0"/>
              <w:jc w:val="center"/>
              <w:rPr>
                <w:sz w:val="18"/>
                <w:szCs w:val="18"/>
              </w:rPr>
            </w:pPr>
            <w:r>
              <w:rPr>
                <w:sz w:val="18"/>
                <w:szCs w:val="18"/>
              </w:rPr>
              <w:t>0.6</w:t>
            </w:r>
          </w:p>
        </w:tc>
        <w:tc>
          <w:tcPr>
            <w:tcW w:w="622" w:type="pct"/>
            <w:vAlign w:val="center"/>
          </w:tcPr>
          <w:p w14:paraId="72BFEDC2">
            <w:pPr>
              <w:tabs>
                <w:tab w:val="clear" w:pos="480"/>
              </w:tabs>
              <w:spacing w:line="240" w:lineRule="auto"/>
              <w:ind w:firstLine="0" w:firstLineChars="0"/>
              <w:jc w:val="center"/>
              <w:rPr>
                <w:sz w:val="18"/>
                <w:szCs w:val="18"/>
              </w:rPr>
            </w:pPr>
            <w:r>
              <w:rPr>
                <w:sz w:val="18"/>
                <w:szCs w:val="18"/>
              </w:rPr>
              <w:t>2.8</w:t>
            </w:r>
          </w:p>
        </w:tc>
        <w:tc>
          <w:tcPr>
            <w:tcW w:w="593" w:type="pct"/>
            <w:vAlign w:val="center"/>
          </w:tcPr>
          <w:p w14:paraId="48111593">
            <w:pPr>
              <w:tabs>
                <w:tab w:val="clear" w:pos="480"/>
              </w:tabs>
              <w:spacing w:line="240" w:lineRule="auto"/>
              <w:ind w:firstLine="0" w:firstLineChars="0"/>
              <w:jc w:val="center"/>
              <w:rPr>
                <w:sz w:val="18"/>
                <w:szCs w:val="18"/>
              </w:rPr>
            </w:pPr>
            <w:r>
              <w:rPr>
                <w:sz w:val="18"/>
                <w:szCs w:val="18"/>
              </w:rPr>
              <w:t>5</w:t>
            </w:r>
          </w:p>
        </w:tc>
        <w:tc>
          <w:tcPr>
            <w:tcW w:w="649" w:type="pct"/>
            <w:vAlign w:val="center"/>
          </w:tcPr>
          <w:p w14:paraId="52759592">
            <w:pPr>
              <w:tabs>
                <w:tab w:val="clear" w:pos="480"/>
              </w:tabs>
              <w:spacing w:line="240" w:lineRule="auto"/>
              <w:ind w:firstLine="0" w:firstLineChars="0"/>
              <w:jc w:val="center"/>
              <w:rPr>
                <w:sz w:val="18"/>
                <w:szCs w:val="18"/>
              </w:rPr>
            </w:pPr>
            <w:r>
              <w:rPr>
                <w:sz w:val="18"/>
                <w:szCs w:val="18"/>
              </w:rPr>
              <w:t>15</w:t>
            </w:r>
          </w:p>
        </w:tc>
      </w:tr>
      <w:tr w14:paraId="6F81CF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5A784D58">
            <w:pPr>
              <w:tabs>
                <w:tab w:val="clear" w:pos="480"/>
              </w:tabs>
              <w:spacing w:line="240" w:lineRule="auto"/>
              <w:ind w:firstLine="0" w:firstLineChars="0"/>
              <w:jc w:val="center"/>
              <w:rPr>
                <w:sz w:val="18"/>
                <w:szCs w:val="18"/>
              </w:rPr>
            </w:pPr>
            <w:r>
              <w:rPr>
                <w:sz w:val="18"/>
                <w:szCs w:val="18"/>
              </w:rPr>
              <w:t>23</w:t>
            </w:r>
          </w:p>
        </w:tc>
        <w:tc>
          <w:tcPr>
            <w:tcW w:w="1218" w:type="pct"/>
            <w:vAlign w:val="center"/>
          </w:tcPr>
          <w:p w14:paraId="543C0B20">
            <w:pPr>
              <w:tabs>
                <w:tab w:val="clear" w:pos="480"/>
              </w:tabs>
              <w:spacing w:line="240" w:lineRule="auto"/>
              <w:ind w:firstLine="0" w:firstLineChars="0"/>
              <w:jc w:val="center"/>
              <w:rPr>
                <w:sz w:val="18"/>
                <w:szCs w:val="18"/>
              </w:rPr>
            </w:pPr>
            <w:r>
              <w:rPr>
                <w:sz w:val="18"/>
                <w:szCs w:val="18"/>
              </w:rPr>
              <w:t>三氯乙烯</w:t>
            </w:r>
          </w:p>
        </w:tc>
        <w:tc>
          <w:tcPr>
            <w:tcW w:w="801" w:type="pct"/>
            <w:vAlign w:val="center"/>
          </w:tcPr>
          <w:p w14:paraId="1E83A285">
            <w:pPr>
              <w:tabs>
                <w:tab w:val="clear" w:pos="480"/>
              </w:tabs>
              <w:spacing w:line="240" w:lineRule="auto"/>
              <w:ind w:firstLine="0" w:firstLineChars="0"/>
              <w:jc w:val="center"/>
              <w:rPr>
                <w:sz w:val="18"/>
                <w:szCs w:val="18"/>
              </w:rPr>
            </w:pPr>
            <w:r>
              <w:rPr>
                <w:sz w:val="18"/>
                <w:szCs w:val="18"/>
              </w:rPr>
              <w:t>79-01-6</w:t>
            </w:r>
          </w:p>
        </w:tc>
        <w:tc>
          <w:tcPr>
            <w:tcW w:w="622" w:type="pct"/>
            <w:vAlign w:val="center"/>
          </w:tcPr>
          <w:p w14:paraId="3AFE7E44">
            <w:pPr>
              <w:tabs>
                <w:tab w:val="clear" w:pos="480"/>
              </w:tabs>
              <w:spacing w:line="240" w:lineRule="auto"/>
              <w:ind w:firstLine="0" w:firstLineChars="0"/>
              <w:jc w:val="center"/>
              <w:rPr>
                <w:sz w:val="18"/>
                <w:szCs w:val="18"/>
              </w:rPr>
            </w:pPr>
            <w:r>
              <w:rPr>
                <w:sz w:val="18"/>
                <w:szCs w:val="18"/>
              </w:rPr>
              <w:t>0.7</w:t>
            </w:r>
          </w:p>
        </w:tc>
        <w:tc>
          <w:tcPr>
            <w:tcW w:w="622" w:type="pct"/>
            <w:vAlign w:val="center"/>
          </w:tcPr>
          <w:p w14:paraId="503EC826">
            <w:pPr>
              <w:tabs>
                <w:tab w:val="clear" w:pos="480"/>
              </w:tabs>
              <w:spacing w:line="240" w:lineRule="auto"/>
              <w:ind w:firstLine="0" w:firstLineChars="0"/>
              <w:jc w:val="center"/>
              <w:rPr>
                <w:sz w:val="18"/>
                <w:szCs w:val="18"/>
              </w:rPr>
            </w:pPr>
            <w:r>
              <w:rPr>
                <w:sz w:val="18"/>
                <w:szCs w:val="18"/>
              </w:rPr>
              <w:t>2.8</w:t>
            </w:r>
          </w:p>
        </w:tc>
        <w:tc>
          <w:tcPr>
            <w:tcW w:w="593" w:type="pct"/>
            <w:vAlign w:val="center"/>
          </w:tcPr>
          <w:p w14:paraId="139144A8">
            <w:pPr>
              <w:tabs>
                <w:tab w:val="clear" w:pos="480"/>
              </w:tabs>
              <w:spacing w:line="240" w:lineRule="auto"/>
              <w:ind w:firstLine="0" w:firstLineChars="0"/>
              <w:jc w:val="center"/>
              <w:rPr>
                <w:sz w:val="18"/>
                <w:szCs w:val="18"/>
              </w:rPr>
            </w:pPr>
            <w:r>
              <w:rPr>
                <w:sz w:val="18"/>
                <w:szCs w:val="18"/>
              </w:rPr>
              <w:t>7</w:t>
            </w:r>
          </w:p>
        </w:tc>
        <w:tc>
          <w:tcPr>
            <w:tcW w:w="649" w:type="pct"/>
            <w:vAlign w:val="center"/>
          </w:tcPr>
          <w:p w14:paraId="47039542">
            <w:pPr>
              <w:tabs>
                <w:tab w:val="clear" w:pos="480"/>
              </w:tabs>
              <w:spacing w:line="240" w:lineRule="auto"/>
              <w:ind w:firstLine="0" w:firstLineChars="0"/>
              <w:jc w:val="center"/>
              <w:rPr>
                <w:sz w:val="18"/>
                <w:szCs w:val="18"/>
              </w:rPr>
            </w:pPr>
            <w:r>
              <w:rPr>
                <w:sz w:val="18"/>
                <w:szCs w:val="18"/>
              </w:rPr>
              <w:t>20</w:t>
            </w:r>
          </w:p>
        </w:tc>
      </w:tr>
      <w:tr w14:paraId="11CBC5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620643D9">
            <w:pPr>
              <w:tabs>
                <w:tab w:val="clear" w:pos="480"/>
              </w:tabs>
              <w:spacing w:line="240" w:lineRule="auto"/>
              <w:ind w:firstLine="0" w:firstLineChars="0"/>
              <w:jc w:val="center"/>
              <w:rPr>
                <w:sz w:val="18"/>
                <w:szCs w:val="18"/>
              </w:rPr>
            </w:pPr>
            <w:r>
              <w:rPr>
                <w:sz w:val="18"/>
                <w:szCs w:val="18"/>
              </w:rPr>
              <w:t>24</w:t>
            </w:r>
          </w:p>
        </w:tc>
        <w:tc>
          <w:tcPr>
            <w:tcW w:w="1218" w:type="pct"/>
            <w:vAlign w:val="center"/>
          </w:tcPr>
          <w:p w14:paraId="2565D43E">
            <w:pPr>
              <w:tabs>
                <w:tab w:val="clear" w:pos="480"/>
              </w:tabs>
              <w:spacing w:line="240" w:lineRule="auto"/>
              <w:ind w:firstLine="0" w:firstLineChars="0"/>
              <w:jc w:val="center"/>
              <w:rPr>
                <w:sz w:val="18"/>
                <w:szCs w:val="18"/>
              </w:rPr>
            </w:pPr>
            <w:r>
              <w:rPr>
                <w:sz w:val="18"/>
                <w:szCs w:val="18"/>
              </w:rPr>
              <w:t>1，2，3-三氯丙烷</w:t>
            </w:r>
          </w:p>
        </w:tc>
        <w:tc>
          <w:tcPr>
            <w:tcW w:w="801" w:type="pct"/>
            <w:vAlign w:val="center"/>
          </w:tcPr>
          <w:p w14:paraId="4E8C2464">
            <w:pPr>
              <w:tabs>
                <w:tab w:val="clear" w:pos="480"/>
              </w:tabs>
              <w:spacing w:line="240" w:lineRule="auto"/>
              <w:ind w:firstLine="0" w:firstLineChars="0"/>
              <w:jc w:val="center"/>
              <w:rPr>
                <w:sz w:val="18"/>
                <w:szCs w:val="18"/>
              </w:rPr>
            </w:pPr>
            <w:r>
              <w:rPr>
                <w:sz w:val="18"/>
                <w:szCs w:val="18"/>
              </w:rPr>
              <w:t>96-18-4</w:t>
            </w:r>
          </w:p>
        </w:tc>
        <w:tc>
          <w:tcPr>
            <w:tcW w:w="622" w:type="pct"/>
            <w:vAlign w:val="center"/>
          </w:tcPr>
          <w:p w14:paraId="715CF04F">
            <w:pPr>
              <w:tabs>
                <w:tab w:val="clear" w:pos="480"/>
              </w:tabs>
              <w:spacing w:line="240" w:lineRule="auto"/>
              <w:ind w:firstLine="0" w:firstLineChars="0"/>
              <w:jc w:val="center"/>
              <w:rPr>
                <w:sz w:val="18"/>
                <w:szCs w:val="18"/>
              </w:rPr>
            </w:pPr>
            <w:r>
              <w:rPr>
                <w:sz w:val="18"/>
                <w:szCs w:val="18"/>
              </w:rPr>
              <w:t>0.05</w:t>
            </w:r>
          </w:p>
        </w:tc>
        <w:tc>
          <w:tcPr>
            <w:tcW w:w="622" w:type="pct"/>
            <w:vAlign w:val="center"/>
          </w:tcPr>
          <w:p w14:paraId="157BFAB1">
            <w:pPr>
              <w:tabs>
                <w:tab w:val="clear" w:pos="480"/>
              </w:tabs>
              <w:spacing w:line="240" w:lineRule="auto"/>
              <w:ind w:firstLine="0" w:firstLineChars="0"/>
              <w:jc w:val="center"/>
              <w:rPr>
                <w:sz w:val="18"/>
                <w:szCs w:val="18"/>
              </w:rPr>
            </w:pPr>
            <w:r>
              <w:rPr>
                <w:sz w:val="18"/>
                <w:szCs w:val="18"/>
              </w:rPr>
              <w:t>0.5</w:t>
            </w:r>
          </w:p>
        </w:tc>
        <w:tc>
          <w:tcPr>
            <w:tcW w:w="593" w:type="pct"/>
            <w:vAlign w:val="center"/>
          </w:tcPr>
          <w:p w14:paraId="504D12AB">
            <w:pPr>
              <w:tabs>
                <w:tab w:val="clear" w:pos="480"/>
              </w:tabs>
              <w:spacing w:line="240" w:lineRule="auto"/>
              <w:ind w:firstLine="0" w:firstLineChars="0"/>
              <w:jc w:val="center"/>
              <w:rPr>
                <w:sz w:val="18"/>
                <w:szCs w:val="18"/>
              </w:rPr>
            </w:pPr>
            <w:r>
              <w:rPr>
                <w:sz w:val="18"/>
                <w:szCs w:val="18"/>
              </w:rPr>
              <w:t>0.5</w:t>
            </w:r>
          </w:p>
        </w:tc>
        <w:tc>
          <w:tcPr>
            <w:tcW w:w="649" w:type="pct"/>
            <w:vAlign w:val="center"/>
          </w:tcPr>
          <w:p w14:paraId="37D21711">
            <w:pPr>
              <w:tabs>
                <w:tab w:val="clear" w:pos="480"/>
              </w:tabs>
              <w:spacing w:line="240" w:lineRule="auto"/>
              <w:ind w:firstLine="0" w:firstLineChars="0"/>
              <w:jc w:val="center"/>
              <w:rPr>
                <w:sz w:val="18"/>
                <w:szCs w:val="18"/>
              </w:rPr>
            </w:pPr>
            <w:r>
              <w:rPr>
                <w:sz w:val="18"/>
                <w:szCs w:val="18"/>
              </w:rPr>
              <w:t>5</w:t>
            </w:r>
          </w:p>
        </w:tc>
      </w:tr>
      <w:tr w14:paraId="4409E0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5153C124">
            <w:pPr>
              <w:tabs>
                <w:tab w:val="clear" w:pos="480"/>
              </w:tabs>
              <w:spacing w:line="240" w:lineRule="auto"/>
              <w:ind w:firstLine="0" w:firstLineChars="0"/>
              <w:jc w:val="center"/>
              <w:rPr>
                <w:sz w:val="18"/>
                <w:szCs w:val="18"/>
              </w:rPr>
            </w:pPr>
            <w:r>
              <w:rPr>
                <w:sz w:val="18"/>
                <w:szCs w:val="18"/>
              </w:rPr>
              <w:t>25</w:t>
            </w:r>
          </w:p>
        </w:tc>
        <w:tc>
          <w:tcPr>
            <w:tcW w:w="1218" w:type="pct"/>
            <w:vAlign w:val="center"/>
          </w:tcPr>
          <w:p w14:paraId="1525631D">
            <w:pPr>
              <w:tabs>
                <w:tab w:val="clear" w:pos="480"/>
              </w:tabs>
              <w:spacing w:line="240" w:lineRule="auto"/>
              <w:ind w:firstLine="0" w:firstLineChars="0"/>
              <w:jc w:val="center"/>
              <w:rPr>
                <w:sz w:val="18"/>
                <w:szCs w:val="18"/>
              </w:rPr>
            </w:pPr>
            <w:r>
              <w:rPr>
                <w:sz w:val="18"/>
                <w:szCs w:val="18"/>
              </w:rPr>
              <w:t>氯乙烯</w:t>
            </w:r>
          </w:p>
        </w:tc>
        <w:tc>
          <w:tcPr>
            <w:tcW w:w="801" w:type="pct"/>
            <w:vAlign w:val="center"/>
          </w:tcPr>
          <w:p w14:paraId="56580BA0">
            <w:pPr>
              <w:tabs>
                <w:tab w:val="clear" w:pos="480"/>
              </w:tabs>
              <w:spacing w:line="240" w:lineRule="auto"/>
              <w:ind w:firstLine="0" w:firstLineChars="0"/>
              <w:jc w:val="center"/>
              <w:rPr>
                <w:sz w:val="18"/>
                <w:szCs w:val="18"/>
              </w:rPr>
            </w:pPr>
            <w:r>
              <w:rPr>
                <w:sz w:val="18"/>
                <w:szCs w:val="18"/>
              </w:rPr>
              <w:t>75-01-4</w:t>
            </w:r>
          </w:p>
        </w:tc>
        <w:tc>
          <w:tcPr>
            <w:tcW w:w="622" w:type="pct"/>
            <w:vAlign w:val="center"/>
          </w:tcPr>
          <w:p w14:paraId="0AC2ECE5">
            <w:pPr>
              <w:tabs>
                <w:tab w:val="clear" w:pos="480"/>
              </w:tabs>
              <w:spacing w:line="240" w:lineRule="auto"/>
              <w:ind w:firstLine="0" w:firstLineChars="0"/>
              <w:jc w:val="center"/>
              <w:rPr>
                <w:sz w:val="18"/>
                <w:szCs w:val="18"/>
              </w:rPr>
            </w:pPr>
            <w:r>
              <w:rPr>
                <w:sz w:val="18"/>
                <w:szCs w:val="18"/>
              </w:rPr>
              <w:t>0.12</w:t>
            </w:r>
          </w:p>
        </w:tc>
        <w:tc>
          <w:tcPr>
            <w:tcW w:w="622" w:type="pct"/>
            <w:vAlign w:val="center"/>
          </w:tcPr>
          <w:p w14:paraId="7306B2A7">
            <w:pPr>
              <w:tabs>
                <w:tab w:val="clear" w:pos="480"/>
              </w:tabs>
              <w:spacing w:line="240" w:lineRule="auto"/>
              <w:ind w:firstLine="0" w:firstLineChars="0"/>
              <w:jc w:val="center"/>
              <w:rPr>
                <w:sz w:val="18"/>
                <w:szCs w:val="18"/>
              </w:rPr>
            </w:pPr>
            <w:r>
              <w:rPr>
                <w:sz w:val="18"/>
                <w:szCs w:val="18"/>
              </w:rPr>
              <w:t>0.43</w:t>
            </w:r>
          </w:p>
        </w:tc>
        <w:tc>
          <w:tcPr>
            <w:tcW w:w="593" w:type="pct"/>
            <w:vAlign w:val="center"/>
          </w:tcPr>
          <w:p w14:paraId="6300A9FA">
            <w:pPr>
              <w:tabs>
                <w:tab w:val="clear" w:pos="480"/>
              </w:tabs>
              <w:spacing w:line="240" w:lineRule="auto"/>
              <w:ind w:firstLine="0" w:firstLineChars="0"/>
              <w:jc w:val="center"/>
              <w:rPr>
                <w:sz w:val="18"/>
                <w:szCs w:val="18"/>
              </w:rPr>
            </w:pPr>
            <w:r>
              <w:rPr>
                <w:sz w:val="18"/>
                <w:szCs w:val="18"/>
              </w:rPr>
              <w:t>1.2</w:t>
            </w:r>
          </w:p>
        </w:tc>
        <w:tc>
          <w:tcPr>
            <w:tcW w:w="649" w:type="pct"/>
            <w:vAlign w:val="center"/>
          </w:tcPr>
          <w:p w14:paraId="2B85B8A8">
            <w:pPr>
              <w:tabs>
                <w:tab w:val="clear" w:pos="480"/>
              </w:tabs>
              <w:spacing w:line="240" w:lineRule="auto"/>
              <w:ind w:firstLine="0" w:firstLineChars="0"/>
              <w:jc w:val="center"/>
              <w:rPr>
                <w:sz w:val="18"/>
                <w:szCs w:val="18"/>
              </w:rPr>
            </w:pPr>
            <w:r>
              <w:rPr>
                <w:sz w:val="18"/>
                <w:szCs w:val="18"/>
              </w:rPr>
              <w:t>4.3</w:t>
            </w:r>
          </w:p>
        </w:tc>
      </w:tr>
      <w:tr w14:paraId="1A9F53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A057F31">
            <w:pPr>
              <w:tabs>
                <w:tab w:val="clear" w:pos="480"/>
              </w:tabs>
              <w:spacing w:line="240" w:lineRule="auto"/>
              <w:ind w:firstLine="0" w:firstLineChars="0"/>
              <w:jc w:val="center"/>
              <w:rPr>
                <w:sz w:val="18"/>
                <w:szCs w:val="18"/>
              </w:rPr>
            </w:pPr>
            <w:r>
              <w:rPr>
                <w:sz w:val="18"/>
                <w:szCs w:val="18"/>
              </w:rPr>
              <w:t>26</w:t>
            </w:r>
          </w:p>
        </w:tc>
        <w:tc>
          <w:tcPr>
            <w:tcW w:w="1218" w:type="pct"/>
            <w:vAlign w:val="center"/>
          </w:tcPr>
          <w:p w14:paraId="4FED5803">
            <w:pPr>
              <w:tabs>
                <w:tab w:val="clear" w:pos="480"/>
              </w:tabs>
              <w:spacing w:line="240" w:lineRule="auto"/>
              <w:ind w:firstLine="0" w:firstLineChars="0"/>
              <w:jc w:val="center"/>
              <w:rPr>
                <w:sz w:val="18"/>
                <w:szCs w:val="18"/>
              </w:rPr>
            </w:pPr>
            <w:r>
              <w:rPr>
                <w:sz w:val="18"/>
                <w:szCs w:val="18"/>
              </w:rPr>
              <w:t>苯</w:t>
            </w:r>
          </w:p>
        </w:tc>
        <w:tc>
          <w:tcPr>
            <w:tcW w:w="801" w:type="pct"/>
            <w:vAlign w:val="center"/>
          </w:tcPr>
          <w:p w14:paraId="5F56436E">
            <w:pPr>
              <w:tabs>
                <w:tab w:val="clear" w:pos="480"/>
              </w:tabs>
              <w:spacing w:line="240" w:lineRule="auto"/>
              <w:ind w:firstLine="0" w:firstLineChars="0"/>
              <w:jc w:val="center"/>
              <w:rPr>
                <w:sz w:val="18"/>
                <w:szCs w:val="18"/>
              </w:rPr>
            </w:pPr>
            <w:r>
              <w:rPr>
                <w:sz w:val="18"/>
                <w:szCs w:val="18"/>
              </w:rPr>
              <w:t>71-43-2</w:t>
            </w:r>
          </w:p>
        </w:tc>
        <w:tc>
          <w:tcPr>
            <w:tcW w:w="622" w:type="pct"/>
            <w:vAlign w:val="center"/>
          </w:tcPr>
          <w:p w14:paraId="0B65B2B9">
            <w:pPr>
              <w:tabs>
                <w:tab w:val="clear" w:pos="480"/>
              </w:tabs>
              <w:spacing w:line="240" w:lineRule="auto"/>
              <w:ind w:firstLine="0" w:firstLineChars="0"/>
              <w:jc w:val="center"/>
              <w:rPr>
                <w:sz w:val="18"/>
                <w:szCs w:val="18"/>
              </w:rPr>
            </w:pPr>
            <w:r>
              <w:rPr>
                <w:sz w:val="18"/>
                <w:szCs w:val="18"/>
              </w:rPr>
              <w:t>1</w:t>
            </w:r>
          </w:p>
        </w:tc>
        <w:tc>
          <w:tcPr>
            <w:tcW w:w="622" w:type="pct"/>
            <w:vAlign w:val="center"/>
          </w:tcPr>
          <w:p w14:paraId="57861BED">
            <w:pPr>
              <w:tabs>
                <w:tab w:val="clear" w:pos="480"/>
              </w:tabs>
              <w:spacing w:line="240" w:lineRule="auto"/>
              <w:ind w:firstLine="0" w:firstLineChars="0"/>
              <w:jc w:val="center"/>
              <w:rPr>
                <w:sz w:val="18"/>
                <w:szCs w:val="18"/>
              </w:rPr>
            </w:pPr>
            <w:r>
              <w:rPr>
                <w:sz w:val="18"/>
                <w:szCs w:val="18"/>
              </w:rPr>
              <w:t>4</w:t>
            </w:r>
          </w:p>
        </w:tc>
        <w:tc>
          <w:tcPr>
            <w:tcW w:w="593" w:type="pct"/>
            <w:vAlign w:val="center"/>
          </w:tcPr>
          <w:p w14:paraId="4EEA4031">
            <w:pPr>
              <w:tabs>
                <w:tab w:val="clear" w:pos="480"/>
              </w:tabs>
              <w:spacing w:line="240" w:lineRule="auto"/>
              <w:ind w:firstLine="0" w:firstLineChars="0"/>
              <w:jc w:val="center"/>
              <w:rPr>
                <w:sz w:val="18"/>
                <w:szCs w:val="18"/>
              </w:rPr>
            </w:pPr>
            <w:r>
              <w:rPr>
                <w:sz w:val="18"/>
                <w:szCs w:val="18"/>
              </w:rPr>
              <w:t>10</w:t>
            </w:r>
          </w:p>
        </w:tc>
        <w:tc>
          <w:tcPr>
            <w:tcW w:w="649" w:type="pct"/>
            <w:vAlign w:val="center"/>
          </w:tcPr>
          <w:p w14:paraId="0BAD83A0">
            <w:pPr>
              <w:tabs>
                <w:tab w:val="clear" w:pos="480"/>
              </w:tabs>
              <w:spacing w:line="240" w:lineRule="auto"/>
              <w:ind w:firstLine="0" w:firstLineChars="0"/>
              <w:jc w:val="center"/>
              <w:rPr>
                <w:sz w:val="18"/>
                <w:szCs w:val="18"/>
              </w:rPr>
            </w:pPr>
            <w:r>
              <w:rPr>
                <w:sz w:val="18"/>
                <w:szCs w:val="18"/>
              </w:rPr>
              <w:t>40</w:t>
            </w:r>
          </w:p>
        </w:tc>
      </w:tr>
      <w:tr w14:paraId="10E812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6D482065">
            <w:pPr>
              <w:tabs>
                <w:tab w:val="clear" w:pos="480"/>
              </w:tabs>
              <w:spacing w:line="240" w:lineRule="auto"/>
              <w:ind w:firstLine="0" w:firstLineChars="0"/>
              <w:jc w:val="center"/>
              <w:rPr>
                <w:sz w:val="18"/>
                <w:szCs w:val="18"/>
              </w:rPr>
            </w:pPr>
            <w:r>
              <w:rPr>
                <w:sz w:val="18"/>
                <w:szCs w:val="18"/>
              </w:rPr>
              <w:t>27</w:t>
            </w:r>
          </w:p>
        </w:tc>
        <w:tc>
          <w:tcPr>
            <w:tcW w:w="1218" w:type="pct"/>
            <w:vAlign w:val="center"/>
          </w:tcPr>
          <w:p w14:paraId="030FC479">
            <w:pPr>
              <w:tabs>
                <w:tab w:val="clear" w:pos="480"/>
              </w:tabs>
              <w:spacing w:line="240" w:lineRule="auto"/>
              <w:ind w:firstLine="0" w:firstLineChars="0"/>
              <w:jc w:val="center"/>
              <w:rPr>
                <w:sz w:val="18"/>
                <w:szCs w:val="18"/>
              </w:rPr>
            </w:pPr>
            <w:r>
              <w:rPr>
                <w:sz w:val="18"/>
                <w:szCs w:val="18"/>
              </w:rPr>
              <w:t>氯苯</w:t>
            </w:r>
          </w:p>
        </w:tc>
        <w:tc>
          <w:tcPr>
            <w:tcW w:w="801" w:type="pct"/>
            <w:vAlign w:val="center"/>
          </w:tcPr>
          <w:p w14:paraId="0EF0FA27">
            <w:pPr>
              <w:tabs>
                <w:tab w:val="clear" w:pos="480"/>
              </w:tabs>
              <w:spacing w:line="240" w:lineRule="auto"/>
              <w:ind w:firstLine="0" w:firstLineChars="0"/>
              <w:jc w:val="center"/>
              <w:rPr>
                <w:sz w:val="18"/>
                <w:szCs w:val="18"/>
              </w:rPr>
            </w:pPr>
            <w:r>
              <w:rPr>
                <w:sz w:val="18"/>
                <w:szCs w:val="18"/>
              </w:rPr>
              <w:t>108-90-7</w:t>
            </w:r>
          </w:p>
        </w:tc>
        <w:tc>
          <w:tcPr>
            <w:tcW w:w="622" w:type="pct"/>
            <w:vAlign w:val="center"/>
          </w:tcPr>
          <w:p w14:paraId="4DB95361">
            <w:pPr>
              <w:tabs>
                <w:tab w:val="clear" w:pos="480"/>
              </w:tabs>
              <w:spacing w:line="240" w:lineRule="auto"/>
              <w:ind w:firstLine="0" w:firstLineChars="0"/>
              <w:jc w:val="center"/>
              <w:rPr>
                <w:sz w:val="18"/>
                <w:szCs w:val="18"/>
              </w:rPr>
            </w:pPr>
            <w:r>
              <w:rPr>
                <w:sz w:val="18"/>
                <w:szCs w:val="18"/>
              </w:rPr>
              <w:t>68</w:t>
            </w:r>
          </w:p>
        </w:tc>
        <w:tc>
          <w:tcPr>
            <w:tcW w:w="622" w:type="pct"/>
            <w:vAlign w:val="center"/>
          </w:tcPr>
          <w:p w14:paraId="59C09D55">
            <w:pPr>
              <w:tabs>
                <w:tab w:val="clear" w:pos="480"/>
              </w:tabs>
              <w:spacing w:line="240" w:lineRule="auto"/>
              <w:ind w:firstLine="0" w:firstLineChars="0"/>
              <w:jc w:val="center"/>
              <w:rPr>
                <w:sz w:val="18"/>
                <w:szCs w:val="18"/>
              </w:rPr>
            </w:pPr>
            <w:r>
              <w:rPr>
                <w:sz w:val="18"/>
                <w:szCs w:val="18"/>
              </w:rPr>
              <w:t>270</w:t>
            </w:r>
          </w:p>
        </w:tc>
        <w:tc>
          <w:tcPr>
            <w:tcW w:w="593" w:type="pct"/>
            <w:vAlign w:val="center"/>
          </w:tcPr>
          <w:p w14:paraId="4D60B1B3">
            <w:pPr>
              <w:tabs>
                <w:tab w:val="clear" w:pos="480"/>
              </w:tabs>
              <w:spacing w:line="240" w:lineRule="auto"/>
              <w:ind w:firstLine="0" w:firstLineChars="0"/>
              <w:jc w:val="center"/>
              <w:rPr>
                <w:sz w:val="18"/>
                <w:szCs w:val="18"/>
              </w:rPr>
            </w:pPr>
            <w:r>
              <w:rPr>
                <w:sz w:val="18"/>
                <w:szCs w:val="18"/>
              </w:rPr>
              <w:t>200</w:t>
            </w:r>
          </w:p>
        </w:tc>
        <w:tc>
          <w:tcPr>
            <w:tcW w:w="649" w:type="pct"/>
            <w:vAlign w:val="center"/>
          </w:tcPr>
          <w:p w14:paraId="118E087B">
            <w:pPr>
              <w:tabs>
                <w:tab w:val="clear" w:pos="480"/>
              </w:tabs>
              <w:spacing w:line="240" w:lineRule="auto"/>
              <w:ind w:firstLine="0" w:firstLineChars="0"/>
              <w:jc w:val="center"/>
              <w:rPr>
                <w:sz w:val="18"/>
                <w:szCs w:val="18"/>
              </w:rPr>
            </w:pPr>
            <w:r>
              <w:rPr>
                <w:sz w:val="18"/>
                <w:szCs w:val="18"/>
              </w:rPr>
              <w:t>1000</w:t>
            </w:r>
          </w:p>
        </w:tc>
      </w:tr>
      <w:tr w14:paraId="7B8595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320B4ADC">
            <w:pPr>
              <w:tabs>
                <w:tab w:val="clear" w:pos="480"/>
              </w:tabs>
              <w:spacing w:line="240" w:lineRule="auto"/>
              <w:ind w:firstLine="0" w:firstLineChars="0"/>
              <w:jc w:val="center"/>
              <w:rPr>
                <w:sz w:val="18"/>
                <w:szCs w:val="18"/>
              </w:rPr>
            </w:pPr>
            <w:r>
              <w:rPr>
                <w:sz w:val="18"/>
                <w:szCs w:val="18"/>
              </w:rPr>
              <w:t>28</w:t>
            </w:r>
          </w:p>
        </w:tc>
        <w:tc>
          <w:tcPr>
            <w:tcW w:w="1218" w:type="pct"/>
            <w:vAlign w:val="center"/>
          </w:tcPr>
          <w:p w14:paraId="7643A479">
            <w:pPr>
              <w:tabs>
                <w:tab w:val="clear" w:pos="480"/>
              </w:tabs>
              <w:spacing w:line="240" w:lineRule="auto"/>
              <w:ind w:firstLine="0" w:firstLineChars="0"/>
              <w:jc w:val="center"/>
              <w:rPr>
                <w:sz w:val="18"/>
                <w:szCs w:val="18"/>
              </w:rPr>
            </w:pPr>
            <w:r>
              <w:rPr>
                <w:sz w:val="18"/>
                <w:szCs w:val="18"/>
              </w:rPr>
              <w:t>1，2-二氯苯</w:t>
            </w:r>
          </w:p>
        </w:tc>
        <w:tc>
          <w:tcPr>
            <w:tcW w:w="801" w:type="pct"/>
            <w:vAlign w:val="center"/>
          </w:tcPr>
          <w:p w14:paraId="1C09ABE6">
            <w:pPr>
              <w:tabs>
                <w:tab w:val="clear" w:pos="480"/>
              </w:tabs>
              <w:spacing w:line="240" w:lineRule="auto"/>
              <w:ind w:firstLine="0" w:firstLineChars="0"/>
              <w:jc w:val="center"/>
              <w:rPr>
                <w:sz w:val="18"/>
                <w:szCs w:val="18"/>
              </w:rPr>
            </w:pPr>
            <w:r>
              <w:rPr>
                <w:sz w:val="18"/>
                <w:szCs w:val="18"/>
              </w:rPr>
              <w:t>95-50-1</w:t>
            </w:r>
          </w:p>
        </w:tc>
        <w:tc>
          <w:tcPr>
            <w:tcW w:w="622" w:type="pct"/>
            <w:vAlign w:val="center"/>
          </w:tcPr>
          <w:p w14:paraId="3A14466F">
            <w:pPr>
              <w:tabs>
                <w:tab w:val="clear" w:pos="480"/>
              </w:tabs>
              <w:spacing w:line="240" w:lineRule="auto"/>
              <w:ind w:firstLine="0" w:firstLineChars="0"/>
              <w:jc w:val="center"/>
              <w:rPr>
                <w:sz w:val="18"/>
                <w:szCs w:val="18"/>
              </w:rPr>
            </w:pPr>
            <w:r>
              <w:rPr>
                <w:sz w:val="18"/>
                <w:szCs w:val="18"/>
              </w:rPr>
              <w:t>560</w:t>
            </w:r>
          </w:p>
        </w:tc>
        <w:tc>
          <w:tcPr>
            <w:tcW w:w="622" w:type="pct"/>
            <w:vAlign w:val="center"/>
          </w:tcPr>
          <w:p w14:paraId="36DEECC9">
            <w:pPr>
              <w:tabs>
                <w:tab w:val="clear" w:pos="480"/>
              </w:tabs>
              <w:spacing w:line="240" w:lineRule="auto"/>
              <w:ind w:firstLine="0" w:firstLineChars="0"/>
              <w:jc w:val="center"/>
              <w:rPr>
                <w:sz w:val="18"/>
                <w:szCs w:val="18"/>
              </w:rPr>
            </w:pPr>
            <w:r>
              <w:rPr>
                <w:sz w:val="18"/>
                <w:szCs w:val="18"/>
              </w:rPr>
              <w:t>560</w:t>
            </w:r>
          </w:p>
        </w:tc>
        <w:tc>
          <w:tcPr>
            <w:tcW w:w="593" w:type="pct"/>
            <w:vAlign w:val="center"/>
          </w:tcPr>
          <w:p w14:paraId="212EBA68">
            <w:pPr>
              <w:tabs>
                <w:tab w:val="clear" w:pos="480"/>
              </w:tabs>
              <w:spacing w:line="240" w:lineRule="auto"/>
              <w:ind w:firstLine="0" w:firstLineChars="0"/>
              <w:jc w:val="center"/>
              <w:rPr>
                <w:sz w:val="18"/>
                <w:szCs w:val="18"/>
              </w:rPr>
            </w:pPr>
            <w:r>
              <w:rPr>
                <w:sz w:val="18"/>
                <w:szCs w:val="18"/>
              </w:rPr>
              <w:t>560</w:t>
            </w:r>
          </w:p>
        </w:tc>
        <w:tc>
          <w:tcPr>
            <w:tcW w:w="649" w:type="pct"/>
            <w:vAlign w:val="center"/>
          </w:tcPr>
          <w:p w14:paraId="18B1E407">
            <w:pPr>
              <w:tabs>
                <w:tab w:val="clear" w:pos="480"/>
              </w:tabs>
              <w:spacing w:line="240" w:lineRule="auto"/>
              <w:ind w:firstLine="0" w:firstLineChars="0"/>
              <w:jc w:val="center"/>
              <w:rPr>
                <w:sz w:val="18"/>
                <w:szCs w:val="18"/>
              </w:rPr>
            </w:pPr>
            <w:r>
              <w:rPr>
                <w:sz w:val="18"/>
                <w:szCs w:val="18"/>
              </w:rPr>
              <w:t>560</w:t>
            </w:r>
          </w:p>
        </w:tc>
      </w:tr>
      <w:tr w14:paraId="401987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EC5D2E7">
            <w:pPr>
              <w:tabs>
                <w:tab w:val="clear" w:pos="480"/>
              </w:tabs>
              <w:spacing w:line="240" w:lineRule="auto"/>
              <w:ind w:firstLine="0" w:firstLineChars="0"/>
              <w:jc w:val="center"/>
              <w:rPr>
                <w:sz w:val="18"/>
                <w:szCs w:val="18"/>
              </w:rPr>
            </w:pPr>
            <w:r>
              <w:rPr>
                <w:sz w:val="18"/>
                <w:szCs w:val="18"/>
              </w:rPr>
              <w:t>29</w:t>
            </w:r>
          </w:p>
        </w:tc>
        <w:tc>
          <w:tcPr>
            <w:tcW w:w="1218" w:type="pct"/>
            <w:vAlign w:val="center"/>
          </w:tcPr>
          <w:p w14:paraId="1638BBC4">
            <w:pPr>
              <w:tabs>
                <w:tab w:val="clear" w:pos="480"/>
              </w:tabs>
              <w:spacing w:line="240" w:lineRule="auto"/>
              <w:ind w:firstLine="0" w:firstLineChars="0"/>
              <w:jc w:val="center"/>
              <w:rPr>
                <w:sz w:val="18"/>
                <w:szCs w:val="18"/>
              </w:rPr>
            </w:pPr>
            <w:r>
              <w:rPr>
                <w:sz w:val="18"/>
                <w:szCs w:val="18"/>
              </w:rPr>
              <w:t>1，4-二氯苯</w:t>
            </w:r>
          </w:p>
        </w:tc>
        <w:tc>
          <w:tcPr>
            <w:tcW w:w="801" w:type="pct"/>
            <w:vAlign w:val="center"/>
          </w:tcPr>
          <w:p w14:paraId="19880B7F">
            <w:pPr>
              <w:tabs>
                <w:tab w:val="clear" w:pos="480"/>
              </w:tabs>
              <w:spacing w:line="240" w:lineRule="auto"/>
              <w:ind w:firstLine="0" w:firstLineChars="0"/>
              <w:jc w:val="center"/>
              <w:rPr>
                <w:sz w:val="18"/>
                <w:szCs w:val="18"/>
              </w:rPr>
            </w:pPr>
            <w:r>
              <w:rPr>
                <w:sz w:val="18"/>
                <w:szCs w:val="18"/>
              </w:rPr>
              <w:t>106-46-7</w:t>
            </w:r>
          </w:p>
        </w:tc>
        <w:tc>
          <w:tcPr>
            <w:tcW w:w="622" w:type="pct"/>
            <w:vAlign w:val="center"/>
          </w:tcPr>
          <w:p w14:paraId="132DD0F2">
            <w:pPr>
              <w:tabs>
                <w:tab w:val="clear" w:pos="480"/>
              </w:tabs>
              <w:spacing w:line="240" w:lineRule="auto"/>
              <w:ind w:firstLine="0" w:firstLineChars="0"/>
              <w:jc w:val="center"/>
              <w:rPr>
                <w:sz w:val="18"/>
                <w:szCs w:val="18"/>
              </w:rPr>
            </w:pPr>
            <w:r>
              <w:rPr>
                <w:sz w:val="18"/>
                <w:szCs w:val="18"/>
              </w:rPr>
              <w:t>5.6</w:t>
            </w:r>
          </w:p>
        </w:tc>
        <w:tc>
          <w:tcPr>
            <w:tcW w:w="622" w:type="pct"/>
            <w:vAlign w:val="center"/>
          </w:tcPr>
          <w:p w14:paraId="5FB5842B">
            <w:pPr>
              <w:tabs>
                <w:tab w:val="clear" w:pos="480"/>
              </w:tabs>
              <w:spacing w:line="240" w:lineRule="auto"/>
              <w:ind w:firstLine="0" w:firstLineChars="0"/>
              <w:jc w:val="center"/>
              <w:rPr>
                <w:sz w:val="18"/>
                <w:szCs w:val="18"/>
              </w:rPr>
            </w:pPr>
            <w:r>
              <w:rPr>
                <w:sz w:val="18"/>
                <w:szCs w:val="18"/>
              </w:rPr>
              <w:t>20</w:t>
            </w:r>
          </w:p>
        </w:tc>
        <w:tc>
          <w:tcPr>
            <w:tcW w:w="593" w:type="pct"/>
            <w:vAlign w:val="center"/>
          </w:tcPr>
          <w:p w14:paraId="519C3E8F">
            <w:pPr>
              <w:tabs>
                <w:tab w:val="clear" w:pos="480"/>
              </w:tabs>
              <w:spacing w:line="240" w:lineRule="auto"/>
              <w:ind w:firstLine="0" w:firstLineChars="0"/>
              <w:jc w:val="center"/>
              <w:rPr>
                <w:sz w:val="18"/>
                <w:szCs w:val="18"/>
              </w:rPr>
            </w:pPr>
            <w:r>
              <w:rPr>
                <w:sz w:val="18"/>
                <w:szCs w:val="18"/>
              </w:rPr>
              <w:t>56</w:t>
            </w:r>
          </w:p>
        </w:tc>
        <w:tc>
          <w:tcPr>
            <w:tcW w:w="649" w:type="pct"/>
            <w:vAlign w:val="center"/>
          </w:tcPr>
          <w:p w14:paraId="7218E517">
            <w:pPr>
              <w:tabs>
                <w:tab w:val="clear" w:pos="480"/>
              </w:tabs>
              <w:spacing w:line="240" w:lineRule="auto"/>
              <w:ind w:firstLine="0" w:firstLineChars="0"/>
              <w:jc w:val="center"/>
              <w:rPr>
                <w:sz w:val="18"/>
                <w:szCs w:val="18"/>
              </w:rPr>
            </w:pPr>
            <w:r>
              <w:rPr>
                <w:sz w:val="18"/>
                <w:szCs w:val="18"/>
              </w:rPr>
              <w:t>200</w:t>
            </w:r>
          </w:p>
        </w:tc>
      </w:tr>
      <w:tr w14:paraId="22ADD5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E7CE68C">
            <w:pPr>
              <w:tabs>
                <w:tab w:val="clear" w:pos="480"/>
              </w:tabs>
              <w:spacing w:line="240" w:lineRule="auto"/>
              <w:ind w:firstLine="0" w:firstLineChars="0"/>
              <w:jc w:val="center"/>
              <w:rPr>
                <w:sz w:val="18"/>
                <w:szCs w:val="18"/>
              </w:rPr>
            </w:pPr>
            <w:r>
              <w:rPr>
                <w:sz w:val="18"/>
                <w:szCs w:val="18"/>
              </w:rPr>
              <w:t>30</w:t>
            </w:r>
          </w:p>
        </w:tc>
        <w:tc>
          <w:tcPr>
            <w:tcW w:w="1218" w:type="pct"/>
            <w:vAlign w:val="center"/>
          </w:tcPr>
          <w:p w14:paraId="08A55F7B">
            <w:pPr>
              <w:tabs>
                <w:tab w:val="clear" w:pos="480"/>
              </w:tabs>
              <w:spacing w:line="240" w:lineRule="auto"/>
              <w:ind w:firstLine="0" w:firstLineChars="0"/>
              <w:jc w:val="center"/>
              <w:rPr>
                <w:sz w:val="18"/>
                <w:szCs w:val="18"/>
              </w:rPr>
            </w:pPr>
            <w:r>
              <w:rPr>
                <w:sz w:val="18"/>
                <w:szCs w:val="18"/>
              </w:rPr>
              <w:t>乙苯</w:t>
            </w:r>
          </w:p>
        </w:tc>
        <w:tc>
          <w:tcPr>
            <w:tcW w:w="801" w:type="pct"/>
            <w:vAlign w:val="center"/>
          </w:tcPr>
          <w:p w14:paraId="4B4CA443">
            <w:pPr>
              <w:tabs>
                <w:tab w:val="clear" w:pos="480"/>
              </w:tabs>
              <w:spacing w:line="240" w:lineRule="auto"/>
              <w:ind w:firstLine="0" w:firstLineChars="0"/>
              <w:jc w:val="center"/>
              <w:rPr>
                <w:sz w:val="18"/>
                <w:szCs w:val="18"/>
              </w:rPr>
            </w:pPr>
            <w:r>
              <w:rPr>
                <w:sz w:val="18"/>
                <w:szCs w:val="18"/>
              </w:rPr>
              <w:t>100-41-4</w:t>
            </w:r>
          </w:p>
        </w:tc>
        <w:tc>
          <w:tcPr>
            <w:tcW w:w="622" w:type="pct"/>
            <w:vAlign w:val="center"/>
          </w:tcPr>
          <w:p w14:paraId="5646691E">
            <w:pPr>
              <w:tabs>
                <w:tab w:val="clear" w:pos="480"/>
              </w:tabs>
              <w:spacing w:line="240" w:lineRule="auto"/>
              <w:ind w:firstLine="0" w:firstLineChars="0"/>
              <w:jc w:val="center"/>
              <w:rPr>
                <w:sz w:val="18"/>
                <w:szCs w:val="18"/>
              </w:rPr>
            </w:pPr>
            <w:r>
              <w:rPr>
                <w:sz w:val="18"/>
                <w:szCs w:val="18"/>
              </w:rPr>
              <w:t>7.2</w:t>
            </w:r>
          </w:p>
        </w:tc>
        <w:tc>
          <w:tcPr>
            <w:tcW w:w="622" w:type="pct"/>
            <w:vAlign w:val="center"/>
          </w:tcPr>
          <w:p w14:paraId="663B8860">
            <w:pPr>
              <w:tabs>
                <w:tab w:val="clear" w:pos="480"/>
              </w:tabs>
              <w:spacing w:line="240" w:lineRule="auto"/>
              <w:ind w:firstLine="0" w:firstLineChars="0"/>
              <w:jc w:val="center"/>
              <w:rPr>
                <w:sz w:val="18"/>
                <w:szCs w:val="18"/>
              </w:rPr>
            </w:pPr>
            <w:r>
              <w:rPr>
                <w:sz w:val="18"/>
                <w:szCs w:val="18"/>
              </w:rPr>
              <w:t>28</w:t>
            </w:r>
          </w:p>
        </w:tc>
        <w:tc>
          <w:tcPr>
            <w:tcW w:w="593" w:type="pct"/>
            <w:vAlign w:val="center"/>
          </w:tcPr>
          <w:p w14:paraId="14EBBAF8">
            <w:pPr>
              <w:tabs>
                <w:tab w:val="clear" w:pos="480"/>
              </w:tabs>
              <w:spacing w:line="240" w:lineRule="auto"/>
              <w:ind w:firstLine="0" w:firstLineChars="0"/>
              <w:jc w:val="center"/>
              <w:rPr>
                <w:sz w:val="18"/>
                <w:szCs w:val="18"/>
              </w:rPr>
            </w:pPr>
            <w:r>
              <w:rPr>
                <w:sz w:val="18"/>
                <w:szCs w:val="18"/>
              </w:rPr>
              <w:t>72</w:t>
            </w:r>
          </w:p>
        </w:tc>
        <w:tc>
          <w:tcPr>
            <w:tcW w:w="649" w:type="pct"/>
            <w:vAlign w:val="center"/>
          </w:tcPr>
          <w:p w14:paraId="32708BBE">
            <w:pPr>
              <w:tabs>
                <w:tab w:val="clear" w:pos="480"/>
              </w:tabs>
              <w:spacing w:line="240" w:lineRule="auto"/>
              <w:ind w:firstLine="0" w:firstLineChars="0"/>
              <w:jc w:val="center"/>
              <w:rPr>
                <w:sz w:val="18"/>
                <w:szCs w:val="18"/>
              </w:rPr>
            </w:pPr>
            <w:r>
              <w:rPr>
                <w:sz w:val="18"/>
                <w:szCs w:val="18"/>
              </w:rPr>
              <w:t>280</w:t>
            </w:r>
          </w:p>
        </w:tc>
      </w:tr>
      <w:tr w14:paraId="29C018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01D47766">
            <w:pPr>
              <w:tabs>
                <w:tab w:val="clear" w:pos="480"/>
              </w:tabs>
              <w:spacing w:line="240" w:lineRule="auto"/>
              <w:ind w:firstLine="0" w:firstLineChars="0"/>
              <w:jc w:val="center"/>
              <w:rPr>
                <w:sz w:val="18"/>
                <w:szCs w:val="18"/>
              </w:rPr>
            </w:pPr>
            <w:r>
              <w:rPr>
                <w:sz w:val="18"/>
                <w:szCs w:val="18"/>
              </w:rPr>
              <w:t>31</w:t>
            </w:r>
          </w:p>
        </w:tc>
        <w:tc>
          <w:tcPr>
            <w:tcW w:w="1218" w:type="pct"/>
            <w:vAlign w:val="center"/>
          </w:tcPr>
          <w:p w14:paraId="4EF545B1">
            <w:pPr>
              <w:tabs>
                <w:tab w:val="clear" w:pos="480"/>
              </w:tabs>
              <w:spacing w:line="240" w:lineRule="auto"/>
              <w:ind w:firstLine="0" w:firstLineChars="0"/>
              <w:jc w:val="center"/>
              <w:rPr>
                <w:sz w:val="18"/>
                <w:szCs w:val="18"/>
              </w:rPr>
            </w:pPr>
            <w:r>
              <w:rPr>
                <w:sz w:val="18"/>
                <w:szCs w:val="18"/>
              </w:rPr>
              <w:t>苯乙烯</w:t>
            </w:r>
          </w:p>
        </w:tc>
        <w:tc>
          <w:tcPr>
            <w:tcW w:w="801" w:type="pct"/>
            <w:vAlign w:val="center"/>
          </w:tcPr>
          <w:p w14:paraId="327F75A4">
            <w:pPr>
              <w:tabs>
                <w:tab w:val="clear" w:pos="480"/>
              </w:tabs>
              <w:spacing w:line="240" w:lineRule="auto"/>
              <w:ind w:firstLine="0" w:firstLineChars="0"/>
              <w:jc w:val="center"/>
              <w:rPr>
                <w:sz w:val="18"/>
                <w:szCs w:val="18"/>
              </w:rPr>
            </w:pPr>
            <w:r>
              <w:rPr>
                <w:sz w:val="18"/>
                <w:szCs w:val="18"/>
              </w:rPr>
              <w:t>100-42-5</w:t>
            </w:r>
          </w:p>
        </w:tc>
        <w:tc>
          <w:tcPr>
            <w:tcW w:w="622" w:type="pct"/>
            <w:vAlign w:val="center"/>
          </w:tcPr>
          <w:p w14:paraId="5ED0D2FE">
            <w:pPr>
              <w:tabs>
                <w:tab w:val="clear" w:pos="480"/>
              </w:tabs>
              <w:spacing w:line="240" w:lineRule="auto"/>
              <w:ind w:firstLine="0" w:firstLineChars="0"/>
              <w:jc w:val="center"/>
              <w:rPr>
                <w:sz w:val="18"/>
                <w:szCs w:val="18"/>
              </w:rPr>
            </w:pPr>
            <w:r>
              <w:rPr>
                <w:sz w:val="18"/>
                <w:szCs w:val="18"/>
              </w:rPr>
              <w:t>1290</w:t>
            </w:r>
          </w:p>
        </w:tc>
        <w:tc>
          <w:tcPr>
            <w:tcW w:w="622" w:type="pct"/>
            <w:vAlign w:val="center"/>
          </w:tcPr>
          <w:p w14:paraId="0C3B3FE1">
            <w:pPr>
              <w:tabs>
                <w:tab w:val="clear" w:pos="480"/>
              </w:tabs>
              <w:spacing w:line="240" w:lineRule="auto"/>
              <w:ind w:firstLine="0" w:firstLineChars="0"/>
              <w:jc w:val="center"/>
              <w:rPr>
                <w:sz w:val="18"/>
                <w:szCs w:val="18"/>
              </w:rPr>
            </w:pPr>
            <w:r>
              <w:rPr>
                <w:sz w:val="18"/>
                <w:szCs w:val="18"/>
              </w:rPr>
              <w:t>1290</w:t>
            </w:r>
          </w:p>
        </w:tc>
        <w:tc>
          <w:tcPr>
            <w:tcW w:w="593" w:type="pct"/>
            <w:vAlign w:val="center"/>
          </w:tcPr>
          <w:p w14:paraId="580E59E7">
            <w:pPr>
              <w:tabs>
                <w:tab w:val="clear" w:pos="480"/>
              </w:tabs>
              <w:spacing w:line="240" w:lineRule="auto"/>
              <w:ind w:firstLine="0" w:firstLineChars="0"/>
              <w:jc w:val="center"/>
              <w:rPr>
                <w:sz w:val="18"/>
                <w:szCs w:val="18"/>
              </w:rPr>
            </w:pPr>
            <w:r>
              <w:rPr>
                <w:sz w:val="18"/>
                <w:szCs w:val="18"/>
              </w:rPr>
              <w:t>1290</w:t>
            </w:r>
          </w:p>
        </w:tc>
        <w:tc>
          <w:tcPr>
            <w:tcW w:w="649" w:type="pct"/>
            <w:vAlign w:val="center"/>
          </w:tcPr>
          <w:p w14:paraId="399BD17A">
            <w:pPr>
              <w:tabs>
                <w:tab w:val="clear" w:pos="480"/>
              </w:tabs>
              <w:spacing w:line="240" w:lineRule="auto"/>
              <w:ind w:firstLine="0" w:firstLineChars="0"/>
              <w:jc w:val="center"/>
              <w:rPr>
                <w:sz w:val="18"/>
                <w:szCs w:val="18"/>
              </w:rPr>
            </w:pPr>
            <w:r>
              <w:rPr>
                <w:sz w:val="18"/>
                <w:szCs w:val="18"/>
              </w:rPr>
              <w:t>1290</w:t>
            </w:r>
          </w:p>
        </w:tc>
      </w:tr>
      <w:tr w14:paraId="33B1D1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9659A4E">
            <w:pPr>
              <w:tabs>
                <w:tab w:val="clear" w:pos="480"/>
              </w:tabs>
              <w:spacing w:line="240" w:lineRule="auto"/>
              <w:ind w:firstLine="0" w:firstLineChars="0"/>
              <w:jc w:val="center"/>
              <w:rPr>
                <w:sz w:val="18"/>
                <w:szCs w:val="18"/>
              </w:rPr>
            </w:pPr>
            <w:r>
              <w:rPr>
                <w:sz w:val="18"/>
                <w:szCs w:val="18"/>
              </w:rPr>
              <w:t>32</w:t>
            </w:r>
          </w:p>
        </w:tc>
        <w:tc>
          <w:tcPr>
            <w:tcW w:w="1218" w:type="pct"/>
            <w:vAlign w:val="center"/>
          </w:tcPr>
          <w:p w14:paraId="59DD882A">
            <w:pPr>
              <w:tabs>
                <w:tab w:val="clear" w:pos="480"/>
              </w:tabs>
              <w:spacing w:line="240" w:lineRule="auto"/>
              <w:ind w:firstLine="0" w:firstLineChars="0"/>
              <w:jc w:val="center"/>
              <w:rPr>
                <w:sz w:val="18"/>
                <w:szCs w:val="18"/>
              </w:rPr>
            </w:pPr>
            <w:r>
              <w:rPr>
                <w:sz w:val="18"/>
                <w:szCs w:val="18"/>
              </w:rPr>
              <w:t>甲苯</w:t>
            </w:r>
          </w:p>
        </w:tc>
        <w:tc>
          <w:tcPr>
            <w:tcW w:w="801" w:type="pct"/>
            <w:vAlign w:val="center"/>
          </w:tcPr>
          <w:p w14:paraId="22BD8754">
            <w:pPr>
              <w:tabs>
                <w:tab w:val="clear" w:pos="480"/>
              </w:tabs>
              <w:spacing w:line="240" w:lineRule="auto"/>
              <w:ind w:firstLine="0" w:firstLineChars="0"/>
              <w:jc w:val="center"/>
              <w:rPr>
                <w:sz w:val="18"/>
                <w:szCs w:val="18"/>
              </w:rPr>
            </w:pPr>
            <w:r>
              <w:rPr>
                <w:sz w:val="18"/>
                <w:szCs w:val="18"/>
              </w:rPr>
              <w:t>108-88-3</w:t>
            </w:r>
          </w:p>
        </w:tc>
        <w:tc>
          <w:tcPr>
            <w:tcW w:w="622" w:type="pct"/>
            <w:vAlign w:val="center"/>
          </w:tcPr>
          <w:p w14:paraId="5BFD73B6">
            <w:pPr>
              <w:tabs>
                <w:tab w:val="clear" w:pos="480"/>
              </w:tabs>
              <w:spacing w:line="240" w:lineRule="auto"/>
              <w:ind w:firstLine="0" w:firstLineChars="0"/>
              <w:jc w:val="center"/>
              <w:rPr>
                <w:sz w:val="18"/>
                <w:szCs w:val="18"/>
              </w:rPr>
            </w:pPr>
            <w:r>
              <w:rPr>
                <w:sz w:val="18"/>
                <w:szCs w:val="18"/>
              </w:rPr>
              <w:t>1200</w:t>
            </w:r>
          </w:p>
        </w:tc>
        <w:tc>
          <w:tcPr>
            <w:tcW w:w="622" w:type="pct"/>
            <w:vAlign w:val="center"/>
          </w:tcPr>
          <w:p w14:paraId="254CF0EC">
            <w:pPr>
              <w:tabs>
                <w:tab w:val="clear" w:pos="480"/>
              </w:tabs>
              <w:spacing w:line="240" w:lineRule="auto"/>
              <w:ind w:firstLine="0" w:firstLineChars="0"/>
              <w:jc w:val="center"/>
              <w:rPr>
                <w:sz w:val="18"/>
                <w:szCs w:val="18"/>
              </w:rPr>
            </w:pPr>
            <w:r>
              <w:rPr>
                <w:sz w:val="18"/>
                <w:szCs w:val="18"/>
              </w:rPr>
              <w:t>1200</w:t>
            </w:r>
          </w:p>
        </w:tc>
        <w:tc>
          <w:tcPr>
            <w:tcW w:w="593" w:type="pct"/>
            <w:vAlign w:val="center"/>
          </w:tcPr>
          <w:p w14:paraId="13C3657A">
            <w:pPr>
              <w:tabs>
                <w:tab w:val="clear" w:pos="480"/>
              </w:tabs>
              <w:spacing w:line="240" w:lineRule="auto"/>
              <w:ind w:firstLine="0" w:firstLineChars="0"/>
              <w:jc w:val="center"/>
              <w:rPr>
                <w:sz w:val="18"/>
                <w:szCs w:val="18"/>
              </w:rPr>
            </w:pPr>
            <w:r>
              <w:rPr>
                <w:sz w:val="18"/>
                <w:szCs w:val="18"/>
              </w:rPr>
              <w:t>1200</w:t>
            </w:r>
          </w:p>
        </w:tc>
        <w:tc>
          <w:tcPr>
            <w:tcW w:w="649" w:type="pct"/>
            <w:vAlign w:val="center"/>
          </w:tcPr>
          <w:p w14:paraId="4A18C7B2">
            <w:pPr>
              <w:tabs>
                <w:tab w:val="clear" w:pos="480"/>
              </w:tabs>
              <w:spacing w:line="240" w:lineRule="auto"/>
              <w:ind w:firstLine="0" w:firstLineChars="0"/>
              <w:jc w:val="center"/>
              <w:rPr>
                <w:sz w:val="18"/>
                <w:szCs w:val="18"/>
              </w:rPr>
            </w:pPr>
            <w:r>
              <w:rPr>
                <w:sz w:val="18"/>
                <w:szCs w:val="18"/>
              </w:rPr>
              <w:t>1200</w:t>
            </w:r>
          </w:p>
        </w:tc>
      </w:tr>
      <w:tr w14:paraId="198A77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7B953CB">
            <w:pPr>
              <w:tabs>
                <w:tab w:val="clear" w:pos="480"/>
              </w:tabs>
              <w:spacing w:line="240" w:lineRule="auto"/>
              <w:ind w:firstLine="0" w:firstLineChars="0"/>
              <w:jc w:val="center"/>
              <w:rPr>
                <w:sz w:val="18"/>
                <w:szCs w:val="18"/>
              </w:rPr>
            </w:pPr>
            <w:r>
              <w:rPr>
                <w:sz w:val="18"/>
                <w:szCs w:val="18"/>
              </w:rPr>
              <w:t>33</w:t>
            </w:r>
          </w:p>
        </w:tc>
        <w:tc>
          <w:tcPr>
            <w:tcW w:w="1218" w:type="pct"/>
            <w:vAlign w:val="center"/>
          </w:tcPr>
          <w:p w14:paraId="2BD07461">
            <w:pPr>
              <w:tabs>
                <w:tab w:val="clear" w:pos="480"/>
              </w:tabs>
              <w:spacing w:line="240" w:lineRule="auto"/>
              <w:ind w:firstLine="0" w:firstLineChars="0"/>
              <w:jc w:val="center"/>
              <w:rPr>
                <w:sz w:val="18"/>
                <w:szCs w:val="18"/>
              </w:rPr>
            </w:pPr>
            <w:r>
              <w:rPr>
                <w:sz w:val="18"/>
                <w:szCs w:val="18"/>
              </w:rPr>
              <w:t>间二甲苯+对二甲苯</w:t>
            </w:r>
          </w:p>
        </w:tc>
        <w:tc>
          <w:tcPr>
            <w:tcW w:w="801" w:type="pct"/>
            <w:vAlign w:val="center"/>
          </w:tcPr>
          <w:p w14:paraId="770D7AB6">
            <w:pPr>
              <w:tabs>
                <w:tab w:val="clear" w:pos="480"/>
              </w:tabs>
              <w:spacing w:line="240" w:lineRule="auto"/>
              <w:ind w:firstLine="0" w:firstLineChars="0"/>
              <w:jc w:val="center"/>
              <w:rPr>
                <w:sz w:val="18"/>
                <w:szCs w:val="18"/>
              </w:rPr>
            </w:pPr>
            <w:r>
              <w:rPr>
                <w:sz w:val="18"/>
                <w:szCs w:val="18"/>
              </w:rPr>
              <w:t>108-38-3，</w:t>
            </w:r>
          </w:p>
          <w:p w14:paraId="5B299146">
            <w:pPr>
              <w:tabs>
                <w:tab w:val="clear" w:pos="480"/>
              </w:tabs>
              <w:spacing w:line="240" w:lineRule="auto"/>
              <w:ind w:firstLine="0" w:firstLineChars="0"/>
              <w:jc w:val="center"/>
              <w:rPr>
                <w:sz w:val="18"/>
                <w:szCs w:val="18"/>
              </w:rPr>
            </w:pPr>
            <w:r>
              <w:rPr>
                <w:sz w:val="18"/>
                <w:szCs w:val="18"/>
              </w:rPr>
              <w:t>106-42-3</w:t>
            </w:r>
          </w:p>
        </w:tc>
        <w:tc>
          <w:tcPr>
            <w:tcW w:w="622" w:type="pct"/>
            <w:vAlign w:val="center"/>
          </w:tcPr>
          <w:p w14:paraId="64B71FB1">
            <w:pPr>
              <w:tabs>
                <w:tab w:val="clear" w:pos="480"/>
              </w:tabs>
              <w:spacing w:line="240" w:lineRule="auto"/>
              <w:ind w:firstLine="0" w:firstLineChars="0"/>
              <w:jc w:val="center"/>
              <w:rPr>
                <w:sz w:val="18"/>
                <w:szCs w:val="18"/>
              </w:rPr>
            </w:pPr>
            <w:r>
              <w:rPr>
                <w:sz w:val="18"/>
                <w:szCs w:val="18"/>
              </w:rPr>
              <w:t>163</w:t>
            </w:r>
          </w:p>
        </w:tc>
        <w:tc>
          <w:tcPr>
            <w:tcW w:w="622" w:type="pct"/>
            <w:vAlign w:val="center"/>
          </w:tcPr>
          <w:p w14:paraId="6047AD67">
            <w:pPr>
              <w:tabs>
                <w:tab w:val="clear" w:pos="480"/>
              </w:tabs>
              <w:spacing w:line="240" w:lineRule="auto"/>
              <w:ind w:firstLine="0" w:firstLineChars="0"/>
              <w:jc w:val="center"/>
              <w:rPr>
                <w:sz w:val="18"/>
                <w:szCs w:val="18"/>
              </w:rPr>
            </w:pPr>
            <w:r>
              <w:rPr>
                <w:sz w:val="18"/>
                <w:szCs w:val="18"/>
              </w:rPr>
              <w:t>570</w:t>
            </w:r>
          </w:p>
        </w:tc>
        <w:tc>
          <w:tcPr>
            <w:tcW w:w="593" w:type="pct"/>
            <w:vAlign w:val="center"/>
          </w:tcPr>
          <w:p w14:paraId="38D43C08">
            <w:pPr>
              <w:tabs>
                <w:tab w:val="clear" w:pos="480"/>
              </w:tabs>
              <w:spacing w:line="240" w:lineRule="auto"/>
              <w:ind w:firstLine="0" w:firstLineChars="0"/>
              <w:jc w:val="center"/>
              <w:rPr>
                <w:sz w:val="18"/>
                <w:szCs w:val="18"/>
              </w:rPr>
            </w:pPr>
            <w:r>
              <w:rPr>
                <w:sz w:val="18"/>
                <w:szCs w:val="18"/>
              </w:rPr>
              <w:t>500</w:t>
            </w:r>
          </w:p>
        </w:tc>
        <w:tc>
          <w:tcPr>
            <w:tcW w:w="649" w:type="pct"/>
            <w:vAlign w:val="center"/>
          </w:tcPr>
          <w:p w14:paraId="410FE329">
            <w:pPr>
              <w:tabs>
                <w:tab w:val="clear" w:pos="480"/>
              </w:tabs>
              <w:spacing w:line="240" w:lineRule="auto"/>
              <w:ind w:firstLine="0" w:firstLineChars="0"/>
              <w:jc w:val="center"/>
              <w:rPr>
                <w:sz w:val="18"/>
                <w:szCs w:val="18"/>
              </w:rPr>
            </w:pPr>
            <w:r>
              <w:rPr>
                <w:sz w:val="18"/>
                <w:szCs w:val="18"/>
              </w:rPr>
              <w:t>570</w:t>
            </w:r>
          </w:p>
        </w:tc>
      </w:tr>
      <w:tr w14:paraId="02BFDA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70073CA3">
            <w:pPr>
              <w:tabs>
                <w:tab w:val="clear" w:pos="480"/>
              </w:tabs>
              <w:spacing w:line="240" w:lineRule="auto"/>
              <w:ind w:firstLine="0" w:firstLineChars="0"/>
              <w:jc w:val="center"/>
              <w:rPr>
                <w:sz w:val="18"/>
                <w:szCs w:val="18"/>
              </w:rPr>
            </w:pPr>
            <w:r>
              <w:rPr>
                <w:sz w:val="18"/>
                <w:szCs w:val="18"/>
              </w:rPr>
              <w:t>34</w:t>
            </w:r>
          </w:p>
        </w:tc>
        <w:tc>
          <w:tcPr>
            <w:tcW w:w="1218" w:type="pct"/>
            <w:vAlign w:val="center"/>
          </w:tcPr>
          <w:p w14:paraId="60AE3B83">
            <w:pPr>
              <w:tabs>
                <w:tab w:val="clear" w:pos="480"/>
              </w:tabs>
              <w:spacing w:line="240" w:lineRule="auto"/>
              <w:ind w:firstLine="0" w:firstLineChars="0"/>
              <w:jc w:val="center"/>
              <w:rPr>
                <w:sz w:val="18"/>
                <w:szCs w:val="18"/>
              </w:rPr>
            </w:pPr>
            <w:r>
              <w:rPr>
                <w:sz w:val="18"/>
                <w:szCs w:val="18"/>
              </w:rPr>
              <w:t>邻二甲苯</w:t>
            </w:r>
          </w:p>
        </w:tc>
        <w:tc>
          <w:tcPr>
            <w:tcW w:w="801" w:type="pct"/>
            <w:vAlign w:val="center"/>
          </w:tcPr>
          <w:p w14:paraId="172E0C00">
            <w:pPr>
              <w:tabs>
                <w:tab w:val="clear" w:pos="480"/>
              </w:tabs>
              <w:spacing w:line="240" w:lineRule="auto"/>
              <w:ind w:firstLine="0" w:firstLineChars="0"/>
              <w:jc w:val="center"/>
              <w:rPr>
                <w:sz w:val="18"/>
                <w:szCs w:val="18"/>
              </w:rPr>
            </w:pPr>
            <w:r>
              <w:rPr>
                <w:sz w:val="18"/>
                <w:szCs w:val="18"/>
              </w:rPr>
              <w:t>95-47-6</w:t>
            </w:r>
          </w:p>
        </w:tc>
        <w:tc>
          <w:tcPr>
            <w:tcW w:w="622" w:type="pct"/>
            <w:vAlign w:val="center"/>
          </w:tcPr>
          <w:p w14:paraId="5C8F15B2">
            <w:pPr>
              <w:tabs>
                <w:tab w:val="clear" w:pos="480"/>
              </w:tabs>
              <w:spacing w:line="240" w:lineRule="auto"/>
              <w:ind w:firstLine="0" w:firstLineChars="0"/>
              <w:jc w:val="center"/>
              <w:rPr>
                <w:sz w:val="18"/>
                <w:szCs w:val="18"/>
              </w:rPr>
            </w:pPr>
            <w:r>
              <w:rPr>
                <w:sz w:val="18"/>
                <w:szCs w:val="18"/>
              </w:rPr>
              <w:t>222</w:t>
            </w:r>
          </w:p>
        </w:tc>
        <w:tc>
          <w:tcPr>
            <w:tcW w:w="622" w:type="pct"/>
            <w:vAlign w:val="center"/>
          </w:tcPr>
          <w:p w14:paraId="78402241">
            <w:pPr>
              <w:tabs>
                <w:tab w:val="clear" w:pos="480"/>
              </w:tabs>
              <w:spacing w:line="240" w:lineRule="auto"/>
              <w:ind w:firstLine="0" w:firstLineChars="0"/>
              <w:jc w:val="center"/>
              <w:rPr>
                <w:sz w:val="18"/>
                <w:szCs w:val="18"/>
              </w:rPr>
            </w:pPr>
            <w:r>
              <w:rPr>
                <w:sz w:val="18"/>
                <w:szCs w:val="18"/>
              </w:rPr>
              <w:t>640</w:t>
            </w:r>
          </w:p>
        </w:tc>
        <w:tc>
          <w:tcPr>
            <w:tcW w:w="593" w:type="pct"/>
            <w:vAlign w:val="center"/>
          </w:tcPr>
          <w:p w14:paraId="4F6F1A96">
            <w:pPr>
              <w:tabs>
                <w:tab w:val="clear" w:pos="480"/>
              </w:tabs>
              <w:spacing w:line="240" w:lineRule="auto"/>
              <w:ind w:firstLine="0" w:firstLineChars="0"/>
              <w:jc w:val="center"/>
              <w:rPr>
                <w:sz w:val="18"/>
                <w:szCs w:val="18"/>
              </w:rPr>
            </w:pPr>
            <w:r>
              <w:rPr>
                <w:sz w:val="18"/>
                <w:szCs w:val="18"/>
              </w:rPr>
              <w:t>640</w:t>
            </w:r>
          </w:p>
        </w:tc>
        <w:tc>
          <w:tcPr>
            <w:tcW w:w="649" w:type="pct"/>
            <w:vAlign w:val="center"/>
          </w:tcPr>
          <w:p w14:paraId="745BD9CF">
            <w:pPr>
              <w:tabs>
                <w:tab w:val="clear" w:pos="480"/>
              </w:tabs>
              <w:spacing w:line="240" w:lineRule="auto"/>
              <w:ind w:firstLine="0" w:firstLineChars="0"/>
              <w:jc w:val="center"/>
              <w:rPr>
                <w:sz w:val="18"/>
                <w:szCs w:val="18"/>
              </w:rPr>
            </w:pPr>
            <w:r>
              <w:rPr>
                <w:sz w:val="18"/>
                <w:szCs w:val="18"/>
              </w:rPr>
              <w:t>640</w:t>
            </w:r>
          </w:p>
        </w:tc>
      </w:tr>
      <w:tr w14:paraId="1C80B7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7"/>
            <w:vAlign w:val="center"/>
          </w:tcPr>
          <w:p w14:paraId="153E9256">
            <w:pPr>
              <w:tabs>
                <w:tab w:val="clear" w:pos="480"/>
              </w:tabs>
              <w:spacing w:line="240" w:lineRule="auto"/>
              <w:ind w:firstLine="0" w:firstLineChars="0"/>
              <w:jc w:val="center"/>
              <w:rPr>
                <w:sz w:val="18"/>
                <w:szCs w:val="18"/>
              </w:rPr>
            </w:pPr>
            <w:r>
              <w:rPr>
                <w:sz w:val="18"/>
                <w:szCs w:val="18"/>
              </w:rPr>
              <w:t>半挥发性有机物</w:t>
            </w:r>
          </w:p>
        </w:tc>
      </w:tr>
      <w:tr w14:paraId="52FB9A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11513D2">
            <w:pPr>
              <w:tabs>
                <w:tab w:val="clear" w:pos="480"/>
              </w:tabs>
              <w:spacing w:line="240" w:lineRule="auto"/>
              <w:ind w:firstLine="0" w:firstLineChars="0"/>
              <w:jc w:val="center"/>
              <w:rPr>
                <w:sz w:val="18"/>
                <w:szCs w:val="18"/>
              </w:rPr>
            </w:pPr>
            <w:r>
              <w:rPr>
                <w:sz w:val="18"/>
                <w:szCs w:val="18"/>
              </w:rPr>
              <w:t>35</w:t>
            </w:r>
          </w:p>
        </w:tc>
        <w:tc>
          <w:tcPr>
            <w:tcW w:w="1218" w:type="pct"/>
            <w:vAlign w:val="center"/>
          </w:tcPr>
          <w:p w14:paraId="70A60A12">
            <w:pPr>
              <w:tabs>
                <w:tab w:val="clear" w:pos="480"/>
              </w:tabs>
              <w:spacing w:line="240" w:lineRule="auto"/>
              <w:ind w:firstLine="0" w:firstLineChars="0"/>
              <w:jc w:val="center"/>
              <w:rPr>
                <w:sz w:val="18"/>
                <w:szCs w:val="18"/>
              </w:rPr>
            </w:pPr>
            <w:r>
              <w:rPr>
                <w:sz w:val="18"/>
                <w:szCs w:val="18"/>
              </w:rPr>
              <w:t>硝基苯</w:t>
            </w:r>
          </w:p>
        </w:tc>
        <w:tc>
          <w:tcPr>
            <w:tcW w:w="801" w:type="pct"/>
            <w:vAlign w:val="center"/>
          </w:tcPr>
          <w:p w14:paraId="2CDD49E1">
            <w:pPr>
              <w:tabs>
                <w:tab w:val="clear" w:pos="480"/>
              </w:tabs>
              <w:spacing w:line="240" w:lineRule="auto"/>
              <w:ind w:firstLine="0" w:firstLineChars="0"/>
              <w:jc w:val="center"/>
              <w:rPr>
                <w:sz w:val="18"/>
                <w:szCs w:val="18"/>
              </w:rPr>
            </w:pPr>
            <w:r>
              <w:rPr>
                <w:sz w:val="18"/>
                <w:szCs w:val="18"/>
              </w:rPr>
              <w:t>98-95-3</w:t>
            </w:r>
          </w:p>
        </w:tc>
        <w:tc>
          <w:tcPr>
            <w:tcW w:w="622" w:type="pct"/>
            <w:vAlign w:val="center"/>
          </w:tcPr>
          <w:p w14:paraId="40680199">
            <w:pPr>
              <w:tabs>
                <w:tab w:val="clear" w:pos="480"/>
              </w:tabs>
              <w:spacing w:line="240" w:lineRule="auto"/>
              <w:ind w:firstLine="0" w:firstLineChars="0"/>
              <w:jc w:val="center"/>
              <w:rPr>
                <w:sz w:val="18"/>
                <w:szCs w:val="18"/>
              </w:rPr>
            </w:pPr>
            <w:r>
              <w:rPr>
                <w:sz w:val="18"/>
                <w:szCs w:val="18"/>
              </w:rPr>
              <w:t>34</w:t>
            </w:r>
          </w:p>
        </w:tc>
        <w:tc>
          <w:tcPr>
            <w:tcW w:w="622" w:type="pct"/>
            <w:vAlign w:val="center"/>
          </w:tcPr>
          <w:p w14:paraId="711221A5">
            <w:pPr>
              <w:tabs>
                <w:tab w:val="clear" w:pos="480"/>
              </w:tabs>
              <w:spacing w:line="240" w:lineRule="auto"/>
              <w:ind w:firstLine="0" w:firstLineChars="0"/>
              <w:jc w:val="center"/>
              <w:rPr>
                <w:sz w:val="18"/>
                <w:szCs w:val="18"/>
              </w:rPr>
            </w:pPr>
            <w:r>
              <w:rPr>
                <w:sz w:val="18"/>
                <w:szCs w:val="18"/>
              </w:rPr>
              <w:t>76</w:t>
            </w:r>
          </w:p>
        </w:tc>
        <w:tc>
          <w:tcPr>
            <w:tcW w:w="593" w:type="pct"/>
            <w:vAlign w:val="center"/>
          </w:tcPr>
          <w:p w14:paraId="5FA1B9B1">
            <w:pPr>
              <w:tabs>
                <w:tab w:val="clear" w:pos="480"/>
              </w:tabs>
              <w:spacing w:line="240" w:lineRule="auto"/>
              <w:ind w:firstLine="0" w:firstLineChars="0"/>
              <w:jc w:val="center"/>
              <w:rPr>
                <w:sz w:val="18"/>
                <w:szCs w:val="18"/>
              </w:rPr>
            </w:pPr>
            <w:r>
              <w:rPr>
                <w:sz w:val="18"/>
                <w:szCs w:val="18"/>
              </w:rPr>
              <w:t>190</w:t>
            </w:r>
          </w:p>
        </w:tc>
        <w:tc>
          <w:tcPr>
            <w:tcW w:w="649" w:type="pct"/>
            <w:vAlign w:val="center"/>
          </w:tcPr>
          <w:p w14:paraId="5A5D93CA">
            <w:pPr>
              <w:tabs>
                <w:tab w:val="clear" w:pos="480"/>
              </w:tabs>
              <w:spacing w:line="240" w:lineRule="auto"/>
              <w:ind w:firstLine="0" w:firstLineChars="0"/>
              <w:jc w:val="center"/>
              <w:rPr>
                <w:sz w:val="18"/>
                <w:szCs w:val="18"/>
              </w:rPr>
            </w:pPr>
            <w:r>
              <w:rPr>
                <w:sz w:val="18"/>
                <w:szCs w:val="18"/>
              </w:rPr>
              <w:t>760</w:t>
            </w:r>
          </w:p>
        </w:tc>
      </w:tr>
      <w:tr w14:paraId="207526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952C81C">
            <w:pPr>
              <w:tabs>
                <w:tab w:val="clear" w:pos="480"/>
              </w:tabs>
              <w:spacing w:line="240" w:lineRule="auto"/>
              <w:ind w:firstLine="0" w:firstLineChars="0"/>
              <w:jc w:val="center"/>
              <w:rPr>
                <w:sz w:val="18"/>
                <w:szCs w:val="18"/>
              </w:rPr>
            </w:pPr>
            <w:r>
              <w:rPr>
                <w:sz w:val="18"/>
                <w:szCs w:val="18"/>
              </w:rPr>
              <w:t>36</w:t>
            </w:r>
          </w:p>
        </w:tc>
        <w:tc>
          <w:tcPr>
            <w:tcW w:w="1218" w:type="pct"/>
            <w:vAlign w:val="center"/>
          </w:tcPr>
          <w:p w14:paraId="17D3A1A8">
            <w:pPr>
              <w:tabs>
                <w:tab w:val="clear" w:pos="480"/>
              </w:tabs>
              <w:spacing w:line="240" w:lineRule="auto"/>
              <w:ind w:firstLine="0" w:firstLineChars="0"/>
              <w:jc w:val="center"/>
              <w:rPr>
                <w:sz w:val="18"/>
                <w:szCs w:val="18"/>
              </w:rPr>
            </w:pPr>
            <w:r>
              <w:rPr>
                <w:sz w:val="18"/>
                <w:szCs w:val="18"/>
              </w:rPr>
              <w:t>苯胺</w:t>
            </w:r>
          </w:p>
        </w:tc>
        <w:tc>
          <w:tcPr>
            <w:tcW w:w="801" w:type="pct"/>
            <w:vAlign w:val="center"/>
          </w:tcPr>
          <w:p w14:paraId="2CED6873">
            <w:pPr>
              <w:tabs>
                <w:tab w:val="clear" w:pos="480"/>
              </w:tabs>
              <w:spacing w:line="240" w:lineRule="auto"/>
              <w:ind w:firstLine="0" w:firstLineChars="0"/>
              <w:jc w:val="center"/>
              <w:rPr>
                <w:sz w:val="18"/>
                <w:szCs w:val="18"/>
              </w:rPr>
            </w:pPr>
            <w:r>
              <w:rPr>
                <w:sz w:val="18"/>
                <w:szCs w:val="18"/>
              </w:rPr>
              <w:t>62-53-3</w:t>
            </w:r>
          </w:p>
        </w:tc>
        <w:tc>
          <w:tcPr>
            <w:tcW w:w="622" w:type="pct"/>
            <w:vAlign w:val="center"/>
          </w:tcPr>
          <w:p w14:paraId="2ACCC305">
            <w:pPr>
              <w:tabs>
                <w:tab w:val="clear" w:pos="480"/>
              </w:tabs>
              <w:spacing w:line="240" w:lineRule="auto"/>
              <w:ind w:firstLine="0" w:firstLineChars="0"/>
              <w:jc w:val="center"/>
              <w:rPr>
                <w:sz w:val="18"/>
                <w:szCs w:val="18"/>
              </w:rPr>
            </w:pPr>
            <w:r>
              <w:rPr>
                <w:sz w:val="18"/>
                <w:szCs w:val="18"/>
              </w:rPr>
              <w:t>92</w:t>
            </w:r>
          </w:p>
        </w:tc>
        <w:tc>
          <w:tcPr>
            <w:tcW w:w="622" w:type="pct"/>
            <w:vAlign w:val="center"/>
          </w:tcPr>
          <w:p w14:paraId="0C6255FC">
            <w:pPr>
              <w:tabs>
                <w:tab w:val="clear" w:pos="480"/>
              </w:tabs>
              <w:spacing w:line="240" w:lineRule="auto"/>
              <w:ind w:firstLine="0" w:firstLineChars="0"/>
              <w:jc w:val="center"/>
              <w:rPr>
                <w:sz w:val="18"/>
                <w:szCs w:val="18"/>
              </w:rPr>
            </w:pPr>
            <w:r>
              <w:rPr>
                <w:sz w:val="18"/>
                <w:szCs w:val="18"/>
              </w:rPr>
              <w:t>260</w:t>
            </w:r>
          </w:p>
        </w:tc>
        <w:tc>
          <w:tcPr>
            <w:tcW w:w="593" w:type="pct"/>
            <w:vAlign w:val="center"/>
          </w:tcPr>
          <w:p w14:paraId="33895CBF">
            <w:pPr>
              <w:tabs>
                <w:tab w:val="clear" w:pos="480"/>
              </w:tabs>
              <w:spacing w:line="240" w:lineRule="auto"/>
              <w:ind w:firstLine="0" w:firstLineChars="0"/>
              <w:jc w:val="center"/>
              <w:rPr>
                <w:sz w:val="18"/>
                <w:szCs w:val="18"/>
              </w:rPr>
            </w:pPr>
            <w:r>
              <w:rPr>
                <w:sz w:val="18"/>
                <w:szCs w:val="18"/>
              </w:rPr>
              <w:t>211</w:t>
            </w:r>
          </w:p>
        </w:tc>
        <w:tc>
          <w:tcPr>
            <w:tcW w:w="649" w:type="pct"/>
            <w:vAlign w:val="center"/>
          </w:tcPr>
          <w:p w14:paraId="37B7C7B4">
            <w:pPr>
              <w:tabs>
                <w:tab w:val="clear" w:pos="480"/>
              </w:tabs>
              <w:spacing w:line="240" w:lineRule="auto"/>
              <w:ind w:firstLine="0" w:firstLineChars="0"/>
              <w:jc w:val="center"/>
              <w:rPr>
                <w:sz w:val="18"/>
                <w:szCs w:val="18"/>
              </w:rPr>
            </w:pPr>
            <w:r>
              <w:rPr>
                <w:sz w:val="18"/>
                <w:szCs w:val="18"/>
              </w:rPr>
              <w:t>663</w:t>
            </w:r>
          </w:p>
        </w:tc>
      </w:tr>
      <w:tr w14:paraId="11B8FE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495A607E">
            <w:pPr>
              <w:tabs>
                <w:tab w:val="clear" w:pos="480"/>
              </w:tabs>
              <w:spacing w:line="240" w:lineRule="auto"/>
              <w:ind w:firstLine="0" w:firstLineChars="0"/>
              <w:jc w:val="center"/>
              <w:rPr>
                <w:sz w:val="18"/>
                <w:szCs w:val="18"/>
              </w:rPr>
            </w:pPr>
            <w:r>
              <w:rPr>
                <w:sz w:val="18"/>
                <w:szCs w:val="18"/>
              </w:rPr>
              <w:t>37</w:t>
            </w:r>
          </w:p>
        </w:tc>
        <w:tc>
          <w:tcPr>
            <w:tcW w:w="1218" w:type="pct"/>
            <w:vAlign w:val="center"/>
          </w:tcPr>
          <w:p w14:paraId="2B3495D8">
            <w:pPr>
              <w:tabs>
                <w:tab w:val="clear" w:pos="480"/>
              </w:tabs>
              <w:spacing w:line="240" w:lineRule="auto"/>
              <w:ind w:firstLine="0" w:firstLineChars="0"/>
              <w:jc w:val="center"/>
              <w:rPr>
                <w:sz w:val="18"/>
                <w:szCs w:val="18"/>
              </w:rPr>
            </w:pPr>
            <w:r>
              <w:rPr>
                <w:sz w:val="18"/>
                <w:szCs w:val="18"/>
              </w:rPr>
              <w:t>2-氯酚</w:t>
            </w:r>
          </w:p>
        </w:tc>
        <w:tc>
          <w:tcPr>
            <w:tcW w:w="801" w:type="pct"/>
            <w:vAlign w:val="center"/>
          </w:tcPr>
          <w:p w14:paraId="1B6551AB">
            <w:pPr>
              <w:tabs>
                <w:tab w:val="clear" w:pos="480"/>
              </w:tabs>
              <w:spacing w:line="240" w:lineRule="auto"/>
              <w:ind w:firstLine="0" w:firstLineChars="0"/>
              <w:jc w:val="center"/>
              <w:rPr>
                <w:sz w:val="18"/>
                <w:szCs w:val="18"/>
              </w:rPr>
            </w:pPr>
            <w:r>
              <w:rPr>
                <w:sz w:val="18"/>
                <w:szCs w:val="18"/>
              </w:rPr>
              <w:t>95-57-8</w:t>
            </w:r>
          </w:p>
        </w:tc>
        <w:tc>
          <w:tcPr>
            <w:tcW w:w="622" w:type="pct"/>
            <w:vAlign w:val="center"/>
          </w:tcPr>
          <w:p w14:paraId="18FACA91">
            <w:pPr>
              <w:tabs>
                <w:tab w:val="clear" w:pos="480"/>
              </w:tabs>
              <w:spacing w:line="240" w:lineRule="auto"/>
              <w:ind w:firstLine="0" w:firstLineChars="0"/>
              <w:jc w:val="center"/>
              <w:rPr>
                <w:sz w:val="18"/>
                <w:szCs w:val="18"/>
              </w:rPr>
            </w:pPr>
            <w:r>
              <w:rPr>
                <w:sz w:val="18"/>
                <w:szCs w:val="18"/>
              </w:rPr>
              <w:t>250</w:t>
            </w:r>
          </w:p>
        </w:tc>
        <w:tc>
          <w:tcPr>
            <w:tcW w:w="622" w:type="pct"/>
            <w:vAlign w:val="center"/>
          </w:tcPr>
          <w:p w14:paraId="6839CE0D">
            <w:pPr>
              <w:tabs>
                <w:tab w:val="clear" w:pos="480"/>
              </w:tabs>
              <w:spacing w:line="240" w:lineRule="auto"/>
              <w:ind w:firstLine="0" w:firstLineChars="0"/>
              <w:jc w:val="center"/>
              <w:rPr>
                <w:sz w:val="18"/>
                <w:szCs w:val="18"/>
              </w:rPr>
            </w:pPr>
            <w:r>
              <w:rPr>
                <w:sz w:val="18"/>
                <w:szCs w:val="18"/>
              </w:rPr>
              <w:t>2256</w:t>
            </w:r>
          </w:p>
        </w:tc>
        <w:tc>
          <w:tcPr>
            <w:tcW w:w="593" w:type="pct"/>
            <w:vAlign w:val="center"/>
          </w:tcPr>
          <w:p w14:paraId="0CA2BD77">
            <w:pPr>
              <w:tabs>
                <w:tab w:val="clear" w:pos="480"/>
              </w:tabs>
              <w:spacing w:line="240" w:lineRule="auto"/>
              <w:ind w:firstLine="0" w:firstLineChars="0"/>
              <w:jc w:val="center"/>
              <w:rPr>
                <w:sz w:val="18"/>
                <w:szCs w:val="18"/>
              </w:rPr>
            </w:pPr>
            <w:r>
              <w:rPr>
                <w:sz w:val="18"/>
                <w:szCs w:val="18"/>
              </w:rPr>
              <w:t>500</w:t>
            </w:r>
          </w:p>
        </w:tc>
        <w:tc>
          <w:tcPr>
            <w:tcW w:w="649" w:type="pct"/>
            <w:vAlign w:val="center"/>
          </w:tcPr>
          <w:p w14:paraId="5A4B318E">
            <w:pPr>
              <w:tabs>
                <w:tab w:val="clear" w:pos="480"/>
              </w:tabs>
              <w:spacing w:line="240" w:lineRule="auto"/>
              <w:ind w:firstLine="0" w:firstLineChars="0"/>
              <w:jc w:val="center"/>
              <w:rPr>
                <w:sz w:val="18"/>
                <w:szCs w:val="18"/>
              </w:rPr>
            </w:pPr>
            <w:r>
              <w:rPr>
                <w:sz w:val="18"/>
                <w:szCs w:val="18"/>
              </w:rPr>
              <w:t>4500</w:t>
            </w:r>
          </w:p>
        </w:tc>
      </w:tr>
      <w:tr w14:paraId="504930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010F6136">
            <w:pPr>
              <w:tabs>
                <w:tab w:val="clear" w:pos="480"/>
              </w:tabs>
              <w:spacing w:line="240" w:lineRule="auto"/>
              <w:ind w:firstLine="0" w:firstLineChars="0"/>
              <w:jc w:val="center"/>
              <w:rPr>
                <w:sz w:val="18"/>
                <w:szCs w:val="18"/>
              </w:rPr>
            </w:pPr>
            <w:r>
              <w:rPr>
                <w:sz w:val="18"/>
                <w:szCs w:val="18"/>
              </w:rPr>
              <w:t>38</w:t>
            </w:r>
          </w:p>
        </w:tc>
        <w:tc>
          <w:tcPr>
            <w:tcW w:w="1218" w:type="pct"/>
            <w:vAlign w:val="center"/>
          </w:tcPr>
          <w:p w14:paraId="4610FBBB">
            <w:pPr>
              <w:tabs>
                <w:tab w:val="clear" w:pos="480"/>
              </w:tabs>
              <w:spacing w:line="240" w:lineRule="auto"/>
              <w:ind w:firstLine="0" w:firstLineChars="0"/>
              <w:jc w:val="center"/>
              <w:rPr>
                <w:sz w:val="18"/>
                <w:szCs w:val="18"/>
              </w:rPr>
            </w:pPr>
            <w:r>
              <w:rPr>
                <w:sz w:val="18"/>
                <w:szCs w:val="18"/>
              </w:rPr>
              <w:t>苯并[a]蒽</w:t>
            </w:r>
          </w:p>
        </w:tc>
        <w:tc>
          <w:tcPr>
            <w:tcW w:w="801" w:type="pct"/>
            <w:vAlign w:val="center"/>
          </w:tcPr>
          <w:p w14:paraId="149607BC">
            <w:pPr>
              <w:tabs>
                <w:tab w:val="clear" w:pos="480"/>
              </w:tabs>
              <w:spacing w:line="240" w:lineRule="auto"/>
              <w:ind w:firstLine="0" w:firstLineChars="0"/>
              <w:jc w:val="center"/>
              <w:rPr>
                <w:sz w:val="18"/>
                <w:szCs w:val="18"/>
              </w:rPr>
            </w:pPr>
            <w:r>
              <w:rPr>
                <w:sz w:val="18"/>
                <w:szCs w:val="18"/>
              </w:rPr>
              <w:t>56-55-3</w:t>
            </w:r>
          </w:p>
        </w:tc>
        <w:tc>
          <w:tcPr>
            <w:tcW w:w="622" w:type="pct"/>
            <w:vAlign w:val="center"/>
          </w:tcPr>
          <w:p w14:paraId="5AB36B39">
            <w:pPr>
              <w:tabs>
                <w:tab w:val="clear" w:pos="480"/>
              </w:tabs>
              <w:spacing w:line="240" w:lineRule="auto"/>
              <w:ind w:firstLine="0" w:firstLineChars="0"/>
              <w:jc w:val="center"/>
              <w:rPr>
                <w:sz w:val="18"/>
                <w:szCs w:val="18"/>
              </w:rPr>
            </w:pPr>
            <w:r>
              <w:rPr>
                <w:sz w:val="18"/>
                <w:szCs w:val="18"/>
              </w:rPr>
              <w:t>5.5</w:t>
            </w:r>
          </w:p>
        </w:tc>
        <w:tc>
          <w:tcPr>
            <w:tcW w:w="622" w:type="pct"/>
            <w:vAlign w:val="center"/>
          </w:tcPr>
          <w:p w14:paraId="30253ED4">
            <w:pPr>
              <w:tabs>
                <w:tab w:val="clear" w:pos="480"/>
              </w:tabs>
              <w:spacing w:line="240" w:lineRule="auto"/>
              <w:ind w:firstLine="0" w:firstLineChars="0"/>
              <w:jc w:val="center"/>
              <w:rPr>
                <w:sz w:val="18"/>
                <w:szCs w:val="18"/>
              </w:rPr>
            </w:pPr>
            <w:r>
              <w:rPr>
                <w:sz w:val="18"/>
                <w:szCs w:val="18"/>
              </w:rPr>
              <w:t>15</w:t>
            </w:r>
          </w:p>
        </w:tc>
        <w:tc>
          <w:tcPr>
            <w:tcW w:w="593" w:type="pct"/>
            <w:vAlign w:val="center"/>
          </w:tcPr>
          <w:p w14:paraId="1FE80BAE">
            <w:pPr>
              <w:tabs>
                <w:tab w:val="clear" w:pos="480"/>
              </w:tabs>
              <w:spacing w:line="240" w:lineRule="auto"/>
              <w:ind w:firstLine="0" w:firstLineChars="0"/>
              <w:jc w:val="center"/>
              <w:rPr>
                <w:sz w:val="18"/>
                <w:szCs w:val="18"/>
              </w:rPr>
            </w:pPr>
            <w:r>
              <w:rPr>
                <w:sz w:val="18"/>
                <w:szCs w:val="18"/>
              </w:rPr>
              <w:t>55</w:t>
            </w:r>
          </w:p>
        </w:tc>
        <w:tc>
          <w:tcPr>
            <w:tcW w:w="649" w:type="pct"/>
            <w:vAlign w:val="center"/>
          </w:tcPr>
          <w:p w14:paraId="2414E2B0">
            <w:pPr>
              <w:tabs>
                <w:tab w:val="clear" w:pos="480"/>
              </w:tabs>
              <w:spacing w:line="240" w:lineRule="auto"/>
              <w:ind w:firstLine="0" w:firstLineChars="0"/>
              <w:jc w:val="center"/>
              <w:rPr>
                <w:sz w:val="18"/>
                <w:szCs w:val="18"/>
              </w:rPr>
            </w:pPr>
            <w:r>
              <w:rPr>
                <w:sz w:val="18"/>
                <w:szCs w:val="18"/>
              </w:rPr>
              <w:t>151</w:t>
            </w:r>
          </w:p>
        </w:tc>
      </w:tr>
      <w:tr w14:paraId="56BB26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2D8C7C0">
            <w:pPr>
              <w:tabs>
                <w:tab w:val="clear" w:pos="480"/>
              </w:tabs>
              <w:spacing w:line="240" w:lineRule="auto"/>
              <w:ind w:firstLine="0" w:firstLineChars="0"/>
              <w:jc w:val="center"/>
              <w:rPr>
                <w:sz w:val="18"/>
                <w:szCs w:val="18"/>
              </w:rPr>
            </w:pPr>
            <w:r>
              <w:rPr>
                <w:sz w:val="18"/>
                <w:szCs w:val="18"/>
              </w:rPr>
              <w:t>39</w:t>
            </w:r>
          </w:p>
        </w:tc>
        <w:tc>
          <w:tcPr>
            <w:tcW w:w="1218" w:type="pct"/>
            <w:vAlign w:val="center"/>
          </w:tcPr>
          <w:p w14:paraId="7173D681">
            <w:pPr>
              <w:tabs>
                <w:tab w:val="clear" w:pos="480"/>
              </w:tabs>
              <w:spacing w:line="240" w:lineRule="auto"/>
              <w:ind w:firstLine="0" w:firstLineChars="0"/>
              <w:jc w:val="center"/>
              <w:rPr>
                <w:sz w:val="18"/>
                <w:szCs w:val="18"/>
              </w:rPr>
            </w:pPr>
            <w:r>
              <w:rPr>
                <w:sz w:val="18"/>
                <w:szCs w:val="18"/>
              </w:rPr>
              <w:t>苯并[a]芘</w:t>
            </w:r>
          </w:p>
        </w:tc>
        <w:tc>
          <w:tcPr>
            <w:tcW w:w="801" w:type="pct"/>
            <w:vAlign w:val="center"/>
          </w:tcPr>
          <w:p w14:paraId="03F91731">
            <w:pPr>
              <w:tabs>
                <w:tab w:val="clear" w:pos="480"/>
              </w:tabs>
              <w:spacing w:line="240" w:lineRule="auto"/>
              <w:ind w:firstLine="0" w:firstLineChars="0"/>
              <w:jc w:val="center"/>
              <w:rPr>
                <w:sz w:val="18"/>
                <w:szCs w:val="18"/>
              </w:rPr>
            </w:pPr>
            <w:r>
              <w:rPr>
                <w:sz w:val="18"/>
                <w:szCs w:val="18"/>
              </w:rPr>
              <w:t>50-32-8</w:t>
            </w:r>
          </w:p>
        </w:tc>
        <w:tc>
          <w:tcPr>
            <w:tcW w:w="622" w:type="pct"/>
            <w:vAlign w:val="center"/>
          </w:tcPr>
          <w:p w14:paraId="05FB5DE3">
            <w:pPr>
              <w:tabs>
                <w:tab w:val="clear" w:pos="480"/>
              </w:tabs>
              <w:spacing w:line="240" w:lineRule="auto"/>
              <w:ind w:firstLine="0" w:firstLineChars="0"/>
              <w:jc w:val="center"/>
              <w:rPr>
                <w:sz w:val="18"/>
                <w:szCs w:val="18"/>
              </w:rPr>
            </w:pPr>
            <w:r>
              <w:rPr>
                <w:sz w:val="18"/>
                <w:szCs w:val="18"/>
              </w:rPr>
              <w:t>0.55</w:t>
            </w:r>
          </w:p>
        </w:tc>
        <w:tc>
          <w:tcPr>
            <w:tcW w:w="622" w:type="pct"/>
            <w:vAlign w:val="center"/>
          </w:tcPr>
          <w:p w14:paraId="174D91F4">
            <w:pPr>
              <w:tabs>
                <w:tab w:val="clear" w:pos="480"/>
              </w:tabs>
              <w:spacing w:line="240" w:lineRule="auto"/>
              <w:ind w:firstLine="0" w:firstLineChars="0"/>
              <w:jc w:val="center"/>
              <w:rPr>
                <w:sz w:val="18"/>
                <w:szCs w:val="18"/>
              </w:rPr>
            </w:pPr>
            <w:r>
              <w:rPr>
                <w:sz w:val="18"/>
                <w:szCs w:val="18"/>
              </w:rPr>
              <w:t>1.5</w:t>
            </w:r>
          </w:p>
        </w:tc>
        <w:tc>
          <w:tcPr>
            <w:tcW w:w="593" w:type="pct"/>
            <w:vAlign w:val="center"/>
          </w:tcPr>
          <w:p w14:paraId="15E4F1DE">
            <w:pPr>
              <w:tabs>
                <w:tab w:val="clear" w:pos="480"/>
              </w:tabs>
              <w:spacing w:line="240" w:lineRule="auto"/>
              <w:ind w:firstLine="0" w:firstLineChars="0"/>
              <w:jc w:val="center"/>
              <w:rPr>
                <w:sz w:val="18"/>
                <w:szCs w:val="18"/>
              </w:rPr>
            </w:pPr>
            <w:r>
              <w:rPr>
                <w:sz w:val="18"/>
                <w:szCs w:val="18"/>
              </w:rPr>
              <w:t>5.5</w:t>
            </w:r>
          </w:p>
        </w:tc>
        <w:tc>
          <w:tcPr>
            <w:tcW w:w="649" w:type="pct"/>
            <w:vAlign w:val="center"/>
          </w:tcPr>
          <w:p w14:paraId="0B1F9C48">
            <w:pPr>
              <w:tabs>
                <w:tab w:val="clear" w:pos="480"/>
              </w:tabs>
              <w:spacing w:line="240" w:lineRule="auto"/>
              <w:ind w:firstLine="0" w:firstLineChars="0"/>
              <w:jc w:val="center"/>
              <w:rPr>
                <w:sz w:val="18"/>
                <w:szCs w:val="18"/>
              </w:rPr>
            </w:pPr>
            <w:r>
              <w:rPr>
                <w:sz w:val="18"/>
                <w:szCs w:val="18"/>
              </w:rPr>
              <w:t>15</w:t>
            </w:r>
          </w:p>
        </w:tc>
      </w:tr>
      <w:tr w14:paraId="4C3B24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64BA8336">
            <w:pPr>
              <w:tabs>
                <w:tab w:val="clear" w:pos="480"/>
              </w:tabs>
              <w:spacing w:line="240" w:lineRule="auto"/>
              <w:ind w:firstLine="0" w:firstLineChars="0"/>
              <w:jc w:val="center"/>
              <w:rPr>
                <w:sz w:val="18"/>
                <w:szCs w:val="18"/>
              </w:rPr>
            </w:pPr>
            <w:r>
              <w:rPr>
                <w:sz w:val="18"/>
                <w:szCs w:val="18"/>
              </w:rPr>
              <w:t>40</w:t>
            </w:r>
          </w:p>
        </w:tc>
        <w:tc>
          <w:tcPr>
            <w:tcW w:w="1218" w:type="pct"/>
            <w:vAlign w:val="center"/>
          </w:tcPr>
          <w:p w14:paraId="6248A3E1">
            <w:pPr>
              <w:tabs>
                <w:tab w:val="clear" w:pos="480"/>
              </w:tabs>
              <w:spacing w:line="240" w:lineRule="auto"/>
              <w:ind w:firstLine="0" w:firstLineChars="0"/>
              <w:jc w:val="center"/>
              <w:rPr>
                <w:sz w:val="18"/>
                <w:szCs w:val="18"/>
              </w:rPr>
            </w:pPr>
            <w:r>
              <w:rPr>
                <w:sz w:val="18"/>
                <w:szCs w:val="18"/>
              </w:rPr>
              <w:t>苯并[b]荧蒽</w:t>
            </w:r>
          </w:p>
        </w:tc>
        <w:tc>
          <w:tcPr>
            <w:tcW w:w="801" w:type="pct"/>
            <w:vAlign w:val="center"/>
          </w:tcPr>
          <w:p w14:paraId="17C3D2D8">
            <w:pPr>
              <w:tabs>
                <w:tab w:val="clear" w:pos="480"/>
              </w:tabs>
              <w:spacing w:line="240" w:lineRule="auto"/>
              <w:ind w:firstLine="0" w:firstLineChars="0"/>
              <w:jc w:val="center"/>
              <w:rPr>
                <w:sz w:val="18"/>
                <w:szCs w:val="18"/>
              </w:rPr>
            </w:pPr>
            <w:r>
              <w:rPr>
                <w:sz w:val="18"/>
                <w:szCs w:val="18"/>
              </w:rPr>
              <w:t>205-99-2</w:t>
            </w:r>
          </w:p>
        </w:tc>
        <w:tc>
          <w:tcPr>
            <w:tcW w:w="622" w:type="pct"/>
            <w:vAlign w:val="center"/>
          </w:tcPr>
          <w:p w14:paraId="4E7C75B8">
            <w:pPr>
              <w:tabs>
                <w:tab w:val="clear" w:pos="480"/>
              </w:tabs>
              <w:spacing w:line="240" w:lineRule="auto"/>
              <w:ind w:firstLine="0" w:firstLineChars="0"/>
              <w:jc w:val="center"/>
              <w:rPr>
                <w:sz w:val="18"/>
                <w:szCs w:val="18"/>
              </w:rPr>
            </w:pPr>
            <w:r>
              <w:rPr>
                <w:sz w:val="18"/>
                <w:szCs w:val="18"/>
              </w:rPr>
              <w:t>5.5</w:t>
            </w:r>
          </w:p>
        </w:tc>
        <w:tc>
          <w:tcPr>
            <w:tcW w:w="622" w:type="pct"/>
            <w:vAlign w:val="center"/>
          </w:tcPr>
          <w:p w14:paraId="17BCF81A">
            <w:pPr>
              <w:tabs>
                <w:tab w:val="clear" w:pos="480"/>
              </w:tabs>
              <w:spacing w:line="240" w:lineRule="auto"/>
              <w:ind w:firstLine="0" w:firstLineChars="0"/>
              <w:jc w:val="center"/>
              <w:rPr>
                <w:sz w:val="18"/>
                <w:szCs w:val="18"/>
              </w:rPr>
            </w:pPr>
            <w:r>
              <w:rPr>
                <w:sz w:val="18"/>
                <w:szCs w:val="18"/>
              </w:rPr>
              <w:t>15</w:t>
            </w:r>
          </w:p>
        </w:tc>
        <w:tc>
          <w:tcPr>
            <w:tcW w:w="593" w:type="pct"/>
            <w:vAlign w:val="center"/>
          </w:tcPr>
          <w:p w14:paraId="4786B245">
            <w:pPr>
              <w:tabs>
                <w:tab w:val="clear" w:pos="480"/>
              </w:tabs>
              <w:spacing w:line="240" w:lineRule="auto"/>
              <w:ind w:firstLine="0" w:firstLineChars="0"/>
              <w:jc w:val="center"/>
              <w:rPr>
                <w:sz w:val="18"/>
                <w:szCs w:val="18"/>
              </w:rPr>
            </w:pPr>
            <w:r>
              <w:rPr>
                <w:sz w:val="18"/>
                <w:szCs w:val="18"/>
              </w:rPr>
              <w:t>55</w:t>
            </w:r>
          </w:p>
        </w:tc>
        <w:tc>
          <w:tcPr>
            <w:tcW w:w="649" w:type="pct"/>
            <w:vAlign w:val="center"/>
          </w:tcPr>
          <w:p w14:paraId="1571DD15">
            <w:pPr>
              <w:tabs>
                <w:tab w:val="clear" w:pos="480"/>
              </w:tabs>
              <w:spacing w:line="240" w:lineRule="auto"/>
              <w:ind w:firstLine="0" w:firstLineChars="0"/>
              <w:jc w:val="center"/>
              <w:rPr>
                <w:sz w:val="18"/>
                <w:szCs w:val="18"/>
              </w:rPr>
            </w:pPr>
            <w:r>
              <w:rPr>
                <w:sz w:val="18"/>
                <w:szCs w:val="18"/>
              </w:rPr>
              <w:t>151</w:t>
            </w:r>
          </w:p>
        </w:tc>
      </w:tr>
      <w:tr w14:paraId="0E8E21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13E8B3DD">
            <w:pPr>
              <w:tabs>
                <w:tab w:val="clear" w:pos="480"/>
              </w:tabs>
              <w:spacing w:line="240" w:lineRule="auto"/>
              <w:ind w:firstLine="0" w:firstLineChars="0"/>
              <w:jc w:val="center"/>
              <w:rPr>
                <w:sz w:val="18"/>
                <w:szCs w:val="18"/>
              </w:rPr>
            </w:pPr>
            <w:r>
              <w:rPr>
                <w:sz w:val="18"/>
                <w:szCs w:val="18"/>
              </w:rPr>
              <w:t>41</w:t>
            </w:r>
          </w:p>
        </w:tc>
        <w:tc>
          <w:tcPr>
            <w:tcW w:w="1218" w:type="pct"/>
            <w:vAlign w:val="center"/>
          </w:tcPr>
          <w:p w14:paraId="6148D803">
            <w:pPr>
              <w:tabs>
                <w:tab w:val="clear" w:pos="480"/>
              </w:tabs>
              <w:spacing w:line="240" w:lineRule="auto"/>
              <w:ind w:firstLine="0" w:firstLineChars="0"/>
              <w:jc w:val="center"/>
              <w:rPr>
                <w:sz w:val="18"/>
                <w:szCs w:val="18"/>
              </w:rPr>
            </w:pPr>
            <w:r>
              <w:rPr>
                <w:sz w:val="18"/>
                <w:szCs w:val="18"/>
              </w:rPr>
              <w:t>苯并[k]荧蒽</w:t>
            </w:r>
          </w:p>
        </w:tc>
        <w:tc>
          <w:tcPr>
            <w:tcW w:w="801" w:type="pct"/>
            <w:vAlign w:val="center"/>
          </w:tcPr>
          <w:p w14:paraId="4293C3CE">
            <w:pPr>
              <w:tabs>
                <w:tab w:val="clear" w:pos="480"/>
              </w:tabs>
              <w:spacing w:line="240" w:lineRule="auto"/>
              <w:ind w:firstLine="0" w:firstLineChars="0"/>
              <w:jc w:val="center"/>
              <w:rPr>
                <w:sz w:val="18"/>
                <w:szCs w:val="18"/>
              </w:rPr>
            </w:pPr>
            <w:r>
              <w:rPr>
                <w:sz w:val="18"/>
                <w:szCs w:val="18"/>
              </w:rPr>
              <w:t>207-08-9</w:t>
            </w:r>
          </w:p>
        </w:tc>
        <w:tc>
          <w:tcPr>
            <w:tcW w:w="622" w:type="pct"/>
            <w:vAlign w:val="center"/>
          </w:tcPr>
          <w:p w14:paraId="39CB9213">
            <w:pPr>
              <w:tabs>
                <w:tab w:val="clear" w:pos="480"/>
              </w:tabs>
              <w:spacing w:line="240" w:lineRule="auto"/>
              <w:ind w:firstLine="0" w:firstLineChars="0"/>
              <w:jc w:val="center"/>
              <w:rPr>
                <w:sz w:val="18"/>
                <w:szCs w:val="18"/>
              </w:rPr>
            </w:pPr>
            <w:r>
              <w:rPr>
                <w:sz w:val="18"/>
                <w:szCs w:val="18"/>
              </w:rPr>
              <w:t>55</w:t>
            </w:r>
          </w:p>
        </w:tc>
        <w:tc>
          <w:tcPr>
            <w:tcW w:w="622" w:type="pct"/>
            <w:vAlign w:val="center"/>
          </w:tcPr>
          <w:p w14:paraId="51AFAD61">
            <w:pPr>
              <w:tabs>
                <w:tab w:val="clear" w:pos="480"/>
              </w:tabs>
              <w:spacing w:line="240" w:lineRule="auto"/>
              <w:ind w:firstLine="0" w:firstLineChars="0"/>
              <w:jc w:val="center"/>
              <w:rPr>
                <w:sz w:val="18"/>
                <w:szCs w:val="18"/>
              </w:rPr>
            </w:pPr>
            <w:r>
              <w:rPr>
                <w:sz w:val="18"/>
                <w:szCs w:val="18"/>
              </w:rPr>
              <w:t>151</w:t>
            </w:r>
          </w:p>
        </w:tc>
        <w:tc>
          <w:tcPr>
            <w:tcW w:w="593" w:type="pct"/>
            <w:vAlign w:val="center"/>
          </w:tcPr>
          <w:p w14:paraId="5B9B5135">
            <w:pPr>
              <w:tabs>
                <w:tab w:val="clear" w:pos="480"/>
              </w:tabs>
              <w:spacing w:line="240" w:lineRule="auto"/>
              <w:ind w:firstLine="0" w:firstLineChars="0"/>
              <w:jc w:val="center"/>
              <w:rPr>
                <w:sz w:val="18"/>
                <w:szCs w:val="18"/>
              </w:rPr>
            </w:pPr>
            <w:r>
              <w:rPr>
                <w:sz w:val="18"/>
                <w:szCs w:val="18"/>
              </w:rPr>
              <w:t>550</w:t>
            </w:r>
          </w:p>
        </w:tc>
        <w:tc>
          <w:tcPr>
            <w:tcW w:w="649" w:type="pct"/>
            <w:vAlign w:val="center"/>
          </w:tcPr>
          <w:p w14:paraId="70873877">
            <w:pPr>
              <w:tabs>
                <w:tab w:val="clear" w:pos="480"/>
              </w:tabs>
              <w:spacing w:line="240" w:lineRule="auto"/>
              <w:ind w:firstLine="0" w:firstLineChars="0"/>
              <w:jc w:val="center"/>
              <w:rPr>
                <w:sz w:val="18"/>
                <w:szCs w:val="18"/>
              </w:rPr>
            </w:pPr>
            <w:r>
              <w:rPr>
                <w:sz w:val="18"/>
                <w:szCs w:val="18"/>
              </w:rPr>
              <w:t>1500</w:t>
            </w:r>
          </w:p>
        </w:tc>
      </w:tr>
      <w:tr w14:paraId="39E893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7DB1613E">
            <w:pPr>
              <w:tabs>
                <w:tab w:val="clear" w:pos="480"/>
              </w:tabs>
              <w:spacing w:line="240" w:lineRule="auto"/>
              <w:ind w:firstLine="0" w:firstLineChars="0"/>
              <w:jc w:val="center"/>
              <w:rPr>
                <w:sz w:val="18"/>
                <w:szCs w:val="18"/>
              </w:rPr>
            </w:pPr>
            <w:r>
              <w:rPr>
                <w:sz w:val="18"/>
                <w:szCs w:val="18"/>
              </w:rPr>
              <w:t>42</w:t>
            </w:r>
          </w:p>
        </w:tc>
        <w:tc>
          <w:tcPr>
            <w:tcW w:w="1218" w:type="pct"/>
            <w:vAlign w:val="center"/>
          </w:tcPr>
          <w:p w14:paraId="18EC84F5">
            <w:pPr>
              <w:tabs>
                <w:tab w:val="clear" w:pos="480"/>
              </w:tabs>
              <w:spacing w:line="240" w:lineRule="auto"/>
              <w:ind w:firstLine="0" w:firstLineChars="0"/>
              <w:jc w:val="center"/>
              <w:rPr>
                <w:sz w:val="18"/>
                <w:szCs w:val="18"/>
              </w:rPr>
            </w:pPr>
            <w:r>
              <w:rPr>
                <w:sz w:val="18"/>
                <w:szCs w:val="18"/>
              </w:rPr>
              <w:t>䓛</w:t>
            </w:r>
          </w:p>
        </w:tc>
        <w:tc>
          <w:tcPr>
            <w:tcW w:w="801" w:type="pct"/>
            <w:vAlign w:val="center"/>
          </w:tcPr>
          <w:p w14:paraId="44B5612D">
            <w:pPr>
              <w:tabs>
                <w:tab w:val="clear" w:pos="480"/>
              </w:tabs>
              <w:spacing w:line="240" w:lineRule="auto"/>
              <w:ind w:firstLine="0" w:firstLineChars="0"/>
              <w:jc w:val="center"/>
              <w:rPr>
                <w:sz w:val="18"/>
                <w:szCs w:val="18"/>
              </w:rPr>
            </w:pPr>
            <w:r>
              <w:rPr>
                <w:sz w:val="18"/>
                <w:szCs w:val="18"/>
              </w:rPr>
              <w:t>218-01-9</w:t>
            </w:r>
          </w:p>
        </w:tc>
        <w:tc>
          <w:tcPr>
            <w:tcW w:w="622" w:type="pct"/>
            <w:vAlign w:val="center"/>
          </w:tcPr>
          <w:p w14:paraId="7D5DE1B2">
            <w:pPr>
              <w:tabs>
                <w:tab w:val="clear" w:pos="480"/>
              </w:tabs>
              <w:spacing w:line="240" w:lineRule="auto"/>
              <w:ind w:firstLine="0" w:firstLineChars="0"/>
              <w:jc w:val="center"/>
              <w:rPr>
                <w:sz w:val="18"/>
                <w:szCs w:val="18"/>
              </w:rPr>
            </w:pPr>
            <w:r>
              <w:rPr>
                <w:sz w:val="18"/>
                <w:szCs w:val="18"/>
              </w:rPr>
              <w:t>490</w:t>
            </w:r>
          </w:p>
        </w:tc>
        <w:tc>
          <w:tcPr>
            <w:tcW w:w="622" w:type="pct"/>
            <w:vAlign w:val="center"/>
          </w:tcPr>
          <w:p w14:paraId="15A86E84">
            <w:pPr>
              <w:tabs>
                <w:tab w:val="clear" w:pos="480"/>
              </w:tabs>
              <w:spacing w:line="240" w:lineRule="auto"/>
              <w:ind w:firstLine="0" w:firstLineChars="0"/>
              <w:jc w:val="center"/>
              <w:rPr>
                <w:sz w:val="18"/>
                <w:szCs w:val="18"/>
              </w:rPr>
            </w:pPr>
            <w:r>
              <w:rPr>
                <w:sz w:val="18"/>
                <w:szCs w:val="18"/>
              </w:rPr>
              <w:t>1293</w:t>
            </w:r>
          </w:p>
        </w:tc>
        <w:tc>
          <w:tcPr>
            <w:tcW w:w="593" w:type="pct"/>
            <w:vAlign w:val="center"/>
          </w:tcPr>
          <w:p w14:paraId="79A47360">
            <w:pPr>
              <w:tabs>
                <w:tab w:val="clear" w:pos="480"/>
              </w:tabs>
              <w:spacing w:line="240" w:lineRule="auto"/>
              <w:ind w:firstLine="0" w:firstLineChars="0"/>
              <w:jc w:val="center"/>
              <w:rPr>
                <w:sz w:val="18"/>
                <w:szCs w:val="18"/>
              </w:rPr>
            </w:pPr>
            <w:r>
              <w:rPr>
                <w:sz w:val="18"/>
                <w:szCs w:val="18"/>
              </w:rPr>
              <w:t>4900</w:t>
            </w:r>
          </w:p>
        </w:tc>
        <w:tc>
          <w:tcPr>
            <w:tcW w:w="649" w:type="pct"/>
            <w:vAlign w:val="center"/>
          </w:tcPr>
          <w:p w14:paraId="34EB1745">
            <w:pPr>
              <w:tabs>
                <w:tab w:val="clear" w:pos="480"/>
              </w:tabs>
              <w:spacing w:line="240" w:lineRule="auto"/>
              <w:ind w:firstLine="0" w:firstLineChars="0"/>
              <w:jc w:val="center"/>
              <w:rPr>
                <w:sz w:val="18"/>
                <w:szCs w:val="18"/>
              </w:rPr>
            </w:pPr>
            <w:r>
              <w:rPr>
                <w:sz w:val="18"/>
                <w:szCs w:val="18"/>
              </w:rPr>
              <w:t>12900</w:t>
            </w:r>
          </w:p>
        </w:tc>
      </w:tr>
      <w:tr w14:paraId="4F4845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A6B8806">
            <w:pPr>
              <w:tabs>
                <w:tab w:val="clear" w:pos="480"/>
              </w:tabs>
              <w:spacing w:line="240" w:lineRule="auto"/>
              <w:ind w:firstLine="0" w:firstLineChars="0"/>
              <w:jc w:val="center"/>
              <w:rPr>
                <w:sz w:val="18"/>
                <w:szCs w:val="18"/>
              </w:rPr>
            </w:pPr>
            <w:r>
              <w:rPr>
                <w:sz w:val="18"/>
                <w:szCs w:val="18"/>
              </w:rPr>
              <w:t>43</w:t>
            </w:r>
          </w:p>
        </w:tc>
        <w:tc>
          <w:tcPr>
            <w:tcW w:w="1218" w:type="pct"/>
            <w:vAlign w:val="center"/>
          </w:tcPr>
          <w:p w14:paraId="7A4E0B18">
            <w:pPr>
              <w:tabs>
                <w:tab w:val="clear" w:pos="480"/>
              </w:tabs>
              <w:spacing w:line="240" w:lineRule="auto"/>
              <w:ind w:firstLine="0" w:firstLineChars="0"/>
              <w:jc w:val="center"/>
              <w:rPr>
                <w:sz w:val="18"/>
                <w:szCs w:val="18"/>
              </w:rPr>
            </w:pPr>
            <w:r>
              <w:rPr>
                <w:sz w:val="18"/>
                <w:szCs w:val="18"/>
              </w:rPr>
              <w:t>二苯并[a，h]蒽</w:t>
            </w:r>
          </w:p>
        </w:tc>
        <w:tc>
          <w:tcPr>
            <w:tcW w:w="801" w:type="pct"/>
            <w:vAlign w:val="center"/>
          </w:tcPr>
          <w:p w14:paraId="1F0C8B69">
            <w:pPr>
              <w:tabs>
                <w:tab w:val="clear" w:pos="480"/>
              </w:tabs>
              <w:spacing w:line="240" w:lineRule="auto"/>
              <w:ind w:firstLine="0" w:firstLineChars="0"/>
              <w:jc w:val="center"/>
              <w:rPr>
                <w:sz w:val="18"/>
                <w:szCs w:val="18"/>
              </w:rPr>
            </w:pPr>
            <w:r>
              <w:rPr>
                <w:sz w:val="18"/>
                <w:szCs w:val="18"/>
              </w:rPr>
              <w:t>53-70-3</w:t>
            </w:r>
          </w:p>
        </w:tc>
        <w:tc>
          <w:tcPr>
            <w:tcW w:w="622" w:type="pct"/>
            <w:vAlign w:val="center"/>
          </w:tcPr>
          <w:p w14:paraId="3F4D0001">
            <w:pPr>
              <w:tabs>
                <w:tab w:val="clear" w:pos="480"/>
              </w:tabs>
              <w:spacing w:line="240" w:lineRule="auto"/>
              <w:ind w:firstLine="0" w:firstLineChars="0"/>
              <w:jc w:val="center"/>
              <w:rPr>
                <w:sz w:val="18"/>
                <w:szCs w:val="18"/>
              </w:rPr>
            </w:pPr>
            <w:r>
              <w:rPr>
                <w:sz w:val="18"/>
                <w:szCs w:val="18"/>
              </w:rPr>
              <w:t>0.55</w:t>
            </w:r>
          </w:p>
        </w:tc>
        <w:tc>
          <w:tcPr>
            <w:tcW w:w="622" w:type="pct"/>
            <w:vAlign w:val="center"/>
          </w:tcPr>
          <w:p w14:paraId="0805FD6F">
            <w:pPr>
              <w:tabs>
                <w:tab w:val="clear" w:pos="480"/>
              </w:tabs>
              <w:spacing w:line="240" w:lineRule="auto"/>
              <w:ind w:firstLine="0" w:firstLineChars="0"/>
              <w:jc w:val="center"/>
              <w:rPr>
                <w:sz w:val="18"/>
                <w:szCs w:val="18"/>
              </w:rPr>
            </w:pPr>
            <w:r>
              <w:rPr>
                <w:sz w:val="18"/>
                <w:szCs w:val="18"/>
              </w:rPr>
              <w:t>1.5</w:t>
            </w:r>
          </w:p>
        </w:tc>
        <w:tc>
          <w:tcPr>
            <w:tcW w:w="593" w:type="pct"/>
            <w:vAlign w:val="center"/>
          </w:tcPr>
          <w:p w14:paraId="68D84158">
            <w:pPr>
              <w:tabs>
                <w:tab w:val="clear" w:pos="480"/>
              </w:tabs>
              <w:spacing w:line="240" w:lineRule="auto"/>
              <w:ind w:firstLine="0" w:firstLineChars="0"/>
              <w:jc w:val="center"/>
              <w:rPr>
                <w:sz w:val="18"/>
                <w:szCs w:val="18"/>
              </w:rPr>
            </w:pPr>
            <w:r>
              <w:rPr>
                <w:sz w:val="18"/>
                <w:szCs w:val="18"/>
              </w:rPr>
              <w:t>5.5</w:t>
            </w:r>
          </w:p>
        </w:tc>
        <w:tc>
          <w:tcPr>
            <w:tcW w:w="649" w:type="pct"/>
            <w:vAlign w:val="center"/>
          </w:tcPr>
          <w:p w14:paraId="4B4FCBBF">
            <w:pPr>
              <w:tabs>
                <w:tab w:val="clear" w:pos="480"/>
              </w:tabs>
              <w:spacing w:line="240" w:lineRule="auto"/>
              <w:ind w:firstLine="0" w:firstLineChars="0"/>
              <w:jc w:val="center"/>
              <w:rPr>
                <w:sz w:val="18"/>
                <w:szCs w:val="18"/>
              </w:rPr>
            </w:pPr>
            <w:r>
              <w:rPr>
                <w:sz w:val="18"/>
                <w:szCs w:val="18"/>
              </w:rPr>
              <w:t>15</w:t>
            </w:r>
          </w:p>
        </w:tc>
      </w:tr>
      <w:tr w14:paraId="070849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22904480">
            <w:pPr>
              <w:tabs>
                <w:tab w:val="clear" w:pos="480"/>
              </w:tabs>
              <w:spacing w:line="240" w:lineRule="auto"/>
              <w:ind w:firstLine="0" w:firstLineChars="0"/>
              <w:jc w:val="center"/>
              <w:rPr>
                <w:sz w:val="18"/>
                <w:szCs w:val="18"/>
              </w:rPr>
            </w:pPr>
            <w:r>
              <w:rPr>
                <w:sz w:val="18"/>
                <w:szCs w:val="18"/>
              </w:rPr>
              <w:t>44</w:t>
            </w:r>
          </w:p>
        </w:tc>
        <w:tc>
          <w:tcPr>
            <w:tcW w:w="1218" w:type="pct"/>
            <w:vAlign w:val="center"/>
          </w:tcPr>
          <w:p w14:paraId="13A0A99C">
            <w:pPr>
              <w:tabs>
                <w:tab w:val="clear" w:pos="480"/>
              </w:tabs>
              <w:spacing w:line="240" w:lineRule="auto"/>
              <w:ind w:firstLine="0" w:firstLineChars="0"/>
              <w:jc w:val="center"/>
              <w:rPr>
                <w:sz w:val="18"/>
                <w:szCs w:val="18"/>
              </w:rPr>
            </w:pPr>
            <w:r>
              <w:rPr>
                <w:sz w:val="18"/>
                <w:szCs w:val="18"/>
              </w:rPr>
              <w:t>茚并[1，2，3-cd]芘</w:t>
            </w:r>
          </w:p>
        </w:tc>
        <w:tc>
          <w:tcPr>
            <w:tcW w:w="801" w:type="pct"/>
            <w:vAlign w:val="center"/>
          </w:tcPr>
          <w:p w14:paraId="1597879D">
            <w:pPr>
              <w:tabs>
                <w:tab w:val="clear" w:pos="480"/>
              </w:tabs>
              <w:spacing w:line="240" w:lineRule="auto"/>
              <w:ind w:firstLine="0" w:firstLineChars="0"/>
              <w:jc w:val="center"/>
              <w:rPr>
                <w:sz w:val="18"/>
                <w:szCs w:val="18"/>
              </w:rPr>
            </w:pPr>
            <w:r>
              <w:rPr>
                <w:sz w:val="18"/>
                <w:szCs w:val="18"/>
              </w:rPr>
              <w:t>193-39-5</w:t>
            </w:r>
          </w:p>
        </w:tc>
        <w:tc>
          <w:tcPr>
            <w:tcW w:w="622" w:type="pct"/>
            <w:vAlign w:val="center"/>
          </w:tcPr>
          <w:p w14:paraId="713A3F84">
            <w:pPr>
              <w:tabs>
                <w:tab w:val="clear" w:pos="480"/>
              </w:tabs>
              <w:spacing w:line="240" w:lineRule="auto"/>
              <w:ind w:firstLine="0" w:firstLineChars="0"/>
              <w:jc w:val="center"/>
              <w:rPr>
                <w:sz w:val="18"/>
                <w:szCs w:val="18"/>
              </w:rPr>
            </w:pPr>
            <w:r>
              <w:rPr>
                <w:sz w:val="18"/>
                <w:szCs w:val="18"/>
              </w:rPr>
              <w:t>5.5</w:t>
            </w:r>
          </w:p>
        </w:tc>
        <w:tc>
          <w:tcPr>
            <w:tcW w:w="622" w:type="pct"/>
            <w:vAlign w:val="center"/>
          </w:tcPr>
          <w:p w14:paraId="62A38E9B">
            <w:pPr>
              <w:tabs>
                <w:tab w:val="clear" w:pos="480"/>
              </w:tabs>
              <w:spacing w:line="240" w:lineRule="auto"/>
              <w:ind w:firstLine="0" w:firstLineChars="0"/>
              <w:jc w:val="center"/>
              <w:rPr>
                <w:sz w:val="18"/>
                <w:szCs w:val="18"/>
              </w:rPr>
            </w:pPr>
            <w:r>
              <w:rPr>
                <w:sz w:val="18"/>
                <w:szCs w:val="18"/>
              </w:rPr>
              <w:t>15</w:t>
            </w:r>
          </w:p>
        </w:tc>
        <w:tc>
          <w:tcPr>
            <w:tcW w:w="593" w:type="pct"/>
            <w:vAlign w:val="center"/>
          </w:tcPr>
          <w:p w14:paraId="37A2C0A0">
            <w:pPr>
              <w:tabs>
                <w:tab w:val="clear" w:pos="480"/>
              </w:tabs>
              <w:spacing w:line="240" w:lineRule="auto"/>
              <w:ind w:firstLine="0" w:firstLineChars="0"/>
              <w:jc w:val="center"/>
              <w:rPr>
                <w:sz w:val="18"/>
                <w:szCs w:val="18"/>
              </w:rPr>
            </w:pPr>
            <w:r>
              <w:rPr>
                <w:sz w:val="18"/>
                <w:szCs w:val="18"/>
              </w:rPr>
              <w:t>55</w:t>
            </w:r>
          </w:p>
        </w:tc>
        <w:tc>
          <w:tcPr>
            <w:tcW w:w="649" w:type="pct"/>
            <w:vAlign w:val="center"/>
          </w:tcPr>
          <w:p w14:paraId="79C49EAD">
            <w:pPr>
              <w:tabs>
                <w:tab w:val="clear" w:pos="480"/>
              </w:tabs>
              <w:spacing w:line="240" w:lineRule="auto"/>
              <w:ind w:firstLine="0" w:firstLineChars="0"/>
              <w:jc w:val="center"/>
              <w:rPr>
                <w:sz w:val="18"/>
                <w:szCs w:val="18"/>
              </w:rPr>
            </w:pPr>
            <w:r>
              <w:rPr>
                <w:sz w:val="18"/>
                <w:szCs w:val="18"/>
              </w:rPr>
              <w:t>151</w:t>
            </w:r>
          </w:p>
        </w:tc>
      </w:tr>
      <w:tr w14:paraId="01A921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64083B3F">
            <w:pPr>
              <w:tabs>
                <w:tab w:val="clear" w:pos="480"/>
              </w:tabs>
              <w:spacing w:line="240" w:lineRule="auto"/>
              <w:ind w:firstLine="0" w:firstLineChars="0"/>
              <w:jc w:val="center"/>
              <w:rPr>
                <w:sz w:val="18"/>
                <w:szCs w:val="18"/>
              </w:rPr>
            </w:pPr>
            <w:r>
              <w:rPr>
                <w:sz w:val="18"/>
                <w:szCs w:val="18"/>
              </w:rPr>
              <w:t>45</w:t>
            </w:r>
          </w:p>
        </w:tc>
        <w:tc>
          <w:tcPr>
            <w:tcW w:w="1218" w:type="pct"/>
            <w:vAlign w:val="center"/>
          </w:tcPr>
          <w:p w14:paraId="2AD5C44B">
            <w:pPr>
              <w:tabs>
                <w:tab w:val="clear" w:pos="480"/>
              </w:tabs>
              <w:spacing w:line="240" w:lineRule="auto"/>
              <w:ind w:firstLine="0" w:firstLineChars="0"/>
              <w:jc w:val="center"/>
              <w:rPr>
                <w:sz w:val="18"/>
                <w:szCs w:val="18"/>
              </w:rPr>
            </w:pPr>
            <w:r>
              <w:rPr>
                <w:sz w:val="18"/>
                <w:szCs w:val="18"/>
              </w:rPr>
              <w:t>萘</w:t>
            </w:r>
          </w:p>
        </w:tc>
        <w:tc>
          <w:tcPr>
            <w:tcW w:w="801" w:type="pct"/>
            <w:vAlign w:val="center"/>
          </w:tcPr>
          <w:p w14:paraId="65D83401">
            <w:pPr>
              <w:tabs>
                <w:tab w:val="clear" w:pos="480"/>
              </w:tabs>
              <w:spacing w:line="240" w:lineRule="auto"/>
              <w:ind w:firstLine="0" w:firstLineChars="0"/>
              <w:jc w:val="center"/>
              <w:rPr>
                <w:sz w:val="18"/>
                <w:szCs w:val="18"/>
              </w:rPr>
            </w:pPr>
            <w:r>
              <w:rPr>
                <w:sz w:val="18"/>
                <w:szCs w:val="18"/>
              </w:rPr>
              <w:t>91-20-3</w:t>
            </w:r>
          </w:p>
        </w:tc>
        <w:tc>
          <w:tcPr>
            <w:tcW w:w="622" w:type="pct"/>
            <w:vAlign w:val="center"/>
          </w:tcPr>
          <w:p w14:paraId="3250047F">
            <w:pPr>
              <w:tabs>
                <w:tab w:val="clear" w:pos="480"/>
              </w:tabs>
              <w:spacing w:line="240" w:lineRule="auto"/>
              <w:ind w:firstLine="0" w:firstLineChars="0"/>
              <w:jc w:val="center"/>
              <w:rPr>
                <w:sz w:val="18"/>
                <w:szCs w:val="18"/>
              </w:rPr>
            </w:pPr>
            <w:r>
              <w:rPr>
                <w:sz w:val="18"/>
                <w:szCs w:val="18"/>
              </w:rPr>
              <w:t>25</w:t>
            </w:r>
          </w:p>
        </w:tc>
        <w:tc>
          <w:tcPr>
            <w:tcW w:w="622" w:type="pct"/>
            <w:vAlign w:val="center"/>
          </w:tcPr>
          <w:p w14:paraId="42C958D3">
            <w:pPr>
              <w:tabs>
                <w:tab w:val="clear" w:pos="480"/>
              </w:tabs>
              <w:spacing w:line="240" w:lineRule="auto"/>
              <w:ind w:firstLine="0" w:firstLineChars="0"/>
              <w:jc w:val="center"/>
              <w:rPr>
                <w:sz w:val="18"/>
                <w:szCs w:val="18"/>
              </w:rPr>
            </w:pPr>
            <w:r>
              <w:rPr>
                <w:sz w:val="18"/>
                <w:szCs w:val="18"/>
              </w:rPr>
              <w:t>70</w:t>
            </w:r>
          </w:p>
        </w:tc>
        <w:tc>
          <w:tcPr>
            <w:tcW w:w="593" w:type="pct"/>
            <w:vAlign w:val="center"/>
          </w:tcPr>
          <w:p w14:paraId="41616494">
            <w:pPr>
              <w:tabs>
                <w:tab w:val="clear" w:pos="480"/>
              </w:tabs>
              <w:spacing w:line="240" w:lineRule="auto"/>
              <w:ind w:firstLine="0" w:firstLineChars="0"/>
              <w:jc w:val="center"/>
              <w:rPr>
                <w:sz w:val="18"/>
                <w:szCs w:val="18"/>
              </w:rPr>
            </w:pPr>
            <w:r>
              <w:rPr>
                <w:sz w:val="18"/>
                <w:szCs w:val="18"/>
              </w:rPr>
              <w:t>255</w:t>
            </w:r>
          </w:p>
        </w:tc>
        <w:tc>
          <w:tcPr>
            <w:tcW w:w="649" w:type="pct"/>
            <w:vAlign w:val="center"/>
          </w:tcPr>
          <w:p w14:paraId="505C5802">
            <w:pPr>
              <w:tabs>
                <w:tab w:val="clear" w:pos="480"/>
              </w:tabs>
              <w:spacing w:line="240" w:lineRule="auto"/>
              <w:ind w:firstLine="0" w:firstLineChars="0"/>
              <w:jc w:val="center"/>
              <w:rPr>
                <w:sz w:val="18"/>
                <w:szCs w:val="18"/>
              </w:rPr>
            </w:pPr>
            <w:r>
              <w:rPr>
                <w:sz w:val="18"/>
                <w:szCs w:val="18"/>
              </w:rPr>
              <w:t>700</w:t>
            </w:r>
          </w:p>
        </w:tc>
      </w:tr>
      <w:tr w14:paraId="77BDCD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5" w:type="pct"/>
            <w:vAlign w:val="center"/>
          </w:tcPr>
          <w:p w14:paraId="506B0DD2">
            <w:pPr>
              <w:tabs>
                <w:tab w:val="clear" w:pos="480"/>
              </w:tabs>
              <w:spacing w:line="240" w:lineRule="auto"/>
              <w:ind w:firstLine="0" w:firstLineChars="0"/>
              <w:jc w:val="center"/>
              <w:rPr>
                <w:sz w:val="18"/>
                <w:szCs w:val="18"/>
              </w:rPr>
            </w:pPr>
            <w:r>
              <w:rPr>
                <w:sz w:val="18"/>
                <w:szCs w:val="18"/>
              </w:rPr>
              <w:t>46</w:t>
            </w:r>
          </w:p>
        </w:tc>
        <w:tc>
          <w:tcPr>
            <w:tcW w:w="1218" w:type="pct"/>
            <w:vAlign w:val="center"/>
          </w:tcPr>
          <w:p w14:paraId="35FE13E6">
            <w:pPr>
              <w:tabs>
                <w:tab w:val="clear" w:pos="480"/>
              </w:tabs>
              <w:spacing w:line="240" w:lineRule="auto"/>
              <w:ind w:firstLine="0" w:firstLineChars="0"/>
              <w:jc w:val="center"/>
              <w:rPr>
                <w:sz w:val="18"/>
                <w:szCs w:val="18"/>
              </w:rPr>
            </w:pPr>
            <w:r>
              <w:rPr>
                <w:sz w:val="18"/>
                <w:szCs w:val="18"/>
              </w:rPr>
              <w:t>石油烃（C</w:t>
            </w:r>
            <w:r>
              <w:rPr>
                <w:sz w:val="18"/>
                <w:szCs w:val="18"/>
                <w:vertAlign w:val="subscript"/>
              </w:rPr>
              <w:t>1</w:t>
            </w:r>
            <w:r>
              <w:rPr>
                <w:sz w:val="18"/>
                <w:szCs w:val="18"/>
              </w:rPr>
              <w:t>~C</w:t>
            </w:r>
            <w:r>
              <w:rPr>
                <w:sz w:val="18"/>
                <w:szCs w:val="18"/>
                <w:vertAlign w:val="subscript"/>
              </w:rPr>
              <w:t>40</w:t>
            </w:r>
            <w:r>
              <w:rPr>
                <w:sz w:val="18"/>
                <w:szCs w:val="18"/>
              </w:rPr>
              <w:t>）</w:t>
            </w:r>
          </w:p>
        </w:tc>
        <w:tc>
          <w:tcPr>
            <w:tcW w:w="801" w:type="pct"/>
            <w:vAlign w:val="center"/>
          </w:tcPr>
          <w:p w14:paraId="6F4E1EFE">
            <w:pPr>
              <w:tabs>
                <w:tab w:val="clear" w:pos="480"/>
              </w:tabs>
              <w:spacing w:line="240" w:lineRule="auto"/>
              <w:ind w:firstLine="0" w:firstLineChars="0"/>
              <w:jc w:val="center"/>
              <w:rPr>
                <w:sz w:val="18"/>
                <w:szCs w:val="18"/>
              </w:rPr>
            </w:pPr>
            <w:r>
              <w:rPr>
                <w:sz w:val="18"/>
                <w:szCs w:val="18"/>
              </w:rPr>
              <w:t>--</w:t>
            </w:r>
          </w:p>
        </w:tc>
        <w:tc>
          <w:tcPr>
            <w:tcW w:w="622" w:type="pct"/>
            <w:vAlign w:val="center"/>
          </w:tcPr>
          <w:p w14:paraId="2307D835">
            <w:pPr>
              <w:tabs>
                <w:tab w:val="clear" w:pos="480"/>
              </w:tabs>
              <w:spacing w:line="240" w:lineRule="auto"/>
              <w:ind w:firstLine="0" w:firstLineChars="0"/>
              <w:jc w:val="center"/>
              <w:rPr>
                <w:sz w:val="18"/>
                <w:szCs w:val="18"/>
              </w:rPr>
            </w:pPr>
            <w:r>
              <w:rPr>
                <w:sz w:val="18"/>
                <w:szCs w:val="18"/>
              </w:rPr>
              <w:t>826</w:t>
            </w:r>
          </w:p>
        </w:tc>
        <w:tc>
          <w:tcPr>
            <w:tcW w:w="622" w:type="pct"/>
            <w:vAlign w:val="center"/>
          </w:tcPr>
          <w:p w14:paraId="7EFE2C50">
            <w:pPr>
              <w:tabs>
                <w:tab w:val="clear" w:pos="480"/>
              </w:tabs>
              <w:spacing w:line="240" w:lineRule="auto"/>
              <w:ind w:firstLine="0" w:firstLineChars="0"/>
              <w:jc w:val="center"/>
              <w:rPr>
                <w:sz w:val="18"/>
                <w:szCs w:val="18"/>
              </w:rPr>
            </w:pPr>
            <w:r>
              <w:rPr>
                <w:sz w:val="18"/>
                <w:szCs w:val="18"/>
              </w:rPr>
              <w:t>4500</w:t>
            </w:r>
          </w:p>
        </w:tc>
        <w:tc>
          <w:tcPr>
            <w:tcW w:w="593" w:type="pct"/>
            <w:vAlign w:val="center"/>
          </w:tcPr>
          <w:p w14:paraId="77F6E8B4">
            <w:pPr>
              <w:tabs>
                <w:tab w:val="clear" w:pos="480"/>
              </w:tabs>
              <w:spacing w:line="240" w:lineRule="auto"/>
              <w:ind w:firstLine="0" w:firstLineChars="0"/>
              <w:jc w:val="center"/>
              <w:rPr>
                <w:sz w:val="18"/>
                <w:szCs w:val="18"/>
              </w:rPr>
            </w:pPr>
            <w:r>
              <w:rPr>
                <w:sz w:val="18"/>
                <w:szCs w:val="18"/>
              </w:rPr>
              <w:t>5000</w:t>
            </w:r>
          </w:p>
        </w:tc>
        <w:tc>
          <w:tcPr>
            <w:tcW w:w="649" w:type="pct"/>
            <w:vAlign w:val="center"/>
          </w:tcPr>
          <w:p w14:paraId="564A341B">
            <w:pPr>
              <w:tabs>
                <w:tab w:val="clear" w:pos="480"/>
              </w:tabs>
              <w:spacing w:line="240" w:lineRule="auto"/>
              <w:ind w:firstLine="0" w:firstLineChars="0"/>
              <w:jc w:val="center"/>
              <w:rPr>
                <w:sz w:val="18"/>
                <w:szCs w:val="18"/>
              </w:rPr>
            </w:pPr>
            <w:r>
              <w:rPr>
                <w:sz w:val="18"/>
                <w:szCs w:val="18"/>
              </w:rPr>
              <w:t>9000</w:t>
            </w:r>
          </w:p>
        </w:tc>
      </w:tr>
      <w:tr w14:paraId="55C549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7"/>
            <w:vAlign w:val="center"/>
          </w:tcPr>
          <w:p w14:paraId="4777B0C5">
            <w:pPr>
              <w:tabs>
                <w:tab w:val="clear" w:pos="480"/>
              </w:tabs>
              <w:spacing w:line="240" w:lineRule="auto"/>
              <w:ind w:firstLine="0" w:firstLineChars="0"/>
              <w:jc w:val="center"/>
              <w:rPr>
                <w:sz w:val="18"/>
                <w:szCs w:val="18"/>
              </w:rPr>
            </w:pPr>
            <w:r>
              <w:rPr>
                <w:sz w:val="18"/>
                <w:szCs w:val="18"/>
              </w:rPr>
              <w:t>注：</w:t>
            </w:r>
            <w:r>
              <w:rPr>
                <w:rFonts w:hint="eastAsia" w:ascii="宋体" w:hAnsi="宋体" w:cs="宋体"/>
                <w:sz w:val="18"/>
                <w:szCs w:val="18"/>
              </w:rPr>
              <w:t>①</w:t>
            </w:r>
            <w:r>
              <w:rPr>
                <w:sz w:val="18"/>
                <w:szCs w:val="18"/>
              </w:rPr>
              <w:t>具体地块土壤中污染物检测含量超过筛选值，但等于或者低于土壤环境背景值（见3.6）水平的，不纳入污染地块管理。土壤环境背景值可参见附录A。</w:t>
            </w:r>
          </w:p>
        </w:tc>
      </w:tr>
    </w:tbl>
    <w:p w14:paraId="0C92A552">
      <w:pPr>
        <w:tabs>
          <w:tab w:val="clear" w:pos="480"/>
        </w:tabs>
        <w:spacing w:line="240" w:lineRule="auto"/>
        <w:ind w:firstLine="0" w:firstLineChars="0"/>
        <w:jc w:val="center"/>
        <w:rPr>
          <w:b/>
          <w:bCs/>
          <w:szCs w:val="21"/>
        </w:rPr>
      </w:pPr>
      <w:r>
        <w:rPr>
          <w:rFonts w:hAnsi="宋体"/>
          <w:b/>
          <w:bCs/>
          <w:szCs w:val="21"/>
        </w:rPr>
        <w:t>表</w:t>
      </w:r>
      <w:r>
        <w:rPr>
          <w:b/>
          <w:szCs w:val="21"/>
        </w:rPr>
        <w:t>2.4-</w:t>
      </w:r>
      <w:r>
        <w:rPr>
          <w:b/>
          <w:bCs/>
          <w:szCs w:val="21"/>
        </w:rPr>
        <w:t>3</w:t>
      </w:r>
      <w:r>
        <w:rPr>
          <w:rFonts w:hAnsi="宋体"/>
          <w:b/>
          <w:bCs/>
          <w:szCs w:val="21"/>
        </w:rPr>
        <w:t>土壤环境质量标准（农用地）单位：</w:t>
      </w:r>
      <w:r>
        <w:rPr>
          <w:b/>
          <w:bCs/>
          <w:szCs w:val="21"/>
        </w:rPr>
        <w:t>mg/kg</w:t>
      </w:r>
      <w:r>
        <w:rPr>
          <w:rFonts w:hAnsi="宋体"/>
          <w:b/>
          <w:bCs/>
          <w:szCs w:val="21"/>
        </w:rPr>
        <w:t>（</w:t>
      </w:r>
      <w:r>
        <w:rPr>
          <w:b/>
          <w:bCs/>
          <w:szCs w:val="21"/>
        </w:rPr>
        <w:t>pH</w:t>
      </w:r>
      <w:r>
        <w:rPr>
          <w:rFonts w:hAnsi="宋体"/>
          <w:b/>
          <w:bCs/>
          <w:szCs w:val="21"/>
        </w:rPr>
        <w:t>除外）</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7"/>
        <w:gridCol w:w="520"/>
        <w:gridCol w:w="783"/>
        <w:gridCol w:w="782"/>
        <w:gridCol w:w="779"/>
        <w:gridCol w:w="783"/>
        <w:gridCol w:w="779"/>
        <w:gridCol w:w="782"/>
        <w:gridCol w:w="782"/>
        <w:gridCol w:w="912"/>
        <w:gridCol w:w="749"/>
      </w:tblGrid>
      <w:tr w14:paraId="0ECE0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restart"/>
            <w:noWrap/>
            <w:vAlign w:val="center"/>
          </w:tcPr>
          <w:p w14:paraId="70DCEEB6">
            <w:pPr>
              <w:tabs>
                <w:tab w:val="clear" w:pos="480"/>
              </w:tabs>
              <w:snapToGrid w:val="0"/>
              <w:spacing w:line="240" w:lineRule="auto"/>
              <w:ind w:firstLine="0" w:firstLineChars="0"/>
              <w:jc w:val="center"/>
              <w:rPr>
                <w:rFonts w:ascii="宋体" w:hAnsi="宋体" w:cs="宋体"/>
                <w:kern w:val="0"/>
                <w:sz w:val="18"/>
                <w:szCs w:val="18"/>
              </w:rPr>
            </w:pPr>
            <w:r>
              <w:rPr>
                <w:rFonts w:ascii="宋体" w:hAnsi="宋体" w:cs="宋体"/>
                <w:kern w:val="0"/>
                <w:sz w:val="18"/>
                <w:szCs w:val="18"/>
              </w:rPr>
              <w:t>标准</w:t>
            </w:r>
          </w:p>
        </w:tc>
        <w:tc>
          <w:tcPr>
            <w:tcW w:w="764" w:type="pct"/>
            <w:gridSpan w:val="2"/>
            <w:vMerge w:val="restart"/>
            <w:noWrap/>
            <w:vAlign w:val="center"/>
          </w:tcPr>
          <w:p w14:paraId="66BEB799">
            <w:pPr>
              <w:tabs>
                <w:tab w:val="clear" w:pos="480"/>
              </w:tabs>
              <w:spacing w:line="240" w:lineRule="auto"/>
              <w:ind w:firstLine="0" w:firstLineChars="0"/>
              <w:jc w:val="center"/>
              <w:rPr>
                <w:sz w:val="18"/>
                <w:szCs w:val="18"/>
              </w:rPr>
            </w:pPr>
            <w:r>
              <w:rPr>
                <w:rFonts w:hint="eastAsia"/>
                <w:sz w:val="18"/>
                <w:szCs w:val="18"/>
              </w:rPr>
              <w:t>污染物项目</w:t>
            </w:r>
          </w:p>
        </w:tc>
        <w:tc>
          <w:tcPr>
            <w:tcW w:w="915" w:type="pct"/>
            <w:gridSpan w:val="2"/>
            <w:noWrap/>
            <w:vAlign w:val="center"/>
          </w:tcPr>
          <w:p w14:paraId="3D964F9C">
            <w:pPr>
              <w:tabs>
                <w:tab w:val="clear" w:pos="480"/>
              </w:tabs>
              <w:spacing w:line="240" w:lineRule="auto"/>
              <w:ind w:firstLine="0" w:firstLineChars="0"/>
              <w:jc w:val="center"/>
              <w:rPr>
                <w:sz w:val="18"/>
                <w:szCs w:val="18"/>
              </w:rPr>
            </w:pPr>
            <w:r>
              <w:rPr>
                <w:sz w:val="18"/>
                <w:szCs w:val="18"/>
              </w:rPr>
              <w:t>pH≤</w:t>
            </w:r>
            <w:r>
              <w:rPr>
                <w:rFonts w:hint="eastAsia"/>
                <w:sz w:val="18"/>
                <w:szCs w:val="18"/>
              </w:rPr>
              <w:t>5.5</w:t>
            </w:r>
          </w:p>
        </w:tc>
        <w:tc>
          <w:tcPr>
            <w:tcW w:w="916" w:type="pct"/>
            <w:gridSpan w:val="2"/>
            <w:noWrap/>
            <w:vAlign w:val="center"/>
          </w:tcPr>
          <w:p w14:paraId="4A78E425">
            <w:pPr>
              <w:tabs>
                <w:tab w:val="clear" w:pos="480"/>
              </w:tabs>
              <w:spacing w:line="240" w:lineRule="auto"/>
              <w:ind w:firstLine="0" w:firstLineChars="0"/>
              <w:jc w:val="center"/>
              <w:rPr>
                <w:sz w:val="18"/>
                <w:szCs w:val="18"/>
              </w:rPr>
            </w:pPr>
            <w:r>
              <w:rPr>
                <w:rFonts w:hint="eastAsia"/>
                <w:sz w:val="18"/>
                <w:szCs w:val="18"/>
              </w:rPr>
              <w:t>5</w:t>
            </w:r>
            <w:r>
              <w:rPr>
                <w:sz w:val="18"/>
                <w:szCs w:val="18"/>
              </w:rPr>
              <w:t>.5＜pH≤</w:t>
            </w:r>
            <w:r>
              <w:rPr>
                <w:rFonts w:hint="eastAsia"/>
                <w:sz w:val="18"/>
                <w:szCs w:val="18"/>
              </w:rPr>
              <w:t>6</w:t>
            </w:r>
            <w:r>
              <w:rPr>
                <w:sz w:val="18"/>
                <w:szCs w:val="18"/>
              </w:rPr>
              <w:t>.5</w:t>
            </w:r>
          </w:p>
        </w:tc>
        <w:tc>
          <w:tcPr>
            <w:tcW w:w="916" w:type="pct"/>
            <w:gridSpan w:val="2"/>
            <w:noWrap/>
            <w:vAlign w:val="center"/>
          </w:tcPr>
          <w:p w14:paraId="1AD53C6E">
            <w:pPr>
              <w:tabs>
                <w:tab w:val="clear" w:pos="480"/>
              </w:tabs>
              <w:spacing w:line="240" w:lineRule="auto"/>
              <w:ind w:firstLine="0" w:firstLineChars="0"/>
              <w:jc w:val="center"/>
              <w:rPr>
                <w:sz w:val="18"/>
                <w:szCs w:val="18"/>
              </w:rPr>
            </w:pPr>
            <w:r>
              <w:rPr>
                <w:sz w:val="18"/>
                <w:szCs w:val="18"/>
              </w:rPr>
              <w:t>6.5＜pH≤7.5</w:t>
            </w:r>
          </w:p>
        </w:tc>
        <w:tc>
          <w:tcPr>
            <w:tcW w:w="974" w:type="pct"/>
            <w:gridSpan w:val="2"/>
            <w:noWrap/>
            <w:vAlign w:val="center"/>
          </w:tcPr>
          <w:p w14:paraId="017C0B67">
            <w:pPr>
              <w:tabs>
                <w:tab w:val="clear" w:pos="480"/>
              </w:tabs>
              <w:spacing w:line="240" w:lineRule="auto"/>
              <w:ind w:firstLine="0" w:firstLineChars="0"/>
              <w:jc w:val="center"/>
              <w:rPr>
                <w:sz w:val="18"/>
                <w:szCs w:val="18"/>
              </w:rPr>
            </w:pPr>
            <w:r>
              <w:rPr>
                <w:sz w:val="18"/>
                <w:szCs w:val="18"/>
              </w:rPr>
              <w:t>pH</w:t>
            </w:r>
            <w:r>
              <w:rPr>
                <w:rFonts w:hint="eastAsia"/>
                <w:sz w:val="18"/>
                <w:szCs w:val="18"/>
              </w:rPr>
              <w:t>＞7.5</w:t>
            </w:r>
          </w:p>
        </w:tc>
      </w:tr>
      <w:tr w14:paraId="4AC43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11F4C287">
            <w:pPr>
              <w:tabs>
                <w:tab w:val="clear" w:pos="480"/>
              </w:tabs>
              <w:snapToGrid w:val="0"/>
              <w:spacing w:line="240" w:lineRule="auto"/>
              <w:ind w:firstLine="0" w:firstLineChars="0"/>
              <w:jc w:val="center"/>
              <w:rPr>
                <w:rFonts w:ascii="宋体" w:hAnsi="宋体" w:cs="宋体"/>
                <w:kern w:val="0"/>
                <w:sz w:val="18"/>
                <w:szCs w:val="18"/>
              </w:rPr>
            </w:pPr>
          </w:p>
        </w:tc>
        <w:tc>
          <w:tcPr>
            <w:tcW w:w="764" w:type="pct"/>
            <w:gridSpan w:val="2"/>
            <w:vMerge w:val="continue"/>
            <w:noWrap/>
            <w:vAlign w:val="center"/>
          </w:tcPr>
          <w:p w14:paraId="75D76B7A">
            <w:pPr>
              <w:tabs>
                <w:tab w:val="clear" w:pos="480"/>
              </w:tabs>
              <w:spacing w:line="240" w:lineRule="auto"/>
              <w:ind w:firstLine="0" w:firstLineChars="0"/>
              <w:jc w:val="center"/>
              <w:rPr>
                <w:sz w:val="18"/>
                <w:szCs w:val="18"/>
              </w:rPr>
            </w:pPr>
          </w:p>
        </w:tc>
        <w:tc>
          <w:tcPr>
            <w:tcW w:w="458" w:type="pct"/>
            <w:noWrap/>
            <w:vAlign w:val="center"/>
          </w:tcPr>
          <w:p w14:paraId="644312E1">
            <w:pPr>
              <w:tabs>
                <w:tab w:val="clear" w:pos="480"/>
              </w:tabs>
              <w:spacing w:line="240" w:lineRule="auto"/>
              <w:ind w:firstLine="0" w:firstLineChars="0"/>
              <w:jc w:val="center"/>
              <w:rPr>
                <w:sz w:val="18"/>
                <w:szCs w:val="18"/>
              </w:rPr>
            </w:pPr>
            <w:r>
              <w:rPr>
                <w:rFonts w:hint="eastAsia"/>
                <w:sz w:val="18"/>
                <w:szCs w:val="18"/>
              </w:rPr>
              <w:t>筛选值</w:t>
            </w:r>
          </w:p>
        </w:tc>
        <w:tc>
          <w:tcPr>
            <w:tcW w:w="457" w:type="pct"/>
            <w:noWrap/>
            <w:vAlign w:val="center"/>
          </w:tcPr>
          <w:p w14:paraId="7C382504">
            <w:pPr>
              <w:tabs>
                <w:tab w:val="clear" w:pos="480"/>
              </w:tabs>
              <w:spacing w:line="240" w:lineRule="auto"/>
              <w:ind w:firstLine="0" w:firstLineChars="0"/>
              <w:jc w:val="center"/>
              <w:rPr>
                <w:sz w:val="18"/>
                <w:szCs w:val="18"/>
              </w:rPr>
            </w:pPr>
            <w:r>
              <w:rPr>
                <w:rFonts w:hint="eastAsia"/>
                <w:sz w:val="18"/>
                <w:szCs w:val="18"/>
              </w:rPr>
              <w:t>管制值</w:t>
            </w:r>
          </w:p>
        </w:tc>
        <w:tc>
          <w:tcPr>
            <w:tcW w:w="459" w:type="pct"/>
            <w:noWrap/>
            <w:vAlign w:val="center"/>
          </w:tcPr>
          <w:p w14:paraId="10F0FE25">
            <w:pPr>
              <w:tabs>
                <w:tab w:val="clear" w:pos="480"/>
              </w:tabs>
              <w:spacing w:line="240" w:lineRule="auto"/>
              <w:ind w:firstLine="0" w:firstLineChars="0"/>
              <w:jc w:val="center"/>
              <w:rPr>
                <w:sz w:val="18"/>
                <w:szCs w:val="18"/>
              </w:rPr>
            </w:pPr>
            <w:r>
              <w:rPr>
                <w:rFonts w:hint="eastAsia"/>
                <w:sz w:val="18"/>
                <w:szCs w:val="18"/>
              </w:rPr>
              <w:t>筛选值</w:t>
            </w:r>
          </w:p>
        </w:tc>
        <w:tc>
          <w:tcPr>
            <w:tcW w:w="457" w:type="pct"/>
            <w:noWrap/>
            <w:vAlign w:val="center"/>
          </w:tcPr>
          <w:p w14:paraId="0852964E">
            <w:pPr>
              <w:tabs>
                <w:tab w:val="clear" w:pos="480"/>
              </w:tabs>
              <w:spacing w:line="240" w:lineRule="auto"/>
              <w:ind w:firstLine="0" w:firstLineChars="0"/>
              <w:jc w:val="center"/>
              <w:rPr>
                <w:sz w:val="18"/>
                <w:szCs w:val="18"/>
              </w:rPr>
            </w:pPr>
            <w:r>
              <w:rPr>
                <w:rFonts w:hint="eastAsia"/>
                <w:sz w:val="18"/>
                <w:szCs w:val="18"/>
              </w:rPr>
              <w:t>管制值</w:t>
            </w:r>
          </w:p>
        </w:tc>
        <w:tc>
          <w:tcPr>
            <w:tcW w:w="458" w:type="pct"/>
            <w:noWrap/>
            <w:vAlign w:val="center"/>
          </w:tcPr>
          <w:p w14:paraId="635CDF0A">
            <w:pPr>
              <w:tabs>
                <w:tab w:val="clear" w:pos="480"/>
              </w:tabs>
              <w:spacing w:line="240" w:lineRule="auto"/>
              <w:ind w:firstLine="0" w:firstLineChars="0"/>
              <w:jc w:val="center"/>
              <w:rPr>
                <w:sz w:val="18"/>
                <w:szCs w:val="18"/>
              </w:rPr>
            </w:pPr>
            <w:r>
              <w:rPr>
                <w:rFonts w:hint="eastAsia"/>
                <w:sz w:val="18"/>
                <w:szCs w:val="18"/>
              </w:rPr>
              <w:t>筛选值</w:t>
            </w:r>
          </w:p>
        </w:tc>
        <w:tc>
          <w:tcPr>
            <w:tcW w:w="458" w:type="pct"/>
            <w:noWrap/>
            <w:vAlign w:val="center"/>
          </w:tcPr>
          <w:p w14:paraId="7CE55F04">
            <w:pPr>
              <w:tabs>
                <w:tab w:val="clear" w:pos="480"/>
              </w:tabs>
              <w:spacing w:line="240" w:lineRule="auto"/>
              <w:ind w:firstLine="0" w:firstLineChars="0"/>
              <w:jc w:val="center"/>
              <w:rPr>
                <w:sz w:val="18"/>
                <w:szCs w:val="18"/>
              </w:rPr>
            </w:pPr>
            <w:r>
              <w:rPr>
                <w:rFonts w:hint="eastAsia"/>
                <w:sz w:val="18"/>
                <w:szCs w:val="18"/>
              </w:rPr>
              <w:t>管制值</w:t>
            </w:r>
          </w:p>
        </w:tc>
        <w:tc>
          <w:tcPr>
            <w:tcW w:w="535" w:type="pct"/>
            <w:noWrap/>
            <w:vAlign w:val="center"/>
          </w:tcPr>
          <w:p w14:paraId="067B1B3C">
            <w:pPr>
              <w:tabs>
                <w:tab w:val="clear" w:pos="480"/>
              </w:tabs>
              <w:spacing w:line="240" w:lineRule="auto"/>
              <w:ind w:firstLine="0" w:firstLineChars="0"/>
              <w:jc w:val="center"/>
              <w:rPr>
                <w:sz w:val="18"/>
                <w:szCs w:val="18"/>
              </w:rPr>
            </w:pPr>
            <w:r>
              <w:rPr>
                <w:rFonts w:hint="eastAsia"/>
                <w:sz w:val="18"/>
                <w:szCs w:val="18"/>
              </w:rPr>
              <w:t>筛选值</w:t>
            </w:r>
          </w:p>
        </w:tc>
        <w:tc>
          <w:tcPr>
            <w:tcW w:w="439" w:type="pct"/>
            <w:noWrap/>
            <w:vAlign w:val="center"/>
          </w:tcPr>
          <w:p w14:paraId="3BD08D29">
            <w:pPr>
              <w:tabs>
                <w:tab w:val="clear" w:pos="480"/>
              </w:tabs>
              <w:spacing w:line="240" w:lineRule="auto"/>
              <w:ind w:firstLine="0" w:firstLineChars="0"/>
              <w:jc w:val="center"/>
              <w:rPr>
                <w:sz w:val="18"/>
                <w:szCs w:val="18"/>
              </w:rPr>
            </w:pPr>
            <w:r>
              <w:rPr>
                <w:rFonts w:hint="eastAsia"/>
                <w:sz w:val="18"/>
                <w:szCs w:val="18"/>
              </w:rPr>
              <w:t>管制值</w:t>
            </w:r>
          </w:p>
        </w:tc>
      </w:tr>
      <w:tr w14:paraId="6C597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restart"/>
            <w:noWrap/>
            <w:vAlign w:val="center"/>
          </w:tcPr>
          <w:p w14:paraId="64C61707">
            <w:pPr>
              <w:tabs>
                <w:tab w:val="clear" w:pos="480"/>
              </w:tabs>
              <w:snapToGrid w:val="0"/>
              <w:spacing w:line="240" w:lineRule="auto"/>
              <w:ind w:firstLine="0" w:firstLineChars="0"/>
              <w:jc w:val="center"/>
              <w:rPr>
                <w:rFonts w:hAnsi="宋体" w:cs="宋体"/>
                <w:sz w:val="18"/>
                <w:szCs w:val="18"/>
              </w:rPr>
            </w:pPr>
            <w:r>
              <w:rPr>
                <w:rFonts w:hAnsi="宋体" w:cs="宋体"/>
                <w:kern w:val="0"/>
                <w:sz w:val="18"/>
                <w:szCs w:val="18"/>
              </w:rPr>
              <w:t>农用地土壤污染风险管控标准</w:t>
            </w:r>
          </w:p>
        </w:tc>
        <w:tc>
          <w:tcPr>
            <w:tcW w:w="305" w:type="pct"/>
            <w:vMerge w:val="restart"/>
            <w:noWrap/>
            <w:vAlign w:val="center"/>
          </w:tcPr>
          <w:p w14:paraId="1E6E4FD8">
            <w:pPr>
              <w:tabs>
                <w:tab w:val="clear" w:pos="480"/>
              </w:tabs>
              <w:snapToGrid w:val="0"/>
              <w:spacing w:line="240" w:lineRule="auto"/>
              <w:ind w:firstLine="0" w:firstLineChars="0"/>
              <w:jc w:val="center"/>
              <w:rPr>
                <w:rFonts w:hAnsi="宋体" w:cs="宋体"/>
                <w:sz w:val="18"/>
                <w:szCs w:val="18"/>
              </w:rPr>
            </w:pPr>
            <w:r>
              <w:rPr>
                <w:rFonts w:cs="宋体"/>
                <w:sz w:val="18"/>
                <w:szCs w:val="18"/>
              </w:rPr>
              <w:t>镉</w:t>
            </w:r>
          </w:p>
        </w:tc>
        <w:tc>
          <w:tcPr>
            <w:tcW w:w="458" w:type="pct"/>
            <w:noWrap/>
            <w:vAlign w:val="center"/>
          </w:tcPr>
          <w:p w14:paraId="08F9E551">
            <w:pPr>
              <w:tabs>
                <w:tab w:val="clear" w:pos="480"/>
              </w:tabs>
              <w:spacing w:line="240" w:lineRule="auto"/>
              <w:ind w:firstLine="0" w:firstLineChars="0"/>
              <w:jc w:val="center"/>
              <w:rPr>
                <w:sz w:val="18"/>
                <w:szCs w:val="18"/>
              </w:rPr>
            </w:pPr>
            <w:r>
              <w:rPr>
                <w:rFonts w:hint="eastAsia"/>
                <w:sz w:val="18"/>
                <w:szCs w:val="18"/>
              </w:rPr>
              <w:t>水田</w:t>
            </w:r>
          </w:p>
        </w:tc>
        <w:tc>
          <w:tcPr>
            <w:tcW w:w="458" w:type="pct"/>
            <w:noWrap/>
            <w:vAlign w:val="center"/>
          </w:tcPr>
          <w:p w14:paraId="75DF11B7">
            <w:pPr>
              <w:tabs>
                <w:tab w:val="clear" w:pos="480"/>
              </w:tabs>
              <w:spacing w:line="240" w:lineRule="auto"/>
              <w:ind w:firstLine="0" w:firstLineChars="0"/>
              <w:jc w:val="center"/>
              <w:rPr>
                <w:sz w:val="18"/>
                <w:szCs w:val="18"/>
              </w:rPr>
            </w:pPr>
            <w:r>
              <w:rPr>
                <w:rFonts w:hint="eastAsia"/>
                <w:sz w:val="18"/>
                <w:szCs w:val="18"/>
              </w:rPr>
              <w:t>0.3</w:t>
            </w:r>
          </w:p>
        </w:tc>
        <w:tc>
          <w:tcPr>
            <w:tcW w:w="457" w:type="pct"/>
            <w:vMerge w:val="restart"/>
            <w:noWrap/>
            <w:vAlign w:val="center"/>
          </w:tcPr>
          <w:p w14:paraId="09B789A7">
            <w:pPr>
              <w:tabs>
                <w:tab w:val="clear" w:pos="480"/>
              </w:tabs>
              <w:spacing w:line="240" w:lineRule="auto"/>
              <w:ind w:firstLine="0" w:firstLineChars="0"/>
              <w:jc w:val="center"/>
              <w:rPr>
                <w:sz w:val="18"/>
                <w:szCs w:val="18"/>
              </w:rPr>
            </w:pPr>
            <w:r>
              <w:rPr>
                <w:rFonts w:hint="eastAsia"/>
                <w:sz w:val="18"/>
                <w:szCs w:val="18"/>
              </w:rPr>
              <w:t>1.5</w:t>
            </w:r>
          </w:p>
        </w:tc>
        <w:tc>
          <w:tcPr>
            <w:tcW w:w="459" w:type="pct"/>
            <w:noWrap/>
            <w:vAlign w:val="center"/>
          </w:tcPr>
          <w:p w14:paraId="61287BFF">
            <w:pPr>
              <w:tabs>
                <w:tab w:val="clear" w:pos="480"/>
              </w:tabs>
              <w:spacing w:line="240" w:lineRule="auto"/>
              <w:ind w:firstLine="0" w:firstLineChars="0"/>
              <w:jc w:val="center"/>
              <w:rPr>
                <w:sz w:val="18"/>
                <w:szCs w:val="18"/>
              </w:rPr>
            </w:pPr>
            <w:r>
              <w:rPr>
                <w:rFonts w:hint="eastAsia"/>
                <w:sz w:val="18"/>
                <w:szCs w:val="18"/>
              </w:rPr>
              <w:t>0.4</w:t>
            </w:r>
          </w:p>
        </w:tc>
        <w:tc>
          <w:tcPr>
            <w:tcW w:w="457" w:type="pct"/>
            <w:vMerge w:val="restart"/>
            <w:noWrap/>
            <w:vAlign w:val="center"/>
          </w:tcPr>
          <w:p w14:paraId="6929C58B">
            <w:pPr>
              <w:tabs>
                <w:tab w:val="clear" w:pos="480"/>
              </w:tabs>
              <w:spacing w:line="240" w:lineRule="auto"/>
              <w:ind w:firstLine="0" w:firstLineChars="0"/>
              <w:jc w:val="center"/>
              <w:rPr>
                <w:sz w:val="18"/>
                <w:szCs w:val="18"/>
              </w:rPr>
            </w:pPr>
            <w:r>
              <w:rPr>
                <w:rFonts w:hint="eastAsia"/>
                <w:sz w:val="18"/>
                <w:szCs w:val="18"/>
              </w:rPr>
              <w:t>2.0</w:t>
            </w:r>
          </w:p>
        </w:tc>
        <w:tc>
          <w:tcPr>
            <w:tcW w:w="458" w:type="pct"/>
            <w:noWrap/>
            <w:vAlign w:val="center"/>
          </w:tcPr>
          <w:p w14:paraId="028C5285">
            <w:pPr>
              <w:tabs>
                <w:tab w:val="clear" w:pos="480"/>
              </w:tabs>
              <w:spacing w:line="240" w:lineRule="auto"/>
              <w:ind w:firstLine="0" w:firstLineChars="0"/>
              <w:jc w:val="center"/>
              <w:rPr>
                <w:sz w:val="18"/>
                <w:szCs w:val="18"/>
              </w:rPr>
            </w:pPr>
            <w:r>
              <w:rPr>
                <w:rFonts w:hint="eastAsia"/>
                <w:sz w:val="18"/>
                <w:szCs w:val="18"/>
              </w:rPr>
              <w:t>0.6</w:t>
            </w:r>
          </w:p>
        </w:tc>
        <w:tc>
          <w:tcPr>
            <w:tcW w:w="458" w:type="pct"/>
            <w:vMerge w:val="restart"/>
            <w:noWrap/>
            <w:vAlign w:val="center"/>
          </w:tcPr>
          <w:p w14:paraId="5C4676CE">
            <w:pPr>
              <w:tabs>
                <w:tab w:val="clear" w:pos="480"/>
              </w:tabs>
              <w:spacing w:line="240" w:lineRule="auto"/>
              <w:ind w:firstLine="0" w:firstLineChars="0"/>
              <w:jc w:val="center"/>
              <w:rPr>
                <w:sz w:val="18"/>
                <w:szCs w:val="18"/>
              </w:rPr>
            </w:pPr>
            <w:r>
              <w:rPr>
                <w:rFonts w:hint="eastAsia"/>
                <w:sz w:val="18"/>
                <w:szCs w:val="18"/>
              </w:rPr>
              <w:t>3.0</w:t>
            </w:r>
          </w:p>
        </w:tc>
        <w:tc>
          <w:tcPr>
            <w:tcW w:w="535" w:type="pct"/>
            <w:noWrap/>
            <w:vAlign w:val="center"/>
          </w:tcPr>
          <w:p w14:paraId="1648A96A">
            <w:pPr>
              <w:tabs>
                <w:tab w:val="clear" w:pos="480"/>
              </w:tabs>
              <w:spacing w:line="240" w:lineRule="auto"/>
              <w:ind w:firstLine="0" w:firstLineChars="0"/>
              <w:jc w:val="center"/>
              <w:rPr>
                <w:sz w:val="18"/>
                <w:szCs w:val="18"/>
              </w:rPr>
            </w:pPr>
            <w:r>
              <w:rPr>
                <w:rFonts w:hint="eastAsia"/>
                <w:sz w:val="18"/>
                <w:szCs w:val="18"/>
              </w:rPr>
              <w:t>0.8</w:t>
            </w:r>
          </w:p>
        </w:tc>
        <w:tc>
          <w:tcPr>
            <w:tcW w:w="439" w:type="pct"/>
            <w:vMerge w:val="restart"/>
            <w:noWrap/>
            <w:vAlign w:val="center"/>
          </w:tcPr>
          <w:p w14:paraId="7C97F330">
            <w:pPr>
              <w:tabs>
                <w:tab w:val="clear" w:pos="480"/>
              </w:tabs>
              <w:spacing w:line="240" w:lineRule="auto"/>
              <w:ind w:firstLine="0" w:firstLineChars="0"/>
              <w:jc w:val="center"/>
              <w:rPr>
                <w:sz w:val="18"/>
                <w:szCs w:val="18"/>
              </w:rPr>
            </w:pPr>
            <w:r>
              <w:rPr>
                <w:rFonts w:hint="eastAsia"/>
                <w:sz w:val="18"/>
                <w:szCs w:val="18"/>
              </w:rPr>
              <w:t>4.0</w:t>
            </w:r>
          </w:p>
        </w:tc>
      </w:tr>
      <w:tr w14:paraId="349420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3EDDA441">
            <w:pPr>
              <w:tabs>
                <w:tab w:val="clear" w:pos="480"/>
              </w:tabs>
              <w:snapToGrid w:val="0"/>
              <w:spacing w:line="240" w:lineRule="auto"/>
              <w:ind w:firstLine="0" w:firstLineChars="0"/>
              <w:jc w:val="center"/>
              <w:rPr>
                <w:rFonts w:hAnsi="宋体" w:cs="宋体"/>
                <w:sz w:val="18"/>
                <w:szCs w:val="18"/>
              </w:rPr>
            </w:pPr>
          </w:p>
        </w:tc>
        <w:tc>
          <w:tcPr>
            <w:tcW w:w="305" w:type="pct"/>
            <w:vMerge w:val="continue"/>
            <w:noWrap/>
            <w:vAlign w:val="center"/>
          </w:tcPr>
          <w:p w14:paraId="57F32D40">
            <w:pPr>
              <w:tabs>
                <w:tab w:val="clear" w:pos="480"/>
              </w:tabs>
              <w:snapToGrid w:val="0"/>
              <w:spacing w:line="240" w:lineRule="auto"/>
              <w:ind w:firstLine="0" w:firstLineChars="0"/>
              <w:jc w:val="center"/>
              <w:rPr>
                <w:rFonts w:hAnsi="宋体" w:cs="宋体"/>
                <w:sz w:val="18"/>
                <w:szCs w:val="18"/>
              </w:rPr>
            </w:pPr>
          </w:p>
        </w:tc>
        <w:tc>
          <w:tcPr>
            <w:tcW w:w="458" w:type="pct"/>
            <w:noWrap/>
            <w:vAlign w:val="center"/>
          </w:tcPr>
          <w:p w14:paraId="271BCFB6">
            <w:pPr>
              <w:tabs>
                <w:tab w:val="clear" w:pos="480"/>
              </w:tabs>
              <w:spacing w:line="240" w:lineRule="auto"/>
              <w:ind w:firstLine="0" w:firstLineChars="0"/>
              <w:jc w:val="center"/>
              <w:rPr>
                <w:sz w:val="18"/>
                <w:szCs w:val="18"/>
              </w:rPr>
            </w:pPr>
            <w:r>
              <w:rPr>
                <w:rFonts w:hint="eastAsia"/>
                <w:sz w:val="18"/>
                <w:szCs w:val="18"/>
              </w:rPr>
              <w:t>其他</w:t>
            </w:r>
          </w:p>
        </w:tc>
        <w:tc>
          <w:tcPr>
            <w:tcW w:w="458" w:type="pct"/>
            <w:noWrap/>
            <w:vAlign w:val="center"/>
          </w:tcPr>
          <w:p w14:paraId="70FC3C53">
            <w:pPr>
              <w:tabs>
                <w:tab w:val="clear" w:pos="480"/>
              </w:tabs>
              <w:spacing w:line="240" w:lineRule="auto"/>
              <w:ind w:firstLine="0" w:firstLineChars="0"/>
              <w:jc w:val="center"/>
              <w:rPr>
                <w:sz w:val="18"/>
                <w:szCs w:val="18"/>
              </w:rPr>
            </w:pPr>
            <w:r>
              <w:rPr>
                <w:rFonts w:hint="eastAsia"/>
                <w:sz w:val="18"/>
                <w:szCs w:val="18"/>
              </w:rPr>
              <w:t>0.3</w:t>
            </w:r>
          </w:p>
        </w:tc>
        <w:tc>
          <w:tcPr>
            <w:tcW w:w="457" w:type="pct"/>
            <w:vMerge w:val="continue"/>
            <w:noWrap/>
            <w:vAlign w:val="center"/>
          </w:tcPr>
          <w:p w14:paraId="17A339BC">
            <w:pPr>
              <w:tabs>
                <w:tab w:val="clear" w:pos="480"/>
              </w:tabs>
              <w:spacing w:line="240" w:lineRule="auto"/>
              <w:ind w:firstLine="0" w:firstLineChars="0"/>
              <w:jc w:val="center"/>
              <w:rPr>
                <w:sz w:val="18"/>
                <w:szCs w:val="18"/>
              </w:rPr>
            </w:pPr>
          </w:p>
        </w:tc>
        <w:tc>
          <w:tcPr>
            <w:tcW w:w="459" w:type="pct"/>
            <w:noWrap/>
            <w:vAlign w:val="center"/>
          </w:tcPr>
          <w:p w14:paraId="6BEAA541">
            <w:pPr>
              <w:tabs>
                <w:tab w:val="clear" w:pos="480"/>
              </w:tabs>
              <w:spacing w:line="240" w:lineRule="auto"/>
              <w:ind w:firstLine="0" w:firstLineChars="0"/>
              <w:jc w:val="center"/>
              <w:rPr>
                <w:sz w:val="18"/>
                <w:szCs w:val="18"/>
              </w:rPr>
            </w:pPr>
            <w:r>
              <w:rPr>
                <w:rFonts w:hint="eastAsia"/>
                <w:sz w:val="18"/>
                <w:szCs w:val="18"/>
              </w:rPr>
              <w:t>0.3</w:t>
            </w:r>
          </w:p>
        </w:tc>
        <w:tc>
          <w:tcPr>
            <w:tcW w:w="457" w:type="pct"/>
            <w:vMerge w:val="continue"/>
            <w:noWrap/>
            <w:vAlign w:val="center"/>
          </w:tcPr>
          <w:p w14:paraId="23D2A527">
            <w:pPr>
              <w:tabs>
                <w:tab w:val="clear" w:pos="480"/>
              </w:tabs>
              <w:spacing w:line="240" w:lineRule="auto"/>
              <w:ind w:firstLine="0" w:firstLineChars="0"/>
              <w:jc w:val="center"/>
              <w:rPr>
                <w:sz w:val="18"/>
                <w:szCs w:val="18"/>
              </w:rPr>
            </w:pPr>
          </w:p>
        </w:tc>
        <w:tc>
          <w:tcPr>
            <w:tcW w:w="458" w:type="pct"/>
            <w:noWrap/>
            <w:vAlign w:val="center"/>
          </w:tcPr>
          <w:p w14:paraId="63168A6E">
            <w:pPr>
              <w:tabs>
                <w:tab w:val="clear" w:pos="480"/>
              </w:tabs>
              <w:spacing w:line="240" w:lineRule="auto"/>
              <w:ind w:firstLine="0" w:firstLineChars="0"/>
              <w:jc w:val="center"/>
              <w:rPr>
                <w:sz w:val="18"/>
                <w:szCs w:val="18"/>
              </w:rPr>
            </w:pPr>
            <w:r>
              <w:rPr>
                <w:rFonts w:hint="eastAsia"/>
                <w:sz w:val="18"/>
                <w:szCs w:val="18"/>
              </w:rPr>
              <w:t>0.3</w:t>
            </w:r>
          </w:p>
        </w:tc>
        <w:tc>
          <w:tcPr>
            <w:tcW w:w="458" w:type="pct"/>
            <w:vMerge w:val="continue"/>
            <w:noWrap/>
            <w:vAlign w:val="center"/>
          </w:tcPr>
          <w:p w14:paraId="72C97FD1">
            <w:pPr>
              <w:tabs>
                <w:tab w:val="clear" w:pos="480"/>
              </w:tabs>
              <w:spacing w:line="240" w:lineRule="auto"/>
              <w:ind w:firstLine="0" w:firstLineChars="0"/>
              <w:jc w:val="center"/>
              <w:rPr>
                <w:sz w:val="18"/>
                <w:szCs w:val="18"/>
              </w:rPr>
            </w:pPr>
          </w:p>
        </w:tc>
        <w:tc>
          <w:tcPr>
            <w:tcW w:w="535" w:type="pct"/>
            <w:noWrap/>
            <w:vAlign w:val="center"/>
          </w:tcPr>
          <w:p w14:paraId="3739574F">
            <w:pPr>
              <w:tabs>
                <w:tab w:val="clear" w:pos="480"/>
              </w:tabs>
              <w:spacing w:line="240" w:lineRule="auto"/>
              <w:ind w:firstLine="0" w:firstLineChars="0"/>
              <w:jc w:val="center"/>
              <w:rPr>
                <w:sz w:val="18"/>
                <w:szCs w:val="18"/>
              </w:rPr>
            </w:pPr>
            <w:r>
              <w:rPr>
                <w:rFonts w:hint="eastAsia"/>
                <w:sz w:val="18"/>
                <w:szCs w:val="18"/>
              </w:rPr>
              <w:t>0.6</w:t>
            </w:r>
          </w:p>
        </w:tc>
        <w:tc>
          <w:tcPr>
            <w:tcW w:w="439" w:type="pct"/>
            <w:vMerge w:val="continue"/>
            <w:noWrap/>
            <w:vAlign w:val="center"/>
          </w:tcPr>
          <w:p w14:paraId="2DD73835">
            <w:pPr>
              <w:tabs>
                <w:tab w:val="clear" w:pos="480"/>
              </w:tabs>
              <w:spacing w:line="240" w:lineRule="auto"/>
              <w:ind w:firstLine="0" w:firstLineChars="0"/>
              <w:jc w:val="center"/>
              <w:rPr>
                <w:sz w:val="18"/>
                <w:szCs w:val="18"/>
              </w:rPr>
            </w:pPr>
          </w:p>
        </w:tc>
      </w:tr>
      <w:tr w14:paraId="686997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31A3066F">
            <w:pPr>
              <w:tabs>
                <w:tab w:val="clear" w:pos="480"/>
              </w:tabs>
              <w:snapToGrid w:val="0"/>
              <w:spacing w:line="240" w:lineRule="auto"/>
              <w:ind w:firstLine="0" w:firstLineChars="0"/>
              <w:jc w:val="center"/>
              <w:rPr>
                <w:rFonts w:hAnsi="宋体" w:cs="宋体"/>
                <w:sz w:val="18"/>
                <w:szCs w:val="18"/>
              </w:rPr>
            </w:pPr>
          </w:p>
        </w:tc>
        <w:tc>
          <w:tcPr>
            <w:tcW w:w="305" w:type="pct"/>
            <w:vMerge w:val="restart"/>
            <w:noWrap/>
            <w:vAlign w:val="center"/>
          </w:tcPr>
          <w:p w14:paraId="563AB0FB">
            <w:pPr>
              <w:tabs>
                <w:tab w:val="clear" w:pos="480"/>
              </w:tabs>
              <w:snapToGrid w:val="0"/>
              <w:spacing w:line="240" w:lineRule="auto"/>
              <w:ind w:firstLine="0" w:firstLineChars="0"/>
              <w:jc w:val="center"/>
              <w:rPr>
                <w:rFonts w:hAnsi="宋体" w:cs="宋体"/>
                <w:sz w:val="18"/>
                <w:szCs w:val="18"/>
              </w:rPr>
            </w:pPr>
            <w:r>
              <w:rPr>
                <w:rFonts w:ascii="宋体" w:hAnsi="宋体" w:cs="宋体"/>
                <w:kern w:val="0"/>
                <w:sz w:val="18"/>
                <w:szCs w:val="18"/>
              </w:rPr>
              <w:t>汞</w:t>
            </w:r>
          </w:p>
        </w:tc>
        <w:tc>
          <w:tcPr>
            <w:tcW w:w="458" w:type="pct"/>
            <w:noWrap/>
            <w:vAlign w:val="center"/>
          </w:tcPr>
          <w:p w14:paraId="24A4732A">
            <w:pPr>
              <w:tabs>
                <w:tab w:val="clear" w:pos="480"/>
              </w:tabs>
              <w:spacing w:line="240" w:lineRule="auto"/>
              <w:ind w:firstLine="0" w:firstLineChars="0"/>
              <w:jc w:val="center"/>
              <w:rPr>
                <w:sz w:val="18"/>
                <w:szCs w:val="18"/>
              </w:rPr>
            </w:pPr>
            <w:r>
              <w:rPr>
                <w:rFonts w:hint="eastAsia"/>
                <w:sz w:val="18"/>
                <w:szCs w:val="18"/>
              </w:rPr>
              <w:t>水田</w:t>
            </w:r>
          </w:p>
        </w:tc>
        <w:tc>
          <w:tcPr>
            <w:tcW w:w="458" w:type="pct"/>
            <w:noWrap/>
            <w:vAlign w:val="center"/>
          </w:tcPr>
          <w:p w14:paraId="53E2CDE6">
            <w:pPr>
              <w:tabs>
                <w:tab w:val="clear" w:pos="480"/>
              </w:tabs>
              <w:spacing w:line="240" w:lineRule="auto"/>
              <w:ind w:firstLine="0" w:firstLineChars="0"/>
              <w:jc w:val="center"/>
              <w:rPr>
                <w:sz w:val="18"/>
                <w:szCs w:val="18"/>
              </w:rPr>
            </w:pPr>
            <w:r>
              <w:rPr>
                <w:rFonts w:hint="eastAsia"/>
                <w:sz w:val="18"/>
                <w:szCs w:val="18"/>
              </w:rPr>
              <w:t>0.5</w:t>
            </w:r>
          </w:p>
        </w:tc>
        <w:tc>
          <w:tcPr>
            <w:tcW w:w="457" w:type="pct"/>
            <w:vMerge w:val="restart"/>
            <w:noWrap/>
            <w:vAlign w:val="center"/>
          </w:tcPr>
          <w:p w14:paraId="3F01E0DF">
            <w:pPr>
              <w:tabs>
                <w:tab w:val="clear" w:pos="480"/>
              </w:tabs>
              <w:spacing w:line="240" w:lineRule="auto"/>
              <w:ind w:firstLine="0" w:firstLineChars="0"/>
              <w:jc w:val="center"/>
              <w:rPr>
                <w:sz w:val="18"/>
                <w:szCs w:val="18"/>
              </w:rPr>
            </w:pPr>
            <w:r>
              <w:rPr>
                <w:rFonts w:hint="eastAsia"/>
                <w:sz w:val="18"/>
                <w:szCs w:val="18"/>
              </w:rPr>
              <w:t>2.0</w:t>
            </w:r>
          </w:p>
        </w:tc>
        <w:tc>
          <w:tcPr>
            <w:tcW w:w="459" w:type="pct"/>
            <w:noWrap/>
            <w:vAlign w:val="center"/>
          </w:tcPr>
          <w:p w14:paraId="461CAF91">
            <w:pPr>
              <w:tabs>
                <w:tab w:val="clear" w:pos="480"/>
              </w:tabs>
              <w:spacing w:line="240" w:lineRule="auto"/>
              <w:ind w:firstLine="0" w:firstLineChars="0"/>
              <w:jc w:val="center"/>
              <w:rPr>
                <w:sz w:val="18"/>
                <w:szCs w:val="18"/>
              </w:rPr>
            </w:pPr>
            <w:r>
              <w:rPr>
                <w:rFonts w:hint="eastAsia"/>
                <w:sz w:val="18"/>
                <w:szCs w:val="18"/>
              </w:rPr>
              <w:t>0.5</w:t>
            </w:r>
          </w:p>
        </w:tc>
        <w:tc>
          <w:tcPr>
            <w:tcW w:w="457" w:type="pct"/>
            <w:vMerge w:val="restart"/>
            <w:noWrap/>
            <w:vAlign w:val="center"/>
          </w:tcPr>
          <w:p w14:paraId="55881E5F">
            <w:pPr>
              <w:tabs>
                <w:tab w:val="clear" w:pos="480"/>
              </w:tabs>
              <w:spacing w:line="240" w:lineRule="auto"/>
              <w:ind w:firstLine="0" w:firstLineChars="0"/>
              <w:jc w:val="center"/>
              <w:rPr>
                <w:sz w:val="18"/>
                <w:szCs w:val="18"/>
              </w:rPr>
            </w:pPr>
            <w:r>
              <w:rPr>
                <w:rFonts w:hint="eastAsia"/>
                <w:sz w:val="18"/>
                <w:szCs w:val="18"/>
              </w:rPr>
              <w:t>2.5</w:t>
            </w:r>
          </w:p>
        </w:tc>
        <w:tc>
          <w:tcPr>
            <w:tcW w:w="458" w:type="pct"/>
            <w:noWrap/>
            <w:vAlign w:val="center"/>
          </w:tcPr>
          <w:p w14:paraId="62021467">
            <w:pPr>
              <w:tabs>
                <w:tab w:val="clear" w:pos="480"/>
              </w:tabs>
              <w:spacing w:line="240" w:lineRule="auto"/>
              <w:ind w:firstLine="0" w:firstLineChars="0"/>
              <w:jc w:val="center"/>
              <w:rPr>
                <w:sz w:val="18"/>
                <w:szCs w:val="18"/>
              </w:rPr>
            </w:pPr>
            <w:r>
              <w:rPr>
                <w:rFonts w:hint="eastAsia"/>
                <w:sz w:val="18"/>
                <w:szCs w:val="18"/>
              </w:rPr>
              <w:t>0.6</w:t>
            </w:r>
          </w:p>
        </w:tc>
        <w:tc>
          <w:tcPr>
            <w:tcW w:w="458" w:type="pct"/>
            <w:vMerge w:val="restart"/>
            <w:noWrap/>
            <w:vAlign w:val="center"/>
          </w:tcPr>
          <w:p w14:paraId="04D590DC">
            <w:pPr>
              <w:tabs>
                <w:tab w:val="clear" w:pos="480"/>
              </w:tabs>
              <w:spacing w:line="240" w:lineRule="auto"/>
              <w:ind w:firstLine="0" w:firstLineChars="0"/>
              <w:jc w:val="center"/>
              <w:rPr>
                <w:sz w:val="18"/>
                <w:szCs w:val="18"/>
              </w:rPr>
            </w:pPr>
            <w:r>
              <w:rPr>
                <w:rFonts w:hint="eastAsia"/>
                <w:sz w:val="18"/>
                <w:szCs w:val="18"/>
              </w:rPr>
              <w:t>4.0</w:t>
            </w:r>
          </w:p>
        </w:tc>
        <w:tc>
          <w:tcPr>
            <w:tcW w:w="535" w:type="pct"/>
            <w:noWrap/>
            <w:vAlign w:val="center"/>
          </w:tcPr>
          <w:p w14:paraId="1022E872">
            <w:pPr>
              <w:tabs>
                <w:tab w:val="clear" w:pos="480"/>
              </w:tabs>
              <w:spacing w:line="240" w:lineRule="auto"/>
              <w:ind w:firstLine="0" w:firstLineChars="0"/>
              <w:jc w:val="center"/>
              <w:rPr>
                <w:sz w:val="18"/>
                <w:szCs w:val="18"/>
              </w:rPr>
            </w:pPr>
            <w:r>
              <w:rPr>
                <w:rFonts w:hint="eastAsia"/>
                <w:sz w:val="18"/>
                <w:szCs w:val="18"/>
              </w:rPr>
              <w:t>1.0</w:t>
            </w:r>
          </w:p>
        </w:tc>
        <w:tc>
          <w:tcPr>
            <w:tcW w:w="439" w:type="pct"/>
            <w:vMerge w:val="restart"/>
            <w:noWrap/>
            <w:vAlign w:val="center"/>
          </w:tcPr>
          <w:p w14:paraId="263C0A73">
            <w:pPr>
              <w:tabs>
                <w:tab w:val="clear" w:pos="480"/>
              </w:tabs>
              <w:spacing w:line="240" w:lineRule="auto"/>
              <w:ind w:firstLine="0" w:firstLineChars="0"/>
              <w:jc w:val="center"/>
              <w:rPr>
                <w:sz w:val="18"/>
                <w:szCs w:val="18"/>
              </w:rPr>
            </w:pPr>
            <w:r>
              <w:rPr>
                <w:rFonts w:hint="eastAsia"/>
                <w:sz w:val="18"/>
                <w:szCs w:val="18"/>
              </w:rPr>
              <w:t>6.0</w:t>
            </w:r>
          </w:p>
        </w:tc>
      </w:tr>
      <w:tr w14:paraId="6F6A18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35EA914B">
            <w:pPr>
              <w:tabs>
                <w:tab w:val="clear" w:pos="480"/>
              </w:tabs>
              <w:snapToGrid w:val="0"/>
              <w:spacing w:line="240" w:lineRule="auto"/>
              <w:ind w:firstLine="0" w:firstLineChars="0"/>
              <w:jc w:val="center"/>
              <w:rPr>
                <w:rFonts w:hAnsi="宋体" w:cs="宋体"/>
                <w:sz w:val="18"/>
                <w:szCs w:val="18"/>
              </w:rPr>
            </w:pPr>
          </w:p>
        </w:tc>
        <w:tc>
          <w:tcPr>
            <w:tcW w:w="305" w:type="pct"/>
            <w:vMerge w:val="continue"/>
            <w:noWrap/>
            <w:vAlign w:val="center"/>
          </w:tcPr>
          <w:p w14:paraId="02D4BE9F">
            <w:pPr>
              <w:tabs>
                <w:tab w:val="clear" w:pos="480"/>
              </w:tabs>
              <w:snapToGrid w:val="0"/>
              <w:spacing w:line="240" w:lineRule="auto"/>
              <w:ind w:firstLine="0" w:firstLineChars="0"/>
              <w:jc w:val="center"/>
              <w:rPr>
                <w:rFonts w:hAnsi="宋体" w:cs="宋体"/>
                <w:sz w:val="18"/>
                <w:szCs w:val="18"/>
              </w:rPr>
            </w:pPr>
          </w:p>
        </w:tc>
        <w:tc>
          <w:tcPr>
            <w:tcW w:w="458" w:type="pct"/>
            <w:noWrap/>
            <w:vAlign w:val="center"/>
          </w:tcPr>
          <w:p w14:paraId="36A17B1B">
            <w:pPr>
              <w:tabs>
                <w:tab w:val="clear" w:pos="480"/>
              </w:tabs>
              <w:spacing w:line="240" w:lineRule="auto"/>
              <w:ind w:firstLine="0" w:firstLineChars="0"/>
              <w:jc w:val="center"/>
              <w:rPr>
                <w:sz w:val="18"/>
                <w:szCs w:val="18"/>
              </w:rPr>
            </w:pPr>
            <w:r>
              <w:rPr>
                <w:rFonts w:hint="eastAsia"/>
                <w:sz w:val="18"/>
                <w:szCs w:val="18"/>
              </w:rPr>
              <w:t>其他</w:t>
            </w:r>
          </w:p>
        </w:tc>
        <w:tc>
          <w:tcPr>
            <w:tcW w:w="458" w:type="pct"/>
            <w:noWrap/>
            <w:vAlign w:val="center"/>
          </w:tcPr>
          <w:p w14:paraId="6BFC8E21">
            <w:pPr>
              <w:tabs>
                <w:tab w:val="clear" w:pos="480"/>
              </w:tabs>
              <w:spacing w:line="240" w:lineRule="auto"/>
              <w:ind w:firstLine="0" w:firstLineChars="0"/>
              <w:jc w:val="center"/>
              <w:rPr>
                <w:sz w:val="18"/>
                <w:szCs w:val="18"/>
              </w:rPr>
            </w:pPr>
            <w:r>
              <w:rPr>
                <w:rFonts w:hint="eastAsia"/>
                <w:sz w:val="18"/>
                <w:szCs w:val="18"/>
              </w:rPr>
              <w:t>1.3</w:t>
            </w:r>
          </w:p>
        </w:tc>
        <w:tc>
          <w:tcPr>
            <w:tcW w:w="457" w:type="pct"/>
            <w:vMerge w:val="continue"/>
            <w:noWrap/>
            <w:vAlign w:val="center"/>
          </w:tcPr>
          <w:p w14:paraId="52E5783B">
            <w:pPr>
              <w:tabs>
                <w:tab w:val="clear" w:pos="480"/>
              </w:tabs>
              <w:spacing w:line="240" w:lineRule="auto"/>
              <w:ind w:firstLine="0" w:firstLineChars="0"/>
              <w:jc w:val="center"/>
              <w:rPr>
                <w:sz w:val="18"/>
                <w:szCs w:val="18"/>
              </w:rPr>
            </w:pPr>
          </w:p>
        </w:tc>
        <w:tc>
          <w:tcPr>
            <w:tcW w:w="459" w:type="pct"/>
            <w:noWrap/>
            <w:vAlign w:val="center"/>
          </w:tcPr>
          <w:p w14:paraId="48424D2B">
            <w:pPr>
              <w:tabs>
                <w:tab w:val="clear" w:pos="480"/>
              </w:tabs>
              <w:spacing w:line="240" w:lineRule="auto"/>
              <w:ind w:firstLine="0" w:firstLineChars="0"/>
              <w:jc w:val="center"/>
              <w:rPr>
                <w:sz w:val="18"/>
                <w:szCs w:val="18"/>
              </w:rPr>
            </w:pPr>
            <w:r>
              <w:rPr>
                <w:rFonts w:hint="eastAsia"/>
                <w:sz w:val="18"/>
                <w:szCs w:val="18"/>
              </w:rPr>
              <w:t>1.8</w:t>
            </w:r>
          </w:p>
        </w:tc>
        <w:tc>
          <w:tcPr>
            <w:tcW w:w="457" w:type="pct"/>
            <w:vMerge w:val="continue"/>
            <w:noWrap/>
            <w:vAlign w:val="center"/>
          </w:tcPr>
          <w:p w14:paraId="32974D61">
            <w:pPr>
              <w:tabs>
                <w:tab w:val="clear" w:pos="480"/>
              </w:tabs>
              <w:spacing w:line="240" w:lineRule="auto"/>
              <w:ind w:firstLine="0" w:firstLineChars="0"/>
              <w:jc w:val="center"/>
              <w:rPr>
                <w:sz w:val="18"/>
                <w:szCs w:val="18"/>
              </w:rPr>
            </w:pPr>
          </w:p>
        </w:tc>
        <w:tc>
          <w:tcPr>
            <w:tcW w:w="458" w:type="pct"/>
            <w:noWrap/>
            <w:vAlign w:val="center"/>
          </w:tcPr>
          <w:p w14:paraId="71804526">
            <w:pPr>
              <w:tabs>
                <w:tab w:val="clear" w:pos="480"/>
              </w:tabs>
              <w:spacing w:line="240" w:lineRule="auto"/>
              <w:ind w:firstLine="0" w:firstLineChars="0"/>
              <w:jc w:val="center"/>
              <w:rPr>
                <w:sz w:val="18"/>
                <w:szCs w:val="18"/>
              </w:rPr>
            </w:pPr>
            <w:r>
              <w:rPr>
                <w:rFonts w:hint="eastAsia"/>
                <w:sz w:val="18"/>
                <w:szCs w:val="18"/>
              </w:rPr>
              <w:t>2.4</w:t>
            </w:r>
          </w:p>
        </w:tc>
        <w:tc>
          <w:tcPr>
            <w:tcW w:w="458" w:type="pct"/>
            <w:vMerge w:val="continue"/>
            <w:noWrap/>
            <w:vAlign w:val="center"/>
          </w:tcPr>
          <w:p w14:paraId="60E9A482">
            <w:pPr>
              <w:tabs>
                <w:tab w:val="clear" w:pos="480"/>
              </w:tabs>
              <w:spacing w:line="240" w:lineRule="auto"/>
              <w:ind w:firstLine="0" w:firstLineChars="0"/>
              <w:jc w:val="center"/>
              <w:rPr>
                <w:sz w:val="18"/>
                <w:szCs w:val="18"/>
              </w:rPr>
            </w:pPr>
          </w:p>
        </w:tc>
        <w:tc>
          <w:tcPr>
            <w:tcW w:w="535" w:type="pct"/>
            <w:noWrap/>
            <w:vAlign w:val="center"/>
          </w:tcPr>
          <w:p w14:paraId="7E590A08">
            <w:pPr>
              <w:tabs>
                <w:tab w:val="clear" w:pos="480"/>
              </w:tabs>
              <w:spacing w:line="240" w:lineRule="auto"/>
              <w:ind w:firstLine="0" w:firstLineChars="0"/>
              <w:jc w:val="center"/>
              <w:rPr>
                <w:sz w:val="18"/>
                <w:szCs w:val="18"/>
              </w:rPr>
            </w:pPr>
            <w:r>
              <w:rPr>
                <w:rFonts w:hint="eastAsia"/>
                <w:sz w:val="18"/>
                <w:szCs w:val="18"/>
              </w:rPr>
              <w:t>3.4</w:t>
            </w:r>
          </w:p>
        </w:tc>
        <w:tc>
          <w:tcPr>
            <w:tcW w:w="439" w:type="pct"/>
            <w:vMerge w:val="continue"/>
            <w:noWrap/>
            <w:vAlign w:val="center"/>
          </w:tcPr>
          <w:p w14:paraId="38E2C9F2">
            <w:pPr>
              <w:tabs>
                <w:tab w:val="clear" w:pos="480"/>
              </w:tabs>
              <w:spacing w:line="240" w:lineRule="auto"/>
              <w:ind w:firstLine="0" w:firstLineChars="0"/>
              <w:jc w:val="center"/>
              <w:rPr>
                <w:sz w:val="18"/>
                <w:szCs w:val="18"/>
              </w:rPr>
            </w:pPr>
          </w:p>
        </w:tc>
      </w:tr>
      <w:tr w14:paraId="4F22C9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5431A9E4">
            <w:pPr>
              <w:tabs>
                <w:tab w:val="clear" w:pos="480"/>
              </w:tabs>
              <w:snapToGrid w:val="0"/>
              <w:spacing w:line="240" w:lineRule="auto"/>
              <w:ind w:firstLine="0" w:firstLineChars="0"/>
              <w:jc w:val="center"/>
              <w:rPr>
                <w:rFonts w:hAnsi="宋体" w:cs="宋体"/>
                <w:sz w:val="18"/>
                <w:szCs w:val="18"/>
              </w:rPr>
            </w:pPr>
          </w:p>
        </w:tc>
        <w:tc>
          <w:tcPr>
            <w:tcW w:w="305" w:type="pct"/>
            <w:vMerge w:val="restart"/>
            <w:noWrap/>
            <w:vAlign w:val="center"/>
          </w:tcPr>
          <w:p w14:paraId="104F6ADF">
            <w:pPr>
              <w:tabs>
                <w:tab w:val="clear" w:pos="480"/>
              </w:tabs>
              <w:snapToGrid w:val="0"/>
              <w:spacing w:line="240" w:lineRule="auto"/>
              <w:ind w:firstLine="0" w:firstLineChars="0"/>
              <w:jc w:val="center"/>
              <w:rPr>
                <w:rFonts w:hAnsi="宋体" w:cs="宋体"/>
                <w:sz w:val="18"/>
                <w:szCs w:val="18"/>
              </w:rPr>
            </w:pPr>
            <w:r>
              <w:rPr>
                <w:rFonts w:cs="宋体"/>
                <w:kern w:val="0"/>
                <w:sz w:val="18"/>
                <w:szCs w:val="18"/>
              </w:rPr>
              <w:t>砷</w:t>
            </w:r>
          </w:p>
        </w:tc>
        <w:tc>
          <w:tcPr>
            <w:tcW w:w="458" w:type="pct"/>
            <w:noWrap/>
            <w:vAlign w:val="center"/>
          </w:tcPr>
          <w:p w14:paraId="51C394B9">
            <w:pPr>
              <w:tabs>
                <w:tab w:val="clear" w:pos="480"/>
              </w:tabs>
              <w:spacing w:line="240" w:lineRule="auto"/>
              <w:ind w:firstLine="0" w:firstLineChars="0"/>
              <w:jc w:val="center"/>
              <w:rPr>
                <w:sz w:val="18"/>
                <w:szCs w:val="18"/>
              </w:rPr>
            </w:pPr>
            <w:r>
              <w:rPr>
                <w:rFonts w:hint="eastAsia"/>
                <w:sz w:val="18"/>
                <w:szCs w:val="18"/>
              </w:rPr>
              <w:t>水田</w:t>
            </w:r>
          </w:p>
        </w:tc>
        <w:tc>
          <w:tcPr>
            <w:tcW w:w="458" w:type="pct"/>
            <w:noWrap/>
            <w:vAlign w:val="center"/>
          </w:tcPr>
          <w:p w14:paraId="572D6163">
            <w:pPr>
              <w:tabs>
                <w:tab w:val="clear" w:pos="480"/>
              </w:tabs>
              <w:spacing w:line="240" w:lineRule="auto"/>
              <w:ind w:firstLine="0" w:firstLineChars="0"/>
              <w:jc w:val="center"/>
              <w:rPr>
                <w:sz w:val="18"/>
                <w:szCs w:val="18"/>
              </w:rPr>
            </w:pPr>
            <w:r>
              <w:rPr>
                <w:rFonts w:hint="eastAsia"/>
                <w:sz w:val="18"/>
                <w:szCs w:val="18"/>
              </w:rPr>
              <w:t>30</w:t>
            </w:r>
          </w:p>
        </w:tc>
        <w:tc>
          <w:tcPr>
            <w:tcW w:w="457" w:type="pct"/>
            <w:vMerge w:val="restart"/>
            <w:noWrap/>
            <w:vAlign w:val="center"/>
          </w:tcPr>
          <w:p w14:paraId="02FDE730">
            <w:pPr>
              <w:tabs>
                <w:tab w:val="clear" w:pos="480"/>
              </w:tabs>
              <w:spacing w:line="240" w:lineRule="auto"/>
              <w:ind w:firstLine="0" w:firstLineChars="0"/>
              <w:jc w:val="center"/>
              <w:rPr>
                <w:sz w:val="18"/>
                <w:szCs w:val="18"/>
              </w:rPr>
            </w:pPr>
            <w:r>
              <w:rPr>
                <w:rFonts w:hint="eastAsia"/>
                <w:sz w:val="18"/>
                <w:szCs w:val="18"/>
              </w:rPr>
              <w:t>200</w:t>
            </w:r>
          </w:p>
        </w:tc>
        <w:tc>
          <w:tcPr>
            <w:tcW w:w="459" w:type="pct"/>
            <w:noWrap/>
            <w:vAlign w:val="center"/>
          </w:tcPr>
          <w:p w14:paraId="619AD635">
            <w:pPr>
              <w:tabs>
                <w:tab w:val="clear" w:pos="480"/>
              </w:tabs>
              <w:spacing w:line="240" w:lineRule="auto"/>
              <w:ind w:firstLine="0" w:firstLineChars="0"/>
              <w:jc w:val="center"/>
              <w:rPr>
                <w:sz w:val="18"/>
                <w:szCs w:val="18"/>
              </w:rPr>
            </w:pPr>
            <w:r>
              <w:rPr>
                <w:rFonts w:hint="eastAsia"/>
                <w:sz w:val="18"/>
                <w:szCs w:val="18"/>
              </w:rPr>
              <w:t>30</w:t>
            </w:r>
          </w:p>
        </w:tc>
        <w:tc>
          <w:tcPr>
            <w:tcW w:w="457" w:type="pct"/>
            <w:vMerge w:val="restart"/>
            <w:noWrap/>
            <w:vAlign w:val="center"/>
          </w:tcPr>
          <w:p w14:paraId="0C188AD2">
            <w:pPr>
              <w:tabs>
                <w:tab w:val="clear" w:pos="480"/>
              </w:tabs>
              <w:spacing w:line="240" w:lineRule="auto"/>
              <w:ind w:firstLine="0" w:firstLineChars="0"/>
              <w:jc w:val="center"/>
              <w:rPr>
                <w:sz w:val="18"/>
                <w:szCs w:val="18"/>
              </w:rPr>
            </w:pPr>
            <w:r>
              <w:rPr>
                <w:rFonts w:hint="eastAsia"/>
                <w:sz w:val="18"/>
                <w:szCs w:val="18"/>
              </w:rPr>
              <w:t>150</w:t>
            </w:r>
          </w:p>
        </w:tc>
        <w:tc>
          <w:tcPr>
            <w:tcW w:w="458" w:type="pct"/>
            <w:noWrap/>
            <w:vAlign w:val="center"/>
          </w:tcPr>
          <w:p w14:paraId="2492636C">
            <w:pPr>
              <w:tabs>
                <w:tab w:val="clear" w:pos="480"/>
              </w:tabs>
              <w:spacing w:line="240" w:lineRule="auto"/>
              <w:ind w:firstLine="0" w:firstLineChars="0"/>
              <w:jc w:val="center"/>
              <w:rPr>
                <w:sz w:val="18"/>
                <w:szCs w:val="18"/>
              </w:rPr>
            </w:pPr>
            <w:r>
              <w:rPr>
                <w:rFonts w:hint="eastAsia"/>
                <w:sz w:val="18"/>
                <w:szCs w:val="18"/>
              </w:rPr>
              <w:t>25</w:t>
            </w:r>
          </w:p>
        </w:tc>
        <w:tc>
          <w:tcPr>
            <w:tcW w:w="458" w:type="pct"/>
            <w:vMerge w:val="restart"/>
            <w:noWrap/>
            <w:vAlign w:val="center"/>
          </w:tcPr>
          <w:p w14:paraId="1EFCE481">
            <w:pPr>
              <w:tabs>
                <w:tab w:val="clear" w:pos="480"/>
              </w:tabs>
              <w:spacing w:line="240" w:lineRule="auto"/>
              <w:ind w:firstLine="0" w:firstLineChars="0"/>
              <w:jc w:val="center"/>
              <w:rPr>
                <w:sz w:val="18"/>
                <w:szCs w:val="18"/>
              </w:rPr>
            </w:pPr>
            <w:r>
              <w:rPr>
                <w:rFonts w:hint="eastAsia"/>
                <w:sz w:val="18"/>
                <w:szCs w:val="18"/>
              </w:rPr>
              <w:t>120</w:t>
            </w:r>
          </w:p>
        </w:tc>
        <w:tc>
          <w:tcPr>
            <w:tcW w:w="535" w:type="pct"/>
            <w:noWrap/>
            <w:vAlign w:val="center"/>
          </w:tcPr>
          <w:p w14:paraId="66D6DA2A">
            <w:pPr>
              <w:tabs>
                <w:tab w:val="clear" w:pos="480"/>
              </w:tabs>
              <w:spacing w:line="240" w:lineRule="auto"/>
              <w:ind w:firstLine="0" w:firstLineChars="0"/>
              <w:jc w:val="center"/>
              <w:rPr>
                <w:sz w:val="18"/>
                <w:szCs w:val="18"/>
              </w:rPr>
            </w:pPr>
            <w:r>
              <w:rPr>
                <w:rFonts w:hint="eastAsia"/>
                <w:sz w:val="18"/>
                <w:szCs w:val="18"/>
              </w:rPr>
              <w:t>20</w:t>
            </w:r>
          </w:p>
        </w:tc>
        <w:tc>
          <w:tcPr>
            <w:tcW w:w="439" w:type="pct"/>
            <w:vMerge w:val="restart"/>
            <w:noWrap/>
            <w:vAlign w:val="center"/>
          </w:tcPr>
          <w:p w14:paraId="5B7C6B07">
            <w:pPr>
              <w:tabs>
                <w:tab w:val="clear" w:pos="480"/>
              </w:tabs>
              <w:spacing w:line="240" w:lineRule="auto"/>
              <w:ind w:firstLine="0" w:firstLineChars="0"/>
              <w:jc w:val="center"/>
              <w:rPr>
                <w:sz w:val="18"/>
                <w:szCs w:val="18"/>
              </w:rPr>
            </w:pPr>
            <w:r>
              <w:rPr>
                <w:rFonts w:hint="eastAsia"/>
                <w:sz w:val="18"/>
                <w:szCs w:val="18"/>
              </w:rPr>
              <w:t>100</w:t>
            </w:r>
          </w:p>
        </w:tc>
      </w:tr>
      <w:tr w14:paraId="1F7A6F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04936B6C">
            <w:pPr>
              <w:tabs>
                <w:tab w:val="clear" w:pos="480"/>
              </w:tabs>
              <w:snapToGrid w:val="0"/>
              <w:spacing w:line="240" w:lineRule="auto"/>
              <w:ind w:firstLine="0" w:firstLineChars="0"/>
              <w:jc w:val="center"/>
              <w:rPr>
                <w:rFonts w:hAnsi="宋体" w:cs="宋体"/>
                <w:sz w:val="18"/>
                <w:szCs w:val="18"/>
              </w:rPr>
            </w:pPr>
          </w:p>
        </w:tc>
        <w:tc>
          <w:tcPr>
            <w:tcW w:w="305" w:type="pct"/>
            <w:vMerge w:val="continue"/>
            <w:noWrap/>
            <w:vAlign w:val="center"/>
          </w:tcPr>
          <w:p w14:paraId="268CCD07">
            <w:pPr>
              <w:tabs>
                <w:tab w:val="clear" w:pos="480"/>
              </w:tabs>
              <w:snapToGrid w:val="0"/>
              <w:spacing w:line="240" w:lineRule="auto"/>
              <w:ind w:firstLine="0" w:firstLineChars="0"/>
              <w:jc w:val="center"/>
              <w:rPr>
                <w:rFonts w:hAnsi="宋体" w:cs="宋体"/>
                <w:sz w:val="18"/>
                <w:szCs w:val="18"/>
              </w:rPr>
            </w:pPr>
          </w:p>
        </w:tc>
        <w:tc>
          <w:tcPr>
            <w:tcW w:w="458" w:type="pct"/>
            <w:noWrap/>
            <w:vAlign w:val="center"/>
          </w:tcPr>
          <w:p w14:paraId="02A24144">
            <w:pPr>
              <w:tabs>
                <w:tab w:val="clear" w:pos="480"/>
              </w:tabs>
              <w:spacing w:line="240" w:lineRule="auto"/>
              <w:ind w:firstLine="0" w:firstLineChars="0"/>
              <w:jc w:val="center"/>
              <w:rPr>
                <w:sz w:val="18"/>
                <w:szCs w:val="18"/>
              </w:rPr>
            </w:pPr>
            <w:r>
              <w:rPr>
                <w:rFonts w:hint="eastAsia"/>
                <w:sz w:val="18"/>
                <w:szCs w:val="18"/>
              </w:rPr>
              <w:t>其他</w:t>
            </w:r>
          </w:p>
        </w:tc>
        <w:tc>
          <w:tcPr>
            <w:tcW w:w="458" w:type="pct"/>
            <w:noWrap/>
            <w:vAlign w:val="center"/>
          </w:tcPr>
          <w:p w14:paraId="25AE7844">
            <w:pPr>
              <w:tabs>
                <w:tab w:val="clear" w:pos="480"/>
              </w:tabs>
              <w:spacing w:line="240" w:lineRule="auto"/>
              <w:ind w:firstLine="0" w:firstLineChars="0"/>
              <w:jc w:val="center"/>
              <w:rPr>
                <w:sz w:val="18"/>
                <w:szCs w:val="18"/>
              </w:rPr>
            </w:pPr>
            <w:r>
              <w:rPr>
                <w:rFonts w:hint="eastAsia"/>
                <w:sz w:val="18"/>
                <w:szCs w:val="18"/>
              </w:rPr>
              <w:t>40</w:t>
            </w:r>
          </w:p>
        </w:tc>
        <w:tc>
          <w:tcPr>
            <w:tcW w:w="457" w:type="pct"/>
            <w:vMerge w:val="continue"/>
            <w:noWrap/>
            <w:vAlign w:val="center"/>
          </w:tcPr>
          <w:p w14:paraId="314882C7">
            <w:pPr>
              <w:tabs>
                <w:tab w:val="clear" w:pos="480"/>
              </w:tabs>
              <w:spacing w:line="240" w:lineRule="auto"/>
              <w:ind w:firstLine="0" w:firstLineChars="0"/>
              <w:jc w:val="center"/>
              <w:rPr>
                <w:sz w:val="18"/>
                <w:szCs w:val="18"/>
              </w:rPr>
            </w:pPr>
          </w:p>
        </w:tc>
        <w:tc>
          <w:tcPr>
            <w:tcW w:w="459" w:type="pct"/>
            <w:noWrap/>
            <w:vAlign w:val="center"/>
          </w:tcPr>
          <w:p w14:paraId="45CDCE01">
            <w:pPr>
              <w:tabs>
                <w:tab w:val="clear" w:pos="480"/>
              </w:tabs>
              <w:spacing w:line="240" w:lineRule="auto"/>
              <w:ind w:firstLine="0" w:firstLineChars="0"/>
              <w:jc w:val="center"/>
              <w:rPr>
                <w:sz w:val="18"/>
                <w:szCs w:val="18"/>
              </w:rPr>
            </w:pPr>
            <w:r>
              <w:rPr>
                <w:rFonts w:hint="eastAsia"/>
                <w:sz w:val="18"/>
                <w:szCs w:val="18"/>
              </w:rPr>
              <w:t>40</w:t>
            </w:r>
          </w:p>
        </w:tc>
        <w:tc>
          <w:tcPr>
            <w:tcW w:w="457" w:type="pct"/>
            <w:vMerge w:val="continue"/>
            <w:noWrap/>
            <w:vAlign w:val="center"/>
          </w:tcPr>
          <w:p w14:paraId="0364E1AC">
            <w:pPr>
              <w:tabs>
                <w:tab w:val="clear" w:pos="480"/>
              </w:tabs>
              <w:spacing w:line="240" w:lineRule="auto"/>
              <w:ind w:firstLine="0" w:firstLineChars="0"/>
              <w:jc w:val="center"/>
              <w:rPr>
                <w:sz w:val="18"/>
                <w:szCs w:val="18"/>
              </w:rPr>
            </w:pPr>
          </w:p>
        </w:tc>
        <w:tc>
          <w:tcPr>
            <w:tcW w:w="458" w:type="pct"/>
            <w:noWrap/>
            <w:vAlign w:val="center"/>
          </w:tcPr>
          <w:p w14:paraId="503226C6">
            <w:pPr>
              <w:tabs>
                <w:tab w:val="clear" w:pos="480"/>
              </w:tabs>
              <w:spacing w:line="240" w:lineRule="auto"/>
              <w:ind w:firstLine="0" w:firstLineChars="0"/>
              <w:jc w:val="center"/>
              <w:rPr>
                <w:sz w:val="18"/>
                <w:szCs w:val="18"/>
              </w:rPr>
            </w:pPr>
            <w:r>
              <w:rPr>
                <w:rFonts w:hint="eastAsia"/>
                <w:sz w:val="18"/>
                <w:szCs w:val="18"/>
              </w:rPr>
              <w:t>30</w:t>
            </w:r>
          </w:p>
        </w:tc>
        <w:tc>
          <w:tcPr>
            <w:tcW w:w="458" w:type="pct"/>
            <w:vMerge w:val="continue"/>
            <w:noWrap/>
            <w:vAlign w:val="center"/>
          </w:tcPr>
          <w:p w14:paraId="2F0668FA">
            <w:pPr>
              <w:tabs>
                <w:tab w:val="clear" w:pos="480"/>
              </w:tabs>
              <w:spacing w:line="240" w:lineRule="auto"/>
              <w:ind w:firstLine="0" w:firstLineChars="0"/>
              <w:jc w:val="center"/>
              <w:rPr>
                <w:sz w:val="18"/>
                <w:szCs w:val="18"/>
              </w:rPr>
            </w:pPr>
          </w:p>
        </w:tc>
        <w:tc>
          <w:tcPr>
            <w:tcW w:w="535" w:type="pct"/>
            <w:noWrap/>
            <w:vAlign w:val="center"/>
          </w:tcPr>
          <w:p w14:paraId="23F5F9A4">
            <w:pPr>
              <w:tabs>
                <w:tab w:val="clear" w:pos="480"/>
              </w:tabs>
              <w:spacing w:line="240" w:lineRule="auto"/>
              <w:ind w:firstLine="0" w:firstLineChars="0"/>
              <w:jc w:val="center"/>
              <w:rPr>
                <w:sz w:val="18"/>
                <w:szCs w:val="18"/>
              </w:rPr>
            </w:pPr>
            <w:r>
              <w:rPr>
                <w:rFonts w:hint="eastAsia"/>
                <w:sz w:val="18"/>
                <w:szCs w:val="18"/>
              </w:rPr>
              <w:t>25</w:t>
            </w:r>
          </w:p>
        </w:tc>
        <w:tc>
          <w:tcPr>
            <w:tcW w:w="439" w:type="pct"/>
            <w:vMerge w:val="continue"/>
            <w:noWrap/>
            <w:vAlign w:val="center"/>
          </w:tcPr>
          <w:p w14:paraId="2E76D29C">
            <w:pPr>
              <w:tabs>
                <w:tab w:val="clear" w:pos="480"/>
              </w:tabs>
              <w:spacing w:line="240" w:lineRule="auto"/>
              <w:ind w:firstLine="0" w:firstLineChars="0"/>
              <w:jc w:val="center"/>
              <w:rPr>
                <w:sz w:val="18"/>
                <w:szCs w:val="18"/>
              </w:rPr>
            </w:pPr>
          </w:p>
        </w:tc>
      </w:tr>
      <w:tr w14:paraId="175A2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37210AF5">
            <w:pPr>
              <w:tabs>
                <w:tab w:val="clear" w:pos="480"/>
              </w:tabs>
              <w:snapToGrid w:val="0"/>
              <w:spacing w:line="240" w:lineRule="auto"/>
              <w:ind w:firstLine="0" w:firstLineChars="0"/>
              <w:jc w:val="center"/>
              <w:rPr>
                <w:rFonts w:hAnsi="宋体" w:cs="宋体"/>
                <w:sz w:val="18"/>
                <w:szCs w:val="18"/>
              </w:rPr>
            </w:pPr>
          </w:p>
        </w:tc>
        <w:tc>
          <w:tcPr>
            <w:tcW w:w="305" w:type="pct"/>
            <w:vMerge w:val="restart"/>
            <w:noWrap/>
            <w:vAlign w:val="center"/>
          </w:tcPr>
          <w:p w14:paraId="09AE24E9">
            <w:pPr>
              <w:tabs>
                <w:tab w:val="clear" w:pos="480"/>
              </w:tabs>
              <w:snapToGrid w:val="0"/>
              <w:spacing w:line="240" w:lineRule="auto"/>
              <w:ind w:firstLine="0" w:firstLineChars="0"/>
              <w:jc w:val="center"/>
              <w:rPr>
                <w:rFonts w:hAnsi="宋体" w:cs="宋体"/>
                <w:sz w:val="18"/>
                <w:szCs w:val="18"/>
              </w:rPr>
            </w:pPr>
            <w:r>
              <w:rPr>
                <w:rFonts w:cs="宋体"/>
                <w:sz w:val="18"/>
                <w:szCs w:val="18"/>
              </w:rPr>
              <w:t>铅</w:t>
            </w:r>
          </w:p>
        </w:tc>
        <w:tc>
          <w:tcPr>
            <w:tcW w:w="458" w:type="pct"/>
            <w:noWrap/>
            <w:vAlign w:val="center"/>
          </w:tcPr>
          <w:p w14:paraId="78CAB231">
            <w:pPr>
              <w:tabs>
                <w:tab w:val="clear" w:pos="480"/>
              </w:tabs>
              <w:spacing w:line="240" w:lineRule="auto"/>
              <w:ind w:firstLine="0" w:firstLineChars="0"/>
              <w:jc w:val="center"/>
              <w:rPr>
                <w:sz w:val="18"/>
                <w:szCs w:val="18"/>
              </w:rPr>
            </w:pPr>
            <w:r>
              <w:rPr>
                <w:rFonts w:hint="eastAsia"/>
                <w:sz w:val="18"/>
                <w:szCs w:val="18"/>
              </w:rPr>
              <w:t>水田</w:t>
            </w:r>
          </w:p>
        </w:tc>
        <w:tc>
          <w:tcPr>
            <w:tcW w:w="458" w:type="pct"/>
            <w:noWrap/>
            <w:vAlign w:val="center"/>
          </w:tcPr>
          <w:p w14:paraId="132300CF">
            <w:pPr>
              <w:tabs>
                <w:tab w:val="clear" w:pos="480"/>
              </w:tabs>
              <w:spacing w:line="240" w:lineRule="auto"/>
              <w:ind w:firstLine="0" w:firstLineChars="0"/>
              <w:jc w:val="center"/>
              <w:rPr>
                <w:sz w:val="18"/>
                <w:szCs w:val="18"/>
              </w:rPr>
            </w:pPr>
            <w:r>
              <w:rPr>
                <w:rFonts w:hint="eastAsia"/>
                <w:sz w:val="18"/>
                <w:szCs w:val="18"/>
              </w:rPr>
              <w:t>80</w:t>
            </w:r>
          </w:p>
        </w:tc>
        <w:tc>
          <w:tcPr>
            <w:tcW w:w="457" w:type="pct"/>
            <w:vMerge w:val="restart"/>
            <w:noWrap/>
            <w:vAlign w:val="center"/>
          </w:tcPr>
          <w:p w14:paraId="40E2B42E">
            <w:pPr>
              <w:tabs>
                <w:tab w:val="clear" w:pos="480"/>
              </w:tabs>
              <w:spacing w:line="240" w:lineRule="auto"/>
              <w:ind w:firstLine="0" w:firstLineChars="0"/>
              <w:jc w:val="center"/>
              <w:rPr>
                <w:sz w:val="18"/>
                <w:szCs w:val="18"/>
              </w:rPr>
            </w:pPr>
            <w:r>
              <w:rPr>
                <w:rFonts w:hint="eastAsia"/>
                <w:sz w:val="18"/>
                <w:szCs w:val="18"/>
              </w:rPr>
              <w:t>400</w:t>
            </w:r>
          </w:p>
        </w:tc>
        <w:tc>
          <w:tcPr>
            <w:tcW w:w="459" w:type="pct"/>
            <w:noWrap/>
            <w:vAlign w:val="center"/>
          </w:tcPr>
          <w:p w14:paraId="54271E47">
            <w:pPr>
              <w:tabs>
                <w:tab w:val="clear" w:pos="480"/>
              </w:tabs>
              <w:spacing w:line="240" w:lineRule="auto"/>
              <w:ind w:firstLine="0" w:firstLineChars="0"/>
              <w:jc w:val="center"/>
              <w:rPr>
                <w:sz w:val="18"/>
                <w:szCs w:val="18"/>
              </w:rPr>
            </w:pPr>
            <w:r>
              <w:rPr>
                <w:rFonts w:hint="eastAsia"/>
                <w:sz w:val="18"/>
                <w:szCs w:val="18"/>
              </w:rPr>
              <w:t>100</w:t>
            </w:r>
          </w:p>
        </w:tc>
        <w:tc>
          <w:tcPr>
            <w:tcW w:w="457" w:type="pct"/>
            <w:vMerge w:val="restart"/>
            <w:noWrap/>
            <w:vAlign w:val="center"/>
          </w:tcPr>
          <w:p w14:paraId="7BC17443">
            <w:pPr>
              <w:tabs>
                <w:tab w:val="clear" w:pos="480"/>
              </w:tabs>
              <w:spacing w:line="240" w:lineRule="auto"/>
              <w:ind w:firstLine="0" w:firstLineChars="0"/>
              <w:jc w:val="center"/>
              <w:rPr>
                <w:sz w:val="18"/>
                <w:szCs w:val="18"/>
              </w:rPr>
            </w:pPr>
            <w:r>
              <w:rPr>
                <w:rFonts w:hint="eastAsia"/>
                <w:sz w:val="18"/>
                <w:szCs w:val="18"/>
              </w:rPr>
              <w:t>500</w:t>
            </w:r>
          </w:p>
        </w:tc>
        <w:tc>
          <w:tcPr>
            <w:tcW w:w="458" w:type="pct"/>
            <w:noWrap/>
            <w:vAlign w:val="center"/>
          </w:tcPr>
          <w:p w14:paraId="479632D0">
            <w:pPr>
              <w:tabs>
                <w:tab w:val="clear" w:pos="480"/>
              </w:tabs>
              <w:spacing w:line="240" w:lineRule="auto"/>
              <w:ind w:firstLine="0" w:firstLineChars="0"/>
              <w:jc w:val="center"/>
              <w:rPr>
                <w:sz w:val="18"/>
                <w:szCs w:val="18"/>
              </w:rPr>
            </w:pPr>
            <w:r>
              <w:rPr>
                <w:rFonts w:hint="eastAsia"/>
                <w:sz w:val="18"/>
                <w:szCs w:val="18"/>
              </w:rPr>
              <w:t>140</w:t>
            </w:r>
          </w:p>
        </w:tc>
        <w:tc>
          <w:tcPr>
            <w:tcW w:w="458" w:type="pct"/>
            <w:vMerge w:val="restart"/>
            <w:noWrap/>
            <w:vAlign w:val="center"/>
          </w:tcPr>
          <w:p w14:paraId="682834CB">
            <w:pPr>
              <w:tabs>
                <w:tab w:val="clear" w:pos="480"/>
              </w:tabs>
              <w:spacing w:line="240" w:lineRule="auto"/>
              <w:ind w:firstLine="0" w:firstLineChars="0"/>
              <w:jc w:val="center"/>
              <w:rPr>
                <w:sz w:val="18"/>
                <w:szCs w:val="18"/>
              </w:rPr>
            </w:pPr>
            <w:r>
              <w:rPr>
                <w:rFonts w:hint="eastAsia"/>
                <w:sz w:val="18"/>
                <w:szCs w:val="18"/>
              </w:rPr>
              <w:t>700</w:t>
            </w:r>
          </w:p>
        </w:tc>
        <w:tc>
          <w:tcPr>
            <w:tcW w:w="535" w:type="pct"/>
            <w:noWrap/>
            <w:vAlign w:val="center"/>
          </w:tcPr>
          <w:p w14:paraId="697E4AC7">
            <w:pPr>
              <w:tabs>
                <w:tab w:val="clear" w:pos="480"/>
              </w:tabs>
              <w:spacing w:line="240" w:lineRule="auto"/>
              <w:ind w:firstLine="0" w:firstLineChars="0"/>
              <w:jc w:val="center"/>
              <w:rPr>
                <w:sz w:val="18"/>
                <w:szCs w:val="18"/>
              </w:rPr>
            </w:pPr>
            <w:r>
              <w:rPr>
                <w:rFonts w:hint="eastAsia"/>
                <w:sz w:val="18"/>
                <w:szCs w:val="18"/>
              </w:rPr>
              <w:t>240</w:t>
            </w:r>
          </w:p>
        </w:tc>
        <w:tc>
          <w:tcPr>
            <w:tcW w:w="439" w:type="pct"/>
            <w:vMerge w:val="restart"/>
            <w:noWrap/>
            <w:vAlign w:val="center"/>
          </w:tcPr>
          <w:p w14:paraId="2D0797E0">
            <w:pPr>
              <w:tabs>
                <w:tab w:val="clear" w:pos="480"/>
              </w:tabs>
              <w:spacing w:line="240" w:lineRule="auto"/>
              <w:ind w:firstLine="0" w:firstLineChars="0"/>
              <w:jc w:val="center"/>
              <w:rPr>
                <w:sz w:val="18"/>
                <w:szCs w:val="18"/>
              </w:rPr>
            </w:pPr>
            <w:r>
              <w:rPr>
                <w:rFonts w:hint="eastAsia"/>
                <w:sz w:val="18"/>
                <w:szCs w:val="18"/>
              </w:rPr>
              <w:t>1000</w:t>
            </w:r>
          </w:p>
        </w:tc>
      </w:tr>
      <w:tr w14:paraId="4CCEF5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79D2055A">
            <w:pPr>
              <w:tabs>
                <w:tab w:val="clear" w:pos="480"/>
              </w:tabs>
              <w:snapToGrid w:val="0"/>
              <w:spacing w:line="240" w:lineRule="auto"/>
              <w:ind w:firstLine="0" w:firstLineChars="0"/>
              <w:jc w:val="center"/>
              <w:rPr>
                <w:rFonts w:hAnsi="宋体" w:cs="宋体"/>
                <w:sz w:val="18"/>
                <w:szCs w:val="18"/>
              </w:rPr>
            </w:pPr>
          </w:p>
        </w:tc>
        <w:tc>
          <w:tcPr>
            <w:tcW w:w="305" w:type="pct"/>
            <w:vMerge w:val="continue"/>
            <w:noWrap/>
            <w:vAlign w:val="center"/>
          </w:tcPr>
          <w:p w14:paraId="09244CA1">
            <w:pPr>
              <w:tabs>
                <w:tab w:val="clear" w:pos="480"/>
              </w:tabs>
              <w:snapToGrid w:val="0"/>
              <w:spacing w:line="240" w:lineRule="auto"/>
              <w:ind w:firstLine="0" w:firstLineChars="0"/>
              <w:jc w:val="center"/>
              <w:rPr>
                <w:rFonts w:cs="宋体"/>
                <w:sz w:val="18"/>
                <w:szCs w:val="18"/>
              </w:rPr>
            </w:pPr>
          </w:p>
        </w:tc>
        <w:tc>
          <w:tcPr>
            <w:tcW w:w="458" w:type="pct"/>
            <w:noWrap/>
            <w:vAlign w:val="center"/>
          </w:tcPr>
          <w:p w14:paraId="509C6493">
            <w:pPr>
              <w:tabs>
                <w:tab w:val="clear" w:pos="480"/>
              </w:tabs>
              <w:spacing w:line="240" w:lineRule="auto"/>
              <w:ind w:firstLine="0" w:firstLineChars="0"/>
              <w:jc w:val="center"/>
              <w:rPr>
                <w:sz w:val="18"/>
                <w:szCs w:val="18"/>
              </w:rPr>
            </w:pPr>
            <w:r>
              <w:rPr>
                <w:rFonts w:hint="eastAsia"/>
                <w:sz w:val="18"/>
                <w:szCs w:val="18"/>
              </w:rPr>
              <w:t>其他</w:t>
            </w:r>
          </w:p>
        </w:tc>
        <w:tc>
          <w:tcPr>
            <w:tcW w:w="458" w:type="pct"/>
            <w:noWrap/>
            <w:vAlign w:val="center"/>
          </w:tcPr>
          <w:p w14:paraId="1ACB3C10">
            <w:pPr>
              <w:tabs>
                <w:tab w:val="clear" w:pos="480"/>
              </w:tabs>
              <w:spacing w:line="240" w:lineRule="auto"/>
              <w:ind w:firstLine="0" w:firstLineChars="0"/>
              <w:jc w:val="center"/>
              <w:rPr>
                <w:sz w:val="18"/>
                <w:szCs w:val="18"/>
              </w:rPr>
            </w:pPr>
            <w:r>
              <w:rPr>
                <w:rFonts w:hint="eastAsia"/>
                <w:sz w:val="18"/>
                <w:szCs w:val="18"/>
              </w:rPr>
              <w:t>70</w:t>
            </w:r>
          </w:p>
        </w:tc>
        <w:tc>
          <w:tcPr>
            <w:tcW w:w="457" w:type="pct"/>
            <w:vMerge w:val="continue"/>
            <w:noWrap/>
            <w:vAlign w:val="center"/>
          </w:tcPr>
          <w:p w14:paraId="01CBF16E">
            <w:pPr>
              <w:tabs>
                <w:tab w:val="clear" w:pos="480"/>
              </w:tabs>
              <w:spacing w:line="240" w:lineRule="auto"/>
              <w:ind w:firstLine="0" w:firstLineChars="0"/>
              <w:jc w:val="center"/>
              <w:rPr>
                <w:sz w:val="18"/>
                <w:szCs w:val="18"/>
              </w:rPr>
            </w:pPr>
          </w:p>
        </w:tc>
        <w:tc>
          <w:tcPr>
            <w:tcW w:w="459" w:type="pct"/>
            <w:noWrap/>
            <w:vAlign w:val="center"/>
          </w:tcPr>
          <w:p w14:paraId="07F9C49C">
            <w:pPr>
              <w:tabs>
                <w:tab w:val="clear" w:pos="480"/>
              </w:tabs>
              <w:spacing w:line="240" w:lineRule="auto"/>
              <w:ind w:firstLine="0" w:firstLineChars="0"/>
              <w:jc w:val="center"/>
              <w:rPr>
                <w:sz w:val="18"/>
                <w:szCs w:val="18"/>
              </w:rPr>
            </w:pPr>
            <w:r>
              <w:rPr>
                <w:rFonts w:hint="eastAsia"/>
                <w:sz w:val="18"/>
                <w:szCs w:val="18"/>
              </w:rPr>
              <w:t>90</w:t>
            </w:r>
          </w:p>
        </w:tc>
        <w:tc>
          <w:tcPr>
            <w:tcW w:w="457" w:type="pct"/>
            <w:vMerge w:val="continue"/>
            <w:noWrap/>
            <w:vAlign w:val="center"/>
          </w:tcPr>
          <w:p w14:paraId="13F83845">
            <w:pPr>
              <w:tabs>
                <w:tab w:val="clear" w:pos="480"/>
              </w:tabs>
              <w:spacing w:line="240" w:lineRule="auto"/>
              <w:ind w:firstLine="0" w:firstLineChars="0"/>
              <w:jc w:val="center"/>
              <w:rPr>
                <w:sz w:val="18"/>
                <w:szCs w:val="18"/>
              </w:rPr>
            </w:pPr>
          </w:p>
        </w:tc>
        <w:tc>
          <w:tcPr>
            <w:tcW w:w="458" w:type="pct"/>
            <w:noWrap/>
            <w:vAlign w:val="center"/>
          </w:tcPr>
          <w:p w14:paraId="34935DE3">
            <w:pPr>
              <w:tabs>
                <w:tab w:val="clear" w:pos="480"/>
              </w:tabs>
              <w:spacing w:line="240" w:lineRule="auto"/>
              <w:ind w:firstLine="0" w:firstLineChars="0"/>
              <w:jc w:val="center"/>
              <w:rPr>
                <w:sz w:val="18"/>
                <w:szCs w:val="18"/>
              </w:rPr>
            </w:pPr>
            <w:r>
              <w:rPr>
                <w:rFonts w:hint="eastAsia"/>
                <w:sz w:val="18"/>
                <w:szCs w:val="18"/>
              </w:rPr>
              <w:t>120</w:t>
            </w:r>
          </w:p>
        </w:tc>
        <w:tc>
          <w:tcPr>
            <w:tcW w:w="458" w:type="pct"/>
            <w:vMerge w:val="continue"/>
            <w:noWrap/>
            <w:vAlign w:val="center"/>
          </w:tcPr>
          <w:p w14:paraId="1485AC37">
            <w:pPr>
              <w:tabs>
                <w:tab w:val="clear" w:pos="480"/>
              </w:tabs>
              <w:spacing w:line="240" w:lineRule="auto"/>
              <w:ind w:firstLine="0" w:firstLineChars="0"/>
              <w:jc w:val="center"/>
              <w:rPr>
                <w:sz w:val="18"/>
                <w:szCs w:val="18"/>
              </w:rPr>
            </w:pPr>
          </w:p>
        </w:tc>
        <w:tc>
          <w:tcPr>
            <w:tcW w:w="535" w:type="pct"/>
            <w:noWrap/>
            <w:vAlign w:val="center"/>
          </w:tcPr>
          <w:p w14:paraId="672C7489">
            <w:pPr>
              <w:tabs>
                <w:tab w:val="clear" w:pos="480"/>
              </w:tabs>
              <w:spacing w:line="240" w:lineRule="auto"/>
              <w:ind w:firstLine="0" w:firstLineChars="0"/>
              <w:jc w:val="center"/>
              <w:rPr>
                <w:sz w:val="18"/>
                <w:szCs w:val="18"/>
              </w:rPr>
            </w:pPr>
            <w:r>
              <w:rPr>
                <w:rFonts w:hint="eastAsia"/>
                <w:sz w:val="18"/>
                <w:szCs w:val="18"/>
              </w:rPr>
              <w:t>170</w:t>
            </w:r>
          </w:p>
        </w:tc>
        <w:tc>
          <w:tcPr>
            <w:tcW w:w="439" w:type="pct"/>
            <w:vMerge w:val="continue"/>
            <w:noWrap/>
            <w:vAlign w:val="center"/>
          </w:tcPr>
          <w:p w14:paraId="2F7F96F5">
            <w:pPr>
              <w:tabs>
                <w:tab w:val="clear" w:pos="480"/>
              </w:tabs>
              <w:spacing w:line="240" w:lineRule="auto"/>
              <w:ind w:firstLine="0" w:firstLineChars="0"/>
              <w:jc w:val="center"/>
              <w:rPr>
                <w:sz w:val="18"/>
                <w:szCs w:val="18"/>
              </w:rPr>
            </w:pPr>
          </w:p>
        </w:tc>
      </w:tr>
      <w:tr w14:paraId="4ECF70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3AAAD1FC">
            <w:pPr>
              <w:tabs>
                <w:tab w:val="clear" w:pos="480"/>
              </w:tabs>
              <w:snapToGrid w:val="0"/>
              <w:spacing w:line="240" w:lineRule="auto"/>
              <w:ind w:firstLine="0" w:firstLineChars="0"/>
              <w:jc w:val="center"/>
              <w:rPr>
                <w:rFonts w:hAnsi="宋体" w:cs="宋体"/>
                <w:sz w:val="18"/>
                <w:szCs w:val="18"/>
              </w:rPr>
            </w:pPr>
          </w:p>
        </w:tc>
        <w:tc>
          <w:tcPr>
            <w:tcW w:w="305" w:type="pct"/>
            <w:vMerge w:val="restart"/>
            <w:noWrap/>
            <w:vAlign w:val="center"/>
          </w:tcPr>
          <w:p w14:paraId="46467388">
            <w:pPr>
              <w:tabs>
                <w:tab w:val="clear" w:pos="480"/>
              </w:tabs>
              <w:snapToGrid w:val="0"/>
              <w:spacing w:line="240" w:lineRule="auto"/>
              <w:ind w:firstLine="0" w:firstLineChars="0"/>
              <w:jc w:val="center"/>
              <w:rPr>
                <w:rFonts w:cs="宋体"/>
                <w:sz w:val="18"/>
                <w:szCs w:val="18"/>
              </w:rPr>
            </w:pPr>
            <w:r>
              <w:rPr>
                <w:rFonts w:ascii="宋体" w:hAnsi="宋体" w:cs="宋体"/>
                <w:kern w:val="0"/>
                <w:sz w:val="18"/>
                <w:szCs w:val="18"/>
              </w:rPr>
              <w:t>铬</w:t>
            </w:r>
          </w:p>
        </w:tc>
        <w:tc>
          <w:tcPr>
            <w:tcW w:w="458" w:type="pct"/>
            <w:noWrap/>
            <w:vAlign w:val="center"/>
          </w:tcPr>
          <w:p w14:paraId="17CB1115">
            <w:pPr>
              <w:tabs>
                <w:tab w:val="clear" w:pos="480"/>
              </w:tabs>
              <w:spacing w:line="240" w:lineRule="auto"/>
              <w:ind w:firstLine="0" w:firstLineChars="0"/>
              <w:jc w:val="center"/>
              <w:rPr>
                <w:sz w:val="18"/>
                <w:szCs w:val="18"/>
              </w:rPr>
            </w:pPr>
            <w:r>
              <w:rPr>
                <w:rFonts w:hint="eastAsia"/>
                <w:sz w:val="18"/>
                <w:szCs w:val="18"/>
              </w:rPr>
              <w:t>水田</w:t>
            </w:r>
          </w:p>
        </w:tc>
        <w:tc>
          <w:tcPr>
            <w:tcW w:w="458" w:type="pct"/>
            <w:noWrap/>
            <w:vAlign w:val="center"/>
          </w:tcPr>
          <w:p w14:paraId="645B22F3">
            <w:pPr>
              <w:tabs>
                <w:tab w:val="clear" w:pos="480"/>
              </w:tabs>
              <w:spacing w:line="240" w:lineRule="auto"/>
              <w:ind w:firstLine="0" w:firstLineChars="0"/>
              <w:jc w:val="center"/>
              <w:rPr>
                <w:sz w:val="18"/>
                <w:szCs w:val="18"/>
              </w:rPr>
            </w:pPr>
            <w:r>
              <w:rPr>
                <w:rFonts w:hint="eastAsia"/>
                <w:sz w:val="18"/>
                <w:szCs w:val="18"/>
              </w:rPr>
              <w:t>250</w:t>
            </w:r>
          </w:p>
        </w:tc>
        <w:tc>
          <w:tcPr>
            <w:tcW w:w="457" w:type="pct"/>
            <w:vMerge w:val="restart"/>
            <w:noWrap/>
            <w:vAlign w:val="center"/>
          </w:tcPr>
          <w:p w14:paraId="1758B9B1">
            <w:pPr>
              <w:tabs>
                <w:tab w:val="clear" w:pos="480"/>
              </w:tabs>
              <w:spacing w:line="240" w:lineRule="auto"/>
              <w:ind w:firstLine="0" w:firstLineChars="0"/>
              <w:jc w:val="center"/>
              <w:rPr>
                <w:sz w:val="18"/>
                <w:szCs w:val="18"/>
              </w:rPr>
            </w:pPr>
            <w:r>
              <w:rPr>
                <w:rFonts w:hint="eastAsia"/>
                <w:sz w:val="18"/>
                <w:szCs w:val="18"/>
              </w:rPr>
              <w:t>800</w:t>
            </w:r>
          </w:p>
        </w:tc>
        <w:tc>
          <w:tcPr>
            <w:tcW w:w="459" w:type="pct"/>
            <w:noWrap/>
            <w:vAlign w:val="center"/>
          </w:tcPr>
          <w:p w14:paraId="41D886FB">
            <w:pPr>
              <w:tabs>
                <w:tab w:val="clear" w:pos="480"/>
              </w:tabs>
              <w:spacing w:line="240" w:lineRule="auto"/>
              <w:ind w:firstLine="0" w:firstLineChars="0"/>
              <w:jc w:val="center"/>
              <w:rPr>
                <w:sz w:val="18"/>
                <w:szCs w:val="18"/>
              </w:rPr>
            </w:pPr>
            <w:r>
              <w:rPr>
                <w:rFonts w:hint="eastAsia"/>
                <w:sz w:val="18"/>
                <w:szCs w:val="18"/>
              </w:rPr>
              <w:t>250</w:t>
            </w:r>
          </w:p>
        </w:tc>
        <w:tc>
          <w:tcPr>
            <w:tcW w:w="457" w:type="pct"/>
            <w:vMerge w:val="restart"/>
            <w:noWrap/>
            <w:vAlign w:val="center"/>
          </w:tcPr>
          <w:p w14:paraId="2ABF1032">
            <w:pPr>
              <w:tabs>
                <w:tab w:val="clear" w:pos="480"/>
              </w:tabs>
              <w:spacing w:line="240" w:lineRule="auto"/>
              <w:ind w:firstLine="0" w:firstLineChars="0"/>
              <w:jc w:val="center"/>
              <w:rPr>
                <w:sz w:val="18"/>
                <w:szCs w:val="18"/>
              </w:rPr>
            </w:pPr>
            <w:r>
              <w:rPr>
                <w:rFonts w:hint="eastAsia"/>
                <w:sz w:val="18"/>
                <w:szCs w:val="18"/>
              </w:rPr>
              <w:t>850</w:t>
            </w:r>
          </w:p>
        </w:tc>
        <w:tc>
          <w:tcPr>
            <w:tcW w:w="458" w:type="pct"/>
            <w:noWrap/>
            <w:vAlign w:val="center"/>
          </w:tcPr>
          <w:p w14:paraId="7EDD0CCD">
            <w:pPr>
              <w:tabs>
                <w:tab w:val="clear" w:pos="480"/>
              </w:tabs>
              <w:spacing w:line="240" w:lineRule="auto"/>
              <w:ind w:firstLine="0" w:firstLineChars="0"/>
              <w:jc w:val="center"/>
              <w:rPr>
                <w:sz w:val="18"/>
                <w:szCs w:val="18"/>
              </w:rPr>
            </w:pPr>
            <w:r>
              <w:rPr>
                <w:rFonts w:hint="eastAsia"/>
                <w:sz w:val="18"/>
                <w:szCs w:val="18"/>
              </w:rPr>
              <w:t>300</w:t>
            </w:r>
          </w:p>
        </w:tc>
        <w:tc>
          <w:tcPr>
            <w:tcW w:w="458" w:type="pct"/>
            <w:vMerge w:val="restart"/>
            <w:noWrap/>
            <w:vAlign w:val="center"/>
          </w:tcPr>
          <w:p w14:paraId="01410EFC">
            <w:pPr>
              <w:tabs>
                <w:tab w:val="clear" w:pos="480"/>
              </w:tabs>
              <w:spacing w:line="240" w:lineRule="auto"/>
              <w:ind w:firstLine="0" w:firstLineChars="0"/>
              <w:jc w:val="center"/>
              <w:rPr>
                <w:sz w:val="18"/>
                <w:szCs w:val="18"/>
              </w:rPr>
            </w:pPr>
            <w:r>
              <w:rPr>
                <w:rFonts w:hint="eastAsia"/>
                <w:sz w:val="18"/>
                <w:szCs w:val="18"/>
              </w:rPr>
              <w:t>1000</w:t>
            </w:r>
          </w:p>
        </w:tc>
        <w:tc>
          <w:tcPr>
            <w:tcW w:w="535" w:type="pct"/>
            <w:noWrap/>
            <w:vAlign w:val="center"/>
          </w:tcPr>
          <w:p w14:paraId="37E88C6D">
            <w:pPr>
              <w:tabs>
                <w:tab w:val="clear" w:pos="480"/>
              </w:tabs>
              <w:spacing w:line="240" w:lineRule="auto"/>
              <w:ind w:firstLine="0" w:firstLineChars="0"/>
              <w:jc w:val="center"/>
              <w:rPr>
                <w:sz w:val="18"/>
                <w:szCs w:val="18"/>
              </w:rPr>
            </w:pPr>
            <w:r>
              <w:rPr>
                <w:rFonts w:hint="eastAsia"/>
                <w:sz w:val="18"/>
                <w:szCs w:val="18"/>
              </w:rPr>
              <w:t>350</w:t>
            </w:r>
          </w:p>
        </w:tc>
        <w:tc>
          <w:tcPr>
            <w:tcW w:w="439" w:type="pct"/>
            <w:vMerge w:val="restart"/>
            <w:noWrap/>
            <w:vAlign w:val="center"/>
          </w:tcPr>
          <w:p w14:paraId="6F5FF1E2">
            <w:pPr>
              <w:tabs>
                <w:tab w:val="clear" w:pos="480"/>
              </w:tabs>
              <w:spacing w:line="240" w:lineRule="auto"/>
              <w:ind w:firstLine="0" w:firstLineChars="0"/>
              <w:jc w:val="center"/>
              <w:rPr>
                <w:sz w:val="18"/>
                <w:szCs w:val="18"/>
              </w:rPr>
            </w:pPr>
            <w:r>
              <w:rPr>
                <w:rFonts w:hint="eastAsia"/>
                <w:sz w:val="18"/>
                <w:szCs w:val="18"/>
              </w:rPr>
              <w:t>1300</w:t>
            </w:r>
          </w:p>
        </w:tc>
      </w:tr>
      <w:tr w14:paraId="0272CD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072BF776">
            <w:pPr>
              <w:tabs>
                <w:tab w:val="clear" w:pos="480"/>
              </w:tabs>
              <w:snapToGrid w:val="0"/>
              <w:spacing w:line="240" w:lineRule="auto"/>
              <w:ind w:firstLine="0" w:firstLineChars="0"/>
              <w:jc w:val="center"/>
              <w:rPr>
                <w:rFonts w:hAnsi="宋体" w:cs="宋体"/>
                <w:sz w:val="18"/>
                <w:szCs w:val="18"/>
              </w:rPr>
            </w:pPr>
          </w:p>
        </w:tc>
        <w:tc>
          <w:tcPr>
            <w:tcW w:w="305" w:type="pct"/>
            <w:vMerge w:val="continue"/>
            <w:noWrap/>
            <w:vAlign w:val="center"/>
          </w:tcPr>
          <w:p w14:paraId="3CC128A8">
            <w:pPr>
              <w:tabs>
                <w:tab w:val="clear" w:pos="480"/>
              </w:tabs>
              <w:snapToGrid w:val="0"/>
              <w:spacing w:line="240" w:lineRule="auto"/>
              <w:ind w:firstLine="0" w:firstLineChars="0"/>
              <w:jc w:val="center"/>
              <w:rPr>
                <w:rFonts w:hAnsi="宋体" w:cs="宋体"/>
                <w:sz w:val="18"/>
                <w:szCs w:val="18"/>
              </w:rPr>
            </w:pPr>
          </w:p>
        </w:tc>
        <w:tc>
          <w:tcPr>
            <w:tcW w:w="458" w:type="pct"/>
            <w:noWrap/>
            <w:vAlign w:val="center"/>
          </w:tcPr>
          <w:p w14:paraId="5941971C">
            <w:pPr>
              <w:tabs>
                <w:tab w:val="clear" w:pos="480"/>
              </w:tabs>
              <w:spacing w:line="240" w:lineRule="auto"/>
              <w:ind w:firstLine="0" w:firstLineChars="0"/>
              <w:jc w:val="center"/>
              <w:rPr>
                <w:sz w:val="18"/>
                <w:szCs w:val="18"/>
              </w:rPr>
            </w:pPr>
            <w:r>
              <w:rPr>
                <w:rFonts w:hint="eastAsia"/>
                <w:sz w:val="18"/>
                <w:szCs w:val="18"/>
              </w:rPr>
              <w:t>其他</w:t>
            </w:r>
          </w:p>
        </w:tc>
        <w:tc>
          <w:tcPr>
            <w:tcW w:w="458" w:type="pct"/>
            <w:noWrap/>
            <w:vAlign w:val="center"/>
          </w:tcPr>
          <w:p w14:paraId="444F0475">
            <w:pPr>
              <w:tabs>
                <w:tab w:val="clear" w:pos="480"/>
              </w:tabs>
              <w:spacing w:line="240" w:lineRule="auto"/>
              <w:ind w:firstLine="0" w:firstLineChars="0"/>
              <w:jc w:val="center"/>
              <w:rPr>
                <w:sz w:val="18"/>
                <w:szCs w:val="18"/>
              </w:rPr>
            </w:pPr>
            <w:r>
              <w:rPr>
                <w:rFonts w:hint="eastAsia"/>
                <w:sz w:val="18"/>
                <w:szCs w:val="18"/>
              </w:rPr>
              <w:t>150</w:t>
            </w:r>
          </w:p>
        </w:tc>
        <w:tc>
          <w:tcPr>
            <w:tcW w:w="457" w:type="pct"/>
            <w:vMerge w:val="continue"/>
            <w:noWrap/>
            <w:vAlign w:val="center"/>
          </w:tcPr>
          <w:p w14:paraId="266ADCF0">
            <w:pPr>
              <w:tabs>
                <w:tab w:val="clear" w:pos="480"/>
              </w:tabs>
              <w:spacing w:line="240" w:lineRule="auto"/>
              <w:ind w:firstLine="0" w:firstLineChars="0"/>
              <w:jc w:val="center"/>
              <w:rPr>
                <w:sz w:val="18"/>
                <w:szCs w:val="18"/>
              </w:rPr>
            </w:pPr>
          </w:p>
        </w:tc>
        <w:tc>
          <w:tcPr>
            <w:tcW w:w="459" w:type="pct"/>
            <w:noWrap/>
            <w:vAlign w:val="center"/>
          </w:tcPr>
          <w:p w14:paraId="6CAAB442">
            <w:pPr>
              <w:tabs>
                <w:tab w:val="clear" w:pos="480"/>
              </w:tabs>
              <w:spacing w:line="240" w:lineRule="auto"/>
              <w:ind w:firstLine="0" w:firstLineChars="0"/>
              <w:jc w:val="center"/>
              <w:rPr>
                <w:sz w:val="18"/>
                <w:szCs w:val="18"/>
              </w:rPr>
            </w:pPr>
            <w:r>
              <w:rPr>
                <w:rFonts w:hint="eastAsia"/>
                <w:sz w:val="18"/>
                <w:szCs w:val="18"/>
              </w:rPr>
              <w:t>150</w:t>
            </w:r>
          </w:p>
        </w:tc>
        <w:tc>
          <w:tcPr>
            <w:tcW w:w="457" w:type="pct"/>
            <w:vMerge w:val="continue"/>
            <w:noWrap/>
            <w:vAlign w:val="center"/>
          </w:tcPr>
          <w:p w14:paraId="6BD23658">
            <w:pPr>
              <w:tabs>
                <w:tab w:val="clear" w:pos="480"/>
              </w:tabs>
              <w:spacing w:line="240" w:lineRule="auto"/>
              <w:ind w:firstLine="0" w:firstLineChars="0"/>
              <w:jc w:val="center"/>
              <w:rPr>
                <w:sz w:val="18"/>
                <w:szCs w:val="18"/>
              </w:rPr>
            </w:pPr>
          </w:p>
        </w:tc>
        <w:tc>
          <w:tcPr>
            <w:tcW w:w="458" w:type="pct"/>
            <w:noWrap/>
            <w:vAlign w:val="center"/>
          </w:tcPr>
          <w:p w14:paraId="7A7BBD3C">
            <w:pPr>
              <w:tabs>
                <w:tab w:val="clear" w:pos="480"/>
              </w:tabs>
              <w:spacing w:line="240" w:lineRule="auto"/>
              <w:ind w:firstLine="0" w:firstLineChars="0"/>
              <w:jc w:val="center"/>
              <w:rPr>
                <w:sz w:val="18"/>
                <w:szCs w:val="18"/>
              </w:rPr>
            </w:pPr>
            <w:r>
              <w:rPr>
                <w:rFonts w:hint="eastAsia"/>
                <w:sz w:val="18"/>
                <w:szCs w:val="18"/>
              </w:rPr>
              <w:t>200</w:t>
            </w:r>
          </w:p>
        </w:tc>
        <w:tc>
          <w:tcPr>
            <w:tcW w:w="458" w:type="pct"/>
            <w:vMerge w:val="continue"/>
            <w:noWrap/>
            <w:vAlign w:val="center"/>
          </w:tcPr>
          <w:p w14:paraId="78179CF5">
            <w:pPr>
              <w:tabs>
                <w:tab w:val="clear" w:pos="480"/>
              </w:tabs>
              <w:spacing w:line="240" w:lineRule="auto"/>
              <w:ind w:firstLine="0" w:firstLineChars="0"/>
              <w:jc w:val="center"/>
              <w:rPr>
                <w:sz w:val="18"/>
                <w:szCs w:val="18"/>
              </w:rPr>
            </w:pPr>
          </w:p>
        </w:tc>
        <w:tc>
          <w:tcPr>
            <w:tcW w:w="535" w:type="pct"/>
            <w:noWrap/>
            <w:vAlign w:val="center"/>
          </w:tcPr>
          <w:p w14:paraId="3CED4E14">
            <w:pPr>
              <w:tabs>
                <w:tab w:val="clear" w:pos="480"/>
              </w:tabs>
              <w:spacing w:line="240" w:lineRule="auto"/>
              <w:ind w:firstLine="0" w:firstLineChars="0"/>
              <w:jc w:val="center"/>
              <w:rPr>
                <w:sz w:val="18"/>
                <w:szCs w:val="18"/>
              </w:rPr>
            </w:pPr>
            <w:r>
              <w:rPr>
                <w:rFonts w:hint="eastAsia"/>
                <w:sz w:val="18"/>
                <w:szCs w:val="18"/>
              </w:rPr>
              <w:t>250</w:t>
            </w:r>
          </w:p>
        </w:tc>
        <w:tc>
          <w:tcPr>
            <w:tcW w:w="439" w:type="pct"/>
            <w:vMerge w:val="continue"/>
            <w:noWrap/>
            <w:vAlign w:val="center"/>
          </w:tcPr>
          <w:p w14:paraId="76D91E78">
            <w:pPr>
              <w:tabs>
                <w:tab w:val="clear" w:pos="480"/>
              </w:tabs>
              <w:spacing w:line="240" w:lineRule="auto"/>
              <w:ind w:firstLine="0" w:firstLineChars="0"/>
              <w:jc w:val="center"/>
              <w:rPr>
                <w:sz w:val="18"/>
                <w:szCs w:val="18"/>
              </w:rPr>
            </w:pPr>
          </w:p>
        </w:tc>
      </w:tr>
      <w:tr w14:paraId="47571C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0936A459">
            <w:pPr>
              <w:tabs>
                <w:tab w:val="clear" w:pos="480"/>
              </w:tabs>
              <w:snapToGrid w:val="0"/>
              <w:spacing w:line="240" w:lineRule="auto"/>
              <w:ind w:firstLine="0" w:firstLineChars="0"/>
              <w:jc w:val="center"/>
              <w:rPr>
                <w:rFonts w:hAnsi="宋体" w:cs="宋体"/>
                <w:sz w:val="18"/>
                <w:szCs w:val="18"/>
              </w:rPr>
            </w:pPr>
          </w:p>
        </w:tc>
        <w:tc>
          <w:tcPr>
            <w:tcW w:w="305" w:type="pct"/>
            <w:vMerge w:val="restart"/>
            <w:noWrap/>
            <w:vAlign w:val="center"/>
          </w:tcPr>
          <w:p w14:paraId="104BB21E">
            <w:pPr>
              <w:tabs>
                <w:tab w:val="clear" w:pos="480"/>
              </w:tabs>
              <w:snapToGrid w:val="0"/>
              <w:spacing w:line="240" w:lineRule="auto"/>
              <w:ind w:firstLine="0" w:firstLineChars="0"/>
              <w:jc w:val="center"/>
              <w:rPr>
                <w:rFonts w:hAnsi="宋体" w:cs="宋体"/>
                <w:sz w:val="18"/>
                <w:szCs w:val="18"/>
              </w:rPr>
            </w:pPr>
            <w:r>
              <w:rPr>
                <w:rFonts w:cs="宋体"/>
                <w:sz w:val="18"/>
                <w:szCs w:val="18"/>
              </w:rPr>
              <w:t>铜</w:t>
            </w:r>
          </w:p>
        </w:tc>
        <w:tc>
          <w:tcPr>
            <w:tcW w:w="458" w:type="pct"/>
            <w:noWrap/>
            <w:vAlign w:val="center"/>
          </w:tcPr>
          <w:p w14:paraId="42FCF3D1">
            <w:pPr>
              <w:tabs>
                <w:tab w:val="clear" w:pos="480"/>
              </w:tabs>
              <w:spacing w:line="240" w:lineRule="auto"/>
              <w:ind w:firstLine="0" w:firstLineChars="0"/>
              <w:jc w:val="center"/>
              <w:rPr>
                <w:sz w:val="18"/>
                <w:szCs w:val="18"/>
              </w:rPr>
            </w:pPr>
            <w:r>
              <w:rPr>
                <w:rFonts w:hint="eastAsia"/>
                <w:sz w:val="18"/>
                <w:szCs w:val="18"/>
              </w:rPr>
              <w:t>果园</w:t>
            </w:r>
          </w:p>
        </w:tc>
        <w:tc>
          <w:tcPr>
            <w:tcW w:w="458" w:type="pct"/>
            <w:noWrap/>
            <w:vAlign w:val="center"/>
          </w:tcPr>
          <w:p w14:paraId="7D227C17">
            <w:pPr>
              <w:tabs>
                <w:tab w:val="clear" w:pos="480"/>
              </w:tabs>
              <w:spacing w:line="240" w:lineRule="auto"/>
              <w:ind w:firstLine="0" w:firstLineChars="0"/>
              <w:jc w:val="center"/>
              <w:rPr>
                <w:sz w:val="18"/>
                <w:szCs w:val="18"/>
              </w:rPr>
            </w:pPr>
            <w:r>
              <w:rPr>
                <w:rFonts w:hint="eastAsia"/>
                <w:sz w:val="18"/>
                <w:szCs w:val="18"/>
              </w:rPr>
              <w:t>150</w:t>
            </w:r>
          </w:p>
        </w:tc>
        <w:tc>
          <w:tcPr>
            <w:tcW w:w="457" w:type="pct"/>
            <w:vMerge w:val="restart"/>
            <w:noWrap/>
            <w:vAlign w:val="center"/>
          </w:tcPr>
          <w:p w14:paraId="2EFF7ABD">
            <w:pPr>
              <w:tabs>
                <w:tab w:val="clear" w:pos="480"/>
              </w:tabs>
              <w:spacing w:line="240" w:lineRule="auto"/>
              <w:ind w:firstLine="0" w:firstLineChars="0"/>
              <w:jc w:val="center"/>
              <w:rPr>
                <w:sz w:val="18"/>
                <w:szCs w:val="18"/>
              </w:rPr>
            </w:pPr>
            <w:r>
              <w:rPr>
                <w:rFonts w:hint="eastAsia"/>
                <w:sz w:val="18"/>
                <w:szCs w:val="18"/>
              </w:rPr>
              <w:t>/</w:t>
            </w:r>
          </w:p>
        </w:tc>
        <w:tc>
          <w:tcPr>
            <w:tcW w:w="459" w:type="pct"/>
            <w:noWrap/>
            <w:vAlign w:val="center"/>
          </w:tcPr>
          <w:p w14:paraId="1A146C38">
            <w:pPr>
              <w:tabs>
                <w:tab w:val="clear" w:pos="480"/>
              </w:tabs>
              <w:spacing w:line="240" w:lineRule="auto"/>
              <w:ind w:firstLine="0" w:firstLineChars="0"/>
              <w:jc w:val="center"/>
              <w:rPr>
                <w:sz w:val="18"/>
                <w:szCs w:val="18"/>
              </w:rPr>
            </w:pPr>
            <w:r>
              <w:rPr>
                <w:rFonts w:hint="eastAsia"/>
                <w:sz w:val="18"/>
                <w:szCs w:val="18"/>
              </w:rPr>
              <w:t>150</w:t>
            </w:r>
          </w:p>
        </w:tc>
        <w:tc>
          <w:tcPr>
            <w:tcW w:w="457" w:type="pct"/>
            <w:vMerge w:val="restart"/>
            <w:noWrap/>
            <w:vAlign w:val="center"/>
          </w:tcPr>
          <w:p w14:paraId="1C8865BB">
            <w:pPr>
              <w:tabs>
                <w:tab w:val="clear" w:pos="480"/>
              </w:tabs>
              <w:spacing w:line="240" w:lineRule="auto"/>
              <w:ind w:firstLine="0" w:firstLineChars="0"/>
              <w:jc w:val="center"/>
              <w:rPr>
                <w:sz w:val="18"/>
                <w:szCs w:val="18"/>
              </w:rPr>
            </w:pPr>
            <w:r>
              <w:rPr>
                <w:rFonts w:hint="eastAsia"/>
                <w:sz w:val="18"/>
                <w:szCs w:val="18"/>
              </w:rPr>
              <w:t>/</w:t>
            </w:r>
          </w:p>
        </w:tc>
        <w:tc>
          <w:tcPr>
            <w:tcW w:w="458" w:type="pct"/>
            <w:noWrap/>
            <w:vAlign w:val="center"/>
          </w:tcPr>
          <w:p w14:paraId="37B3720E">
            <w:pPr>
              <w:tabs>
                <w:tab w:val="clear" w:pos="480"/>
              </w:tabs>
              <w:spacing w:line="240" w:lineRule="auto"/>
              <w:ind w:firstLine="0" w:firstLineChars="0"/>
              <w:jc w:val="center"/>
              <w:rPr>
                <w:sz w:val="18"/>
                <w:szCs w:val="18"/>
              </w:rPr>
            </w:pPr>
            <w:r>
              <w:rPr>
                <w:rFonts w:hint="eastAsia"/>
                <w:sz w:val="18"/>
                <w:szCs w:val="18"/>
              </w:rPr>
              <w:t>200</w:t>
            </w:r>
          </w:p>
        </w:tc>
        <w:tc>
          <w:tcPr>
            <w:tcW w:w="458" w:type="pct"/>
            <w:vMerge w:val="restart"/>
            <w:noWrap/>
            <w:vAlign w:val="center"/>
          </w:tcPr>
          <w:p w14:paraId="7A2B429F">
            <w:pPr>
              <w:tabs>
                <w:tab w:val="clear" w:pos="480"/>
              </w:tabs>
              <w:spacing w:line="240" w:lineRule="auto"/>
              <w:ind w:firstLine="0" w:firstLineChars="0"/>
              <w:jc w:val="center"/>
              <w:rPr>
                <w:sz w:val="18"/>
                <w:szCs w:val="18"/>
              </w:rPr>
            </w:pPr>
            <w:r>
              <w:rPr>
                <w:rFonts w:hint="eastAsia"/>
                <w:sz w:val="18"/>
                <w:szCs w:val="18"/>
              </w:rPr>
              <w:t>/</w:t>
            </w:r>
          </w:p>
        </w:tc>
        <w:tc>
          <w:tcPr>
            <w:tcW w:w="535" w:type="pct"/>
            <w:noWrap/>
            <w:vAlign w:val="center"/>
          </w:tcPr>
          <w:p w14:paraId="68A7CF29">
            <w:pPr>
              <w:tabs>
                <w:tab w:val="clear" w:pos="480"/>
              </w:tabs>
              <w:spacing w:line="240" w:lineRule="auto"/>
              <w:ind w:firstLine="0" w:firstLineChars="0"/>
              <w:jc w:val="center"/>
              <w:rPr>
                <w:sz w:val="18"/>
                <w:szCs w:val="18"/>
              </w:rPr>
            </w:pPr>
            <w:r>
              <w:rPr>
                <w:rFonts w:hint="eastAsia"/>
                <w:sz w:val="18"/>
                <w:szCs w:val="18"/>
              </w:rPr>
              <w:t>200</w:t>
            </w:r>
          </w:p>
        </w:tc>
        <w:tc>
          <w:tcPr>
            <w:tcW w:w="439" w:type="pct"/>
            <w:vMerge w:val="restart"/>
            <w:noWrap/>
            <w:vAlign w:val="center"/>
          </w:tcPr>
          <w:p w14:paraId="08C34C69">
            <w:pPr>
              <w:tabs>
                <w:tab w:val="clear" w:pos="480"/>
              </w:tabs>
              <w:spacing w:line="240" w:lineRule="auto"/>
              <w:ind w:firstLine="0" w:firstLineChars="0"/>
              <w:jc w:val="center"/>
              <w:rPr>
                <w:sz w:val="18"/>
                <w:szCs w:val="18"/>
              </w:rPr>
            </w:pPr>
            <w:r>
              <w:rPr>
                <w:rFonts w:hint="eastAsia"/>
                <w:sz w:val="18"/>
                <w:szCs w:val="18"/>
              </w:rPr>
              <w:t>/</w:t>
            </w:r>
          </w:p>
        </w:tc>
      </w:tr>
      <w:tr w14:paraId="573C6A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73FDA68E">
            <w:pPr>
              <w:tabs>
                <w:tab w:val="clear" w:pos="480"/>
              </w:tabs>
              <w:snapToGrid w:val="0"/>
              <w:spacing w:line="240" w:lineRule="auto"/>
              <w:ind w:firstLine="0" w:firstLineChars="0"/>
              <w:jc w:val="center"/>
              <w:rPr>
                <w:rFonts w:hAnsi="宋体" w:cs="宋体"/>
                <w:sz w:val="18"/>
                <w:szCs w:val="18"/>
              </w:rPr>
            </w:pPr>
          </w:p>
        </w:tc>
        <w:tc>
          <w:tcPr>
            <w:tcW w:w="305" w:type="pct"/>
            <w:vMerge w:val="continue"/>
            <w:noWrap/>
            <w:vAlign w:val="center"/>
          </w:tcPr>
          <w:p w14:paraId="64EB9C74">
            <w:pPr>
              <w:tabs>
                <w:tab w:val="clear" w:pos="480"/>
              </w:tabs>
              <w:snapToGrid w:val="0"/>
              <w:spacing w:line="240" w:lineRule="auto"/>
              <w:ind w:firstLine="0" w:firstLineChars="0"/>
              <w:jc w:val="center"/>
              <w:rPr>
                <w:rFonts w:hAnsi="宋体" w:cs="宋体"/>
                <w:sz w:val="18"/>
                <w:szCs w:val="18"/>
              </w:rPr>
            </w:pPr>
          </w:p>
        </w:tc>
        <w:tc>
          <w:tcPr>
            <w:tcW w:w="458" w:type="pct"/>
            <w:noWrap/>
            <w:vAlign w:val="center"/>
          </w:tcPr>
          <w:p w14:paraId="3DDE0C8C">
            <w:pPr>
              <w:tabs>
                <w:tab w:val="clear" w:pos="480"/>
              </w:tabs>
              <w:spacing w:line="240" w:lineRule="auto"/>
              <w:ind w:firstLine="0" w:firstLineChars="0"/>
              <w:jc w:val="center"/>
              <w:rPr>
                <w:sz w:val="18"/>
                <w:szCs w:val="18"/>
              </w:rPr>
            </w:pPr>
            <w:r>
              <w:rPr>
                <w:rFonts w:hint="eastAsia"/>
                <w:sz w:val="18"/>
                <w:szCs w:val="18"/>
              </w:rPr>
              <w:t>其他</w:t>
            </w:r>
          </w:p>
        </w:tc>
        <w:tc>
          <w:tcPr>
            <w:tcW w:w="458" w:type="pct"/>
            <w:noWrap/>
            <w:vAlign w:val="center"/>
          </w:tcPr>
          <w:p w14:paraId="0A941ABF">
            <w:pPr>
              <w:tabs>
                <w:tab w:val="clear" w:pos="480"/>
              </w:tabs>
              <w:spacing w:line="240" w:lineRule="auto"/>
              <w:ind w:firstLine="0" w:firstLineChars="0"/>
              <w:jc w:val="center"/>
              <w:rPr>
                <w:sz w:val="18"/>
                <w:szCs w:val="18"/>
              </w:rPr>
            </w:pPr>
            <w:r>
              <w:rPr>
                <w:rFonts w:hint="eastAsia"/>
                <w:sz w:val="18"/>
                <w:szCs w:val="18"/>
              </w:rPr>
              <w:t>50</w:t>
            </w:r>
          </w:p>
        </w:tc>
        <w:tc>
          <w:tcPr>
            <w:tcW w:w="457" w:type="pct"/>
            <w:vMerge w:val="continue"/>
            <w:noWrap/>
            <w:vAlign w:val="center"/>
          </w:tcPr>
          <w:p w14:paraId="6ED2DA97">
            <w:pPr>
              <w:tabs>
                <w:tab w:val="clear" w:pos="480"/>
              </w:tabs>
              <w:spacing w:line="240" w:lineRule="auto"/>
              <w:ind w:firstLine="0" w:firstLineChars="0"/>
              <w:jc w:val="center"/>
              <w:rPr>
                <w:sz w:val="18"/>
                <w:szCs w:val="18"/>
              </w:rPr>
            </w:pPr>
          </w:p>
        </w:tc>
        <w:tc>
          <w:tcPr>
            <w:tcW w:w="459" w:type="pct"/>
            <w:noWrap/>
            <w:vAlign w:val="center"/>
          </w:tcPr>
          <w:p w14:paraId="2A18BE74">
            <w:pPr>
              <w:tabs>
                <w:tab w:val="clear" w:pos="480"/>
              </w:tabs>
              <w:spacing w:line="240" w:lineRule="auto"/>
              <w:ind w:firstLine="0" w:firstLineChars="0"/>
              <w:jc w:val="center"/>
              <w:rPr>
                <w:sz w:val="18"/>
                <w:szCs w:val="18"/>
              </w:rPr>
            </w:pPr>
            <w:r>
              <w:rPr>
                <w:rFonts w:hint="eastAsia"/>
                <w:sz w:val="18"/>
                <w:szCs w:val="18"/>
              </w:rPr>
              <w:t>50</w:t>
            </w:r>
          </w:p>
        </w:tc>
        <w:tc>
          <w:tcPr>
            <w:tcW w:w="457" w:type="pct"/>
            <w:vMerge w:val="continue"/>
            <w:noWrap/>
            <w:vAlign w:val="center"/>
          </w:tcPr>
          <w:p w14:paraId="124F3BB0">
            <w:pPr>
              <w:tabs>
                <w:tab w:val="clear" w:pos="480"/>
              </w:tabs>
              <w:spacing w:line="240" w:lineRule="auto"/>
              <w:ind w:firstLine="0" w:firstLineChars="0"/>
              <w:jc w:val="center"/>
              <w:rPr>
                <w:sz w:val="18"/>
                <w:szCs w:val="18"/>
              </w:rPr>
            </w:pPr>
          </w:p>
        </w:tc>
        <w:tc>
          <w:tcPr>
            <w:tcW w:w="458" w:type="pct"/>
            <w:noWrap/>
            <w:vAlign w:val="center"/>
          </w:tcPr>
          <w:p w14:paraId="04B196B9">
            <w:pPr>
              <w:tabs>
                <w:tab w:val="clear" w:pos="480"/>
              </w:tabs>
              <w:spacing w:line="240" w:lineRule="auto"/>
              <w:ind w:firstLine="0" w:firstLineChars="0"/>
              <w:jc w:val="center"/>
              <w:rPr>
                <w:sz w:val="18"/>
                <w:szCs w:val="18"/>
              </w:rPr>
            </w:pPr>
            <w:r>
              <w:rPr>
                <w:rFonts w:hint="eastAsia"/>
                <w:sz w:val="18"/>
                <w:szCs w:val="18"/>
              </w:rPr>
              <w:t>100</w:t>
            </w:r>
          </w:p>
        </w:tc>
        <w:tc>
          <w:tcPr>
            <w:tcW w:w="458" w:type="pct"/>
            <w:vMerge w:val="continue"/>
            <w:noWrap/>
            <w:vAlign w:val="center"/>
          </w:tcPr>
          <w:p w14:paraId="2BEFEB22">
            <w:pPr>
              <w:tabs>
                <w:tab w:val="clear" w:pos="480"/>
              </w:tabs>
              <w:spacing w:line="240" w:lineRule="auto"/>
              <w:ind w:firstLine="0" w:firstLineChars="0"/>
              <w:jc w:val="center"/>
              <w:rPr>
                <w:sz w:val="18"/>
                <w:szCs w:val="18"/>
              </w:rPr>
            </w:pPr>
          </w:p>
        </w:tc>
        <w:tc>
          <w:tcPr>
            <w:tcW w:w="535" w:type="pct"/>
            <w:noWrap/>
            <w:vAlign w:val="center"/>
          </w:tcPr>
          <w:p w14:paraId="2E1C4C79">
            <w:pPr>
              <w:tabs>
                <w:tab w:val="clear" w:pos="480"/>
              </w:tabs>
              <w:spacing w:line="240" w:lineRule="auto"/>
              <w:ind w:firstLine="0" w:firstLineChars="0"/>
              <w:jc w:val="center"/>
              <w:rPr>
                <w:sz w:val="18"/>
                <w:szCs w:val="18"/>
              </w:rPr>
            </w:pPr>
            <w:r>
              <w:rPr>
                <w:rFonts w:hint="eastAsia"/>
                <w:sz w:val="18"/>
                <w:szCs w:val="18"/>
              </w:rPr>
              <w:t>100</w:t>
            </w:r>
          </w:p>
        </w:tc>
        <w:tc>
          <w:tcPr>
            <w:tcW w:w="439" w:type="pct"/>
            <w:vMerge w:val="continue"/>
            <w:noWrap/>
            <w:vAlign w:val="center"/>
          </w:tcPr>
          <w:p w14:paraId="0EAE7EA0">
            <w:pPr>
              <w:tabs>
                <w:tab w:val="clear" w:pos="480"/>
              </w:tabs>
              <w:spacing w:line="240" w:lineRule="auto"/>
              <w:ind w:firstLine="0" w:firstLineChars="0"/>
              <w:jc w:val="center"/>
              <w:rPr>
                <w:sz w:val="18"/>
                <w:szCs w:val="18"/>
              </w:rPr>
            </w:pPr>
          </w:p>
        </w:tc>
      </w:tr>
      <w:tr w14:paraId="27091C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43C45CC8">
            <w:pPr>
              <w:tabs>
                <w:tab w:val="clear" w:pos="480"/>
              </w:tabs>
              <w:snapToGrid w:val="0"/>
              <w:spacing w:line="240" w:lineRule="auto"/>
              <w:ind w:firstLine="0" w:firstLineChars="0"/>
              <w:jc w:val="center"/>
              <w:rPr>
                <w:rFonts w:hAnsi="宋体" w:cs="宋体"/>
                <w:sz w:val="18"/>
                <w:szCs w:val="18"/>
              </w:rPr>
            </w:pPr>
          </w:p>
        </w:tc>
        <w:tc>
          <w:tcPr>
            <w:tcW w:w="764" w:type="pct"/>
            <w:gridSpan w:val="2"/>
            <w:noWrap/>
            <w:vAlign w:val="center"/>
          </w:tcPr>
          <w:p w14:paraId="5F284E74">
            <w:pPr>
              <w:tabs>
                <w:tab w:val="clear" w:pos="480"/>
              </w:tabs>
              <w:spacing w:line="240" w:lineRule="auto"/>
              <w:ind w:firstLine="0" w:firstLineChars="0"/>
              <w:jc w:val="center"/>
              <w:rPr>
                <w:sz w:val="18"/>
                <w:szCs w:val="18"/>
              </w:rPr>
            </w:pPr>
            <w:r>
              <w:rPr>
                <w:rFonts w:hint="eastAsia"/>
                <w:sz w:val="18"/>
                <w:szCs w:val="18"/>
              </w:rPr>
              <w:t>镍</w:t>
            </w:r>
          </w:p>
        </w:tc>
        <w:tc>
          <w:tcPr>
            <w:tcW w:w="458" w:type="pct"/>
            <w:noWrap/>
            <w:vAlign w:val="center"/>
          </w:tcPr>
          <w:p w14:paraId="2856A444">
            <w:pPr>
              <w:tabs>
                <w:tab w:val="clear" w:pos="480"/>
              </w:tabs>
              <w:spacing w:line="240" w:lineRule="auto"/>
              <w:ind w:firstLine="0" w:firstLineChars="0"/>
              <w:jc w:val="center"/>
              <w:rPr>
                <w:sz w:val="18"/>
                <w:szCs w:val="18"/>
              </w:rPr>
            </w:pPr>
            <w:r>
              <w:rPr>
                <w:rFonts w:hint="eastAsia"/>
                <w:sz w:val="18"/>
                <w:szCs w:val="18"/>
              </w:rPr>
              <w:t>60</w:t>
            </w:r>
          </w:p>
        </w:tc>
        <w:tc>
          <w:tcPr>
            <w:tcW w:w="457" w:type="pct"/>
            <w:noWrap/>
            <w:vAlign w:val="center"/>
          </w:tcPr>
          <w:p w14:paraId="1EE87C4D">
            <w:pPr>
              <w:tabs>
                <w:tab w:val="clear" w:pos="480"/>
              </w:tabs>
              <w:spacing w:line="240" w:lineRule="auto"/>
              <w:ind w:firstLine="0" w:firstLineChars="0"/>
              <w:jc w:val="center"/>
              <w:rPr>
                <w:sz w:val="18"/>
                <w:szCs w:val="18"/>
              </w:rPr>
            </w:pPr>
            <w:r>
              <w:rPr>
                <w:rFonts w:hint="eastAsia"/>
                <w:sz w:val="18"/>
                <w:szCs w:val="18"/>
              </w:rPr>
              <w:t>/</w:t>
            </w:r>
          </w:p>
        </w:tc>
        <w:tc>
          <w:tcPr>
            <w:tcW w:w="459" w:type="pct"/>
            <w:noWrap/>
            <w:vAlign w:val="center"/>
          </w:tcPr>
          <w:p w14:paraId="57F56745">
            <w:pPr>
              <w:tabs>
                <w:tab w:val="clear" w:pos="480"/>
              </w:tabs>
              <w:spacing w:line="240" w:lineRule="auto"/>
              <w:ind w:firstLine="0" w:firstLineChars="0"/>
              <w:jc w:val="center"/>
              <w:rPr>
                <w:sz w:val="18"/>
                <w:szCs w:val="18"/>
              </w:rPr>
            </w:pPr>
            <w:r>
              <w:rPr>
                <w:rFonts w:hint="eastAsia"/>
                <w:sz w:val="18"/>
                <w:szCs w:val="18"/>
              </w:rPr>
              <w:t>70</w:t>
            </w:r>
          </w:p>
        </w:tc>
        <w:tc>
          <w:tcPr>
            <w:tcW w:w="457" w:type="pct"/>
            <w:noWrap/>
            <w:vAlign w:val="center"/>
          </w:tcPr>
          <w:p w14:paraId="7C879EF9">
            <w:pPr>
              <w:tabs>
                <w:tab w:val="clear" w:pos="480"/>
              </w:tabs>
              <w:spacing w:line="240" w:lineRule="auto"/>
              <w:ind w:firstLine="0" w:firstLineChars="0"/>
              <w:jc w:val="center"/>
              <w:rPr>
                <w:sz w:val="18"/>
                <w:szCs w:val="18"/>
              </w:rPr>
            </w:pPr>
            <w:r>
              <w:rPr>
                <w:rFonts w:hint="eastAsia"/>
                <w:sz w:val="18"/>
                <w:szCs w:val="18"/>
              </w:rPr>
              <w:t>/</w:t>
            </w:r>
          </w:p>
        </w:tc>
        <w:tc>
          <w:tcPr>
            <w:tcW w:w="458" w:type="pct"/>
            <w:noWrap/>
            <w:vAlign w:val="center"/>
          </w:tcPr>
          <w:p w14:paraId="79EABFA6">
            <w:pPr>
              <w:tabs>
                <w:tab w:val="clear" w:pos="480"/>
              </w:tabs>
              <w:spacing w:line="240" w:lineRule="auto"/>
              <w:ind w:firstLine="0" w:firstLineChars="0"/>
              <w:jc w:val="center"/>
              <w:rPr>
                <w:sz w:val="18"/>
                <w:szCs w:val="18"/>
              </w:rPr>
            </w:pPr>
            <w:r>
              <w:rPr>
                <w:rFonts w:hint="eastAsia"/>
                <w:sz w:val="18"/>
                <w:szCs w:val="18"/>
              </w:rPr>
              <w:t>100</w:t>
            </w:r>
          </w:p>
        </w:tc>
        <w:tc>
          <w:tcPr>
            <w:tcW w:w="458" w:type="pct"/>
            <w:noWrap/>
            <w:vAlign w:val="center"/>
          </w:tcPr>
          <w:p w14:paraId="3DC7339F">
            <w:pPr>
              <w:tabs>
                <w:tab w:val="clear" w:pos="480"/>
              </w:tabs>
              <w:spacing w:line="240" w:lineRule="auto"/>
              <w:ind w:firstLine="0" w:firstLineChars="0"/>
              <w:jc w:val="center"/>
              <w:rPr>
                <w:sz w:val="18"/>
                <w:szCs w:val="18"/>
              </w:rPr>
            </w:pPr>
            <w:r>
              <w:rPr>
                <w:rFonts w:hint="eastAsia"/>
                <w:sz w:val="18"/>
                <w:szCs w:val="18"/>
              </w:rPr>
              <w:t>/</w:t>
            </w:r>
          </w:p>
        </w:tc>
        <w:tc>
          <w:tcPr>
            <w:tcW w:w="535" w:type="pct"/>
            <w:noWrap/>
            <w:vAlign w:val="center"/>
          </w:tcPr>
          <w:p w14:paraId="1E143F65">
            <w:pPr>
              <w:tabs>
                <w:tab w:val="clear" w:pos="480"/>
              </w:tabs>
              <w:spacing w:line="240" w:lineRule="auto"/>
              <w:ind w:firstLine="0" w:firstLineChars="0"/>
              <w:jc w:val="center"/>
              <w:rPr>
                <w:sz w:val="18"/>
                <w:szCs w:val="18"/>
              </w:rPr>
            </w:pPr>
            <w:r>
              <w:rPr>
                <w:rFonts w:hint="eastAsia"/>
                <w:sz w:val="18"/>
                <w:szCs w:val="18"/>
              </w:rPr>
              <w:t>190</w:t>
            </w:r>
          </w:p>
        </w:tc>
        <w:tc>
          <w:tcPr>
            <w:tcW w:w="439" w:type="pct"/>
            <w:noWrap/>
            <w:vAlign w:val="center"/>
          </w:tcPr>
          <w:p w14:paraId="09D0B6FF">
            <w:pPr>
              <w:tabs>
                <w:tab w:val="clear" w:pos="480"/>
              </w:tabs>
              <w:spacing w:line="240" w:lineRule="auto"/>
              <w:ind w:firstLine="0" w:firstLineChars="0"/>
              <w:jc w:val="center"/>
              <w:rPr>
                <w:sz w:val="18"/>
                <w:szCs w:val="18"/>
              </w:rPr>
            </w:pPr>
            <w:r>
              <w:rPr>
                <w:rFonts w:hint="eastAsia"/>
                <w:sz w:val="18"/>
                <w:szCs w:val="18"/>
              </w:rPr>
              <w:t>/</w:t>
            </w:r>
          </w:p>
        </w:tc>
      </w:tr>
      <w:tr w14:paraId="6F445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5" w:type="pct"/>
            <w:vMerge w:val="continue"/>
            <w:noWrap/>
            <w:vAlign w:val="center"/>
          </w:tcPr>
          <w:p w14:paraId="2385AFCF">
            <w:pPr>
              <w:tabs>
                <w:tab w:val="clear" w:pos="480"/>
              </w:tabs>
              <w:snapToGrid w:val="0"/>
              <w:spacing w:line="240" w:lineRule="auto"/>
              <w:ind w:firstLine="0" w:firstLineChars="0"/>
              <w:jc w:val="center"/>
              <w:rPr>
                <w:rFonts w:hAnsi="宋体" w:cs="宋体"/>
                <w:sz w:val="18"/>
                <w:szCs w:val="18"/>
              </w:rPr>
            </w:pPr>
          </w:p>
        </w:tc>
        <w:tc>
          <w:tcPr>
            <w:tcW w:w="764" w:type="pct"/>
            <w:gridSpan w:val="2"/>
            <w:noWrap/>
            <w:vAlign w:val="center"/>
          </w:tcPr>
          <w:p w14:paraId="5AB65B8F">
            <w:pPr>
              <w:tabs>
                <w:tab w:val="clear" w:pos="480"/>
              </w:tabs>
              <w:spacing w:line="240" w:lineRule="auto"/>
              <w:ind w:firstLine="0" w:firstLineChars="0"/>
              <w:jc w:val="center"/>
              <w:rPr>
                <w:sz w:val="18"/>
                <w:szCs w:val="18"/>
              </w:rPr>
            </w:pPr>
            <w:r>
              <w:rPr>
                <w:sz w:val="18"/>
                <w:szCs w:val="18"/>
              </w:rPr>
              <w:t>锌</w:t>
            </w:r>
          </w:p>
        </w:tc>
        <w:tc>
          <w:tcPr>
            <w:tcW w:w="458" w:type="pct"/>
            <w:noWrap/>
            <w:vAlign w:val="center"/>
          </w:tcPr>
          <w:p w14:paraId="20E3621B">
            <w:pPr>
              <w:tabs>
                <w:tab w:val="clear" w:pos="480"/>
              </w:tabs>
              <w:spacing w:line="240" w:lineRule="auto"/>
              <w:ind w:firstLine="0" w:firstLineChars="0"/>
              <w:jc w:val="center"/>
              <w:rPr>
                <w:sz w:val="18"/>
                <w:szCs w:val="18"/>
              </w:rPr>
            </w:pPr>
            <w:r>
              <w:rPr>
                <w:rFonts w:hint="eastAsia"/>
                <w:sz w:val="18"/>
                <w:szCs w:val="18"/>
              </w:rPr>
              <w:t>200</w:t>
            </w:r>
          </w:p>
        </w:tc>
        <w:tc>
          <w:tcPr>
            <w:tcW w:w="457" w:type="pct"/>
            <w:noWrap/>
            <w:vAlign w:val="center"/>
          </w:tcPr>
          <w:p w14:paraId="4E376187">
            <w:pPr>
              <w:tabs>
                <w:tab w:val="clear" w:pos="480"/>
              </w:tabs>
              <w:spacing w:line="240" w:lineRule="auto"/>
              <w:ind w:firstLine="0" w:firstLineChars="0"/>
              <w:jc w:val="center"/>
              <w:rPr>
                <w:sz w:val="18"/>
                <w:szCs w:val="18"/>
              </w:rPr>
            </w:pPr>
            <w:r>
              <w:rPr>
                <w:rFonts w:hint="eastAsia"/>
                <w:sz w:val="18"/>
                <w:szCs w:val="18"/>
              </w:rPr>
              <w:t>/</w:t>
            </w:r>
          </w:p>
        </w:tc>
        <w:tc>
          <w:tcPr>
            <w:tcW w:w="459" w:type="pct"/>
            <w:noWrap/>
            <w:vAlign w:val="center"/>
          </w:tcPr>
          <w:p w14:paraId="3DA548F7">
            <w:pPr>
              <w:tabs>
                <w:tab w:val="clear" w:pos="480"/>
              </w:tabs>
              <w:spacing w:line="240" w:lineRule="auto"/>
              <w:ind w:firstLine="0" w:firstLineChars="0"/>
              <w:jc w:val="center"/>
              <w:rPr>
                <w:sz w:val="18"/>
                <w:szCs w:val="18"/>
              </w:rPr>
            </w:pPr>
            <w:r>
              <w:rPr>
                <w:rFonts w:hint="eastAsia"/>
                <w:sz w:val="18"/>
                <w:szCs w:val="18"/>
              </w:rPr>
              <w:t>200</w:t>
            </w:r>
          </w:p>
        </w:tc>
        <w:tc>
          <w:tcPr>
            <w:tcW w:w="457" w:type="pct"/>
            <w:noWrap/>
            <w:vAlign w:val="center"/>
          </w:tcPr>
          <w:p w14:paraId="08ED0C2B">
            <w:pPr>
              <w:tabs>
                <w:tab w:val="clear" w:pos="480"/>
              </w:tabs>
              <w:spacing w:line="240" w:lineRule="auto"/>
              <w:ind w:firstLine="0" w:firstLineChars="0"/>
              <w:jc w:val="center"/>
              <w:rPr>
                <w:sz w:val="18"/>
                <w:szCs w:val="18"/>
              </w:rPr>
            </w:pPr>
            <w:r>
              <w:rPr>
                <w:rFonts w:hint="eastAsia"/>
                <w:sz w:val="18"/>
                <w:szCs w:val="18"/>
              </w:rPr>
              <w:t>/</w:t>
            </w:r>
          </w:p>
        </w:tc>
        <w:tc>
          <w:tcPr>
            <w:tcW w:w="458" w:type="pct"/>
            <w:noWrap/>
            <w:vAlign w:val="center"/>
          </w:tcPr>
          <w:p w14:paraId="08F87855">
            <w:pPr>
              <w:tabs>
                <w:tab w:val="clear" w:pos="480"/>
              </w:tabs>
              <w:spacing w:line="240" w:lineRule="auto"/>
              <w:ind w:firstLine="0" w:firstLineChars="0"/>
              <w:jc w:val="center"/>
              <w:rPr>
                <w:sz w:val="18"/>
                <w:szCs w:val="18"/>
              </w:rPr>
            </w:pPr>
            <w:r>
              <w:rPr>
                <w:rFonts w:hint="eastAsia"/>
                <w:sz w:val="18"/>
                <w:szCs w:val="18"/>
              </w:rPr>
              <w:t>250</w:t>
            </w:r>
          </w:p>
        </w:tc>
        <w:tc>
          <w:tcPr>
            <w:tcW w:w="458" w:type="pct"/>
            <w:noWrap/>
            <w:vAlign w:val="center"/>
          </w:tcPr>
          <w:p w14:paraId="3F2D1CE3">
            <w:pPr>
              <w:tabs>
                <w:tab w:val="clear" w:pos="480"/>
              </w:tabs>
              <w:spacing w:line="240" w:lineRule="auto"/>
              <w:ind w:firstLine="0" w:firstLineChars="0"/>
              <w:jc w:val="center"/>
              <w:rPr>
                <w:sz w:val="18"/>
                <w:szCs w:val="18"/>
              </w:rPr>
            </w:pPr>
            <w:r>
              <w:rPr>
                <w:rFonts w:hint="eastAsia"/>
                <w:sz w:val="18"/>
                <w:szCs w:val="18"/>
              </w:rPr>
              <w:t>/</w:t>
            </w:r>
          </w:p>
        </w:tc>
        <w:tc>
          <w:tcPr>
            <w:tcW w:w="535" w:type="pct"/>
            <w:noWrap/>
            <w:vAlign w:val="center"/>
          </w:tcPr>
          <w:p w14:paraId="40B9F94C">
            <w:pPr>
              <w:tabs>
                <w:tab w:val="clear" w:pos="480"/>
              </w:tabs>
              <w:spacing w:line="240" w:lineRule="auto"/>
              <w:ind w:firstLine="0" w:firstLineChars="0"/>
              <w:jc w:val="center"/>
              <w:rPr>
                <w:sz w:val="18"/>
                <w:szCs w:val="18"/>
              </w:rPr>
            </w:pPr>
            <w:r>
              <w:rPr>
                <w:rFonts w:hint="eastAsia"/>
                <w:sz w:val="18"/>
                <w:szCs w:val="18"/>
              </w:rPr>
              <w:t>300</w:t>
            </w:r>
          </w:p>
        </w:tc>
        <w:tc>
          <w:tcPr>
            <w:tcW w:w="439" w:type="pct"/>
            <w:noWrap/>
            <w:vAlign w:val="center"/>
          </w:tcPr>
          <w:p w14:paraId="399DA15E">
            <w:pPr>
              <w:tabs>
                <w:tab w:val="clear" w:pos="480"/>
              </w:tabs>
              <w:spacing w:line="240" w:lineRule="auto"/>
              <w:ind w:firstLine="0" w:firstLineChars="0"/>
              <w:jc w:val="center"/>
              <w:rPr>
                <w:sz w:val="18"/>
                <w:szCs w:val="18"/>
              </w:rPr>
            </w:pPr>
            <w:r>
              <w:rPr>
                <w:rFonts w:hint="eastAsia"/>
                <w:sz w:val="18"/>
                <w:szCs w:val="18"/>
              </w:rPr>
              <w:t>/</w:t>
            </w:r>
          </w:p>
        </w:tc>
      </w:tr>
    </w:tbl>
    <w:p w14:paraId="2B7B4119">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.4.2</w:t>
      </w:r>
      <w:r>
        <w:rPr>
          <w:rFonts w:hint="eastAsia" w:ascii="Times New Roman" w:eastAsia="宋体"/>
          <w:sz w:val="28"/>
          <w:szCs w:val="28"/>
          <w:lang w:val="en-US"/>
        </w:rPr>
        <w:t>污染物排放标准</w:t>
      </w:r>
    </w:p>
    <w:p w14:paraId="327D21B1">
      <w:pPr>
        <w:adjustRightInd w:val="0"/>
        <w:snapToGrid w:val="0"/>
        <w:ind w:firstLine="480"/>
      </w:pPr>
      <w:r>
        <w:rPr>
          <w:rFonts w:hint="eastAsia"/>
        </w:rPr>
        <w:t>（1）</w:t>
      </w:r>
      <w:r>
        <w:t>废水：</w:t>
      </w:r>
      <w:bookmarkStart w:id="45" w:name="_Hlk116116219"/>
      <w:r>
        <w:rPr>
          <w:rFonts w:hint="eastAsia"/>
        </w:rPr>
        <w:t>处理达标后用于升压站周边绿化，执行《污水综合排放标准》（G</w:t>
      </w:r>
      <w:r>
        <w:t>B8978-1996</w:t>
      </w:r>
      <w:r>
        <w:rPr>
          <w:rFonts w:hint="eastAsia"/>
        </w:rPr>
        <w:t>）表4中“一级”标准。</w:t>
      </w:r>
    </w:p>
    <w:bookmarkEnd w:id="45"/>
    <w:p w14:paraId="05825354">
      <w:pPr>
        <w:adjustRightInd w:val="0"/>
        <w:snapToGrid w:val="0"/>
        <w:ind w:firstLine="480"/>
      </w:pPr>
      <w:r>
        <w:rPr>
          <w:rFonts w:hint="eastAsia"/>
        </w:rPr>
        <w:t>（2）</w:t>
      </w:r>
      <w:r>
        <w:t>废气：</w:t>
      </w:r>
      <w:bookmarkStart w:id="46" w:name="_Hlk116116156"/>
      <w:r>
        <w:t>废气执行《大气污染物综合排放标准》（GB16297-1996）</w:t>
      </w:r>
      <w:r>
        <w:rPr>
          <w:rFonts w:hint="eastAsia"/>
        </w:rPr>
        <w:t>二级标准及无组织排放监控浓度限值</w:t>
      </w:r>
      <w:r>
        <w:t>；营运期</w:t>
      </w:r>
      <w:r>
        <w:rPr>
          <w:rFonts w:hint="eastAsia"/>
        </w:rPr>
        <w:t>食堂油烟</w:t>
      </w:r>
      <w:r>
        <w:t>执行《</w:t>
      </w:r>
      <w:r>
        <w:rPr>
          <w:rFonts w:hint="eastAsia"/>
        </w:rPr>
        <w:t>饮食业油烟排放标准</w:t>
      </w:r>
      <w:r>
        <w:t>》（GB18483-2001）中标准</w:t>
      </w:r>
      <w:r>
        <w:rPr>
          <w:rFonts w:hint="eastAsia"/>
        </w:rPr>
        <w:t>要求。</w:t>
      </w:r>
    </w:p>
    <w:bookmarkEnd w:id="46"/>
    <w:p w14:paraId="73C370B0">
      <w:pPr>
        <w:adjustRightInd w:val="0"/>
        <w:snapToGrid w:val="0"/>
        <w:ind w:firstLine="480"/>
      </w:pPr>
      <w:r>
        <w:rPr>
          <w:rFonts w:hint="eastAsia"/>
        </w:rPr>
        <w:t>（3）</w:t>
      </w:r>
      <w:r>
        <w:t>噪声：施工期执行《建筑施工场界环境噪声排放标准》（GB12523-2011）；</w:t>
      </w:r>
      <w:bookmarkStart w:id="47" w:name="_Hlk116116342"/>
      <w:r>
        <w:t>营运期</w:t>
      </w:r>
      <w:r>
        <w:rPr>
          <w:rFonts w:hint="eastAsia"/>
        </w:rPr>
        <w:t>升压站</w:t>
      </w:r>
      <w:r>
        <w:t>执行《工业企业厂界环境噪声排放标准》（GB12348-2008）中2类标准</w:t>
      </w:r>
      <w:r>
        <w:rPr>
          <w:rFonts w:hint="eastAsia"/>
        </w:rPr>
        <w:t>。</w:t>
      </w:r>
      <w:bookmarkEnd w:id="47"/>
    </w:p>
    <w:p w14:paraId="2BC71277">
      <w:pPr>
        <w:adjustRightInd w:val="0"/>
        <w:snapToGrid w:val="0"/>
        <w:spacing w:line="240" w:lineRule="auto"/>
        <w:ind w:firstLine="0" w:firstLineChars="0"/>
        <w:jc w:val="center"/>
        <w:rPr>
          <w:b/>
          <w:bCs/>
        </w:rPr>
      </w:pPr>
      <w:r>
        <w:rPr>
          <w:rFonts w:hint="eastAsia"/>
          <w:b/>
          <w:bCs/>
        </w:rPr>
        <w:t>表</w:t>
      </w:r>
      <w:r>
        <w:rPr>
          <w:b/>
          <w:bCs/>
        </w:rPr>
        <w:t>2.4</w:t>
      </w:r>
      <w:r>
        <w:rPr>
          <w:rFonts w:hint="eastAsia"/>
          <w:b/>
          <w:bCs/>
        </w:rPr>
        <w:t>-</w:t>
      </w:r>
      <w:r>
        <w:rPr>
          <w:b/>
          <w:bCs/>
        </w:rPr>
        <w:t>4</w:t>
      </w:r>
      <w:r>
        <w:rPr>
          <w:rFonts w:hint="eastAsia"/>
          <w:b/>
          <w:bCs/>
        </w:rPr>
        <w:t>污染物排放及控制标准</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50"/>
        <w:gridCol w:w="839"/>
        <w:gridCol w:w="2536"/>
        <w:gridCol w:w="1508"/>
        <w:gridCol w:w="837"/>
        <w:gridCol w:w="875"/>
        <w:gridCol w:w="1182"/>
      </w:tblGrid>
      <w:tr w14:paraId="424F0D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restart"/>
            <w:tcBorders>
              <w:tl2br w:val="nil"/>
              <w:tr2bl w:val="nil"/>
            </w:tcBorders>
            <w:vAlign w:val="center"/>
          </w:tcPr>
          <w:p w14:paraId="0F1C22E5">
            <w:pPr>
              <w:adjustRightInd w:val="0"/>
              <w:snapToGrid w:val="0"/>
              <w:spacing w:line="240" w:lineRule="auto"/>
              <w:ind w:firstLine="0" w:firstLineChars="0"/>
              <w:jc w:val="center"/>
              <w:rPr>
                <w:bCs/>
                <w:sz w:val="18"/>
                <w:szCs w:val="18"/>
              </w:rPr>
            </w:pPr>
            <w:r>
              <w:rPr>
                <w:bCs/>
                <w:sz w:val="18"/>
                <w:szCs w:val="18"/>
              </w:rPr>
              <w:t>要素</w:t>
            </w:r>
          </w:p>
          <w:p w14:paraId="45735F7E">
            <w:pPr>
              <w:adjustRightInd w:val="0"/>
              <w:snapToGrid w:val="0"/>
              <w:spacing w:line="240" w:lineRule="auto"/>
              <w:ind w:firstLine="0" w:firstLineChars="0"/>
              <w:jc w:val="center"/>
              <w:rPr>
                <w:bCs/>
                <w:sz w:val="18"/>
                <w:szCs w:val="18"/>
              </w:rPr>
            </w:pPr>
            <w:r>
              <w:rPr>
                <w:bCs/>
                <w:sz w:val="18"/>
                <w:szCs w:val="18"/>
              </w:rPr>
              <w:t>分类</w:t>
            </w:r>
          </w:p>
        </w:tc>
        <w:tc>
          <w:tcPr>
            <w:tcW w:w="492" w:type="pct"/>
            <w:vMerge w:val="restart"/>
            <w:tcBorders>
              <w:tl2br w:val="nil"/>
              <w:tr2bl w:val="nil"/>
            </w:tcBorders>
            <w:vAlign w:val="center"/>
          </w:tcPr>
          <w:p w14:paraId="7623365E">
            <w:pPr>
              <w:adjustRightInd w:val="0"/>
              <w:snapToGrid w:val="0"/>
              <w:spacing w:line="240" w:lineRule="auto"/>
              <w:ind w:firstLine="0" w:firstLineChars="0"/>
              <w:jc w:val="center"/>
              <w:rPr>
                <w:bCs/>
                <w:sz w:val="18"/>
                <w:szCs w:val="18"/>
              </w:rPr>
            </w:pPr>
            <w:r>
              <w:rPr>
                <w:bCs/>
                <w:sz w:val="18"/>
                <w:szCs w:val="18"/>
              </w:rPr>
              <w:t>评价时段</w:t>
            </w:r>
          </w:p>
        </w:tc>
        <w:tc>
          <w:tcPr>
            <w:tcW w:w="1487" w:type="pct"/>
            <w:vMerge w:val="restart"/>
            <w:tcBorders>
              <w:tl2br w:val="nil"/>
              <w:tr2bl w:val="nil"/>
            </w:tcBorders>
            <w:vAlign w:val="center"/>
          </w:tcPr>
          <w:p w14:paraId="3FE9ACEF">
            <w:pPr>
              <w:adjustRightInd w:val="0"/>
              <w:snapToGrid w:val="0"/>
              <w:spacing w:line="240" w:lineRule="auto"/>
              <w:ind w:firstLine="0" w:firstLineChars="0"/>
              <w:jc w:val="center"/>
              <w:rPr>
                <w:bCs/>
                <w:sz w:val="18"/>
                <w:szCs w:val="18"/>
              </w:rPr>
            </w:pPr>
            <w:r>
              <w:rPr>
                <w:bCs/>
                <w:sz w:val="18"/>
                <w:szCs w:val="18"/>
              </w:rPr>
              <w:t>标准名称</w:t>
            </w:r>
          </w:p>
        </w:tc>
        <w:tc>
          <w:tcPr>
            <w:tcW w:w="884" w:type="pct"/>
            <w:vMerge w:val="restart"/>
            <w:tcBorders>
              <w:tl2br w:val="nil"/>
              <w:tr2bl w:val="nil"/>
            </w:tcBorders>
            <w:vAlign w:val="center"/>
          </w:tcPr>
          <w:p w14:paraId="029C1F2D">
            <w:pPr>
              <w:adjustRightInd w:val="0"/>
              <w:snapToGrid w:val="0"/>
              <w:spacing w:line="240" w:lineRule="auto"/>
              <w:ind w:firstLine="0" w:firstLineChars="0"/>
              <w:jc w:val="center"/>
              <w:rPr>
                <w:bCs/>
                <w:sz w:val="18"/>
                <w:szCs w:val="18"/>
              </w:rPr>
            </w:pPr>
            <w:r>
              <w:rPr>
                <w:bCs/>
                <w:sz w:val="18"/>
                <w:szCs w:val="18"/>
              </w:rPr>
              <w:t>类别</w:t>
            </w:r>
          </w:p>
        </w:tc>
        <w:tc>
          <w:tcPr>
            <w:tcW w:w="1697" w:type="pct"/>
            <w:gridSpan w:val="3"/>
            <w:tcBorders>
              <w:tl2br w:val="nil"/>
              <w:tr2bl w:val="nil"/>
            </w:tcBorders>
            <w:vAlign w:val="center"/>
          </w:tcPr>
          <w:p w14:paraId="3A64A65D">
            <w:pPr>
              <w:adjustRightInd w:val="0"/>
              <w:snapToGrid w:val="0"/>
              <w:spacing w:line="240" w:lineRule="auto"/>
              <w:ind w:firstLine="0" w:firstLineChars="0"/>
              <w:jc w:val="center"/>
              <w:rPr>
                <w:bCs/>
                <w:sz w:val="18"/>
                <w:szCs w:val="18"/>
              </w:rPr>
            </w:pPr>
            <w:r>
              <w:rPr>
                <w:bCs/>
                <w:sz w:val="18"/>
                <w:szCs w:val="18"/>
              </w:rPr>
              <w:t>标准限值</w:t>
            </w:r>
          </w:p>
        </w:tc>
      </w:tr>
      <w:tr w14:paraId="536864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6DBD8FA5">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1C3C9CE3">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5C5B7253">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3B3DCD65">
            <w:pPr>
              <w:adjustRightInd w:val="0"/>
              <w:snapToGrid w:val="0"/>
              <w:spacing w:line="240" w:lineRule="auto"/>
              <w:ind w:firstLine="0" w:firstLineChars="0"/>
              <w:jc w:val="center"/>
              <w:rPr>
                <w:bCs/>
                <w:sz w:val="18"/>
                <w:szCs w:val="18"/>
              </w:rPr>
            </w:pPr>
          </w:p>
        </w:tc>
        <w:tc>
          <w:tcPr>
            <w:tcW w:w="1004" w:type="pct"/>
            <w:gridSpan w:val="2"/>
            <w:tcBorders>
              <w:tl2br w:val="nil"/>
              <w:tr2bl w:val="nil"/>
            </w:tcBorders>
            <w:vAlign w:val="center"/>
          </w:tcPr>
          <w:p w14:paraId="4CFD5D1A">
            <w:pPr>
              <w:adjustRightInd w:val="0"/>
              <w:snapToGrid w:val="0"/>
              <w:spacing w:line="240" w:lineRule="auto"/>
              <w:ind w:firstLine="0" w:firstLineChars="0"/>
              <w:jc w:val="center"/>
              <w:rPr>
                <w:bCs/>
                <w:sz w:val="18"/>
                <w:szCs w:val="18"/>
              </w:rPr>
            </w:pPr>
            <w:r>
              <w:rPr>
                <w:bCs/>
                <w:sz w:val="18"/>
                <w:szCs w:val="18"/>
              </w:rPr>
              <w:t>参数名称</w:t>
            </w:r>
          </w:p>
        </w:tc>
        <w:tc>
          <w:tcPr>
            <w:tcW w:w="693" w:type="pct"/>
            <w:tcBorders>
              <w:tl2br w:val="nil"/>
              <w:tr2bl w:val="nil"/>
            </w:tcBorders>
            <w:vAlign w:val="center"/>
          </w:tcPr>
          <w:p w14:paraId="2EE99E3D">
            <w:pPr>
              <w:adjustRightInd w:val="0"/>
              <w:snapToGrid w:val="0"/>
              <w:spacing w:line="240" w:lineRule="auto"/>
              <w:ind w:firstLine="0" w:firstLineChars="0"/>
              <w:jc w:val="center"/>
              <w:rPr>
                <w:bCs/>
                <w:sz w:val="18"/>
                <w:szCs w:val="18"/>
              </w:rPr>
            </w:pPr>
            <w:r>
              <w:rPr>
                <w:bCs/>
                <w:sz w:val="18"/>
                <w:szCs w:val="18"/>
              </w:rPr>
              <w:t>限值</w:t>
            </w:r>
          </w:p>
        </w:tc>
      </w:tr>
      <w:tr w14:paraId="02E17E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restart"/>
            <w:tcBorders>
              <w:tl2br w:val="nil"/>
              <w:tr2bl w:val="nil"/>
            </w:tcBorders>
            <w:vAlign w:val="center"/>
          </w:tcPr>
          <w:p w14:paraId="66DCA527">
            <w:pPr>
              <w:adjustRightInd w:val="0"/>
              <w:snapToGrid w:val="0"/>
              <w:spacing w:line="240" w:lineRule="auto"/>
              <w:ind w:firstLine="0" w:firstLineChars="0"/>
              <w:jc w:val="center"/>
              <w:rPr>
                <w:bCs/>
                <w:sz w:val="18"/>
                <w:szCs w:val="18"/>
              </w:rPr>
            </w:pPr>
            <w:r>
              <w:rPr>
                <w:rFonts w:hint="eastAsia"/>
                <w:bCs/>
                <w:sz w:val="18"/>
                <w:szCs w:val="18"/>
              </w:rPr>
              <w:t>废水</w:t>
            </w:r>
          </w:p>
        </w:tc>
        <w:tc>
          <w:tcPr>
            <w:tcW w:w="492" w:type="pct"/>
            <w:vMerge w:val="restart"/>
            <w:tcBorders>
              <w:tl2br w:val="nil"/>
              <w:tr2bl w:val="nil"/>
            </w:tcBorders>
            <w:vAlign w:val="center"/>
          </w:tcPr>
          <w:p w14:paraId="39B8B870">
            <w:pPr>
              <w:adjustRightInd w:val="0"/>
              <w:snapToGrid w:val="0"/>
              <w:spacing w:line="240" w:lineRule="auto"/>
              <w:ind w:firstLine="0" w:firstLineChars="0"/>
              <w:jc w:val="center"/>
              <w:rPr>
                <w:bCs/>
                <w:sz w:val="18"/>
                <w:szCs w:val="18"/>
              </w:rPr>
            </w:pPr>
            <w:r>
              <w:rPr>
                <w:rFonts w:hint="eastAsia"/>
                <w:bCs/>
                <w:sz w:val="18"/>
                <w:szCs w:val="18"/>
              </w:rPr>
              <w:t>运营期</w:t>
            </w:r>
          </w:p>
        </w:tc>
        <w:tc>
          <w:tcPr>
            <w:tcW w:w="1487" w:type="pct"/>
            <w:vMerge w:val="restart"/>
            <w:tcBorders>
              <w:tl2br w:val="nil"/>
              <w:tr2bl w:val="nil"/>
            </w:tcBorders>
            <w:vAlign w:val="center"/>
          </w:tcPr>
          <w:p w14:paraId="7E887068">
            <w:pPr>
              <w:adjustRightInd w:val="0"/>
              <w:snapToGrid w:val="0"/>
              <w:spacing w:line="240" w:lineRule="auto"/>
              <w:ind w:firstLine="0" w:firstLineChars="0"/>
              <w:jc w:val="center"/>
              <w:rPr>
                <w:bCs/>
                <w:sz w:val="18"/>
                <w:szCs w:val="18"/>
              </w:rPr>
            </w:pPr>
            <w:r>
              <w:rPr>
                <w:rFonts w:hint="eastAsia"/>
                <w:bCs/>
                <w:sz w:val="18"/>
                <w:szCs w:val="18"/>
              </w:rPr>
              <w:t>《污水综合排放标准》（G</w:t>
            </w:r>
            <w:r>
              <w:rPr>
                <w:bCs/>
                <w:sz w:val="18"/>
                <w:szCs w:val="18"/>
              </w:rPr>
              <w:t>B8978-1996</w:t>
            </w:r>
            <w:r>
              <w:rPr>
                <w:rFonts w:hint="eastAsia"/>
                <w:bCs/>
                <w:sz w:val="18"/>
                <w:szCs w:val="18"/>
              </w:rPr>
              <w:t>）表4中</w:t>
            </w:r>
          </w:p>
        </w:tc>
        <w:tc>
          <w:tcPr>
            <w:tcW w:w="884" w:type="pct"/>
            <w:vMerge w:val="restart"/>
            <w:tcBorders>
              <w:tl2br w:val="nil"/>
              <w:tr2bl w:val="nil"/>
            </w:tcBorders>
            <w:vAlign w:val="center"/>
          </w:tcPr>
          <w:p w14:paraId="534D502C">
            <w:pPr>
              <w:adjustRightInd w:val="0"/>
              <w:snapToGrid w:val="0"/>
              <w:spacing w:line="240" w:lineRule="auto"/>
              <w:ind w:firstLine="0" w:firstLineChars="0"/>
              <w:jc w:val="center"/>
              <w:rPr>
                <w:bCs/>
                <w:sz w:val="18"/>
                <w:szCs w:val="18"/>
              </w:rPr>
            </w:pPr>
            <w:r>
              <w:rPr>
                <w:rFonts w:hint="eastAsia"/>
                <w:bCs/>
                <w:sz w:val="18"/>
                <w:szCs w:val="18"/>
              </w:rPr>
              <w:t>一级</w:t>
            </w:r>
          </w:p>
        </w:tc>
        <w:tc>
          <w:tcPr>
            <w:tcW w:w="1004" w:type="pct"/>
            <w:gridSpan w:val="2"/>
            <w:tcBorders>
              <w:tl2br w:val="nil"/>
              <w:tr2bl w:val="nil"/>
            </w:tcBorders>
            <w:vAlign w:val="center"/>
          </w:tcPr>
          <w:p w14:paraId="580994B4">
            <w:pPr>
              <w:adjustRightInd w:val="0"/>
              <w:snapToGrid w:val="0"/>
              <w:spacing w:line="240" w:lineRule="auto"/>
              <w:ind w:firstLine="0" w:firstLineChars="0"/>
              <w:jc w:val="center"/>
              <w:rPr>
                <w:bCs/>
                <w:sz w:val="18"/>
                <w:szCs w:val="18"/>
              </w:rPr>
            </w:pPr>
            <w:r>
              <w:rPr>
                <w:rFonts w:hint="eastAsia"/>
                <w:bCs/>
                <w:sz w:val="18"/>
                <w:szCs w:val="18"/>
              </w:rPr>
              <w:t>p</w:t>
            </w:r>
            <w:r>
              <w:rPr>
                <w:bCs/>
                <w:sz w:val="18"/>
                <w:szCs w:val="18"/>
              </w:rPr>
              <w:t>H</w:t>
            </w:r>
          </w:p>
        </w:tc>
        <w:tc>
          <w:tcPr>
            <w:tcW w:w="693" w:type="pct"/>
            <w:tcBorders>
              <w:tl2br w:val="nil"/>
              <w:tr2bl w:val="nil"/>
            </w:tcBorders>
            <w:vAlign w:val="center"/>
          </w:tcPr>
          <w:p w14:paraId="029AACBD">
            <w:pPr>
              <w:adjustRightInd w:val="0"/>
              <w:snapToGrid w:val="0"/>
              <w:spacing w:line="240" w:lineRule="auto"/>
              <w:ind w:firstLine="0" w:firstLineChars="0"/>
              <w:jc w:val="center"/>
              <w:rPr>
                <w:bCs/>
                <w:sz w:val="18"/>
                <w:szCs w:val="18"/>
              </w:rPr>
            </w:pPr>
            <w:r>
              <w:rPr>
                <w:rFonts w:hint="eastAsia"/>
                <w:bCs/>
                <w:sz w:val="18"/>
                <w:szCs w:val="18"/>
              </w:rPr>
              <w:t>6</w:t>
            </w:r>
            <w:r>
              <w:rPr>
                <w:bCs/>
                <w:sz w:val="18"/>
                <w:szCs w:val="18"/>
              </w:rPr>
              <w:t>~9</w:t>
            </w:r>
          </w:p>
        </w:tc>
      </w:tr>
      <w:tr w14:paraId="52F3AB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1FD18FD3">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458748F2">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7206400E">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74D4589C">
            <w:pPr>
              <w:adjustRightInd w:val="0"/>
              <w:snapToGrid w:val="0"/>
              <w:spacing w:line="240" w:lineRule="auto"/>
              <w:ind w:firstLine="0" w:firstLineChars="0"/>
              <w:jc w:val="center"/>
              <w:rPr>
                <w:bCs/>
                <w:sz w:val="18"/>
                <w:szCs w:val="18"/>
              </w:rPr>
            </w:pPr>
          </w:p>
        </w:tc>
        <w:tc>
          <w:tcPr>
            <w:tcW w:w="1004" w:type="pct"/>
            <w:gridSpan w:val="2"/>
            <w:tcBorders>
              <w:tl2br w:val="nil"/>
              <w:tr2bl w:val="nil"/>
            </w:tcBorders>
            <w:vAlign w:val="center"/>
          </w:tcPr>
          <w:p w14:paraId="11585EDF">
            <w:pPr>
              <w:adjustRightInd w:val="0"/>
              <w:snapToGrid w:val="0"/>
              <w:spacing w:line="240" w:lineRule="auto"/>
              <w:ind w:firstLine="0" w:firstLineChars="0"/>
              <w:jc w:val="center"/>
              <w:rPr>
                <w:bCs/>
                <w:sz w:val="18"/>
                <w:szCs w:val="18"/>
              </w:rPr>
            </w:pPr>
            <w:r>
              <w:rPr>
                <w:rFonts w:hint="eastAsia"/>
                <w:bCs/>
                <w:sz w:val="18"/>
                <w:szCs w:val="18"/>
              </w:rPr>
              <w:t>C</w:t>
            </w:r>
            <w:r>
              <w:rPr>
                <w:bCs/>
                <w:sz w:val="18"/>
                <w:szCs w:val="18"/>
              </w:rPr>
              <w:t>OD</w:t>
            </w:r>
          </w:p>
        </w:tc>
        <w:tc>
          <w:tcPr>
            <w:tcW w:w="693" w:type="pct"/>
            <w:tcBorders>
              <w:tl2br w:val="nil"/>
              <w:tr2bl w:val="nil"/>
            </w:tcBorders>
            <w:vAlign w:val="center"/>
          </w:tcPr>
          <w:p w14:paraId="063C50C8">
            <w:pPr>
              <w:adjustRightInd w:val="0"/>
              <w:snapToGrid w:val="0"/>
              <w:spacing w:line="240" w:lineRule="auto"/>
              <w:ind w:firstLine="0" w:firstLineChars="0"/>
              <w:jc w:val="center"/>
              <w:rPr>
                <w:bCs/>
                <w:sz w:val="18"/>
                <w:szCs w:val="18"/>
              </w:rPr>
            </w:pPr>
            <w:r>
              <w:rPr>
                <w:rFonts w:hint="eastAsia"/>
                <w:bCs/>
                <w:sz w:val="18"/>
                <w:szCs w:val="18"/>
              </w:rPr>
              <w:t>≤</w:t>
            </w:r>
            <w:r>
              <w:rPr>
                <w:bCs/>
                <w:sz w:val="18"/>
                <w:szCs w:val="18"/>
              </w:rPr>
              <w:t>100</w:t>
            </w:r>
          </w:p>
        </w:tc>
      </w:tr>
      <w:tr w14:paraId="44FFD6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69157216">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76C69B4B">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3C407C44">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10EC0576">
            <w:pPr>
              <w:adjustRightInd w:val="0"/>
              <w:snapToGrid w:val="0"/>
              <w:spacing w:line="240" w:lineRule="auto"/>
              <w:ind w:firstLine="0" w:firstLineChars="0"/>
              <w:jc w:val="center"/>
              <w:rPr>
                <w:bCs/>
                <w:sz w:val="18"/>
                <w:szCs w:val="18"/>
              </w:rPr>
            </w:pPr>
          </w:p>
        </w:tc>
        <w:tc>
          <w:tcPr>
            <w:tcW w:w="1004" w:type="pct"/>
            <w:gridSpan w:val="2"/>
            <w:tcBorders>
              <w:tl2br w:val="nil"/>
              <w:tr2bl w:val="nil"/>
            </w:tcBorders>
            <w:vAlign w:val="center"/>
          </w:tcPr>
          <w:p w14:paraId="499A41A7">
            <w:pPr>
              <w:adjustRightInd w:val="0"/>
              <w:snapToGrid w:val="0"/>
              <w:spacing w:line="240" w:lineRule="auto"/>
              <w:ind w:firstLine="0" w:firstLineChars="0"/>
              <w:jc w:val="center"/>
              <w:rPr>
                <w:bCs/>
                <w:sz w:val="18"/>
                <w:szCs w:val="18"/>
              </w:rPr>
            </w:pPr>
            <w:r>
              <w:rPr>
                <w:rFonts w:hint="eastAsia"/>
                <w:bCs/>
                <w:sz w:val="18"/>
                <w:szCs w:val="18"/>
              </w:rPr>
              <w:t>B</w:t>
            </w:r>
            <w:r>
              <w:rPr>
                <w:bCs/>
                <w:sz w:val="18"/>
                <w:szCs w:val="18"/>
              </w:rPr>
              <w:t>OD</w:t>
            </w:r>
            <w:r>
              <w:rPr>
                <w:bCs/>
                <w:sz w:val="18"/>
                <w:szCs w:val="18"/>
                <w:vertAlign w:val="subscript"/>
              </w:rPr>
              <w:t>5</w:t>
            </w:r>
          </w:p>
        </w:tc>
        <w:tc>
          <w:tcPr>
            <w:tcW w:w="693" w:type="pct"/>
            <w:tcBorders>
              <w:tl2br w:val="nil"/>
              <w:tr2bl w:val="nil"/>
            </w:tcBorders>
            <w:vAlign w:val="center"/>
          </w:tcPr>
          <w:p w14:paraId="3DD58FF1">
            <w:pPr>
              <w:adjustRightInd w:val="0"/>
              <w:snapToGrid w:val="0"/>
              <w:spacing w:line="240" w:lineRule="auto"/>
              <w:ind w:firstLine="0" w:firstLineChars="0"/>
              <w:jc w:val="center"/>
              <w:rPr>
                <w:bCs/>
                <w:sz w:val="18"/>
                <w:szCs w:val="18"/>
              </w:rPr>
            </w:pPr>
            <w:r>
              <w:rPr>
                <w:rFonts w:hint="eastAsia"/>
                <w:bCs/>
                <w:sz w:val="18"/>
                <w:szCs w:val="18"/>
              </w:rPr>
              <w:t>≤2</w:t>
            </w:r>
            <w:r>
              <w:rPr>
                <w:bCs/>
                <w:sz w:val="18"/>
                <w:szCs w:val="18"/>
              </w:rPr>
              <w:t>0</w:t>
            </w:r>
          </w:p>
        </w:tc>
      </w:tr>
      <w:tr w14:paraId="3E6301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25C4D30D">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0AE15106">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00EE089C">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46CCE957">
            <w:pPr>
              <w:adjustRightInd w:val="0"/>
              <w:snapToGrid w:val="0"/>
              <w:spacing w:line="240" w:lineRule="auto"/>
              <w:ind w:firstLine="0" w:firstLineChars="0"/>
              <w:jc w:val="center"/>
              <w:rPr>
                <w:bCs/>
                <w:sz w:val="18"/>
                <w:szCs w:val="18"/>
              </w:rPr>
            </w:pPr>
          </w:p>
        </w:tc>
        <w:tc>
          <w:tcPr>
            <w:tcW w:w="1004" w:type="pct"/>
            <w:gridSpan w:val="2"/>
            <w:tcBorders>
              <w:tl2br w:val="nil"/>
              <w:tr2bl w:val="nil"/>
            </w:tcBorders>
            <w:vAlign w:val="center"/>
          </w:tcPr>
          <w:p w14:paraId="3E208FF0">
            <w:pPr>
              <w:adjustRightInd w:val="0"/>
              <w:snapToGrid w:val="0"/>
              <w:spacing w:line="240" w:lineRule="auto"/>
              <w:ind w:firstLine="0" w:firstLineChars="0"/>
              <w:jc w:val="center"/>
              <w:rPr>
                <w:bCs/>
                <w:sz w:val="18"/>
                <w:szCs w:val="18"/>
              </w:rPr>
            </w:pPr>
            <w:r>
              <w:rPr>
                <w:rFonts w:hint="eastAsia"/>
                <w:bCs/>
                <w:sz w:val="18"/>
                <w:szCs w:val="18"/>
              </w:rPr>
              <w:t>S</w:t>
            </w:r>
            <w:r>
              <w:rPr>
                <w:bCs/>
                <w:sz w:val="18"/>
                <w:szCs w:val="18"/>
              </w:rPr>
              <w:t>S</w:t>
            </w:r>
          </w:p>
        </w:tc>
        <w:tc>
          <w:tcPr>
            <w:tcW w:w="693" w:type="pct"/>
            <w:tcBorders>
              <w:tl2br w:val="nil"/>
              <w:tr2bl w:val="nil"/>
            </w:tcBorders>
            <w:vAlign w:val="center"/>
          </w:tcPr>
          <w:p w14:paraId="023ECD9F">
            <w:pPr>
              <w:adjustRightInd w:val="0"/>
              <w:snapToGrid w:val="0"/>
              <w:spacing w:line="240" w:lineRule="auto"/>
              <w:ind w:firstLine="0" w:firstLineChars="0"/>
              <w:jc w:val="center"/>
              <w:rPr>
                <w:bCs/>
                <w:sz w:val="18"/>
                <w:szCs w:val="18"/>
              </w:rPr>
            </w:pPr>
            <w:r>
              <w:rPr>
                <w:rFonts w:hint="eastAsia"/>
                <w:bCs/>
                <w:sz w:val="18"/>
                <w:szCs w:val="18"/>
              </w:rPr>
              <w:t>≤7</w:t>
            </w:r>
            <w:r>
              <w:rPr>
                <w:bCs/>
                <w:sz w:val="18"/>
                <w:szCs w:val="18"/>
              </w:rPr>
              <w:t>0</w:t>
            </w:r>
          </w:p>
        </w:tc>
      </w:tr>
      <w:tr w14:paraId="5760FE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77439360">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7679B8B1">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36AF5104">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7EC3E3E3">
            <w:pPr>
              <w:adjustRightInd w:val="0"/>
              <w:snapToGrid w:val="0"/>
              <w:spacing w:line="240" w:lineRule="auto"/>
              <w:ind w:firstLine="0" w:firstLineChars="0"/>
              <w:jc w:val="center"/>
              <w:rPr>
                <w:bCs/>
                <w:sz w:val="18"/>
                <w:szCs w:val="18"/>
              </w:rPr>
            </w:pPr>
          </w:p>
        </w:tc>
        <w:tc>
          <w:tcPr>
            <w:tcW w:w="1004" w:type="pct"/>
            <w:gridSpan w:val="2"/>
            <w:tcBorders>
              <w:tl2br w:val="nil"/>
              <w:tr2bl w:val="nil"/>
            </w:tcBorders>
            <w:vAlign w:val="center"/>
          </w:tcPr>
          <w:p w14:paraId="3C0A68B6">
            <w:pPr>
              <w:adjustRightInd w:val="0"/>
              <w:snapToGrid w:val="0"/>
              <w:spacing w:line="240" w:lineRule="auto"/>
              <w:ind w:firstLine="0" w:firstLineChars="0"/>
              <w:jc w:val="center"/>
              <w:rPr>
                <w:bCs/>
                <w:sz w:val="18"/>
                <w:szCs w:val="18"/>
              </w:rPr>
            </w:pPr>
            <w:r>
              <w:rPr>
                <w:rFonts w:hint="eastAsia"/>
                <w:bCs/>
                <w:sz w:val="18"/>
                <w:szCs w:val="18"/>
              </w:rPr>
              <w:t>氨氮</w:t>
            </w:r>
          </w:p>
        </w:tc>
        <w:tc>
          <w:tcPr>
            <w:tcW w:w="693" w:type="pct"/>
            <w:tcBorders>
              <w:tl2br w:val="nil"/>
              <w:tr2bl w:val="nil"/>
            </w:tcBorders>
            <w:vAlign w:val="center"/>
          </w:tcPr>
          <w:p w14:paraId="765FE1A9">
            <w:pPr>
              <w:adjustRightInd w:val="0"/>
              <w:snapToGrid w:val="0"/>
              <w:spacing w:line="240" w:lineRule="auto"/>
              <w:ind w:firstLine="0" w:firstLineChars="0"/>
              <w:jc w:val="center"/>
              <w:rPr>
                <w:bCs/>
                <w:sz w:val="18"/>
                <w:szCs w:val="18"/>
              </w:rPr>
            </w:pPr>
            <w:r>
              <w:rPr>
                <w:rFonts w:hint="eastAsia"/>
                <w:bCs/>
                <w:sz w:val="18"/>
                <w:szCs w:val="18"/>
              </w:rPr>
              <w:t>≤1</w:t>
            </w:r>
            <w:r>
              <w:rPr>
                <w:bCs/>
                <w:sz w:val="18"/>
                <w:szCs w:val="18"/>
              </w:rPr>
              <w:t>5</w:t>
            </w:r>
          </w:p>
        </w:tc>
      </w:tr>
      <w:tr w14:paraId="12ED76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3F11CE92">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292E9A19">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7BDA6980">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050E4B17">
            <w:pPr>
              <w:adjustRightInd w:val="0"/>
              <w:snapToGrid w:val="0"/>
              <w:spacing w:line="240" w:lineRule="auto"/>
              <w:ind w:firstLine="0" w:firstLineChars="0"/>
              <w:jc w:val="center"/>
              <w:rPr>
                <w:bCs/>
                <w:sz w:val="18"/>
                <w:szCs w:val="18"/>
              </w:rPr>
            </w:pPr>
          </w:p>
        </w:tc>
        <w:tc>
          <w:tcPr>
            <w:tcW w:w="1004" w:type="pct"/>
            <w:gridSpan w:val="2"/>
            <w:tcBorders>
              <w:tl2br w:val="nil"/>
              <w:tr2bl w:val="nil"/>
            </w:tcBorders>
            <w:vAlign w:val="center"/>
          </w:tcPr>
          <w:p w14:paraId="106360F0">
            <w:pPr>
              <w:adjustRightInd w:val="0"/>
              <w:snapToGrid w:val="0"/>
              <w:spacing w:line="240" w:lineRule="auto"/>
              <w:ind w:firstLine="0" w:firstLineChars="0"/>
              <w:jc w:val="center"/>
              <w:rPr>
                <w:bCs/>
                <w:sz w:val="18"/>
                <w:szCs w:val="18"/>
              </w:rPr>
            </w:pPr>
            <w:r>
              <w:rPr>
                <w:rFonts w:hint="eastAsia"/>
                <w:bCs/>
                <w:sz w:val="18"/>
                <w:szCs w:val="18"/>
              </w:rPr>
              <w:t>动植物油</w:t>
            </w:r>
          </w:p>
        </w:tc>
        <w:tc>
          <w:tcPr>
            <w:tcW w:w="693" w:type="pct"/>
            <w:tcBorders>
              <w:tl2br w:val="nil"/>
              <w:tr2bl w:val="nil"/>
            </w:tcBorders>
            <w:vAlign w:val="center"/>
          </w:tcPr>
          <w:p w14:paraId="4F8A97C6">
            <w:pPr>
              <w:adjustRightInd w:val="0"/>
              <w:snapToGrid w:val="0"/>
              <w:spacing w:line="240" w:lineRule="auto"/>
              <w:ind w:firstLine="0" w:firstLineChars="0"/>
              <w:jc w:val="center"/>
              <w:rPr>
                <w:bCs/>
                <w:sz w:val="18"/>
                <w:szCs w:val="18"/>
              </w:rPr>
            </w:pPr>
            <w:r>
              <w:rPr>
                <w:rFonts w:hint="eastAsia"/>
                <w:bCs/>
                <w:sz w:val="18"/>
                <w:szCs w:val="18"/>
              </w:rPr>
              <w:t>≤1</w:t>
            </w:r>
            <w:r>
              <w:rPr>
                <w:bCs/>
                <w:sz w:val="18"/>
                <w:szCs w:val="18"/>
              </w:rPr>
              <w:t>0</w:t>
            </w:r>
          </w:p>
        </w:tc>
      </w:tr>
      <w:tr w14:paraId="1C7411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restart"/>
            <w:tcBorders>
              <w:tl2br w:val="nil"/>
              <w:tr2bl w:val="nil"/>
            </w:tcBorders>
            <w:vAlign w:val="center"/>
          </w:tcPr>
          <w:p w14:paraId="3AF35138">
            <w:pPr>
              <w:adjustRightInd w:val="0"/>
              <w:snapToGrid w:val="0"/>
              <w:spacing w:line="240" w:lineRule="auto"/>
              <w:ind w:firstLine="0" w:firstLineChars="0"/>
              <w:jc w:val="center"/>
              <w:rPr>
                <w:bCs/>
                <w:sz w:val="18"/>
                <w:szCs w:val="18"/>
              </w:rPr>
            </w:pPr>
            <w:r>
              <w:rPr>
                <w:bCs/>
                <w:sz w:val="18"/>
                <w:szCs w:val="18"/>
              </w:rPr>
              <w:t>废气</w:t>
            </w:r>
          </w:p>
        </w:tc>
        <w:tc>
          <w:tcPr>
            <w:tcW w:w="492" w:type="pct"/>
            <w:vMerge w:val="restart"/>
            <w:tcBorders>
              <w:tl2br w:val="nil"/>
              <w:tr2bl w:val="nil"/>
            </w:tcBorders>
            <w:vAlign w:val="center"/>
          </w:tcPr>
          <w:p w14:paraId="237F9468">
            <w:pPr>
              <w:adjustRightInd w:val="0"/>
              <w:snapToGrid w:val="0"/>
              <w:spacing w:line="240" w:lineRule="auto"/>
              <w:ind w:firstLine="0" w:firstLineChars="0"/>
              <w:jc w:val="center"/>
              <w:rPr>
                <w:bCs/>
                <w:sz w:val="18"/>
                <w:szCs w:val="18"/>
              </w:rPr>
            </w:pPr>
            <w:r>
              <w:rPr>
                <w:bCs/>
                <w:sz w:val="18"/>
                <w:szCs w:val="18"/>
              </w:rPr>
              <w:t>施工期</w:t>
            </w:r>
          </w:p>
        </w:tc>
        <w:tc>
          <w:tcPr>
            <w:tcW w:w="1487" w:type="pct"/>
            <w:vMerge w:val="restart"/>
            <w:tcBorders>
              <w:tl2br w:val="nil"/>
              <w:tr2bl w:val="nil"/>
            </w:tcBorders>
            <w:vAlign w:val="center"/>
          </w:tcPr>
          <w:p w14:paraId="706D230F">
            <w:pPr>
              <w:adjustRightInd w:val="0"/>
              <w:snapToGrid w:val="0"/>
              <w:spacing w:line="240" w:lineRule="auto"/>
              <w:ind w:firstLine="0" w:firstLineChars="0"/>
              <w:jc w:val="center"/>
              <w:rPr>
                <w:bCs/>
                <w:sz w:val="18"/>
                <w:szCs w:val="18"/>
              </w:rPr>
            </w:pPr>
            <w:r>
              <w:rPr>
                <w:bCs/>
                <w:sz w:val="18"/>
                <w:szCs w:val="18"/>
              </w:rPr>
              <w:t>《大气污染物综合排放标准》（GB12697-1996）</w:t>
            </w:r>
          </w:p>
        </w:tc>
        <w:tc>
          <w:tcPr>
            <w:tcW w:w="884" w:type="pct"/>
            <w:vMerge w:val="restart"/>
            <w:tcBorders>
              <w:tl2br w:val="nil"/>
              <w:tr2bl w:val="nil"/>
            </w:tcBorders>
            <w:vAlign w:val="center"/>
          </w:tcPr>
          <w:p w14:paraId="25E6E904">
            <w:pPr>
              <w:adjustRightInd w:val="0"/>
              <w:snapToGrid w:val="0"/>
              <w:spacing w:line="240" w:lineRule="auto"/>
              <w:ind w:firstLine="0" w:firstLineChars="0"/>
              <w:jc w:val="center"/>
              <w:rPr>
                <w:bCs/>
                <w:sz w:val="18"/>
                <w:szCs w:val="18"/>
              </w:rPr>
            </w:pPr>
            <w:r>
              <w:rPr>
                <w:bCs/>
                <w:sz w:val="18"/>
                <w:szCs w:val="18"/>
              </w:rPr>
              <w:t>无组织排放监控浓度限值</w:t>
            </w:r>
          </w:p>
        </w:tc>
        <w:tc>
          <w:tcPr>
            <w:tcW w:w="491" w:type="pct"/>
            <w:vMerge w:val="restart"/>
            <w:tcBorders>
              <w:tl2br w:val="nil"/>
              <w:tr2bl w:val="nil"/>
            </w:tcBorders>
            <w:vAlign w:val="center"/>
          </w:tcPr>
          <w:p w14:paraId="26860DF4">
            <w:pPr>
              <w:adjustRightInd w:val="0"/>
              <w:snapToGrid w:val="0"/>
              <w:spacing w:line="240" w:lineRule="auto"/>
              <w:ind w:firstLine="0" w:firstLineChars="0"/>
              <w:jc w:val="center"/>
              <w:rPr>
                <w:bCs/>
                <w:sz w:val="18"/>
                <w:szCs w:val="18"/>
              </w:rPr>
            </w:pPr>
            <w:r>
              <w:rPr>
                <w:bCs/>
                <w:sz w:val="18"/>
                <w:szCs w:val="18"/>
              </w:rPr>
              <w:t>浓度最高点</w:t>
            </w:r>
          </w:p>
        </w:tc>
        <w:tc>
          <w:tcPr>
            <w:tcW w:w="513" w:type="pct"/>
            <w:tcBorders>
              <w:tl2br w:val="nil"/>
              <w:tr2bl w:val="nil"/>
            </w:tcBorders>
            <w:vAlign w:val="center"/>
          </w:tcPr>
          <w:p w14:paraId="7FD218C3">
            <w:pPr>
              <w:adjustRightInd w:val="0"/>
              <w:snapToGrid w:val="0"/>
              <w:spacing w:line="240" w:lineRule="auto"/>
              <w:ind w:firstLine="0" w:firstLineChars="0"/>
              <w:jc w:val="center"/>
              <w:rPr>
                <w:bCs/>
                <w:sz w:val="18"/>
                <w:szCs w:val="18"/>
              </w:rPr>
            </w:pPr>
            <w:r>
              <w:rPr>
                <w:bCs/>
                <w:sz w:val="18"/>
                <w:szCs w:val="18"/>
              </w:rPr>
              <w:t>颗粒物</w:t>
            </w:r>
          </w:p>
        </w:tc>
        <w:tc>
          <w:tcPr>
            <w:tcW w:w="693" w:type="pct"/>
            <w:tcBorders>
              <w:tl2br w:val="nil"/>
              <w:tr2bl w:val="nil"/>
            </w:tcBorders>
            <w:vAlign w:val="center"/>
          </w:tcPr>
          <w:p w14:paraId="3A0CE9DA">
            <w:pPr>
              <w:adjustRightInd w:val="0"/>
              <w:snapToGrid w:val="0"/>
              <w:spacing w:line="240" w:lineRule="auto"/>
              <w:ind w:firstLine="0" w:firstLineChars="0"/>
              <w:jc w:val="center"/>
              <w:rPr>
                <w:bCs/>
                <w:sz w:val="18"/>
                <w:szCs w:val="18"/>
              </w:rPr>
            </w:pPr>
            <w:r>
              <w:rPr>
                <w:bCs/>
                <w:sz w:val="18"/>
                <w:szCs w:val="18"/>
              </w:rPr>
              <w:t>1.0mg/m</w:t>
            </w:r>
            <w:r>
              <w:rPr>
                <w:bCs/>
                <w:sz w:val="18"/>
                <w:szCs w:val="18"/>
                <w:vertAlign w:val="superscript"/>
              </w:rPr>
              <w:t>3</w:t>
            </w:r>
          </w:p>
        </w:tc>
      </w:tr>
      <w:tr w14:paraId="7589D7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2BC317E1">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7677DF3D">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6FBC1274">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1D1CF08B">
            <w:pPr>
              <w:adjustRightInd w:val="0"/>
              <w:snapToGrid w:val="0"/>
              <w:spacing w:line="240" w:lineRule="auto"/>
              <w:ind w:firstLine="0" w:firstLineChars="0"/>
              <w:jc w:val="center"/>
              <w:rPr>
                <w:bCs/>
                <w:sz w:val="18"/>
                <w:szCs w:val="18"/>
              </w:rPr>
            </w:pPr>
          </w:p>
        </w:tc>
        <w:tc>
          <w:tcPr>
            <w:tcW w:w="491" w:type="pct"/>
            <w:vMerge w:val="continue"/>
            <w:tcBorders>
              <w:tl2br w:val="nil"/>
              <w:tr2bl w:val="nil"/>
            </w:tcBorders>
            <w:vAlign w:val="center"/>
          </w:tcPr>
          <w:p w14:paraId="7A44B678">
            <w:pPr>
              <w:adjustRightInd w:val="0"/>
              <w:snapToGrid w:val="0"/>
              <w:spacing w:line="240" w:lineRule="auto"/>
              <w:ind w:firstLine="0" w:firstLineChars="0"/>
              <w:jc w:val="center"/>
              <w:rPr>
                <w:bCs/>
                <w:sz w:val="18"/>
                <w:szCs w:val="18"/>
              </w:rPr>
            </w:pPr>
          </w:p>
        </w:tc>
        <w:tc>
          <w:tcPr>
            <w:tcW w:w="513" w:type="pct"/>
            <w:tcBorders>
              <w:tl2br w:val="nil"/>
              <w:tr2bl w:val="nil"/>
            </w:tcBorders>
            <w:vAlign w:val="center"/>
          </w:tcPr>
          <w:p w14:paraId="39191FB7">
            <w:pPr>
              <w:adjustRightInd w:val="0"/>
              <w:snapToGrid w:val="0"/>
              <w:spacing w:line="240" w:lineRule="auto"/>
              <w:ind w:firstLine="0" w:firstLineChars="0"/>
              <w:jc w:val="center"/>
              <w:rPr>
                <w:bCs/>
                <w:sz w:val="18"/>
                <w:szCs w:val="18"/>
              </w:rPr>
            </w:pPr>
            <w:r>
              <w:rPr>
                <w:bCs/>
                <w:sz w:val="18"/>
                <w:szCs w:val="18"/>
              </w:rPr>
              <w:t>NO</w:t>
            </w:r>
            <w:r>
              <w:rPr>
                <w:bCs/>
                <w:sz w:val="18"/>
                <w:szCs w:val="18"/>
                <w:vertAlign w:val="subscript"/>
              </w:rPr>
              <w:t>X</w:t>
            </w:r>
          </w:p>
        </w:tc>
        <w:tc>
          <w:tcPr>
            <w:tcW w:w="693" w:type="pct"/>
            <w:tcBorders>
              <w:tl2br w:val="nil"/>
              <w:tr2bl w:val="nil"/>
            </w:tcBorders>
            <w:vAlign w:val="center"/>
          </w:tcPr>
          <w:p w14:paraId="13E28EB8">
            <w:pPr>
              <w:adjustRightInd w:val="0"/>
              <w:snapToGrid w:val="0"/>
              <w:spacing w:line="240" w:lineRule="auto"/>
              <w:ind w:firstLine="0" w:firstLineChars="0"/>
              <w:jc w:val="center"/>
              <w:rPr>
                <w:bCs/>
                <w:sz w:val="18"/>
                <w:szCs w:val="18"/>
              </w:rPr>
            </w:pPr>
            <w:r>
              <w:rPr>
                <w:bCs/>
                <w:sz w:val="18"/>
                <w:szCs w:val="18"/>
              </w:rPr>
              <w:t>0.12mg/m</w:t>
            </w:r>
            <w:r>
              <w:rPr>
                <w:bCs/>
                <w:sz w:val="18"/>
                <w:szCs w:val="18"/>
                <w:vertAlign w:val="superscript"/>
              </w:rPr>
              <w:t>3</w:t>
            </w:r>
          </w:p>
        </w:tc>
      </w:tr>
      <w:tr w14:paraId="1C3333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restart"/>
            <w:tcBorders>
              <w:tl2br w:val="nil"/>
              <w:tr2bl w:val="nil"/>
            </w:tcBorders>
            <w:vAlign w:val="center"/>
          </w:tcPr>
          <w:p w14:paraId="440FB062">
            <w:pPr>
              <w:adjustRightInd w:val="0"/>
              <w:snapToGrid w:val="0"/>
              <w:spacing w:line="240" w:lineRule="auto"/>
              <w:ind w:firstLine="0" w:firstLineChars="0"/>
              <w:jc w:val="center"/>
              <w:rPr>
                <w:bCs/>
                <w:sz w:val="18"/>
                <w:szCs w:val="18"/>
              </w:rPr>
            </w:pPr>
            <w:r>
              <w:rPr>
                <w:bCs/>
                <w:sz w:val="18"/>
                <w:szCs w:val="18"/>
              </w:rPr>
              <w:t>噪声</w:t>
            </w:r>
          </w:p>
        </w:tc>
        <w:tc>
          <w:tcPr>
            <w:tcW w:w="492" w:type="pct"/>
            <w:vMerge w:val="restart"/>
            <w:tcBorders>
              <w:tl2br w:val="nil"/>
              <w:tr2bl w:val="nil"/>
            </w:tcBorders>
            <w:vAlign w:val="center"/>
          </w:tcPr>
          <w:p w14:paraId="28EE88E1">
            <w:pPr>
              <w:adjustRightInd w:val="0"/>
              <w:snapToGrid w:val="0"/>
              <w:spacing w:line="240" w:lineRule="auto"/>
              <w:ind w:firstLine="0" w:firstLineChars="0"/>
              <w:jc w:val="center"/>
              <w:rPr>
                <w:bCs/>
                <w:sz w:val="18"/>
                <w:szCs w:val="18"/>
              </w:rPr>
            </w:pPr>
            <w:r>
              <w:rPr>
                <w:bCs/>
                <w:sz w:val="18"/>
                <w:szCs w:val="18"/>
              </w:rPr>
              <w:t>施工期</w:t>
            </w:r>
          </w:p>
        </w:tc>
        <w:tc>
          <w:tcPr>
            <w:tcW w:w="1487" w:type="pct"/>
            <w:vMerge w:val="restart"/>
            <w:tcBorders>
              <w:tl2br w:val="nil"/>
              <w:tr2bl w:val="nil"/>
            </w:tcBorders>
            <w:vAlign w:val="center"/>
          </w:tcPr>
          <w:p w14:paraId="6205DB14">
            <w:pPr>
              <w:adjustRightInd w:val="0"/>
              <w:snapToGrid w:val="0"/>
              <w:spacing w:line="240" w:lineRule="auto"/>
              <w:ind w:firstLine="0" w:firstLineChars="0"/>
              <w:jc w:val="center"/>
              <w:rPr>
                <w:bCs/>
                <w:sz w:val="18"/>
                <w:szCs w:val="18"/>
              </w:rPr>
            </w:pPr>
            <w:r>
              <w:rPr>
                <w:bCs/>
                <w:sz w:val="18"/>
                <w:szCs w:val="18"/>
              </w:rPr>
              <w:t>《建筑施工场界环境噪声排放标准》（GB12523-2011）</w:t>
            </w:r>
          </w:p>
        </w:tc>
        <w:tc>
          <w:tcPr>
            <w:tcW w:w="884" w:type="pct"/>
            <w:vMerge w:val="restart"/>
            <w:tcBorders>
              <w:tl2br w:val="nil"/>
              <w:tr2bl w:val="nil"/>
            </w:tcBorders>
            <w:vAlign w:val="center"/>
          </w:tcPr>
          <w:p w14:paraId="15B28913">
            <w:pPr>
              <w:adjustRightInd w:val="0"/>
              <w:snapToGrid w:val="0"/>
              <w:spacing w:line="240" w:lineRule="auto"/>
              <w:ind w:firstLine="0" w:firstLineChars="0"/>
              <w:jc w:val="center"/>
              <w:rPr>
                <w:bCs/>
                <w:sz w:val="18"/>
                <w:szCs w:val="18"/>
              </w:rPr>
            </w:pPr>
            <w:r>
              <w:rPr>
                <w:bCs/>
                <w:sz w:val="18"/>
                <w:szCs w:val="18"/>
              </w:rPr>
              <w:t>/</w:t>
            </w:r>
          </w:p>
        </w:tc>
        <w:tc>
          <w:tcPr>
            <w:tcW w:w="491" w:type="pct"/>
            <w:vMerge w:val="restart"/>
            <w:tcBorders>
              <w:tl2br w:val="nil"/>
              <w:tr2bl w:val="nil"/>
            </w:tcBorders>
            <w:vAlign w:val="center"/>
          </w:tcPr>
          <w:p w14:paraId="7D416C93">
            <w:pPr>
              <w:adjustRightInd w:val="0"/>
              <w:snapToGrid w:val="0"/>
              <w:spacing w:line="240" w:lineRule="auto"/>
              <w:ind w:firstLine="0" w:firstLineChars="0"/>
              <w:jc w:val="center"/>
              <w:rPr>
                <w:bCs/>
                <w:sz w:val="18"/>
                <w:szCs w:val="18"/>
              </w:rPr>
            </w:pPr>
            <w:r>
              <w:rPr>
                <w:bCs/>
                <w:sz w:val="18"/>
                <w:szCs w:val="18"/>
              </w:rPr>
              <w:t>等效声级Leq(A)</w:t>
            </w:r>
          </w:p>
        </w:tc>
        <w:tc>
          <w:tcPr>
            <w:tcW w:w="513" w:type="pct"/>
            <w:tcBorders>
              <w:tl2br w:val="nil"/>
              <w:tr2bl w:val="nil"/>
            </w:tcBorders>
            <w:vAlign w:val="center"/>
          </w:tcPr>
          <w:p w14:paraId="51EF38F7">
            <w:pPr>
              <w:adjustRightInd w:val="0"/>
              <w:snapToGrid w:val="0"/>
              <w:spacing w:line="240" w:lineRule="auto"/>
              <w:ind w:firstLine="0" w:firstLineChars="0"/>
              <w:jc w:val="center"/>
              <w:rPr>
                <w:bCs/>
                <w:sz w:val="18"/>
                <w:szCs w:val="18"/>
              </w:rPr>
            </w:pPr>
            <w:r>
              <w:rPr>
                <w:bCs/>
                <w:sz w:val="18"/>
                <w:szCs w:val="18"/>
              </w:rPr>
              <w:t>昼间</w:t>
            </w:r>
          </w:p>
        </w:tc>
        <w:tc>
          <w:tcPr>
            <w:tcW w:w="693" w:type="pct"/>
            <w:tcBorders>
              <w:tl2br w:val="nil"/>
              <w:tr2bl w:val="nil"/>
            </w:tcBorders>
            <w:vAlign w:val="center"/>
          </w:tcPr>
          <w:p w14:paraId="6169356B">
            <w:pPr>
              <w:adjustRightInd w:val="0"/>
              <w:snapToGrid w:val="0"/>
              <w:spacing w:line="240" w:lineRule="auto"/>
              <w:ind w:firstLine="0" w:firstLineChars="0"/>
              <w:jc w:val="center"/>
              <w:rPr>
                <w:bCs/>
                <w:sz w:val="18"/>
                <w:szCs w:val="18"/>
              </w:rPr>
            </w:pPr>
            <w:r>
              <w:rPr>
                <w:bCs/>
                <w:sz w:val="18"/>
                <w:szCs w:val="18"/>
              </w:rPr>
              <w:t>70dB(A)</w:t>
            </w:r>
          </w:p>
        </w:tc>
      </w:tr>
      <w:tr w14:paraId="7C2719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735D92B9">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67D2B70B">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19C51A4F">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398EFF19">
            <w:pPr>
              <w:adjustRightInd w:val="0"/>
              <w:snapToGrid w:val="0"/>
              <w:spacing w:line="240" w:lineRule="auto"/>
              <w:ind w:firstLine="0" w:firstLineChars="0"/>
              <w:jc w:val="center"/>
              <w:rPr>
                <w:bCs/>
                <w:sz w:val="18"/>
                <w:szCs w:val="18"/>
              </w:rPr>
            </w:pPr>
          </w:p>
        </w:tc>
        <w:tc>
          <w:tcPr>
            <w:tcW w:w="491" w:type="pct"/>
            <w:vMerge w:val="continue"/>
            <w:tcBorders>
              <w:tl2br w:val="nil"/>
              <w:tr2bl w:val="nil"/>
            </w:tcBorders>
            <w:vAlign w:val="center"/>
          </w:tcPr>
          <w:p w14:paraId="3DDD36FA">
            <w:pPr>
              <w:adjustRightInd w:val="0"/>
              <w:snapToGrid w:val="0"/>
              <w:spacing w:line="240" w:lineRule="auto"/>
              <w:ind w:firstLine="0" w:firstLineChars="0"/>
              <w:jc w:val="center"/>
              <w:rPr>
                <w:bCs/>
                <w:sz w:val="18"/>
                <w:szCs w:val="18"/>
              </w:rPr>
            </w:pPr>
          </w:p>
        </w:tc>
        <w:tc>
          <w:tcPr>
            <w:tcW w:w="513" w:type="pct"/>
            <w:tcBorders>
              <w:tl2br w:val="nil"/>
              <w:tr2bl w:val="nil"/>
            </w:tcBorders>
            <w:vAlign w:val="center"/>
          </w:tcPr>
          <w:p w14:paraId="6A92E6F0">
            <w:pPr>
              <w:adjustRightInd w:val="0"/>
              <w:snapToGrid w:val="0"/>
              <w:spacing w:line="240" w:lineRule="auto"/>
              <w:ind w:firstLine="0" w:firstLineChars="0"/>
              <w:jc w:val="center"/>
              <w:rPr>
                <w:bCs/>
                <w:sz w:val="18"/>
                <w:szCs w:val="18"/>
              </w:rPr>
            </w:pPr>
            <w:r>
              <w:rPr>
                <w:bCs/>
                <w:sz w:val="18"/>
                <w:szCs w:val="18"/>
              </w:rPr>
              <w:t>夜间</w:t>
            </w:r>
          </w:p>
        </w:tc>
        <w:tc>
          <w:tcPr>
            <w:tcW w:w="693" w:type="pct"/>
            <w:tcBorders>
              <w:tl2br w:val="nil"/>
              <w:tr2bl w:val="nil"/>
            </w:tcBorders>
            <w:vAlign w:val="center"/>
          </w:tcPr>
          <w:p w14:paraId="20B28864">
            <w:pPr>
              <w:adjustRightInd w:val="0"/>
              <w:snapToGrid w:val="0"/>
              <w:spacing w:line="240" w:lineRule="auto"/>
              <w:ind w:firstLine="0" w:firstLineChars="0"/>
              <w:jc w:val="center"/>
              <w:rPr>
                <w:bCs/>
                <w:sz w:val="18"/>
                <w:szCs w:val="18"/>
              </w:rPr>
            </w:pPr>
            <w:r>
              <w:rPr>
                <w:bCs/>
                <w:sz w:val="18"/>
                <w:szCs w:val="18"/>
              </w:rPr>
              <w:t>55dB(A)</w:t>
            </w:r>
          </w:p>
        </w:tc>
      </w:tr>
      <w:tr w14:paraId="3DB070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0316A805">
            <w:pPr>
              <w:adjustRightInd w:val="0"/>
              <w:snapToGrid w:val="0"/>
              <w:spacing w:line="240" w:lineRule="auto"/>
              <w:ind w:firstLine="0" w:firstLineChars="0"/>
              <w:jc w:val="center"/>
              <w:rPr>
                <w:bCs/>
                <w:sz w:val="18"/>
                <w:szCs w:val="18"/>
              </w:rPr>
            </w:pPr>
          </w:p>
        </w:tc>
        <w:tc>
          <w:tcPr>
            <w:tcW w:w="492" w:type="pct"/>
            <w:vMerge w:val="restart"/>
            <w:tcBorders>
              <w:tl2br w:val="nil"/>
              <w:tr2bl w:val="nil"/>
            </w:tcBorders>
            <w:vAlign w:val="center"/>
          </w:tcPr>
          <w:p w14:paraId="17387EBE">
            <w:pPr>
              <w:adjustRightInd w:val="0"/>
              <w:snapToGrid w:val="0"/>
              <w:spacing w:line="240" w:lineRule="auto"/>
              <w:ind w:firstLine="0" w:firstLineChars="0"/>
              <w:jc w:val="center"/>
              <w:rPr>
                <w:bCs/>
                <w:sz w:val="18"/>
                <w:szCs w:val="18"/>
              </w:rPr>
            </w:pPr>
            <w:r>
              <w:rPr>
                <w:bCs/>
                <w:sz w:val="18"/>
                <w:szCs w:val="18"/>
              </w:rPr>
              <w:t>运行期</w:t>
            </w:r>
          </w:p>
        </w:tc>
        <w:tc>
          <w:tcPr>
            <w:tcW w:w="1487" w:type="pct"/>
            <w:vMerge w:val="restart"/>
            <w:tcBorders>
              <w:tl2br w:val="nil"/>
              <w:tr2bl w:val="nil"/>
            </w:tcBorders>
            <w:vAlign w:val="center"/>
          </w:tcPr>
          <w:p w14:paraId="6D62F7F8">
            <w:pPr>
              <w:adjustRightInd w:val="0"/>
              <w:snapToGrid w:val="0"/>
              <w:spacing w:line="240" w:lineRule="auto"/>
              <w:ind w:firstLine="0" w:firstLineChars="0"/>
              <w:jc w:val="center"/>
              <w:rPr>
                <w:bCs/>
                <w:sz w:val="18"/>
                <w:szCs w:val="18"/>
              </w:rPr>
            </w:pPr>
            <w:r>
              <w:rPr>
                <w:bCs/>
                <w:sz w:val="18"/>
                <w:szCs w:val="18"/>
              </w:rPr>
              <w:t>《工业企业厂界环境噪声排放标准》（GB12348-2008）</w:t>
            </w:r>
          </w:p>
        </w:tc>
        <w:tc>
          <w:tcPr>
            <w:tcW w:w="884" w:type="pct"/>
            <w:vMerge w:val="restart"/>
            <w:tcBorders>
              <w:tl2br w:val="nil"/>
              <w:tr2bl w:val="nil"/>
            </w:tcBorders>
            <w:vAlign w:val="center"/>
          </w:tcPr>
          <w:p w14:paraId="08CFD7BD">
            <w:pPr>
              <w:adjustRightInd w:val="0"/>
              <w:snapToGrid w:val="0"/>
              <w:spacing w:line="240" w:lineRule="auto"/>
              <w:ind w:firstLine="0" w:firstLineChars="0"/>
              <w:jc w:val="center"/>
              <w:rPr>
                <w:bCs/>
                <w:sz w:val="18"/>
                <w:szCs w:val="18"/>
              </w:rPr>
            </w:pPr>
            <w:r>
              <w:rPr>
                <w:bCs/>
                <w:sz w:val="18"/>
                <w:szCs w:val="18"/>
              </w:rPr>
              <w:t>2类声环境功能区排放限值</w:t>
            </w:r>
          </w:p>
        </w:tc>
        <w:tc>
          <w:tcPr>
            <w:tcW w:w="491" w:type="pct"/>
            <w:vMerge w:val="continue"/>
            <w:tcBorders>
              <w:tl2br w:val="nil"/>
              <w:tr2bl w:val="nil"/>
            </w:tcBorders>
            <w:vAlign w:val="center"/>
          </w:tcPr>
          <w:p w14:paraId="28941DD7">
            <w:pPr>
              <w:adjustRightInd w:val="0"/>
              <w:snapToGrid w:val="0"/>
              <w:spacing w:line="240" w:lineRule="auto"/>
              <w:ind w:firstLine="0" w:firstLineChars="0"/>
              <w:jc w:val="center"/>
              <w:rPr>
                <w:bCs/>
                <w:sz w:val="18"/>
                <w:szCs w:val="18"/>
              </w:rPr>
            </w:pPr>
          </w:p>
        </w:tc>
        <w:tc>
          <w:tcPr>
            <w:tcW w:w="513" w:type="pct"/>
            <w:tcBorders>
              <w:tl2br w:val="nil"/>
              <w:tr2bl w:val="nil"/>
            </w:tcBorders>
            <w:vAlign w:val="center"/>
          </w:tcPr>
          <w:p w14:paraId="55499313">
            <w:pPr>
              <w:adjustRightInd w:val="0"/>
              <w:snapToGrid w:val="0"/>
              <w:spacing w:line="240" w:lineRule="auto"/>
              <w:ind w:firstLine="0" w:firstLineChars="0"/>
              <w:jc w:val="center"/>
              <w:rPr>
                <w:bCs/>
                <w:sz w:val="18"/>
                <w:szCs w:val="18"/>
              </w:rPr>
            </w:pPr>
            <w:r>
              <w:rPr>
                <w:bCs/>
                <w:sz w:val="18"/>
                <w:szCs w:val="18"/>
              </w:rPr>
              <w:t>昼间</w:t>
            </w:r>
          </w:p>
        </w:tc>
        <w:tc>
          <w:tcPr>
            <w:tcW w:w="693" w:type="pct"/>
            <w:tcBorders>
              <w:tl2br w:val="nil"/>
              <w:tr2bl w:val="nil"/>
            </w:tcBorders>
            <w:vAlign w:val="center"/>
          </w:tcPr>
          <w:p w14:paraId="029C352B">
            <w:pPr>
              <w:adjustRightInd w:val="0"/>
              <w:snapToGrid w:val="0"/>
              <w:spacing w:line="240" w:lineRule="auto"/>
              <w:ind w:firstLine="0" w:firstLineChars="0"/>
              <w:jc w:val="center"/>
              <w:rPr>
                <w:bCs/>
                <w:sz w:val="18"/>
                <w:szCs w:val="18"/>
              </w:rPr>
            </w:pPr>
            <w:r>
              <w:rPr>
                <w:bCs/>
                <w:sz w:val="18"/>
                <w:szCs w:val="18"/>
              </w:rPr>
              <w:t>60dB(A)</w:t>
            </w:r>
          </w:p>
        </w:tc>
      </w:tr>
      <w:tr w14:paraId="3CBC8B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34D36D0A">
            <w:pPr>
              <w:adjustRightInd w:val="0"/>
              <w:snapToGrid w:val="0"/>
              <w:spacing w:line="240" w:lineRule="auto"/>
              <w:ind w:firstLine="0" w:firstLineChars="0"/>
              <w:jc w:val="center"/>
              <w:rPr>
                <w:bCs/>
                <w:sz w:val="18"/>
                <w:szCs w:val="18"/>
              </w:rPr>
            </w:pPr>
          </w:p>
        </w:tc>
        <w:tc>
          <w:tcPr>
            <w:tcW w:w="492" w:type="pct"/>
            <w:vMerge w:val="continue"/>
            <w:tcBorders>
              <w:tl2br w:val="nil"/>
              <w:tr2bl w:val="nil"/>
            </w:tcBorders>
            <w:vAlign w:val="center"/>
          </w:tcPr>
          <w:p w14:paraId="2E0AED87">
            <w:pPr>
              <w:adjustRightInd w:val="0"/>
              <w:snapToGrid w:val="0"/>
              <w:spacing w:line="240" w:lineRule="auto"/>
              <w:ind w:firstLine="0" w:firstLineChars="0"/>
              <w:jc w:val="center"/>
              <w:rPr>
                <w:bCs/>
                <w:sz w:val="18"/>
                <w:szCs w:val="18"/>
              </w:rPr>
            </w:pPr>
          </w:p>
        </w:tc>
        <w:tc>
          <w:tcPr>
            <w:tcW w:w="1487" w:type="pct"/>
            <w:vMerge w:val="continue"/>
            <w:tcBorders>
              <w:tl2br w:val="nil"/>
              <w:tr2bl w:val="nil"/>
            </w:tcBorders>
            <w:vAlign w:val="center"/>
          </w:tcPr>
          <w:p w14:paraId="74472629">
            <w:pPr>
              <w:adjustRightInd w:val="0"/>
              <w:snapToGrid w:val="0"/>
              <w:spacing w:line="240" w:lineRule="auto"/>
              <w:ind w:firstLine="0" w:firstLineChars="0"/>
              <w:jc w:val="center"/>
              <w:rPr>
                <w:bCs/>
                <w:sz w:val="18"/>
                <w:szCs w:val="18"/>
              </w:rPr>
            </w:pPr>
          </w:p>
        </w:tc>
        <w:tc>
          <w:tcPr>
            <w:tcW w:w="884" w:type="pct"/>
            <w:vMerge w:val="continue"/>
            <w:tcBorders>
              <w:tl2br w:val="nil"/>
              <w:tr2bl w:val="nil"/>
            </w:tcBorders>
            <w:vAlign w:val="center"/>
          </w:tcPr>
          <w:p w14:paraId="688FF618">
            <w:pPr>
              <w:adjustRightInd w:val="0"/>
              <w:snapToGrid w:val="0"/>
              <w:spacing w:line="240" w:lineRule="auto"/>
              <w:ind w:firstLine="0" w:firstLineChars="0"/>
              <w:jc w:val="center"/>
              <w:rPr>
                <w:bCs/>
                <w:sz w:val="18"/>
                <w:szCs w:val="18"/>
              </w:rPr>
            </w:pPr>
          </w:p>
        </w:tc>
        <w:tc>
          <w:tcPr>
            <w:tcW w:w="491" w:type="pct"/>
            <w:vMerge w:val="continue"/>
            <w:tcBorders>
              <w:tl2br w:val="nil"/>
              <w:tr2bl w:val="nil"/>
            </w:tcBorders>
            <w:vAlign w:val="center"/>
          </w:tcPr>
          <w:p w14:paraId="75E0D2A7">
            <w:pPr>
              <w:adjustRightInd w:val="0"/>
              <w:snapToGrid w:val="0"/>
              <w:spacing w:line="240" w:lineRule="auto"/>
              <w:ind w:firstLine="0" w:firstLineChars="0"/>
              <w:jc w:val="center"/>
              <w:rPr>
                <w:bCs/>
                <w:sz w:val="18"/>
                <w:szCs w:val="18"/>
              </w:rPr>
            </w:pPr>
          </w:p>
        </w:tc>
        <w:tc>
          <w:tcPr>
            <w:tcW w:w="513" w:type="pct"/>
            <w:tcBorders>
              <w:tl2br w:val="nil"/>
              <w:tr2bl w:val="nil"/>
            </w:tcBorders>
            <w:vAlign w:val="center"/>
          </w:tcPr>
          <w:p w14:paraId="4CFE4C00">
            <w:pPr>
              <w:adjustRightInd w:val="0"/>
              <w:snapToGrid w:val="0"/>
              <w:spacing w:line="240" w:lineRule="auto"/>
              <w:ind w:firstLine="0" w:firstLineChars="0"/>
              <w:jc w:val="center"/>
              <w:rPr>
                <w:bCs/>
                <w:sz w:val="18"/>
                <w:szCs w:val="18"/>
              </w:rPr>
            </w:pPr>
            <w:r>
              <w:rPr>
                <w:bCs/>
                <w:sz w:val="18"/>
                <w:szCs w:val="18"/>
              </w:rPr>
              <w:t>夜间</w:t>
            </w:r>
          </w:p>
        </w:tc>
        <w:tc>
          <w:tcPr>
            <w:tcW w:w="693" w:type="pct"/>
            <w:tcBorders>
              <w:tl2br w:val="nil"/>
              <w:tr2bl w:val="nil"/>
            </w:tcBorders>
            <w:vAlign w:val="center"/>
          </w:tcPr>
          <w:p w14:paraId="52B6753D">
            <w:pPr>
              <w:adjustRightInd w:val="0"/>
              <w:snapToGrid w:val="0"/>
              <w:spacing w:line="240" w:lineRule="auto"/>
              <w:ind w:firstLine="0" w:firstLineChars="0"/>
              <w:jc w:val="center"/>
              <w:rPr>
                <w:bCs/>
                <w:sz w:val="18"/>
                <w:szCs w:val="18"/>
              </w:rPr>
            </w:pPr>
            <w:r>
              <w:rPr>
                <w:bCs/>
                <w:sz w:val="18"/>
                <w:szCs w:val="18"/>
              </w:rPr>
              <w:t>50dB(A)</w:t>
            </w:r>
          </w:p>
        </w:tc>
      </w:tr>
    </w:tbl>
    <w:p w14:paraId="284C7E8F">
      <w:pPr>
        <w:pStyle w:val="5"/>
        <w:tabs>
          <w:tab w:val="clear" w:pos="480"/>
          <w:tab w:val="clear" w:pos="840"/>
        </w:tabs>
        <w:adjustRightInd w:val="0"/>
        <w:snapToGrid w:val="0"/>
        <w:spacing w:before="0" w:after="0" w:line="360" w:lineRule="auto"/>
        <w:rPr>
          <w:rFonts w:ascii="Times New Roman" w:eastAsia="宋体"/>
          <w:sz w:val="28"/>
          <w:szCs w:val="28"/>
          <w:lang w:val="en-US"/>
        </w:rPr>
      </w:pPr>
      <w:bookmarkStart w:id="48" w:name="_Toc116977978"/>
      <w:r>
        <w:rPr>
          <w:rFonts w:hint="eastAsia" w:ascii="Times New Roman" w:eastAsia="宋体"/>
          <w:sz w:val="28"/>
          <w:szCs w:val="28"/>
          <w:lang w:val="en-US"/>
        </w:rPr>
        <w:t>2</w:t>
      </w:r>
      <w:r>
        <w:rPr>
          <w:rFonts w:ascii="Times New Roman" w:eastAsia="宋体"/>
          <w:sz w:val="28"/>
          <w:szCs w:val="28"/>
          <w:lang w:val="en-US"/>
        </w:rPr>
        <w:t>.4.3</w:t>
      </w:r>
      <w:r>
        <w:rPr>
          <w:rFonts w:hint="eastAsia" w:ascii="Times New Roman" w:eastAsia="宋体"/>
          <w:sz w:val="28"/>
          <w:szCs w:val="28"/>
          <w:lang w:val="en-US"/>
        </w:rPr>
        <w:t>固体废物</w:t>
      </w:r>
    </w:p>
    <w:p w14:paraId="199FFF2E">
      <w:pPr>
        <w:adjustRightInd w:val="0"/>
        <w:snapToGrid w:val="0"/>
        <w:ind w:firstLine="480"/>
      </w:pPr>
      <w:r>
        <w:t>执行《一般工业固体废物贮存</w:t>
      </w:r>
      <w:r>
        <w:rPr>
          <w:rFonts w:hint="eastAsia"/>
        </w:rPr>
        <w:t>和填埋</w:t>
      </w:r>
      <w:r>
        <w:t>污染控制标准》（GB18599-20</w:t>
      </w:r>
      <w:r>
        <w:rPr>
          <w:rFonts w:hint="eastAsia"/>
        </w:rPr>
        <w:t>20</w:t>
      </w:r>
      <w:r>
        <w:t>）</w:t>
      </w:r>
      <w:r>
        <w:rPr>
          <w:rFonts w:hint="eastAsia"/>
        </w:rPr>
        <w:t>标准要求；</w:t>
      </w:r>
      <w:r>
        <w:t>《危险废物贮存污染控制标准》（GB18597-2023）</w:t>
      </w:r>
      <w:r>
        <w:rPr>
          <w:rFonts w:hint="eastAsia"/>
        </w:rPr>
        <w:t>标准要求</w:t>
      </w:r>
      <w:r>
        <w:t>。</w:t>
      </w:r>
    </w:p>
    <w:p w14:paraId="2A0D494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.4.4</w:t>
      </w:r>
      <w:r>
        <w:rPr>
          <w:rFonts w:hint="eastAsia" w:ascii="Times New Roman" w:eastAsia="宋体"/>
          <w:sz w:val="28"/>
          <w:szCs w:val="28"/>
          <w:lang w:val="en-US"/>
        </w:rPr>
        <w:t>电磁环境</w:t>
      </w:r>
    </w:p>
    <w:p w14:paraId="5AC0D9CB">
      <w:pPr>
        <w:adjustRightInd w:val="0"/>
        <w:snapToGrid w:val="0"/>
        <w:ind w:firstLine="480"/>
      </w:pPr>
      <w:r>
        <w:rPr>
          <w:rFonts w:hint="eastAsia"/>
        </w:rPr>
        <w:t>公众暴露限值执行《电磁环境控制限值》（G</w:t>
      </w:r>
      <w:r>
        <w:t>B8702-2014</w:t>
      </w:r>
      <w:r>
        <w:rPr>
          <w:rFonts w:hint="eastAsia"/>
        </w:rPr>
        <w:t>）表1中频率为5</w:t>
      </w:r>
      <w:r>
        <w:t>0HZ</w:t>
      </w:r>
      <w:r>
        <w:rPr>
          <w:rFonts w:hint="eastAsia"/>
        </w:rPr>
        <w:t>所对应的标准，即工频电场强度：4</w:t>
      </w:r>
      <w:r>
        <w:t>kV</w:t>
      </w:r>
      <w:r>
        <w:rPr>
          <w:rFonts w:hint="eastAsia"/>
        </w:rPr>
        <w:t>/m；工频磁感应强度：0</w:t>
      </w:r>
      <w:r>
        <w:t>.1</w:t>
      </w:r>
      <w:r>
        <w:rPr>
          <w:rFonts w:hint="eastAsia"/>
        </w:rPr>
        <w:t>m</w:t>
      </w:r>
      <w:r>
        <w:t>T</w:t>
      </w:r>
      <w:r>
        <w:rPr>
          <w:rFonts w:hint="eastAsia"/>
        </w:rPr>
        <w:t>。</w:t>
      </w:r>
    </w:p>
    <w:p w14:paraId="33703902">
      <w:pPr>
        <w:pStyle w:val="4"/>
        <w:tabs>
          <w:tab w:val="clear" w:pos="480"/>
          <w:tab w:val="clear" w:pos="630"/>
        </w:tabs>
        <w:adjustRightInd w:val="0"/>
        <w:snapToGrid w:val="0"/>
        <w:spacing w:before="0" w:after="0"/>
        <w:rPr>
          <w:sz w:val="30"/>
          <w:szCs w:val="30"/>
          <w:lang w:val="en-US"/>
        </w:rPr>
      </w:pPr>
      <w:bookmarkStart w:id="49" w:name="_Toc143799361"/>
      <w:r>
        <w:rPr>
          <w:rFonts w:hint="eastAsia"/>
          <w:sz w:val="30"/>
          <w:szCs w:val="30"/>
          <w:lang w:val="en-US"/>
        </w:rPr>
        <w:t>2</w:t>
      </w:r>
      <w:r>
        <w:rPr>
          <w:sz w:val="30"/>
          <w:szCs w:val="30"/>
          <w:lang w:val="en-US"/>
        </w:rPr>
        <w:t>.5</w:t>
      </w:r>
      <w:r>
        <w:rPr>
          <w:rFonts w:hint="eastAsia"/>
          <w:sz w:val="30"/>
          <w:szCs w:val="30"/>
          <w:lang w:val="en-US"/>
        </w:rPr>
        <w:t>评价工作等级与评价范围</w:t>
      </w:r>
      <w:bookmarkEnd w:id="48"/>
      <w:bookmarkEnd w:id="49"/>
    </w:p>
    <w:p w14:paraId="7347C9A8">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2.5.1</w:t>
      </w:r>
      <w:r>
        <w:rPr>
          <w:rFonts w:hint="eastAsia" w:ascii="Times New Roman" w:eastAsia="宋体"/>
          <w:sz w:val="28"/>
          <w:szCs w:val="28"/>
          <w:lang w:val="en-US"/>
        </w:rPr>
        <w:t>评价工作等级</w:t>
      </w:r>
    </w:p>
    <w:bookmarkEnd w:id="33"/>
    <w:bookmarkEnd w:id="34"/>
    <w:p w14:paraId="24101A42">
      <w:pPr>
        <w:adjustRightInd w:val="0"/>
        <w:snapToGrid w:val="0"/>
        <w:ind w:firstLine="480"/>
      </w:pPr>
      <w:r>
        <w:t>根据本项目污染物排放性质、特征、项目所在地区的地形特点和环境功能区划，按照《环境影响评价技术导则》所规定的方法，确定本次环境影响评价等级和评价范围。</w:t>
      </w:r>
    </w:p>
    <w:p w14:paraId="18CC22EE">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.5.1.1环境空气</w:t>
      </w:r>
    </w:p>
    <w:p w14:paraId="6A64CCD7">
      <w:pPr>
        <w:adjustRightInd w:val="0"/>
        <w:snapToGrid w:val="0"/>
        <w:ind w:firstLine="480"/>
      </w:pPr>
      <w:r>
        <w:t>根据《环境影响评价技术导则 大气环境》（HJ2.2-2018），分别计算项目排放主要污染物的最大地面空气质量浓度占标率Pi （第i 个污染物，简称“最大浓度占标率”），及第i 个污染物的地面空气质量浓度达到标准值的10%时所对应的最远距离D</w:t>
      </w:r>
      <w:r>
        <w:rPr>
          <w:vertAlign w:val="subscript"/>
        </w:rPr>
        <w:t xml:space="preserve">10% </w:t>
      </w:r>
      <w:r>
        <w:t>来确定评价等级。</w:t>
      </w:r>
    </w:p>
    <w:p w14:paraId="38133FC7">
      <w:pPr>
        <w:adjustRightInd w:val="0"/>
        <w:snapToGrid w:val="0"/>
        <w:ind w:firstLine="480"/>
      </w:pPr>
      <w:r>
        <w:rPr>
          <w:rFonts w:hint="eastAsia"/>
        </w:rPr>
        <w:t>风电场工程属于清洁能源工程，工程对环境空气的影响仅限于施工期的施工粉尘和道路扬尘以及运营期的食堂油烟。</w:t>
      </w:r>
    </w:p>
    <w:p w14:paraId="55828FCE">
      <w:pPr>
        <w:adjustRightInd w:val="0"/>
        <w:snapToGrid w:val="0"/>
        <w:ind w:firstLine="480"/>
      </w:pPr>
      <w:r>
        <w:rPr>
          <w:rFonts w:hint="eastAsia"/>
        </w:rPr>
        <w:t>施工期工程粉尘和扬尘产生量相对较小、影响范围较近、影响时间较短，经采取措施治理后可将施工期大气环境影响降到最小 (施工结束后其污染消失) ，其最大地面浓度占标率 Pmax 小于1% 。营运期升压站食堂油烟很少，最大地面浓度占标率 Pmax 远小于1% ，评价等级为三级。</w:t>
      </w:r>
    </w:p>
    <w:p w14:paraId="0CD3BBDD">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.5.1.2</w:t>
      </w:r>
      <w:r>
        <w:rPr>
          <w:rFonts w:hint="eastAsia" w:ascii="Times New Roman" w:eastAsia="宋体"/>
          <w:sz w:val="24"/>
          <w:szCs w:val="24"/>
        </w:rPr>
        <w:t>地表水</w:t>
      </w:r>
    </w:p>
    <w:p w14:paraId="31DAC196">
      <w:pPr>
        <w:adjustRightInd w:val="0"/>
        <w:snapToGrid w:val="0"/>
        <w:ind w:firstLine="480"/>
      </w:pPr>
      <w:r>
        <w:rPr>
          <w:rFonts w:hint="eastAsia"/>
        </w:rPr>
        <w:t>本项目工程范围内无泉眼分布。项目风电场范围不开挖水体，不会对水底面积进行扰动。本项目对地表水不存在水文、径流和地表水域等方面的影响，项目针对地表水的环境影响为污染型。</w:t>
      </w:r>
    </w:p>
    <w:p w14:paraId="30416917">
      <w:pPr>
        <w:adjustRightInd w:val="0"/>
        <w:snapToGrid w:val="0"/>
        <w:ind w:firstLine="480"/>
      </w:pPr>
      <w:r>
        <w:t>根据《环境影响评价技术导则—地</w:t>
      </w:r>
      <w:r>
        <w:rPr>
          <w:rFonts w:hint="eastAsia"/>
        </w:rPr>
        <w:t>表</w:t>
      </w:r>
      <w:r>
        <w:t>水环境》（HJ/T2.3－2018），建设项目地表水环境影响评价等级按照影响类型、排放方式、排放量或影响情况、受纳水体环境质量现状、水环境保护目标等综合确定。直接排放建设项目评价等级分为一级、二级和三级A，根据废水排放量、水污染物污染当量数确定</w:t>
      </w:r>
      <w:r>
        <w:rPr>
          <w:rFonts w:hint="eastAsia"/>
        </w:rPr>
        <w:t>。本项目地表水评价级别判据见下表。</w:t>
      </w:r>
    </w:p>
    <w:p w14:paraId="586969C7">
      <w:pPr>
        <w:adjustRightInd w:val="0"/>
        <w:snapToGrid w:val="0"/>
        <w:spacing w:line="240" w:lineRule="auto"/>
        <w:ind w:firstLine="0" w:firstLineChars="0"/>
        <w:jc w:val="center"/>
        <w:rPr>
          <w:b/>
          <w:bCs/>
        </w:rPr>
      </w:pPr>
      <w:r>
        <w:rPr>
          <w:rFonts w:hint="eastAsia"/>
          <w:b/>
          <w:bCs/>
        </w:rPr>
        <w:t>表</w:t>
      </w:r>
      <w:r>
        <w:rPr>
          <w:b/>
          <w:bCs/>
        </w:rPr>
        <w:t>2.5</w:t>
      </w:r>
      <w:r>
        <w:rPr>
          <w:rFonts w:hint="eastAsia"/>
          <w:b/>
          <w:bCs/>
        </w:rPr>
        <w:t>-</w:t>
      </w:r>
      <w:r>
        <w:rPr>
          <w:b/>
          <w:bCs/>
        </w:rPr>
        <w:t>1水污染影响型建设项目影响评价工作等级判定表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663"/>
        <w:gridCol w:w="5628"/>
      </w:tblGrid>
      <w:tr w14:paraId="4E5E7D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25" w:type="pct"/>
            <w:vMerge w:val="restart"/>
            <w:vAlign w:val="center"/>
          </w:tcPr>
          <w:p w14:paraId="5F0BC9A3">
            <w:pPr>
              <w:tabs>
                <w:tab w:val="clear" w:pos="480"/>
              </w:tabs>
              <w:adjustRightInd w:val="0"/>
              <w:snapToGrid w:val="0"/>
              <w:spacing w:line="240" w:lineRule="auto"/>
              <w:ind w:firstLine="0" w:firstLineChars="0"/>
              <w:jc w:val="center"/>
              <w:rPr>
                <w:sz w:val="21"/>
                <w:szCs w:val="21"/>
              </w:rPr>
            </w:pPr>
            <w:r>
              <w:rPr>
                <w:sz w:val="21"/>
                <w:szCs w:val="21"/>
              </w:rPr>
              <w:t>评价等级</w:t>
            </w:r>
          </w:p>
        </w:tc>
        <w:tc>
          <w:tcPr>
            <w:tcW w:w="4275" w:type="pct"/>
            <w:gridSpan w:val="2"/>
            <w:vAlign w:val="center"/>
          </w:tcPr>
          <w:p w14:paraId="624363F4">
            <w:pPr>
              <w:tabs>
                <w:tab w:val="clear" w:pos="480"/>
              </w:tabs>
              <w:adjustRightInd w:val="0"/>
              <w:snapToGrid w:val="0"/>
              <w:spacing w:line="240" w:lineRule="auto"/>
              <w:ind w:firstLine="0" w:firstLineChars="0"/>
              <w:jc w:val="center"/>
              <w:rPr>
                <w:sz w:val="21"/>
                <w:szCs w:val="21"/>
              </w:rPr>
            </w:pPr>
            <w:r>
              <w:rPr>
                <w:sz w:val="21"/>
                <w:szCs w:val="21"/>
              </w:rPr>
              <w:t>受纳水体情况</w:t>
            </w:r>
          </w:p>
        </w:tc>
      </w:tr>
      <w:tr w14:paraId="38750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25" w:type="pct"/>
            <w:vMerge w:val="continue"/>
            <w:vAlign w:val="center"/>
          </w:tcPr>
          <w:p w14:paraId="1A018CFD">
            <w:pPr>
              <w:widowControl/>
              <w:tabs>
                <w:tab w:val="clear" w:pos="480"/>
              </w:tabs>
              <w:adjustRightInd w:val="0"/>
              <w:snapToGrid w:val="0"/>
              <w:spacing w:line="240" w:lineRule="auto"/>
              <w:ind w:firstLine="0" w:firstLineChars="0"/>
              <w:rPr>
                <w:sz w:val="21"/>
                <w:szCs w:val="21"/>
              </w:rPr>
            </w:pPr>
          </w:p>
        </w:tc>
        <w:tc>
          <w:tcPr>
            <w:tcW w:w="975" w:type="pct"/>
            <w:vAlign w:val="center"/>
          </w:tcPr>
          <w:p w14:paraId="488A988E">
            <w:pPr>
              <w:tabs>
                <w:tab w:val="clear" w:pos="480"/>
              </w:tabs>
              <w:adjustRightInd w:val="0"/>
              <w:snapToGrid w:val="0"/>
              <w:spacing w:line="240" w:lineRule="auto"/>
              <w:ind w:firstLine="0" w:firstLineChars="0"/>
              <w:jc w:val="center"/>
              <w:rPr>
                <w:sz w:val="21"/>
                <w:szCs w:val="21"/>
              </w:rPr>
            </w:pPr>
            <w:r>
              <w:rPr>
                <w:sz w:val="21"/>
                <w:szCs w:val="21"/>
              </w:rPr>
              <w:t>排放方式</w:t>
            </w:r>
          </w:p>
        </w:tc>
        <w:tc>
          <w:tcPr>
            <w:tcW w:w="3300" w:type="pct"/>
            <w:vAlign w:val="center"/>
          </w:tcPr>
          <w:p w14:paraId="080B66D7">
            <w:pPr>
              <w:tabs>
                <w:tab w:val="clear" w:pos="480"/>
              </w:tabs>
              <w:adjustRightInd w:val="0"/>
              <w:snapToGrid w:val="0"/>
              <w:spacing w:line="240" w:lineRule="auto"/>
              <w:ind w:firstLine="0" w:firstLineChars="0"/>
              <w:jc w:val="center"/>
              <w:rPr>
                <w:sz w:val="21"/>
                <w:szCs w:val="21"/>
              </w:rPr>
            </w:pPr>
            <w:r>
              <w:rPr>
                <w:sz w:val="21"/>
                <w:szCs w:val="21"/>
              </w:rPr>
              <w:t>废水排放量Q/（m</w:t>
            </w:r>
            <w:r>
              <w:rPr>
                <w:sz w:val="21"/>
                <w:szCs w:val="21"/>
                <w:vertAlign w:val="superscript"/>
              </w:rPr>
              <w:t>3</w:t>
            </w:r>
            <w:r>
              <w:rPr>
                <w:sz w:val="21"/>
                <w:szCs w:val="21"/>
              </w:rPr>
              <w:t>/d）水污染物当量数W/（无量纲）</w:t>
            </w:r>
          </w:p>
        </w:tc>
      </w:tr>
      <w:tr w14:paraId="3A2373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25" w:type="pct"/>
            <w:vAlign w:val="center"/>
          </w:tcPr>
          <w:p w14:paraId="7C5246E2">
            <w:pPr>
              <w:tabs>
                <w:tab w:val="clear" w:pos="480"/>
              </w:tabs>
              <w:adjustRightInd w:val="0"/>
              <w:snapToGrid w:val="0"/>
              <w:spacing w:line="240" w:lineRule="auto"/>
              <w:ind w:firstLine="0" w:firstLineChars="0"/>
              <w:jc w:val="center"/>
              <w:rPr>
                <w:sz w:val="21"/>
                <w:szCs w:val="21"/>
              </w:rPr>
            </w:pPr>
            <w:r>
              <w:rPr>
                <w:sz w:val="21"/>
                <w:szCs w:val="21"/>
              </w:rPr>
              <w:t>一级</w:t>
            </w:r>
          </w:p>
        </w:tc>
        <w:tc>
          <w:tcPr>
            <w:tcW w:w="975" w:type="pct"/>
            <w:vAlign w:val="center"/>
          </w:tcPr>
          <w:p w14:paraId="7B763705">
            <w:pPr>
              <w:tabs>
                <w:tab w:val="clear" w:pos="480"/>
              </w:tabs>
              <w:adjustRightInd w:val="0"/>
              <w:snapToGrid w:val="0"/>
              <w:spacing w:line="240" w:lineRule="auto"/>
              <w:ind w:firstLine="0" w:firstLineChars="0"/>
              <w:jc w:val="center"/>
              <w:rPr>
                <w:sz w:val="21"/>
                <w:szCs w:val="21"/>
              </w:rPr>
            </w:pPr>
            <w:r>
              <w:rPr>
                <w:sz w:val="21"/>
                <w:szCs w:val="21"/>
              </w:rPr>
              <w:t>直接排放</w:t>
            </w:r>
          </w:p>
        </w:tc>
        <w:tc>
          <w:tcPr>
            <w:tcW w:w="3300" w:type="pct"/>
            <w:vAlign w:val="center"/>
          </w:tcPr>
          <w:p w14:paraId="0129C2D1">
            <w:pPr>
              <w:tabs>
                <w:tab w:val="clear" w:pos="480"/>
              </w:tabs>
              <w:adjustRightInd w:val="0"/>
              <w:snapToGrid w:val="0"/>
              <w:spacing w:line="240" w:lineRule="auto"/>
              <w:ind w:firstLine="0" w:firstLineChars="0"/>
              <w:jc w:val="center"/>
              <w:rPr>
                <w:sz w:val="21"/>
                <w:szCs w:val="21"/>
              </w:rPr>
            </w:pPr>
            <w:r>
              <w:rPr>
                <w:sz w:val="21"/>
                <w:szCs w:val="21"/>
              </w:rPr>
              <w:t>Q≥20000或W≥600000</w:t>
            </w:r>
          </w:p>
        </w:tc>
      </w:tr>
      <w:tr w14:paraId="5102D3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25" w:type="pct"/>
            <w:vAlign w:val="center"/>
          </w:tcPr>
          <w:p w14:paraId="7D03F94C">
            <w:pPr>
              <w:tabs>
                <w:tab w:val="clear" w:pos="480"/>
              </w:tabs>
              <w:adjustRightInd w:val="0"/>
              <w:snapToGrid w:val="0"/>
              <w:spacing w:line="240" w:lineRule="auto"/>
              <w:ind w:firstLine="0" w:firstLineChars="0"/>
              <w:jc w:val="center"/>
              <w:rPr>
                <w:sz w:val="21"/>
                <w:szCs w:val="21"/>
              </w:rPr>
            </w:pPr>
            <w:r>
              <w:rPr>
                <w:sz w:val="21"/>
                <w:szCs w:val="21"/>
              </w:rPr>
              <w:t>二级</w:t>
            </w:r>
          </w:p>
        </w:tc>
        <w:tc>
          <w:tcPr>
            <w:tcW w:w="975" w:type="pct"/>
            <w:vAlign w:val="center"/>
          </w:tcPr>
          <w:p w14:paraId="1C7FD525">
            <w:pPr>
              <w:tabs>
                <w:tab w:val="clear" w:pos="480"/>
              </w:tabs>
              <w:adjustRightInd w:val="0"/>
              <w:snapToGrid w:val="0"/>
              <w:spacing w:line="240" w:lineRule="auto"/>
              <w:ind w:firstLine="0" w:firstLineChars="0"/>
              <w:jc w:val="center"/>
              <w:rPr>
                <w:sz w:val="21"/>
                <w:szCs w:val="21"/>
              </w:rPr>
            </w:pPr>
            <w:r>
              <w:rPr>
                <w:sz w:val="21"/>
                <w:szCs w:val="21"/>
              </w:rPr>
              <w:t>直接排放</w:t>
            </w:r>
          </w:p>
        </w:tc>
        <w:tc>
          <w:tcPr>
            <w:tcW w:w="3300" w:type="pct"/>
            <w:vAlign w:val="center"/>
          </w:tcPr>
          <w:p w14:paraId="6F209BB8">
            <w:pPr>
              <w:tabs>
                <w:tab w:val="clear" w:pos="480"/>
              </w:tabs>
              <w:adjustRightInd w:val="0"/>
              <w:snapToGrid w:val="0"/>
              <w:spacing w:line="240" w:lineRule="auto"/>
              <w:ind w:firstLine="0" w:firstLineChars="0"/>
              <w:jc w:val="center"/>
              <w:rPr>
                <w:sz w:val="21"/>
                <w:szCs w:val="21"/>
              </w:rPr>
            </w:pPr>
            <w:r>
              <w:rPr>
                <w:sz w:val="21"/>
                <w:szCs w:val="21"/>
              </w:rPr>
              <w:t>其他</w:t>
            </w:r>
          </w:p>
        </w:tc>
      </w:tr>
      <w:tr w14:paraId="40FA52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25" w:type="pct"/>
            <w:vAlign w:val="center"/>
          </w:tcPr>
          <w:p w14:paraId="747071A8">
            <w:pPr>
              <w:tabs>
                <w:tab w:val="clear" w:pos="480"/>
              </w:tabs>
              <w:adjustRightInd w:val="0"/>
              <w:snapToGrid w:val="0"/>
              <w:spacing w:line="240" w:lineRule="auto"/>
              <w:ind w:firstLine="0" w:firstLineChars="0"/>
              <w:jc w:val="center"/>
              <w:rPr>
                <w:sz w:val="21"/>
                <w:szCs w:val="21"/>
              </w:rPr>
            </w:pPr>
            <w:r>
              <w:rPr>
                <w:sz w:val="21"/>
                <w:szCs w:val="21"/>
              </w:rPr>
              <w:t>三级A</w:t>
            </w:r>
          </w:p>
        </w:tc>
        <w:tc>
          <w:tcPr>
            <w:tcW w:w="975" w:type="pct"/>
            <w:vAlign w:val="center"/>
          </w:tcPr>
          <w:p w14:paraId="18C52794">
            <w:pPr>
              <w:tabs>
                <w:tab w:val="clear" w:pos="480"/>
              </w:tabs>
              <w:adjustRightInd w:val="0"/>
              <w:snapToGrid w:val="0"/>
              <w:spacing w:line="240" w:lineRule="auto"/>
              <w:ind w:firstLine="0" w:firstLineChars="0"/>
              <w:jc w:val="center"/>
              <w:rPr>
                <w:sz w:val="21"/>
                <w:szCs w:val="21"/>
              </w:rPr>
            </w:pPr>
            <w:r>
              <w:rPr>
                <w:sz w:val="21"/>
                <w:szCs w:val="21"/>
              </w:rPr>
              <w:t>直接排放</w:t>
            </w:r>
          </w:p>
        </w:tc>
        <w:tc>
          <w:tcPr>
            <w:tcW w:w="3300" w:type="pct"/>
            <w:vAlign w:val="center"/>
          </w:tcPr>
          <w:p w14:paraId="5E8C21D2">
            <w:pPr>
              <w:tabs>
                <w:tab w:val="clear" w:pos="480"/>
              </w:tabs>
              <w:adjustRightInd w:val="0"/>
              <w:snapToGrid w:val="0"/>
              <w:spacing w:line="240" w:lineRule="auto"/>
              <w:ind w:firstLine="0" w:firstLineChars="0"/>
              <w:jc w:val="center"/>
              <w:rPr>
                <w:sz w:val="21"/>
                <w:szCs w:val="21"/>
              </w:rPr>
            </w:pPr>
            <w:r>
              <w:rPr>
                <w:sz w:val="21"/>
                <w:szCs w:val="21"/>
              </w:rPr>
              <w:t>Q&lt;200且W&lt;6000</w:t>
            </w:r>
          </w:p>
        </w:tc>
      </w:tr>
      <w:tr w14:paraId="413017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25" w:type="pct"/>
            <w:vAlign w:val="center"/>
          </w:tcPr>
          <w:p w14:paraId="5E4D1010">
            <w:pPr>
              <w:tabs>
                <w:tab w:val="clear" w:pos="480"/>
              </w:tabs>
              <w:adjustRightInd w:val="0"/>
              <w:snapToGrid w:val="0"/>
              <w:spacing w:line="240" w:lineRule="auto"/>
              <w:ind w:firstLine="0" w:firstLineChars="0"/>
              <w:jc w:val="center"/>
              <w:rPr>
                <w:sz w:val="21"/>
                <w:szCs w:val="21"/>
              </w:rPr>
            </w:pPr>
            <w:r>
              <w:rPr>
                <w:sz w:val="21"/>
                <w:szCs w:val="21"/>
              </w:rPr>
              <w:t>三级B</w:t>
            </w:r>
          </w:p>
        </w:tc>
        <w:tc>
          <w:tcPr>
            <w:tcW w:w="975" w:type="pct"/>
            <w:vAlign w:val="center"/>
          </w:tcPr>
          <w:p w14:paraId="4D6E2335">
            <w:pPr>
              <w:tabs>
                <w:tab w:val="clear" w:pos="480"/>
              </w:tabs>
              <w:adjustRightInd w:val="0"/>
              <w:snapToGrid w:val="0"/>
              <w:spacing w:line="240" w:lineRule="auto"/>
              <w:ind w:firstLine="0" w:firstLineChars="0"/>
              <w:jc w:val="center"/>
              <w:rPr>
                <w:sz w:val="21"/>
                <w:szCs w:val="21"/>
              </w:rPr>
            </w:pPr>
            <w:r>
              <w:rPr>
                <w:sz w:val="21"/>
                <w:szCs w:val="21"/>
              </w:rPr>
              <w:t>间接排放</w:t>
            </w:r>
          </w:p>
        </w:tc>
        <w:tc>
          <w:tcPr>
            <w:tcW w:w="3300" w:type="pct"/>
            <w:vAlign w:val="center"/>
          </w:tcPr>
          <w:p w14:paraId="15498997">
            <w:pPr>
              <w:tabs>
                <w:tab w:val="clear" w:pos="480"/>
              </w:tabs>
              <w:adjustRightInd w:val="0"/>
              <w:snapToGrid w:val="0"/>
              <w:spacing w:line="240" w:lineRule="auto"/>
              <w:ind w:firstLine="0" w:firstLineChars="0"/>
              <w:jc w:val="center"/>
              <w:rPr>
                <w:sz w:val="21"/>
                <w:szCs w:val="21"/>
              </w:rPr>
            </w:pPr>
            <w:r>
              <w:rPr>
                <w:sz w:val="21"/>
                <w:szCs w:val="21"/>
              </w:rPr>
              <w:t>—</w:t>
            </w:r>
          </w:p>
        </w:tc>
      </w:tr>
      <w:tr w14:paraId="56C404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000" w:type="pct"/>
            <w:gridSpan w:val="3"/>
            <w:vAlign w:val="center"/>
          </w:tcPr>
          <w:p w14:paraId="6D00C6C8">
            <w:pPr>
              <w:tabs>
                <w:tab w:val="clear" w:pos="480"/>
              </w:tabs>
              <w:adjustRightInd w:val="0"/>
              <w:snapToGrid w:val="0"/>
              <w:spacing w:line="240" w:lineRule="auto"/>
              <w:ind w:firstLine="0" w:firstLineChars="0"/>
              <w:rPr>
                <w:sz w:val="18"/>
                <w:szCs w:val="18"/>
              </w:rPr>
            </w:pPr>
            <w:r>
              <w:rPr>
                <w:sz w:val="18"/>
                <w:szCs w:val="18"/>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三级B。</w:t>
            </w:r>
          </w:p>
          <w:p w14:paraId="51D6DA58">
            <w:pPr>
              <w:tabs>
                <w:tab w:val="clear" w:pos="480"/>
              </w:tabs>
              <w:adjustRightInd w:val="0"/>
              <w:snapToGrid w:val="0"/>
              <w:spacing w:line="240" w:lineRule="auto"/>
              <w:ind w:firstLine="0" w:firstLineChars="0"/>
              <w:rPr>
                <w:sz w:val="18"/>
                <w:szCs w:val="18"/>
              </w:rPr>
            </w:pPr>
            <w:r>
              <w:rPr>
                <w:sz w:val="18"/>
                <w:szCs w:val="18"/>
              </w:rPr>
              <w:t>注2：废水排放量按行业排放标准中规定的废水种类统计，没有相关行业排放标准要求的通过工程分析合理确定，应统数从大到小排序，取最大当量数作为建设项目评价等级确定的依据。计含热量大的冷却水的排放量，可不统计间接冷却水、循环水以及其他含污染物极少的清净下水的排放量。</w:t>
            </w:r>
          </w:p>
          <w:p w14:paraId="3A834D31">
            <w:pPr>
              <w:tabs>
                <w:tab w:val="clear" w:pos="480"/>
              </w:tabs>
              <w:adjustRightInd w:val="0"/>
              <w:snapToGrid w:val="0"/>
              <w:spacing w:line="240" w:lineRule="auto"/>
              <w:ind w:firstLine="0" w:firstLineChars="0"/>
              <w:rPr>
                <w:sz w:val="18"/>
                <w:szCs w:val="18"/>
              </w:rPr>
            </w:pPr>
            <w:r>
              <w:rPr>
                <w:sz w:val="18"/>
                <w:szCs w:val="18"/>
              </w:rPr>
              <w:t>注3：厂区存在堆积物（露天堆放的原料、燃料、废渣等以及垃圾堆放场）、降尘污染的，应将初期雨污水纳入废水排放量，相应的主要污染物纳入水污染当量计算。</w:t>
            </w:r>
          </w:p>
          <w:p w14:paraId="5A3527DE">
            <w:pPr>
              <w:tabs>
                <w:tab w:val="clear" w:pos="480"/>
              </w:tabs>
              <w:adjustRightInd w:val="0"/>
              <w:snapToGrid w:val="0"/>
              <w:spacing w:line="240" w:lineRule="auto"/>
              <w:ind w:firstLine="0" w:firstLineChars="0"/>
              <w:rPr>
                <w:sz w:val="18"/>
                <w:szCs w:val="18"/>
              </w:rPr>
            </w:pPr>
            <w:r>
              <w:rPr>
                <w:sz w:val="18"/>
                <w:szCs w:val="18"/>
              </w:rPr>
              <w:t>注4：建设项目直接排放第一类污染物的，其评价等级为一级；建设项目直接排放的污染物为受纳水体超标因子的，评价等级不低于二级。</w:t>
            </w:r>
          </w:p>
          <w:p w14:paraId="44474C09">
            <w:pPr>
              <w:tabs>
                <w:tab w:val="clear" w:pos="480"/>
              </w:tabs>
              <w:adjustRightInd w:val="0"/>
              <w:snapToGrid w:val="0"/>
              <w:spacing w:line="240" w:lineRule="auto"/>
              <w:ind w:firstLine="0" w:firstLineChars="0"/>
              <w:rPr>
                <w:sz w:val="18"/>
                <w:szCs w:val="18"/>
              </w:rPr>
            </w:pPr>
            <w:r>
              <w:rPr>
                <w:sz w:val="18"/>
                <w:szCs w:val="18"/>
              </w:rPr>
              <w:t>注5：直接排放受纳水体影响范围涉及饮用水水源保护区、饮用水取水口、重点保护与珍稀水生生物的栖息地、重要水的特征生生物的自然产卵场等保护目标时，评价等级不低于二级。</w:t>
            </w:r>
          </w:p>
          <w:p w14:paraId="7E3CCDAE">
            <w:pPr>
              <w:tabs>
                <w:tab w:val="clear" w:pos="480"/>
              </w:tabs>
              <w:adjustRightInd w:val="0"/>
              <w:snapToGrid w:val="0"/>
              <w:spacing w:line="240" w:lineRule="auto"/>
              <w:ind w:firstLine="0" w:firstLineChars="0"/>
              <w:rPr>
                <w:sz w:val="18"/>
                <w:szCs w:val="18"/>
              </w:rPr>
            </w:pPr>
            <w:r>
              <w:rPr>
                <w:sz w:val="18"/>
                <w:szCs w:val="18"/>
              </w:rPr>
              <w:t>注6：建设项目向河流、湖库排放温排水引起受纳水体水温变化超过水环境质量标准要求，且评价范围有水温敏感目标段、入冲刻时，评价等级为一级。</w:t>
            </w:r>
          </w:p>
          <w:p w14:paraId="7DAB994C">
            <w:pPr>
              <w:tabs>
                <w:tab w:val="clear" w:pos="480"/>
              </w:tabs>
              <w:adjustRightInd w:val="0"/>
              <w:snapToGrid w:val="0"/>
              <w:spacing w:line="240" w:lineRule="auto"/>
              <w:ind w:firstLine="0" w:firstLineChars="0"/>
              <w:rPr>
                <w:sz w:val="18"/>
                <w:szCs w:val="18"/>
              </w:rPr>
            </w:pPr>
            <w:r>
              <w:rPr>
                <w:sz w:val="18"/>
                <w:szCs w:val="18"/>
              </w:rPr>
              <w:t>注7：建设项目利用海水作为调节温度介质，排水量≥500万m</w:t>
            </w:r>
            <w:r>
              <w:rPr>
                <w:sz w:val="18"/>
                <w:szCs w:val="18"/>
                <w:vertAlign w:val="superscript"/>
              </w:rPr>
              <w:t>3</w:t>
            </w:r>
            <w:r>
              <w:rPr>
                <w:sz w:val="18"/>
                <w:szCs w:val="18"/>
              </w:rPr>
              <w:t>/d，评价等级为一级；排水量&lt;500万m</w:t>
            </w:r>
            <w:r>
              <w:rPr>
                <w:sz w:val="18"/>
                <w:szCs w:val="18"/>
                <w:vertAlign w:val="superscript"/>
              </w:rPr>
              <w:t>3</w:t>
            </w:r>
            <w:r>
              <w:rPr>
                <w:sz w:val="18"/>
                <w:szCs w:val="18"/>
              </w:rPr>
              <w:t>/d，评价等级为二级。</w:t>
            </w:r>
          </w:p>
          <w:p w14:paraId="3B24FA03">
            <w:pPr>
              <w:tabs>
                <w:tab w:val="clear" w:pos="480"/>
              </w:tabs>
              <w:adjustRightInd w:val="0"/>
              <w:snapToGrid w:val="0"/>
              <w:spacing w:line="240" w:lineRule="auto"/>
              <w:ind w:firstLine="0" w:firstLineChars="0"/>
              <w:rPr>
                <w:sz w:val="18"/>
                <w:szCs w:val="18"/>
              </w:rPr>
            </w:pPr>
            <w:r>
              <w:rPr>
                <w:sz w:val="18"/>
                <w:szCs w:val="18"/>
              </w:rPr>
              <w:t>注8：仅涉及清净下水排放的，如其排放水质满足受纳水体水环境质量标准要求的，评价等级为三级A。</w:t>
            </w:r>
          </w:p>
          <w:p w14:paraId="1498133E">
            <w:pPr>
              <w:tabs>
                <w:tab w:val="clear" w:pos="480"/>
              </w:tabs>
              <w:adjustRightInd w:val="0"/>
              <w:snapToGrid w:val="0"/>
              <w:spacing w:line="240" w:lineRule="auto"/>
              <w:ind w:firstLine="0" w:firstLineChars="0"/>
              <w:rPr>
                <w:sz w:val="18"/>
                <w:szCs w:val="18"/>
              </w:rPr>
            </w:pPr>
            <w:r>
              <w:rPr>
                <w:sz w:val="18"/>
                <w:szCs w:val="18"/>
              </w:rPr>
              <w:t>注9：依托现有排放口，且对外环境未新增排放污染物的直接排放建设项目，评价等级参照间接排放，定为三级B。</w:t>
            </w:r>
          </w:p>
          <w:p w14:paraId="2926F64F">
            <w:pPr>
              <w:tabs>
                <w:tab w:val="clear" w:pos="480"/>
              </w:tabs>
              <w:adjustRightInd w:val="0"/>
              <w:snapToGrid w:val="0"/>
              <w:spacing w:line="240" w:lineRule="auto"/>
              <w:ind w:firstLine="0" w:firstLineChars="0"/>
              <w:rPr>
                <w:sz w:val="18"/>
                <w:szCs w:val="18"/>
              </w:rPr>
            </w:pPr>
            <w:r>
              <w:rPr>
                <w:sz w:val="18"/>
                <w:szCs w:val="18"/>
              </w:rPr>
              <w:t>注10：建设项目生产工艺中有废水产生，但作为回水利用，不排放到外环境的，按三级B评价。</w:t>
            </w:r>
          </w:p>
        </w:tc>
      </w:tr>
    </w:tbl>
    <w:p w14:paraId="38F8E69E">
      <w:pPr>
        <w:adjustRightInd w:val="0"/>
        <w:snapToGrid w:val="0"/>
        <w:ind w:firstLine="480"/>
      </w:pPr>
      <w:r>
        <w:rPr>
          <w:rFonts w:hint="eastAsia"/>
        </w:rPr>
        <w:t>本项目运营期无生产废水产生，运营期产生的废水主要为升压站工作人员产生的生活污水。生活污水经一体化污水处理设施处理后用于升压站周边绿化，不外排。因此，</w:t>
      </w:r>
      <w:r>
        <w:t>本项目</w:t>
      </w:r>
      <w:r>
        <w:rPr>
          <w:rFonts w:hint="eastAsia"/>
        </w:rPr>
        <w:t>地表水环境影响</w:t>
      </w:r>
      <w:r>
        <w:t>评价工作等级为</w:t>
      </w:r>
      <w:r>
        <w:rPr>
          <w:rFonts w:hint="eastAsia"/>
        </w:rPr>
        <w:t>“</w:t>
      </w:r>
      <w:r>
        <w:t>三级B</w:t>
      </w:r>
      <w:r>
        <w:rPr>
          <w:rFonts w:hint="eastAsia"/>
        </w:rPr>
        <w:t>”</w:t>
      </w:r>
      <w:r>
        <w:t>。</w:t>
      </w:r>
    </w:p>
    <w:p w14:paraId="3FB41371">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.5.1.3</w:t>
      </w:r>
      <w:r>
        <w:rPr>
          <w:rFonts w:hint="eastAsia" w:ascii="Times New Roman" w:eastAsia="宋体"/>
          <w:sz w:val="24"/>
          <w:szCs w:val="24"/>
        </w:rPr>
        <w:t>地下水</w:t>
      </w:r>
    </w:p>
    <w:p w14:paraId="7A5A99EF">
      <w:pPr>
        <w:adjustRightInd w:val="0"/>
        <w:snapToGrid w:val="0"/>
        <w:ind w:firstLine="480"/>
      </w:pPr>
      <w:r>
        <w:rPr>
          <w:rFonts w:hint="eastAsia"/>
        </w:rPr>
        <w:t>本项目为陆上风力发电项目，总装机规模为</w:t>
      </w:r>
      <w:r>
        <w:t>5.0</w:t>
      </w:r>
      <w:r>
        <w:rPr>
          <w:rFonts w:hint="eastAsia"/>
        </w:rPr>
        <w:t>万千瓦，项目涉及饮用水水源二级保护区。根据《环境影响评价技术导则 地下水环境》 (HJ610－2016) 附录 A 地下水环境 影响评价行业分类表，本项目属于“E电力—34、其他能源发电——海上潮汐电 站、波浪电站、温差电站等；涉及环境敏感区的总装机容量5万千瓦及以上的风力发电”报告书项目，地下水环境影响评价项目类别为“Ⅳ类”。</w:t>
      </w:r>
    </w:p>
    <w:p w14:paraId="00D05566">
      <w:pPr>
        <w:adjustRightInd w:val="0"/>
        <w:snapToGrid w:val="0"/>
        <w:ind w:firstLine="480"/>
      </w:pPr>
      <w:r>
        <w:rPr>
          <w:rFonts w:hint="eastAsia"/>
        </w:rPr>
        <w:t>根据《环境影响评价技术导则 地下水环境》 (HJ610－2016)，Ⅳ类建设项目不开展地下水环境影响评价。</w:t>
      </w:r>
    </w:p>
    <w:p w14:paraId="5368C900">
      <w:pPr>
        <w:adjustRightInd w:val="0"/>
        <w:snapToGrid w:val="0"/>
        <w:ind w:firstLine="480"/>
      </w:pPr>
      <w:r>
        <w:rPr>
          <w:rFonts w:hint="eastAsia"/>
        </w:rPr>
        <w:t>因此，本项目无需开展地下水环境影响评价。</w:t>
      </w:r>
    </w:p>
    <w:p w14:paraId="75F3DF83">
      <w:pPr>
        <w:pStyle w:val="6"/>
        <w:numPr>
          <w:ilvl w:val="0"/>
          <w:numId w:val="0"/>
        </w:numPr>
        <w:adjustRightInd w:val="0"/>
        <w:snapToGrid w:val="0"/>
        <w:spacing w:before="0" w:after="0"/>
      </w:pPr>
      <w:r>
        <w:rPr>
          <w:rFonts w:hint="eastAsia" w:ascii="Times New Roman" w:eastAsia="宋体"/>
          <w:sz w:val="24"/>
          <w:szCs w:val="24"/>
        </w:rPr>
        <w:t>2</w:t>
      </w:r>
      <w:r>
        <w:rPr>
          <w:rFonts w:ascii="Times New Roman" w:eastAsia="宋体"/>
          <w:sz w:val="24"/>
          <w:szCs w:val="24"/>
        </w:rPr>
        <w:t>.5.1.4</w:t>
      </w:r>
      <w:r>
        <w:rPr>
          <w:rFonts w:hint="eastAsia" w:ascii="Times New Roman" w:eastAsia="宋体"/>
          <w:sz w:val="24"/>
          <w:szCs w:val="24"/>
        </w:rPr>
        <w:t>声环境</w:t>
      </w:r>
    </w:p>
    <w:p w14:paraId="27D29A14">
      <w:pPr>
        <w:adjustRightInd w:val="0"/>
        <w:snapToGrid w:val="0"/>
        <w:ind w:firstLine="480"/>
      </w:pPr>
      <w:r>
        <w:rPr>
          <w:rFonts w:hint="eastAsia"/>
        </w:rPr>
        <w:t>根据《环境影响评价技术导则—声环境》 (HJ2.4-20</w:t>
      </w:r>
      <w:r>
        <w:t>21</w:t>
      </w:r>
      <w:r>
        <w:rPr>
          <w:rFonts w:hint="eastAsia"/>
        </w:rPr>
        <w:t>) 划分，经预测，本项目建设前后评价范围内声环境敏感目标噪声级增高量达5dB(A)以上 。因此，声环境影响评价等级为一级</w:t>
      </w:r>
      <w:r>
        <w:t>。</w:t>
      </w:r>
    </w:p>
    <w:p w14:paraId="556DC3E9">
      <w:pPr>
        <w:pStyle w:val="6"/>
        <w:numPr>
          <w:ilvl w:val="0"/>
          <w:numId w:val="0"/>
        </w:numPr>
        <w:adjustRightInd w:val="0"/>
        <w:snapToGrid w:val="0"/>
        <w:spacing w:before="0" w:after="0"/>
      </w:pPr>
      <w:r>
        <w:rPr>
          <w:rFonts w:hint="eastAsia" w:ascii="Times New Roman" w:eastAsia="宋体"/>
          <w:sz w:val="24"/>
          <w:szCs w:val="24"/>
        </w:rPr>
        <w:t>2</w:t>
      </w:r>
      <w:r>
        <w:rPr>
          <w:rFonts w:ascii="Times New Roman" w:eastAsia="宋体"/>
          <w:sz w:val="24"/>
          <w:szCs w:val="24"/>
        </w:rPr>
        <w:t>.5.1.5</w:t>
      </w:r>
      <w:r>
        <w:rPr>
          <w:rFonts w:hint="eastAsia" w:ascii="Times New Roman" w:eastAsia="宋体"/>
          <w:sz w:val="24"/>
          <w:szCs w:val="24"/>
        </w:rPr>
        <w:t>环境风险</w:t>
      </w:r>
    </w:p>
    <w:p w14:paraId="6F01A8E5">
      <w:pPr>
        <w:adjustRightInd w:val="0"/>
        <w:snapToGrid w:val="0"/>
        <w:ind w:firstLine="480"/>
      </w:pPr>
      <w:r>
        <w:t>根据《建设项目环境风险评价技术导则》（HJ169-2018）的规定，根据建设项目涉及的物质及工艺系统危险性和所在地的环境敏感性确定环境风险潜势，将环境风险评价工作划分为一、二、三级及简单分析。</w:t>
      </w:r>
    </w:p>
    <w:p w14:paraId="2DB93E92">
      <w:pPr>
        <w:adjustRightInd w:val="0"/>
        <w:snapToGrid w:val="0"/>
        <w:spacing w:line="240" w:lineRule="auto"/>
        <w:ind w:firstLine="0" w:firstLineChars="0"/>
        <w:jc w:val="center"/>
        <w:rPr>
          <w:b/>
          <w:bCs/>
        </w:rPr>
      </w:pPr>
      <w:r>
        <w:rPr>
          <w:rFonts w:hint="eastAsia"/>
          <w:b/>
          <w:bCs/>
        </w:rPr>
        <w:t>表</w:t>
      </w:r>
      <w:r>
        <w:rPr>
          <w:b/>
          <w:bCs/>
        </w:rPr>
        <w:t>2.5</w:t>
      </w:r>
      <w:r>
        <w:rPr>
          <w:rFonts w:hint="eastAsia"/>
          <w:b/>
          <w:bCs/>
        </w:rPr>
        <w:t>-</w:t>
      </w:r>
      <w:r>
        <w:rPr>
          <w:b/>
          <w:bCs/>
        </w:rPr>
        <w:t>2环境风险评价工作等级划分表</w:t>
      </w:r>
    </w:p>
    <w:tbl>
      <w:tblPr>
        <w:tblStyle w:val="359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91"/>
        <w:gridCol w:w="1458"/>
        <w:gridCol w:w="1712"/>
        <w:gridCol w:w="2180"/>
        <w:gridCol w:w="1586"/>
      </w:tblGrid>
      <w:tr w14:paraId="52695E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33" w:type="pct"/>
            <w:vAlign w:val="center"/>
          </w:tcPr>
          <w:p w14:paraId="36A237BD">
            <w:pPr>
              <w:pStyle w:val="2693"/>
              <w:adjustRightInd w:val="0"/>
              <w:snapToGrid w:val="0"/>
              <w:spacing w:line="240" w:lineRule="auto"/>
            </w:pPr>
            <w:r>
              <w:t>环境风险潜势</w:t>
            </w:r>
          </w:p>
        </w:tc>
        <w:tc>
          <w:tcPr>
            <w:tcW w:w="855" w:type="pct"/>
            <w:vAlign w:val="center"/>
          </w:tcPr>
          <w:p w14:paraId="08411931">
            <w:pPr>
              <w:pStyle w:val="2693"/>
              <w:adjustRightInd w:val="0"/>
              <w:snapToGrid w:val="0"/>
              <w:spacing w:line="240" w:lineRule="auto"/>
            </w:pPr>
            <w:r>
              <w:fldChar w:fldCharType="begin"/>
            </w:r>
            <w:r>
              <w:instrText xml:space="preserve"> = 4 \* ROMAN </w:instrText>
            </w:r>
            <w:r>
              <w:fldChar w:fldCharType="separate"/>
            </w:r>
            <w:r>
              <w:t>IV</w:t>
            </w:r>
            <w:r>
              <w:fldChar w:fldCharType="end"/>
            </w:r>
            <w:r>
              <w:t>、</w:t>
            </w:r>
            <w:r>
              <w:fldChar w:fldCharType="begin"/>
            </w:r>
            <w:r>
              <w:instrText xml:space="preserve"> = 4 \* ROMAN </w:instrText>
            </w:r>
            <w:r>
              <w:fldChar w:fldCharType="separate"/>
            </w:r>
            <w:r>
              <w:t>IV</w:t>
            </w:r>
            <w:r>
              <w:fldChar w:fldCharType="end"/>
            </w:r>
            <w:r>
              <w:t>+</w:t>
            </w:r>
          </w:p>
        </w:tc>
        <w:tc>
          <w:tcPr>
            <w:tcW w:w="1004" w:type="pct"/>
            <w:vAlign w:val="center"/>
          </w:tcPr>
          <w:p w14:paraId="447023E0">
            <w:pPr>
              <w:pStyle w:val="2693"/>
              <w:adjustRightInd w:val="0"/>
              <w:snapToGrid w:val="0"/>
              <w:spacing w:line="240" w:lineRule="auto"/>
            </w:pPr>
            <w:r>
              <w:fldChar w:fldCharType="begin"/>
            </w:r>
            <w:r>
              <w:instrText xml:space="preserve"> = 3 \* ROMAN </w:instrText>
            </w:r>
            <w:r>
              <w:fldChar w:fldCharType="separate"/>
            </w:r>
            <w:r>
              <w:t>III</w:t>
            </w:r>
            <w:r>
              <w:fldChar w:fldCharType="end"/>
            </w:r>
          </w:p>
        </w:tc>
        <w:tc>
          <w:tcPr>
            <w:tcW w:w="1278" w:type="pct"/>
            <w:vAlign w:val="center"/>
          </w:tcPr>
          <w:p w14:paraId="1D1D0F42">
            <w:pPr>
              <w:pStyle w:val="2693"/>
              <w:adjustRightInd w:val="0"/>
              <w:snapToGrid w:val="0"/>
              <w:spacing w:line="240" w:lineRule="auto"/>
            </w:pPr>
            <w:r>
              <w:fldChar w:fldCharType="begin"/>
            </w:r>
            <w:r>
              <w:instrText xml:space="preserve"> = 2 \* ROMAN </w:instrText>
            </w:r>
            <w:r>
              <w:fldChar w:fldCharType="separate"/>
            </w:r>
            <w:r>
              <w:t>II</w:t>
            </w:r>
            <w:r>
              <w:fldChar w:fldCharType="end"/>
            </w:r>
          </w:p>
        </w:tc>
        <w:tc>
          <w:tcPr>
            <w:tcW w:w="930" w:type="pct"/>
            <w:vAlign w:val="center"/>
          </w:tcPr>
          <w:p w14:paraId="7EDF2A5E">
            <w:pPr>
              <w:pStyle w:val="2693"/>
              <w:adjustRightInd w:val="0"/>
              <w:snapToGrid w:val="0"/>
              <w:spacing w:line="240" w:lineRule="auto"/>
            </w:pPr>
            <w:r>
              <w:fldChar w:fldCharType="begin"/>
            </w:r>
            <w:r>
              <w:instrText xml:space="preserve"> = 1 \* ROMAN </w:instrText>
            </w:r>
            <w:r>
              <w:fldChar w:fldCharType="separate"/>
            </w:r>
            <w:r>
              <w:t>I</w:t>
            </w:r>
            <w:r>
              <w:fldChar w:fldCharType="end"/>
            </w:r>
          </w:p>
        </w:tc>
      </w:tr>
      <w:tr w14:paraId="4C8B9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33" w:type="pct"/>
            <w:vAlign w:val="center"/>
          </w:tcPr>
          <w:p w14:paraId="2F639B60">
            <w:pPr>
              <w:pStyle w:val="2693"/>
              <w:adjustRightInd w:val="0"/>
              <w:snapToGrid w:val="0"/>
              <w:spacing w:line="240" w:lineRule="auto"/>
            </w:pPr>
            <w:r>
              <w:t>评价工作等级</w:t>
            </w:r>
          </w:p>
        </w:tc>
        <w:tc>
          <w:tcPr>
            <w:tcW w:w="855" w:type="pct"/>
            <w:vAlign w:val="center"/>
          </w:tcPr>
          <w:p w14:paraId="1B4C863F">
            <w:pPr>
              <w:pStyle w:val="2693"/>
              <w:adjustRightInd w:val="0"/>
              <w:snapToGrid w:val="0"/>
              <w:spacing w:line="240" w:lineRule="auto"/>
            </w:pPr>
            <w:r>
              <w:t>一</w:t>
            </w:r>
          </w:p>
        </w:tc>
        <w:tc>
          <w:tcPr>
            <w:tcW w:w="1004" w:type="pct"/>
            <w:shd w:val="clear" w:color="auto" w:fill="auto"/>
            <w:vAlign w:val="center"/>
          </w:tcPr>
          <w:p w14:paraId="61C6E697">
            <w:pPr>
              <w:pStyle w:val="2693"/>
              <w:adjustRightInd w:val="0"/>
              <w:snapToGrid w:val="0"/>
              <w:spacing w:line="240" w:lineRule="auto"/>
            </w:pPr>
            <w:r>
              <w:t>二</w:t>
            </w:r>
          </w:p>
        </w:tc>
        <w:tc>
          <w:tcPr>
            <w:tcW w:w="1278" w:type="pct"/>
            <w:vAlign w:val="center"/>
          </w:tcPr>
          <w:p w14:paraId="2689288A">
            <w:pPr>
              <w:pStyle w:val="2693"/>
              <w:adjustRightInd w:val="0"/>
              <w:snapToGrid w:val="0"/>
              <w:spacing w:line="240" w:lineRule="auto"/>
            </w:pPr>
            <w:r>
              <w:t>三</w:t>
            </w:r>
          </w:p>
        </w:tc>
        <w:tc>
          <w:tcPr>
            <w:tcW w:w="930" w:type="pct"/>
            <w:shd w:val="clear" w:color="auto" w:fill="AEAAAA" w:themeFill="background2" w:themeFillShade="BF"/>
            <w:vAlign w:val="center"/>
          </w:tcPr>
          <w:p w14:paraId="76E50F5F">
            <w:pPr>
              <w:pStyle w:val="2693"/>
              <w:adjustRightInd w:val="0"/>
              <w:snapToGrid w:val="0"/>
              <w:spacing w:line="240" w:lineRule="auto"/>
            </w:pPr>
            <w:r>
              <w:t>简单分析a</w:t>
            </w:r>
          </w:p>
        </w:tc>
      </w:tr>
      <w:tr w14:paraId="58FF51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5"/>
            <w:vAlign w:val="center"/>
          </w:tcPr>
          <w:p w14:paraId="220C9D68">
            <w:pPr>
              <w:pStyle w:val="2693"/>
              <w:adjustRightInd w:val="0"/>
              <w:snapToGrid w:val="0"/>
              <w:spacing w:line="240" w:lineRule="auto"/>
              <w:jc w:val="left"/>
            </w:pPr>
            <w:r>
              <w:t>a是相对于详细评价工作内容而言，在描述危险物质、环境影响途径、环境危害后果、风险防范措施等方面给出定性的说明。</w:t>
            </w:r>
          </w:p>
        </w:tc>
      </w:tr>
    </w:tbl>
    <w:p w14:paraId="55E9A0D0">
      <w:pPr>
        <w:adjustRightInd w:val="0"/>
        <w:snapToGrid w:val="0"/>
        <w:ind w:firstLine="480"/>
      </w:pPr>
      <w:r>
        <w:t>本项目</w:t>
      </w:r>
      <w:r>
        <w:rPr>
          <w:rFonts w:hint="eastAsia"/>
        </w:rPr>
        <w:t>涉及的危险物质为废机油、废变压器油、硫酸、废液压油、事故油等</w:t>
      </w:r>
      <w:r>
        <w:t>，经核算，</w:t>
      </w:r>
      <w:r>
        <w:rPr>
          <w:rFonts w:hint="eastAsia"/>
        </w:rPr>
        <w:t>本项目危险物质数量与临界量比值Q＜1，项目环境风险潜势为I，环境风险评价等级为简单分析。</w:t>
      </w:r>
    </w:p>
    <w:p w14:paraId="7ECB23AD">
      <w:pPr>
        <w:pStyle w:val="6"/>
        <w:numPr>
          <w:ilvl w:val="0"/>
          <w:numId w:val="0"/>
        </w:numPr>
        <w:adjustRightInd w:val="0"/>
        <w:snapToGrid w:val="0"/>
        <w:spacing w:before="0" w:after="0"/>
      </w:pPr>
      <w:r>
        <w:rPr>
          <w:rFonts w:hint="eastAsia" w:ascii="Times New Roman" w:eastAsia="宋体"/>
          <w:sz w:val="24"/>
          <w:szCs w:val="24"/>
        </w:rPr>
        <w:t>2</w:t>
      </w:r>
      <w:r>
        <w:rPr>
          <w:rFonts w:ascii="Times New Roman" w:eastAsia="宋体"/>
          <w:sz w:val="24"/>
          <w:szCs w:val="24"/>
        </w:rPr>
        <w:t>.5.1.6</w:t>
      </w:r>
      <w:r>
        <w:rPr>
          <w:rFonts w:hint="eastAsia" w:ascii="Times New Roman" w:eastAsia="宋体"/>
          <w:sz w:val="24"/>
          <w:szCs w:val="24"/>
        </w:rPr>
        <w:t>土壤环境</w:t>
      </w:r>
    </w:p>
    <w:p w14:paraId="52249510">
      <w:pPr>
        <w:adjustRightInd w:val="0"/>
        <w:snapToGrid w:val="0"/>
        <w:ind w:firstLine="480"/>
      </w:pPr>
      <w:r>
        <w:rPr>
          <w:rFonts w:hint="eastAsia"/>
        </w:rPr>
        <w:t>根据《环境影响评价技术导则 土壤环境 (试行) 》 (HJ 964－2018) 附录 A 土壤环境影响评价项目类别，本项目为风力发电项目，属于其中“电力热力燃气及水生产和供应业——其他”，属于“Ⅳ类”建设项目。根据《环境影响评价技术导则 土壤环境 (试行) 》 (HJ 964－2018)可知，Ⅳ类建设项目可不开展土壤环境影响评价。</w:t>
      </w:r>
    </w:p>
    <w:p w14:paraId="60777255">
      <w:pPr>
        <w:adjustRightInd w:val="0"/>
        <w:snapToGrid w:val="0"/>
        <w:ind w:firstLine="480"/>
      </w:pPr>
      <w:r>
        <w:rPr>
          <w:rFonts w:hint="eastAsia"/>
        </w:rPr>
        <w:t>因此，本项目无需开展土壤环境影响评价。</w:t>
      </w:r>
    </w:p>
    <w:p w14:paraId="616A19D1">
      <w:pPr>
        <w:pStyle w:val="6"/>
        <w:numPr>
          <w:ilvl w:val="0"/>
          <w:numId w:val="0"/>
        </w:numPr>
        <w:adjustRightInd w:val="0"/>
        <w:snapToGrid w:val="0"/>
        <w:spacing w:before="0" w:after="0"/>
      </w:pPr>
      <w:r>
        <w:rPr>
          <w:rFonts w:hint="eastAsia" w:ascii="Times New Roman" w:eastAsia="宋体"/>
          <w:sz w:val="24"/>
          <w:szCs w:val="24"/>
        </w:rPr>
        <w:t>2</w:t>
      </w:r>
      <w:r>
        <w:rPr>
          <w:rFonts w:ascii="Times New Roman" w:eastAsia="宋体"/>
          <w:sz w:val="24"/>
          <w:szCs w:val="24"/>
        </w:rPr>
        <w:t>.5.1.7</w:t>
      </w:r>
      <w:r>
        <w:rPr>
          <w:rFonts w:hint="eastAsia" w:ascii="Times New Roman" w:eastAsia="宋体"/>
          <w:sz w:val="24"/>
          <w:szCs w:val="24"/>
        </w:rPr>
        <w:t>生态环境</w:t>
      </w:r>
    </w:p>
    <w:p w14:paraId="3E6D5931">
      <w:pPr>
        <w:adjustRightInd w:val="0"/>
        <w:snapToGrid w:val="0"/>
        <w:ind w:firstLine="480"/>
      </w:pPr>
      <w:r>
        <w:t>由《环境影响评价技术导则</w:t>
      </w:r>
      <w:r>
        <w:rPr>
          <w:rFonts w:hint="eastAsia"/>
        </w:rPr>
        <w:t xml:space="preserve"> </w:t>
      </w:r>
      <w:r>
        <w:t xml:space="preserve"> 生态影响》（HJ19-2022）可知，生态影响评价工作等级</w:t>
      </w:r>
      <w:r>
        <w:rPr>
          <w:rFonts w:hint="eastAsia"/>
        </w:rPr>
        <w:t>的判定依据是建设项目影响区域的生态敏感性和影响程度，具体判定依据见下表</w:t>
      </w:r>
      <w:r>
        <w:t>2.5</w:t>
      </w:r>
      <w:r>
        <w:rPr>
          <w:rFonts w:hint="eastAsia"/>
        </w:rPr>
        <w:t>-</w:t>
      </w:r>
      <w:r>
        <w:t>3</w:t>
      </w:r>
      <w:r>
        <w:rPr>
          <w:rFonts w:hint="eastAsia"/>
        </w:rPr>
        <w:t>。</w:t>
      </w:r>
    </w:p>
    <w:p w14:paraId="040386B8">
      <w:pPr>
        <w:adjustRightInd w:val="0"/>
        <w:snapToGrid w:val="0"/>
        <w:ind w:firstLine="480"/>
      </w:pPr>
      <w:r>
        <w:rPr>
          <w:rFonts w:hint="eastAsia"/>
        </w:rPr>
        <w:t>本项目邻近湖南衡阳岣嵝峰国家森林公园和衡阳岣嵝峰县级自然保护区，根据表2</w:t>
      </w:r>
      <w:r>
        <w:t>.5-3</w:t>
      </w:r>
      <w:r>
        <w:rPr>
          <w:rFonts w:hint="eastAsia"/>
        </w:rPr>
        <w:t>生态环境影响评价工作等级判定依据可知，本项目生态环境影响评价工作等级为“一级”。</w:t>
      </w:r>
    </w:p>
    <w:p w14:paraId="1653F320">
      <w:pPr>
        <w:adjustRightInd w:val="0"/>
        <w:snapToGrid w:val="0"/>
        <w:ind w:firstLine="480"/>
      </w:pPr>
    </w:p>
    <w:p w14:paraId="26A6A980">
      <w:pPr>
        <w:pStyle w:val="2"/>
        <w:ind w:firstLine="420"/>
        <w:sectPr>
          <w:pgSz w:w="11905" w:h="16838"/>
          <w:pgMar w:top="1440" w:right="1797" w:bottom="1440" w:left="1797" w:header="851" w:footer="992" w:gutter="0"/>
          <w:cols w:space="0" w:num="1"/>
          <w:docGrid w:type="lines" w:linePitch="333" w:charSpace="0"/>
        </w:sectPr>
      </w:pPr>
    </w:p>
    <w:p w14:paraId="57E74D01">
      <w:pPr>
        <w:tabs>
          <w:tab w:val="left" w:pos="585"/>
          <w:tab w:val="clear" w:pos="480"/>
        </w:tabs>
        <w:autoSpaceDE w:val="0"/>
        <w:autoSpaceDN w:val="0"/>
        <w:spacing w:line="240" w:lineRule="auto"/>
        <w:ind w:firstLine="0" w:firstLineChars="0"/>
        <w:jc w:val="center"/>
        <w:rPr>
          <w:b/>
          <w:kern w:val="0"/>
          <w:szCs w:val="22"/>
        </w:rPr>
      </w:pPr>
      <w:r>
        <w:rPr>
          <w:rFonts w:hAnsi="宋体"/>
          <w:b/>
          <w:kern w:val="0"/>
          <w:szCs w:val="22"/>
        </w:rPr>
        <w:t>表</w:t>
      </w:r>
      <w:r>
        <w:rPr>
          <w:b/>
          <w:kern w:val="0"/>
          <w:szCs w:val="22"/>
        </w:rPr>
        <w:t>2.5</w:t>
      </w:r>
      <w:r>
        <w:rPr>
          <w:rFonts w:hint="eastAsia"/>
          <w:b/>
          <w:kern w:val="0"/>
          <w:szCs w:val="22"/>
        </w:rPr>
        <w:t>-</w:t>
      </w:r>
      <w:r>
        <w:rPr>
          <w:b/>
          <w:kern w:val="0"/>
          <w:szCs w:val="22"/>
        </w:rPr>
        <w:t xml:space="preserve">3    </w:t>
      </w:r>
      <w:r>
        <w:rPr>
          <w:rFonts w:hAnsi="宋体"/>
          <w:b/>
          <w:kern w:val="0"/>
          <w:szCs w:val="22"/>
        </w:rPr>
        <w:t>生态影响评价等级</w:t>
      </w:r>
      <w:r>
        <w:rPr>
          <w:rFonts w:hint="eastAsia" w:hAnsi="宋体"/>
          <w:b/>
          <w:kern w:val="0"/>
          <w:szCs w:val="22"/>
        </w:rPr>
        <w:t>判定依据</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8057"/>
        <w:gridCol w:w="3898"/>
        <w:gridCol w:w="1060"/>
      </w:tblGrid>
      <w:tr w14:paraId="313DB7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409" w:type="pct"/>
            <w:vAlign w:val="center"/>
          </w:tcPr>
          <w:p w14:paraId="5F820DF5">
            <w:pPr>
              <w:adjustRightInd w:val="0"/>
              <w:snapToGrid w:val="0"/>
              <w:spacing w:line="240" w:lineRule="auto"/>
              <w:ind w:firstLine="0" w:firstLineChars="0"/>
              <w:rPr>
                <w:sz w:val="21"/>
                <w:szCs w:val="21"/>
              </w:rPr>
            </w:pPr>
            <w:r>
              <w:rPr>
                <w:sz w:val="21"/>
                <w:szCs w:val="21"/>
              </w:rPr>
              <w:t>评价工作等级</w:t>
            </w:r>
          </w:p>
        </w:tc>
        <w:tc>
          <w:tcPr>
            <w:tcW w:w="2842" w:type="pct"/>
            <w:vAlign w:val="center"/>
          </w:tcPr>
          <w:p w14:paraId="1B5E4DBE">
            <w:pPr>
              <w:adjustRightInd w:val="0"/>
              <w:snapToGrid w:val="0"/>
              <w:spacing w:line="240" w:lineRule="auto"/>
              <w:ind w:firstLine="0" w:firstLineChars="0"/>
              <w:rPr>
                <w:sz w:val="21"/>
                <w:szCs w:val="21"/>
              </w:rPr>
            </w:pPr>
            <w:r>
              <w:rPr>
                <w:sz w:val="21"/>
                <w:szCs w:val="21"/>
              </w:rPr>
              <w:t>判定依据</w:t>
            </w:r>
          </w:p>
        </w:tc>
        <w:tc>
          <w:tcPr>
            <w:tcW w:w="1375" w:type="pct"/>
          </w:tcPr>
          <w:p w14:paraId="0BD92E6B">
            <w:pPr>
              <w:adjustRightInd w:val="0"/>
              <w:snapToGrid w:val="0"/>
              <w:spacing w:line="240" w:lineRule="auto"/>
              <w:ind w:firstLine="0" w:firstLineChars="0"/>
              <w:rPr>
                <w:sz w:val="21"/>
                <w:szCs w:val="21"/>
              </w:rPr>
            </w:pPr>
            <w:r>
              <w:rPr>
                <w:sz w:val="21"/>
                <w:szCs w:val="21"/>
              </w:rPr>
              <w:t>本项目情况</w:t>
            </w:r>
          </w:p>
        </w:tc>
        <w:tc>
          <w:tcPr>
            <w:tcW w:w="374" w:type="pct"/>
            <w:vAlign w:val="center"/>
          </w:tcPr>
          <w:p w14:paraId="25D681C9">
            <w:pPr>
              <w:adjustRightInd w:val="0"/>
              <w:snapToGrid w:val="0"/>
              <w:spacing w:line="240" w:lineRule="auto"/>
              <w:ind w:firstLine="0" w:firstLineChars="0"/>
              <w:rPr>
                <w:sz w:val="21"/>
                <w:szCs w:val="21"/>
              </w:rPr>
            </w:pPr>
            <w:r>
              <w:rPr>
                <w:sz w:val="21"/>
                <w:szCs w:val="21"/>
              </w:rPr>
              <w:t>是否涉及</w:t>
            </w:r>
          </w:p>
        </w:tc>
      </w:tr>
      <w:tr w14:paraId="799C22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Align w:val="center"/>
          </w:tcPr>
          <w:p w14:paraId="27B03F3B">
            <w:pPr>
              <w:adjustRightInd w:val="0"/>
              <w:snapToGrid w:val="0"/>
              <w:spacing w:line="240" w:lineRule="auto"/>
              <w:ind w:firstLine="0" w:firstLineChars="0"/>
              <w:rPr>
                <w:sz w:val="21"/>
                <w:szCs w:val="21"/>
              </w:rPr>
            </w:pPr>
            <w:r>
              <w:rPr>
                <w:sz w:val="21"/>
                <w:szCs w:val="21"/>
              </w:rPr>
              <w:t>一级</w:t>
            </w:r>
          </w:p>
        </w:tc>
        <w:tc>
          <w:tcPr>
            <w:tcW w:w="2842" w:type="pct"/>
            <w:vAlign w:val="center"/>
          </w:tcPr>
          <w:p w14:paraId="2F76891C">
            <w:pPr>
              <w:adjustRightInd w:val="0"/>
              <w:snapToGrid w:val="0"/>
              <w:spacing w:line="240" w:lineRule="auto"/>
              <w:ind w:firstLine="0" w:firstLineChars="0"/>
              <w:rPr>
                <w:sz w:val="21"/>
                <w:szCs w:val="21"/>
              </w:rPr>
            </w:pPr>
            <w:r>
              <w:rPr>
                <w:sz w:val="21"/>
                <w:szCs w:val="21"/>
              </w:rPr>
              <w:t>（1）涉及国家公园、自然保护区、世界自然遗产、重要</w:t>
            </w:r>
            <w:r>
              <w:rPr>
                <w:rFonts w:hint="eastAsia"/>
                <w:sz w:val="21"/>
                <w:szCs w:val="21"/>
                <w:lang w:eastAsia="zh-CN"/>
              </w:rPr>
              <w:t>环境</w:t>
            </w:r>
            <w:r>
              <w:rPr>
                <w:sz w:val="21"/>
                <w:szCs w:val="21"/>
              </w:rPr>
              <w:t>时，评价等级为一级。</w:t>
            </w:r>
          </w:p>
        </w:tc>
        <w:tc>
          <w:tcPr>
            <w:tcW w:w="1375" w:type="pct"/>
          </w:tcPr>
          <w:p w14:paraId="7176C65E">
            <w:pPr>
              <w:adjustRightInd w:val="0"/>
              <w:snapToGrid w:val="0"/>
              <w:spacing w:line="240" w:lineRule="auto"/>
              <w:ind w:firstLine="0" w:firstLineChars="0"/>
              <w:rPr>
                <w:sz w:val="21"/>
                <w:szCs w:val="21"/>
              </w:rPr>
            </w:pPr>
            <w:r>
              <w:rPr>
                <w:sz w:val="21"/>
                <w:szCs w:val="21"/>
              </w:rPr>
              <w:t>本项目</w:t>
            </w:r>
            <w:r>
              <w:rPr>
                <w:rFonts w:hint="eastAsia"/>
                <w:sz w:val="21"/>
                <w:szCs w:val="21"/>
              </w:rPr>
              <w:t>邻近衡阳岣嵝峰县级自然保护区</w:t>
            </w:r>
          </w:p>
        </w:tc>
        <w:tc>
          <w:tcPr>
            <w:tcW w:w="374" w:type="pct"/>
            <w:vAlign w:val="center"/>
          </w:tcPr>
          <w:p w14:paraId="74A50420">
            <w:pPr>
              <w:adjustRightInd w:val="0"/>
              <w:snapToGrid w:val="0"/>
              <w:spacing w:line="240" w:lineRule="auto"/>
              <w:ind w:firstLine="0" w:firstLineChars="0"/>
              <w:rPr>
                <w:sz w:val="21"/>
                <w:szCs w:val="21"/>
              </w:rPr>
            </w:pPr>
            <w:r>
              <w:rPr>
                <w:sz w:val="21"/>
                <w:szCs w:val="21"/>
              </w:rPr>
              <w:t>涉及</w:t>
            </w:r>
          </w:p>
        </w:tc>
      </w:tr>
      <w:tr w14:paraId="3E707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Align w:val="center"/>
          </w:tcPr>
          <w:p w14:paraId="75EE2BF0">
            <w:pPr>
              <w:adjustRightInd w:val="0"/>
              <w:snapToGrid w:val="0"/>
              <w:spacing w:line="240" w:lineRule="auto"/>
              <w:ind w:firstLine="0" w:firstLineChars="0"/>
              <w:rPr>
                <w:sz w:val="21"/>
                <w:szCs w:val="21"/>
              </w:rPr>
            </w:pPr>
            <w:r>
              <w:rPr>
                <w:sz w:val="21"/>
                <w:szCs w:val="21"/>
              </w:rPr>
              <w:t>二级</w:t>
            </w:r>
          </w:p>
        </w:tc>
        <w:tc>
          <w:tcPr>
            <w:tcW w:w="2842" w:type="pct"/>
            <w:vAlign w:val="center"/>
          </w:tcPr>
          <w:p w14:paraId="4D1890B2">
            <w:pPr>
              <w:adjustRightInd w:val="0"/>
              <w:snapToGrid w:val="0"/>
              <w:spacing w:line="240" w:lineRule="auto"/>
              <w:ind w:firstLine="0" w:firstLineChars="0"/>
              <w:rPr>
                <w:sz w:val="21"/>
                <w:szCs w:val="21"/>
              </w:rPr>
            </w:pPr>
            <w:r>
              <w:rPr>
                <w:sz w:val="21"/>
                <w:szCs w:val="21"/>
              </w:rPr>
              <w:t>（1）涉及自然公园时，评价等级为二级；</w:t>
            </w:r>
          </w:p>
          <w:p w14:paraId="4273D5E7">
            <w:pPr>
              <w:adjustRightInd w:val="0"/>
              <w:snapToGrid w:val="0"/>
              <w:spacing w:line="240" w:lineRule="auto"/>
              <w:ind w:firstLine="0" w:firstLineChars="0"/>
              <w:rPr>
                <w:sz w:val="21"/>
                <w:szCs w:val="21"/>
              </w:rPr>
            </w:pPr>
            <w:r>
              <w:rPr>
                <w:sz w:val="21"/>
                <w:szCs w:val="21"/>
              </w:rPr>
              <w:t>（2）涉及生态保护红线时，评价等级不低于二级；</w:t>
            </w:r>
          </w:p>
          <w:p w14:paraId="70E1E591">
            <w:pPr>
              <w:adjustRightInd w:val="0"/>
              <w:snapToGrid w:val="0"/>
              <w:spacing w:line="240" w:lineRule="auto"/>
              <w:ind w:firstLine="0" w:firstLineChars="0"/>
              <w:rPr>
                <w:sz w:val="21"/>
                <w:szCs w:val="21"/>
              </w:rPr>
            </w:pPr>
            <w:r>
              <w:rPr>
                <w:sz w:val="21"/>
                <w:szCs w:val="21"/>
              </w:rPr>
              <w:t>（3）属于水文要素影响型且地表水评价等级不低于二级的建设项目，生态影响评价等级不低于二级；</w:t>
            </w:r>
          </w:p>
          <w:p w14:paraId="2530E609">
            <w:pPr>
              <w:adjustRightInd w:val="0"/>
              <w:snapToGrid w:val="0"/>
              <w:spacing w:line="240" w:lineRule="auto"/>
              <w:ind w:firstLine="0" w:firstLineChars="0"/>
              <w:rPr>
                <w:sz w:val="21"/>
                <w:szCs w:val="21"/>
              </w:rPr>
            </w:pPr>
            <w:r>
              <w:rPr>
                <w:sz w:val="21"/>
                <w:szCs w:val="21"/>
              </w:rPr>
              <w:t>（4）地下水水位或土壤影响范围内分布有天然林、公益林、湿地等生态保护目标的建设项目，生态影响评价等级不低于二级；</w:t>
            </w:r>
          </w:p>
          <w:p w14:paraId="5FF5B292">
            <w:pPr>
              <w:adjustRightInd w:val="0"/>
              <w:snapToGrid w:val="0"/>
              <w:spacing w:line="240" w:lineRule="auto"/>
              <w:ind w:firstLine="0" w:firstLineChars="0"/>
              <w:rPr>
                <w:sz w:val="21"/>
                <w:szCs w:val="21"/>
              </w:rPr>
            </w:pPr>
            <w:r>
              <w:rPr>
                <w:sz w:val="21"/>
                <w:szCs w:val="21"/>
              </w:rPr>
              <w:t>（5）当工程占地规模大于 20 km</w:t>
            </w:r>
            <w:r>
              <w:rPr>
                <w:sz w:val="21"/>
                <w:szCs w:val="21"/>
                <w:vertAlign w:val="superscript"/>
              </w:rPr>
              <w:t>2</w:t>
            </w:r>
            <w:r>
              <w:rPr>
                <w:sz w:val="21"/>
                <w:szCs w:val="21"/>
              </w:rPr>
              <w:t xml:space="preserve"> 时（包括永久和临时占用陆域和水域），评价等级不低于二级；改扩建项目的占地范围以新增占地（包括陆域和水域）确定。</w:t>
            </w:r>
          </w:p>
        </w:tc>
        <w:tc>
          <w:tcPr>
            <w:tcW w:w="1375" w:type="pct"/>
          </w:tcPr>
          <w:p w14:paraId="6FD079EE">
            <w:pPr>
              <w:adjustRightInd w:val="0"/>
              <w:snapToGrid w:val="0"/>
              <w:spacing w:line="240" w:lineRule="auto"/>
              <w:ind w:firstLine="0" w:firstLineChars="0"/>
              <w:rPr>
                <w:sz w:val="21"/>
                <w:szCs w:val="21"/>
              </w:rPr>
            </w:pPr>
            <w:r>
              <w:rPr>
                <w:sz w:val="21"/>
                <w:szCs w:val="21"/>
              </w:rPr>
              <w:t>（1）项目</w:t>
            </w:r>
            <w:r>
              <w:rPr>
                <w:rFonts w:hint="eastAsia"/>
                <w:sz w:val="21"/>
                <w:szCs w:val="21"/>
              </w:rPr>
              <w:t>邻近湖南衡阳岣嵝峰国家森林公园</w:t>
            </w:r>
            <w:r>
              <w:rPr>
                <w:sz w:val="21"/>
                <w:szCs w:val="21"/>
              </w:rPr>
              <w:t>；</w:t>
            </w:r>
          </w:p>
          <w:p w14:paraId="2BE29912">
            <w:pPr>
              <w:adjustRightInd w:val="0"/>
              <w:snapToGrid w:val="0"/>
              <w:spacing w:line="240" w:lineRule="auto"/>
              <w:ind w:firstLine="0" w:firstLineChars="0"/>
              <w:rPr>
                <w:sz w:val="21"/>
                <w:szCs w:val="21"/>
              </w:rPr>
            </w:pPr>
            <w:r>
              <w:rPr>
                <w:sz w:val="21"/>
                <w:szCs w:val="21"/>
              </w:rPr>
              <w:t>（2）项目不涉及生态保护红线；</w:t>
            </w:r>
          </w:p>
          <w:p w14:paraId="2F1719E3">
            <w:pPr>
              <w:adjustRightInd w:val="0"/>
              <w:snapToGrid w:val="0"/>
              <w:spacing w:line="240" w:lineRule="auto"/>
              <w:ind w:firstLine="0" w:firstLineChars="0"/>
              <w:rPr>
                <w:sz w:val="21"/>
                <w:szCs w:val="21"/>
              </w:rPr>
            </w:pPr>
            <w:r>
              <w:rPr>
                <w:sz w:val="21"/>
                <w:szCs w:val="21"/>
              </w:rPr>
              <w:t>（3）根据前述分析可知，</w:t>
            </w:r>
            <w:r>
              <w:rPr>
                <w:rFonts w:hint="eastAsia"/>
                <w:sz w:val="21"/>
                <w:szCs w:val="21"/>
              </w:rPr>
              <w:t>项目废水经处理后全部回用，不外排</w:t>
            </w:r>
            <w:r>
              <w:rPr>
                <w:sz w:val="21"/>
                <w:szCs w:val="21"/>
              </w:rPr>
              <w:t>；</w:t>
            </w:r>
          </w:p>
          <w:p w14:paraId="2448E4D8">
            <w:pPr>
              <w:adjustRightInd w:val="0"/>
              <w:snapToGrid w:val="0"/>
              <w:spacing w:line="240" w:lineRule="auto"/>
              <w:ind w:firstLine="0" w:firstLineChars="0"/>
              <w:rPr>
                <w:sz w:val="21"/>
                <w:szCs w:val="21"/>
              </w:rPr>
            </w:pPr>
            <w:r>
              <w:rPr>
                <w:sz w:val="21"/>
                <w:szCs w:val="21"/>
              </w:rPr>
              <w:t>（4）</w:t>
            </w:r>
            <w:r>
              <w:rPr>
                <w:rFonts w:hint="eastAsia"/>
                <w:sz w:val="21"/>
                <w:szCs w:val="21"/>
              </w:rPr>
              <w:t>根据《环境影响评价技术导则 土壤环境 (试行) 》 (HJ 964－2018)》和《环境影响评价技术导则 地下水环境》 (HJ610－2016)的要求，</w:t>
            </w:r>
            <w:r>
              <w:rPr>
                <w:sz w:val="21"/>
                <w:szCs w:val="21"/>
              </w:rPr>
              <w:t>本项目无需进行地下水和土壤环境影响评价；</w:t>
            </w:r>
          </w:p>
          <w:p w14:paraId="1B8001F8">
            <w:pPr>
              <w:adjustRightInd w:val="0"/>
              <w:snapToGrid w:val="0"/>
              <w:spacing w:line="240" w:lineRule="auto"/>
              <w:ind w:firstLine="0" w:firstLineChars="0"/>
              <w:rPr>
                <w:sz w:val="21"/>
                <w:szCs w:val="21"/>
              </w:rPr>
            </w:pPr>
            <w:r>
              <w:rPr>
                <w:sz w:val="21"/>
                <w:szCs w:val="21"/>
              </w:rPr>
              <w:t>（5）本项目总用地43.163万m</w:t>
            </w:r>
            <w:r>
              <w:rPr>
                <w:sz w:val="21"/>
                <w:szCs w:val="21"/>
                <w:vertAlign w:val="superscript"/>
              </w:rPr>
              <w:t>2</w:t>
            </w:r>
            <w:r>
              <w:rPr>
                <w:sz w:val="21"/>
                <w:szCs w:val="21"/>
              </w:rPr>
              <w:t>（0.43163km</w:t>
            </w:r>
            <w:r>
              <w:rPr>
                <w:sz w:val="21"/>
                <w:szCs w:val="21"/>
                <w:vertAlign w:val="superscript"/>
              </w:rPr>
              <w:t>2</w:t>
            </w:r>
            <w:r>
              <w:rPr>
                <w:sz w:val="21"/>
                <w:szCs w:val="21"/>
              </w:rPr>
              <w:t>（＜20km</w:t>
            </w:r>
            <w:r>
              <w:rPr>
                <w:sz w:val="21"/>
                <w:szCs w:val="21"/>
                <w:vertAlign w:val="superscript"/>
              </w:rPr>
              <w:t>2</w:t>
            </w:r>
            <w:r>
              <w:rPr>
                <w:sz w:val="21"/>
                <w:szCs w:val="21"/>
              </w:rPr>
              <w:t>））</w:t>
            </w:r>
          </w:p>
        </w:tc>
        <w:tc>
          <w:tcPr>
            <w:tcW w:w="374" w:type="pct"/>
            <w:vAlign w:val="center"/>
          </w:tcPr>
          <w:p w14:paraId="18D85639">
            <w:pPr>
              <w:adjustRightInd w:val="0"/>
              <w:snapToGrid w:val="0"/>
              <w:spacing w:line="240" w:lineRule="auto"/>
              <w:ind w:firstLine="0" w:firstLineChars="0"/>
              <w:rPr>
                <w:sz w:val="21"/>
                <w:szCs w:val="21"/>
              </w:rPr>
            </w:pPr>
            <w:r>
              <w:rPr>
                <w:sz w:val="21"/>
                <w:szCs w:val="21"/>
              </w:rPr>
              <w:t>涉及</w:t>
            </w:r>
          </w:p>
        </w:tc>
      </w:tr>
      <w:tr w14:paraId="6532B6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Align w:val="center"/>
          </w:tcPr>
          <w:p w14:paraId="7B44F528">
            <w:pPr>
              <w:adjustRightInd w:val="0"/>
              <w:snapToGrid w:val="0"/>
              <w:spacing w:line="240" w:lineRule="auto"/>
              <w:ind w:firstLine="0" w:firstLineChars="0"/>
              <w:rPr>
                <w:sz w:val="21"/>
                <w:szCs w:val="21"/>
              </w:rPr>
            </w:pPr>
            <w:r>
              <w:rPr>
                <w:sz w:val="21"/>
                <w:szCs w:val="21"/>
              </w:rPr>
              <w:t>三级</w:t>
            </w:r>
          </w:p>
        </w:tc>
        <w:tc>
          <w:tcPr>
            <w:tcW w:w="2842" w:type="pct"/>
            <w:vAlign w:val="center"/>
          </w:tcPr>
          <w:p w14:paraId="1F7E0B46">
            <w:pPr>
              <w:adjustRightInd w:val="0"/>
              <w:snapToGrid w:val="0"/>
              <w:spacing w:line="240" w:lineRule="auto"/>
              <w:ind w:firstLine="0" w:firstLineChars="0"/>
              <w:rPr>
                <w:sz w:val="21"/>
                <w:szCs w:val="21"/>
              </w:rPr>
            </w:pPr>
            <w:r>
              <w:rPr>
                <w:sz w:val="21"/>
                <w:szCs w:val="21"/>
              </w:rPr>
              <w:t>除以上情形外，评价等级为三级</w:t>
            </w:r>
          </w:p>
        </w:tc>
        <w:tc>
          <w:tcPr>
            <w:tcW w:w="1749" w:type="pct"/>
            <w:gridSpan w:val="2"/>
          </w:tcPr>
          <w:p w14:paraId="41834D21">
            <w:pPr>
              <w:adjustRightInd w:val="0"/>
              <w:snapToGrid w:val="0"/>
              <w:spacing w:line="240" w:lineRule="auto"/>
              <w:ind w:firstLine="0" w:firstLineChars="0"/>
              <w:rPr>
                <w:sz w:val="21"/>
                <w:szCs w:val="21"/>
              </w:rPr>
            </w:pPr>
            <w:r>
              <w:rPr>
                <w:sz w:val="21"/>
                <w:szCs w:val="21"/>
              </w:rPr>
              <w:t>本项目不涉及以上情形</w:t>
            </w:r>
          </w:p>
        </w:tc>
      </w:tr>
      <w:tr w14:paraId="13E8DA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Align w:val="center"/>
          </w:tcPr>
          <w:p w14:paraId="6590C363">
            <w:pPr>
              <w:adjustRightInd w:val="0"/>
              <w:snapToGrid w:val="0"/>
              <w:spacing w:line="240" w:lineRule="auto"/>
              <w:ind w:firstLine="0" w:firstLineChars="0"/>
              <w:rPr>
                <w:sz w:val="21"/>
                <w:szCs w:val="21"/>
              </w:rPr>
            </w:pPr>
            <w:r>
              <w:rPr>
                <w:sz w:val="21"/>
                <w:szCs w:val="21"/>
              </w:rPr>
              <w:t>等级上调</w:t>
            </w:r>
          </w:p>
        </w:tc>
        <w:tc>
          <w:tcPr>
            <w:tcW w:w="2842" w:type="pct"/>
            <w:vAlign w:val="center"/>
          </w:tcPr>
          <w:p w14:paraId="7DA49A35">
            <w:pPr>
              <w:adjustRightInd w:val="0"/>
              <w:snapToGrid w:val="0"/>
              <w:spacing w:line="240" w:lineRule="auto"/>
              <w:ind w:firstLine="0" w:firstLineChars="0"/>
              <w:rPr>
                <w:sz w:val="21"/>
                <w:szCs w:val="21"/>
              </w:rPr>
            </w:pPr>
            <w:r>
              <w:rPr>
                <w:sz w:val="21"/>
                <w:szCs w:val="21"/>
              </w:rPr>
              <w:t>（1）建设项目涉及经论证对保护生物多样性具有重要意义的区域时，可适当上调评价等级；</w:t>
            </w:r>
          </w:p>
          <w:p w14:paraId="2EBCDD04">
            <w:pPr>
              <w:adjustRightInd w:val="0"/>
              <w:snapToGrid w:val="0"/>
              <w:spacing w:line="240" w:lineRule="auto"/>
              <w:ind w:firstLine="0" w:firstLineChars="0"/>
              <w:rPr>
                <w:sz w:val="21"/>
                <w:szCs w:val="21"/>
              </w:rPr>
            </w:pPr>
            <w:r>
              <w:rPr>
                <w:sz w:val="21"/>
                <w:szCs w:val="21"/>
              </w:rPr>
              <w:t>（2）建设项目同时涉及陆生、水生生态影响时，可针对陆生生态、水生生态分别判定评价等级；</w:t>
            </w:r>
          </w:p>
          <w:p w14:paraId="1E779C60">
            <w:pPr>
              <w:adjustRightInd w:val="0"/>
              <w:snapToGrid w:val="0"/>
              <w:spacing w:line="240" w:lineRule="auto"/>
              <w:ind w:firstLine="0" w:firstLineChars="0"/>
              <w:rPr>
                <w:sz w:val="21"/>
                <w:szCs w:val="21"/>
              </w:rPr>
            </w:pPr>
            <w:r>
              <w:rPr>
                <w:sz w:val="21"/>
                <w:szCs w:val="21"/>
              </w:rPr>
              <w:t>（3）在矿山开采可能导致矿区土地利用类型明显改变，或拦河闸坝建设可能明显改变水文情势等情况下，评价等级应上调一级；</w:t>
            </w:r>
          </w:p>
          <w:p w14:paraId="6DB6D202">
            <w:pPr>
              <w:adjustRightInd w:val="0"/>
              <w:snapToGrid w:val="0"/>
              <w:spacing w:line="240" w:lineRule="auto"/>
              <w:ind w:firstLine="0" w:firstLineChars="0"/>
              <w:rPr>
                <w:sz w:val="21"/>
                <w:szCs w:val="21"/>
              </w:rPr>
            </w:pPr>
            <w:r>
              <w:rPr>
                <w:sz w:val="21"/>
                <w:szCs w:val="21"/>
              </w:rPr>
              <w:t>（4）线性工程可分段确定评价等级。线性工程地下穿越或地表跨越生态敏感区，在生态敏感区范围内无永久、临时占地时，评价等级可下调一级。</w:t>
            </w:r>
          </w:p>
        </w:tc>
        <w:tc>
          <w:tcPr>
            <w:tcW w:w="1375" w:type="pct"/>
          </w:tcPr>
          <w:p w14:paraId="19A38D57">
            <w:pPr>
              <w:adjustRightInd w:val="0"/>
              <w:snapToGrid w:val="0"/>
              <w:spacing w:line="240" w:lineRule="auto"/>
              <w:ind w:firstLine="0" w:firstLineChars="0"/>
              <w:rPr>
                <w:sz w:val="21"/>
                <w:szCs w:val="21"/>
              </w:rPr>
            </w:pPr>
            <w:r>
              <w:rPr>
                <w:sz w:val="21"/>
                <w:szCs w:val="21"/>
              </w:rPr>
              <w:t>（1）经论证，项目对生物多样性影响较小；</w:t>
            </w:r>
          </w:p>
          <w:p w14:paraId="32720AC3">
            <w:pPr>
              <w:adjustRightInd w:val="0"/>
              <w:snapToGrid w:val="0"/>
              <w:spacing w:line="240" w:lineRule="auto"/>
              <w:ind w:firstLine="0" w:firstLineChars="0"/>
              <w:rPr>
                <w:sz w:val="21"/>
                <w:szCs w:val="21"/>
              </w:rPr>
            </w:pPr>
            <w:r>
              <w:rPr>
                <w:sz w:val="21"/>
                <w:szCs w:val="21"/>
              </w:rPr>
              <w:t>（2）本项目主要涉及对陆生动物的生态影响；</w:t>
            </w:r>
          </w:p>
          <w:p w14:paraId="5C13B19B">
            <w:pPr>
              <w:adjustRightInd w:val="0"/>
              <w:snapToGrid w:val="0"/>
              <w:spacing w:line="240" w:lineRule="auto"/>
              <w:ind w:firstLine="0" w:firstLineChars="0"/>
              <w:rPr>
                <w:sz w:val="21"/>
                <w:szCs w:val="21"/>
              </w:rPr>
            </w:pPr>
            <w:r>
              <w:rPr>
                <w:sz w:val="21"/>
                <w:szCs w:val="21"/>
              </w:rPr>
              <w:t>（3）本项目为风力发电项目，不属于矿山开采项目；</w:t>
            </w:r>
          </w:p>
          <w:p w14:paraId="7A916E2F">
            <w:pPr>
              <w:adjustRightInd w:val="0"/>
              <w:snapToGrid w:val="0"/>
              <w:spacing w:line="240" w:lineRule="auto"/>
              <w:ind w:firstLine="0" w:firstLineChars="0"/>
              <w:rPr>
                <w:sz w:val="21"/>
                <w:szCs w:val="21"/>
              </w:rPr>
            </w:pPr>
            <w:r>
              <w:rPr>
                <w:sz w:val="21"/>
                <w:szCs w:val="21"/>
              </w:rPr>
              <w:t>（4）本项目新建道路16.4km，</w:t>
            </w:r>
            <w:r>
              <w:rPr>
                <w:rFonts w:hint="eastAsia"/>
                <w:sz w:val="21"/>
                <w:szCs w:val="21"/>
              </w:rPr>
              <w:t>改造道路1</w:t>
            </w:r>
            <w:r>
              <w:rPr>
                <w:sz w:val="21"/>
                <w:szCs w:val="21"/>
              </w:rPr>
              <w:t>4.1</w:t>
            </w:r>
            <w:r>
              <w:rPr>
                <w:rFonts w:hint="eastAsia"/>
                <w:sz w:val="21"/>
                <w:szCs w:val="21"/>
              </w:rPr>
              <w:t>km。项目道路工程不涉及生态敏感区</w:t>
            </w:r>
          </w:p>
        </w:tc>
        <w:tc>
          <w:tcPr>
            <w:tcW w:w="374" w:type="pct"/>
            <w:vAlign w:val="center"/>
          </w:tcPr>
          <w:p w14:paraId="383CE9FA">
            <w:pPr>
              <w:adjustRightInd w:val="0"/>
              <w:snapToGrid w:val="0"/>
              <w:spacing w:line="240" w:lineRule="auto"/>
              <w:ind w:firstLine="0" w:firstLineChars="0"/>
              <w:rPr>
                <w:sz w:val="21"/>
                <w:szCs w:val="21"/>
              </w:rPr>
            </w:pPr>
            <w:r>
              <w:rPr>
                <w:sz w:val="21"/>
                <w:szCs w:val="21"/>
              </w:rPr>
              <w:t>不涉及</w:t>
            </w:r>
          </w:p>
        </w:tc>
      </w:tr>
      <w:tr w14:paraId="727F68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9" w:type="pct"/>
            <w:vAlign w:val="center"/>
          </w:tcPr>
          <w:p w14:paraId="671A549F">
            <w:pPr>
              <w:adjustRightInd w:val="0"/>
              <w:snapToGrid w:val="0"/>
              <w:spacing w:line="240" w:lineRule="auto"/>
              <w:ind w:firstLine="0" w:firstLineChars="0"/>
              <w:rPr>
                <w:sz w:val="21"/>
                <w:szCs w:val="21"/>
              </w:rPr>
            </w:pPr>
            <w:r>
              <w:rPr>
                <w:sz w:val="21"/>
                <w:szCs w:val="21"/>
              </w:rPr>
              <w:t>生态影响简单分析</w:t>
            </w:r>
          </w:p>
        </w:tc>
        <w:tc>
          <w:tcPr>
            <w:tcW w:w="2842" w:type="pct"/>
            <w:vAlign w:val="center"/>
          </w:tcPr>
          <w:p w14:paraId="782D4AEC">
            <w:pPr>
              <w:adjustRightInd w:val="0"/>
              <w:snapToGrid w:val="0"/>
              <w:spacing w:line="240" w:lineRule="auto"/>
              <w:ind w:firstLine="0" w:firstLineChars="0"/>
              <w:rPr>
                <w:sz w:val="21"/>
                <w:szCs w:val="21"/>
              </w:rPr>
            </w:pPr>
            <w:r>
              <w:rPr>
                <w:sz w:val="21"/>
                <w:szCs w:val="21"/>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1375" w:type="pct"/>
          </w:tcPr>
          <w:p w14:paraId="7CA046E7">
            <w:pPr>
              <w:adjustRightInd w:val="0"/>
              <w:snapToGrid w:val="0"/>
              <w:spacing w:line="240" w:lineRule="auto"/>
              <w:ind w:firstLine="0" w:firstLineChars="0"/>
              <w:rPr>
                <w:sz w:val="21"/>
                <w:szCs w:val="21"/>
              </w:rPr>
            </w:pPr>
            <w:r>
              <w:rPr>
                <w:sz w:val="21"/>
                <w:szCs w:val="21"/>
              </w:rPr>
              <w:t>本项目为新建项目，项目其所处位置不属于工业园区</w:t>
            </w:r>
          </w:p>
        </w:tc>
        <w:tc>
          <w:tcPr>
            <w:tcW w:w="374" w:type="pct"/>
            <w:vAlign w:val="center"/>
          </w:tcPr>
          <w:p w14:paraId="2BCCFFD5">
            <w:pPr>
              <w:adjustRightInd w:val="0"/>
              <w:snapToGrid w:val="0"/>
              <w:spacing w:line="240" w:lineRule="auto"/>
              <w:ind w:firstLine="0" w:firstLineChars="0"/>
              <w:rPr>
                <w:sz w:val="21"/>
                <w:szCs w:val="21"/>
              </w:rPr>
            </w:pPr>
            <w:r>
              <w:rPr>
                <w:sz w:val="21"/>
                <w:szCs w:val="21"/>
              </w:rPr>
              <w:t>不涉及</w:t>
            </w:r>
          </w:p>
        </w:tc>
      </w:tr>
    </w:tbl>
    <w:p w14:paraId="373BC2E2">
      <w:pPr>
        <w:pStyle w:val="2"/>
        <w:ind w:firstLine="199" w:firstLineChars="95"/>
        <w:sectPr>
          <w:pgSz w:w="16838" w:h="11905" w:orient="landscape"/>
          <w:pgMar w:top="1134" w:right="1440" w:bottom="1134" w:left="1440" w:header="851" w:footer="992" w:gutter="0"/>
          <w:cols w:space="0" w:num="1"/>
          <w:docGrid w:type="lines" w:linePitch="333" w:charSpace="0"/>
        </w:sectPr>
      </w:pPr>
    </w:p>
    <w:p w14:paraId="2596B8FF">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.5.1.8</w:t>
      </w:r>
      <w:r>
        <w:rPr>
          <w:rFonts w:hint="eastAsia" w:ascii="Times New Roman" w:eastAsia="宋体"/>
          <w:sz w:val="24"/>
          <w:szCs w:val="24"/>
        </w:rPr>
        <w:t>电磁环境</w:t>
      </w:r>
    </w:p>
    <w:p w14:paraId="2243C470">
      <w:pPr>
        <w:adjustRightInd w:val="0"/>
        <w:snapToGrid w:val="0"/>
        <w:ind w:firstLine="480"/>
      </w:pPr>
      <w:r>
        <w:t>根据《环境影响评价技术导则 输变电》（HJ24-2020）中规定，</w:t>
      </w:r>
      <w:r>
        <w:rPr>
          <w:rFonts w:hint="eastAsia"/>
        </w:rPr>
        <w:t>开关站、串补站电磁环境影响评价等级根据表</w:t>
      </w:r>
      <w:r>
        <w:t>2</w:t>
      </w:r>
      <w:r>
        <w:rPr>
          <w:rFonts w:hint="eastAsia"/>
        </w:rPr>
        <w:t>中同电压等级的变电站确定；换流站电磁环境影响评价等级以直流侧电压为准，根据表</w:t>
      </w:r>
      <w:r>
        <w:t>2</w:t>
      </w:r>
      <w:r>
        <w:rPr>
          <w:rFonts w:hint="eastAsia"/>
        </w:rPr>
        <w:t>中的直流建设项目电压等级确定；随桥等敷设的电缆，气体绝缘金属封闭输电线路（</w:t>
      </w:r>
      <w:r>
        <w:t>GIL</w:t>
      </w:r>
      <w:r>
        <w:rPr>
          <w:rFonts w:hint="eastAsia"/>
        </w:rPr>
        <w:t>）电磁环境评价等级根据表</w:t>
      </w:r>
      <w:r>
        <w:t>2</w:t>
      </w:r>
      <w:r>
        <w:rPr>
          <w:rFonts w:hint="eastAsia"/>
        </w:rPr>
        <w:t>中同电压等级的地下电缆确定。如建设项目包含多个电压等级，或交、直流，或站、线的子项目时，按最高电压等级确定评价工作等级。本项目最高电压等级为1</w:t>
      </w:r>
      <w:r>
        <w:t>10</w:t>
      </w:r>
      <w:r>
        <w:rPr>
          <w:rFonts w:hint="eastAsia"/>
        </w:rPr>
        <w:t>k</w:t>
      </w:r>
      <w:r>
        <w:t>V</w:t>
      </w:r>
      <w:r>
        <w:rPr>
          <w:rFonts w:hint="eastAsia"/>
        </w:rPr>
        <w:t>，且为户外式。</w:t>
      </w:r>
    </w:p>
    <w:p w14:paraId="1CD3C033">
      <w:pPr>
        <w:tabs>
          <w:tab w:val="clear" w:pos="480"/>
        </w:tabs>
        <w:spacing w:line="240" w:lineRule="auto"/>
        <w:ind w:firstLine="0" w:firstLineChars="0"/>
        <w:jc w:val="center"/>
        <w:rPr>
          <w:b/>
          <w:bCs/>
          <w:szCs w:val="20"/>
        </w:rPr>
      </w:pPr>
      <w:bookmarkStart w:id="50" w:name="_Ref35435489"/>
      <w:r>
        <w:rPr>
          <w:rFonts w:hint="eastAsia"/>
          <w:b/>
          <w:bCs/>
          <w:szCs w:val="20"/>
        </w:rPr>
        <w:t>表</w:t>
      </w:r>
      <w:bookmarkEnd w:id="50"/>
      <w:r>
        <w:rPr>
          <w:b/>
          <w:bCs/>
          <w:szCs w:val="20"/>
        </w:rPr>
        <w:t>2.5</w:t>
      </w:r>
      <w:r>
        <w:rPr>
          <w:rFonts w:hint="eastAsia"/>
          <w:b/>
          <w:bCs/>
          <w:szCs w:val="20"/>
        </w:rPr>
        <w:t>-</w:t>
      </w:r>
      <w:r>
        <w:rPr>
          <w:b/>
          <w:bCs/>
          <w:szCs w:val="20"/>
        </w:rPr>
        <w:t xml:space="preserve">4 </w:t>
      </w:r>
      <w:r>
        <w:rPr>
          <w:rFonts w:hint="eastAsia"/>
          <w:b/>
          <w:bCs/>
          <w:szCs w:val="20"/>
        </w:rPr>
        <w:t>导则表</w:t>
      </w:r>
      <w:r>
        <w:rPr>
          <w:b/>
          <w:bCs/>
          <w:szCs w:val="20"/>
        </w:rPr>
        <w:t>2</w:t>
      </w:r>
      <w:r>
        <w:rPr>
          <w:rFonts w:hint="eastAsia"/>
          <w:b/>
          <w:bCs/>
          <w:szCs w:val="20"/>
        </w:rPr>
        <w:t>输变电工程电磁环境影响评价工作等级部分内容</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133"/>
        <w:gridCol w:w="776"/>
        <w:gridCol w:w="4335"/>
        <w:gridCol w:w="1611"/>
      </w:tblGrid>
      <w:tr w14:paraId="1B3CF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Align w:val="center"/>
          </w:tcPr>
          <w:p w14:paraId="02813142">
            <w:pPr>
              <w:tabs>
                <w:tab w:val="clear" w:pos="480"/>
              </w:tabs>
              <w:spacing w:line="240" w:lineRule="auto"/>
              <w:ind w:firstLine="0" w:firstLineChars="0"/>
              <w:jc w:val="center"/>
              <w:rPr>
                <w:b/>
                <w:bCs/>
                <w:sz w:val="21"/>
                <w:szCs w:val="21"/>
              </w:rPr>
            </w:pPr>
            <w:r>
              <w:rPr>
                <w:b/>
                <w:bCs/>
                <w:sz w:val="21"/>
                <w:szCs w:val="21"/>
              </w:rPr>
              <w:t>分类</w:t>
            </w:r>
          </w:p>
        </w:tc>
        <w:tc>
          <w:tcPr>
            <w:tcW w:w="664" w:type="pct"/>
            <w:vAlign w:val="center"/>
          </w:tcPr>
          <w:p w14:paraId="314B6474">
            <w:pPr>
              <w:tabs>
                <w:tab w:val="clear" w:pos="480"/>
              </w:tabs>
              <w:spacing w:line="240" w:lineRule="auto"/>
              <w:ind w:firstLine="0" w:firstLineChars="0"/>
              <w:jc w:val="center"/>
              <w:rPr>
                <w:b/>
                <w:bCs/>
                <w:sz w:val="21"/>
                <w:szCs w:val="21"/>
              </w:rPr>
            </w:pPr>
            <w:r>
              <w:rPr>
                <w:b/>
                <w:bCs/>
                <w:sz w:val="21"/>
                <w:szCs w:val="21"/>
              </w:rPr>
              <w:t>电压等级</w:t>
            </w:r>
          </w:p>
        </w:tc>
        <w:tc>
          <w:tcPr>
            <w:tcW w:w="455" w:type="pct"/>
            <w:vAlign w:val="center"/>
          </w:tcPr>
          <w:p w14:paraId="345987D1">
            <w:pPr>
              <w:tabs>
                <w:tab w:val="clear" w:pos="480"/>
              </w:tabs>
              <w:spacing w:line="240" w:lineRule="auto"/>
              <w:ind w:firstLine="0" w:firstLineChars="0"/>
              <w:jc w:val="center"/>
              <w:rPr>
                <w:b/>
                <w:bCs/>
                <w:sz w:val="21"/>
                <w:szCs w:val="21"/>
              </w:rPr>
            </w:pPr>
            <w:r>
              <w:rPr>
                <w:b/>
                <w:bCs/>
                <w:sz w:val="21"/>
                <w:szCs w:val="21"/>
              </w:rPr>
              <w:t>工程</w:t>
            </w:r>
          </w:p>
        </w:tc>
        <w:tc>
          <w:tcPr>
            <w:tcW w:w="2541" w:type="pct"/>
            <w:vAlign w:val="center"/>
          </w:tcPr>
          <w:p w14:paraId="69BC26F4">
            <w:pPr>
              <w:tabs>
                <w:tab w:val="clear" w:pos="480"/>
              </w:tabs>
              <w:spacing w:line="240" w:lineRule="auto"/>
              <w:ind w:firstLine="0" w:firstLineChars="0"/>
              <w:jc w:val="center"/>
              <w:rPr>
                <w:b/>
                <w:bCs/>
                <w:sz w:val="21"/>
                <w:szCs w:val="21"/>
              </w:rPr>
            </w:pPr>
            <w:r>
              <w:rPr>
                <w:b/>
                <w:bCs/>
                <w:sz w:val="21"/>
                <w:szCs w:val="21"/>
              </w:rPr>
              <w:t>条件</w:t>
            </w:r>
          </w:p>
        </w:tc>
        <w:tc>
          <w:tcPr>
            <w:tcW w:w="944" w:type="pct"/>
            <w:vAlign w:val="center"/>
          </w:tcPr>
          <w:p w14:paraId="722F4A29">
            <w:pPr>
              <w:tabs>
                <w:tab w:val="clear" w:pos="480"/>
              </w:tabs>
              <w:spacing w:line="240" w:lineRule="auto"/>
              <w:ind w:firstLine="0" w:firstLineChars="0"/>
              <w:jc w:val="center"/>
              <w:rPr>
                <w:b/>
                <w:bCs/>
                <w:sz w:val="21"/>
                <w:szCs w:val="21"/>
              </w:rPr>
            </w:pPr>
            <w:r>
              <w:rPr>
                <w:b/>
                <w:bCs/>
                <w:sz w:val="21"/>
                <w:szCs w:val="21"/>
              </w:rPr>
              <w:t>评价工作等级</w:t>
            </w:r>
          </w:p>
        </w:tc>
      </w:tr>
      <w:tr w14:paraId="7DFDB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vAlign w:val="center"/>
          </w:tcPr>
          <w:p w14:paraId="0D4952CC">
            <w:pPr>
              <w:tabs>
                <w:tab w:val="clear" w:pos="480"/>
              </w:tabs>
              <w:spacing w:line="240" w:lineRule="auto"/>
              <w:ind w:firstLine="0" w:firstLineChars="0"/>
              <w:jc w:val="center"/>
              <w:rPr>
                <w:sz w:val="21"/>
                <w:szCs w:val="21"/>
              </w:rPr>
            </w:pPr>
            <w:r>
              <w:rPr>
                <w:sz w:val="21"/>
                <w:szCs w:val="21"/>
              </w:rPr>
              <w:t>交流</w:t>
            </w:r>
          </w:p>
        </w:tc>
        <w:tc>
          <w:tcPr>
            <w:tcW w:w="664" w:type="pct"/>
            <w:vMerge w:val="restart"/>
            <w:vAlign w:val="center"/>
          </w:tcPr>
          <w:p w14:paraId="50FA1D99">
            <w:pPr>
              <w:tabs>
                <w:tab w:val="clear" w:pos="480"/>
              </w:tabs>
              <w:spacing w:line="240" w:lineRule="auto"/>
              <w:ind w:firstLine="0" w:firstLineChars="0"/>
              <w:jc w:val="center"/>
              <w:rPr>
                <w:sz w:val="21"/>
                <w:szCs w:val="21"/>
              </w:rPr>
            </w:pPr>
            <w:r>
              <w:rPr>
                <w:sz w:val="21"/>
                <w:szCs w:val="21"/>
              </w:rPr>
              <w:t>110kV</w:t>
            </w:r>
          </w:p>
        </w:tc>
        <w:tc>
          <w:tcPr>
            <w:tcW w:w="455" w:type="pct"/>
            <w:vMerge w:val="restart"/>
            <w:vAlign w:val="center"/>
          </w:tcPr>
          <w:p w14:paraId="264E46FB">
            <w:pPr>
              <w:tabs>
                <w:tab w:val="clear" w:pos="480"/>
              </w:tabs>
              <w:spacing w:line="240" w:lineRule="auto"/>
              <w:ind w:firstLine="0" w:firstLineChars="0"/>
              <w:jc w:val="center"/>
              <w:rPr>
                <w:sz w:val="21"/>
                <w:szCs w:val="21"/>
              </w:rPr>
            </w:pPr>
            <w:r>
              <w:rPr>
                <w:sz w:val="21"/>
                <w:szCs w:val="21"/>
              </w:rPr>
              <w:t>变电站</w:t>
            </w:r>
          </w:p>
        </w:tc>
        <w:tc>
          <w:tcPr>
            <w:tcW w:w="2541" w:type="pct"/>
            <w:vAlign w:val="center"/>
          </w:tcPr>
          <w:p w14:paraId="2405E134">
            <w:pPr>
              <w:tabs>
                <w:tab w:val="clear" w:pos="480"/>
              </w:tabs>
              <w:spacing w:line="240" w:lineRule="auto"/>
              <w:ind w:firstLine="0" w:firstLineChars="0"/>
              <w:rPr>
                <w:sz w:val="21"/>
                <w:szCs w:val="21"/>
              </w:rPr>
            </w:pPr>
            <w:r>
              <w:rPr>
                <w:sz w:val="21"/>
                <w:szCs w:val="21"/>
              </w:rPr>
              <w:t>户内式、地下式</w:t>
            </w:r>
          </w:p>
        </w:tc>
        <w:tc>
          <w:tcPr>
            <w:tcW w:w="944" w:type="pct"/>
            <w:vAlign w:val="center"/>
          </w:tcPr>
          <w:p w14:paraId="109D4F73">
            <w:pPr>
              <w:tabs>
                <w:tab w:val="clear" w:pos="480"/>
              </w:tabs>
              <w:spacing w:line="240" w:lineRule="auto"/>
              <w:ind w:firstLine="0" w:firstLineChars="0"/>
              <w:jc w:val="center"/>
              <w:rPr>
                <w:sz w:val="21"/>
                <w:szCs w:val="21"/>
              </w:rPr>
            </w:pPr>
            <w:r>
              <w:rPr>
                <w:sz w:val="21"/>
                <w:szCs w:val="21"/>
              </w:rPr>
              <w:t>三级</w:t>
            </w:r>
          </w:p>
        </w:tc>
      </w:tr>
      <w:tr w14:paraId="1431EC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08F56A61">
            <w:pPr>
              <w:widowControl/>
              <w:tabs>
                <w:tab w:val="clear" w:pos="480"/>
              </w:tabs>
              <w:spacing w:line="240" w:lineRule="auto"/>
              <w:ind w:firstLine="0" w:firstLineChars="0"/>
              <w:jc w:val="left"/>
              <w:rPr>
                <w:sz w:val="21"/>
                <w:szCs w:val="21"/>
              </w:rPr>
            </w:pPr>
          </w:p>
        </w:tc>
        <w:tc>
          <w:tcPr>
            <w:tcW w:w="0" w:type="auto"/>
            <w:vMerge w:val="continue"/>
            <w:vAlign w:val="center"/>
          </w:tcPr>
          <w:p w14:paraId="49FECADA">
            <w:pPr>
              <w:widowControl/>
              <w:tabs>
                <w:tab w:val="clear" w:pos="480"/>
              </w:tabs>
              <w:spacing w:line="240" w:lineRule="auto"/>
              <w:ind w:firstLine="0" w:firstLineChars="0"/>
              <w:jc w:val="left"/>
              <w:rPr>
                <w:sz w:val="21"/>
                <w:szCs w:val="21"/>
              </w:rPr>
            </w:pPr>
          </w:p>
        </w:tc>
        <w:tc>
          <w:tcPr>
            <w:tcW w:w="0" w:type="auto"/>
            <w:vMerge w:val="continue"/>
            <w:vAlign w:val="center"/>
          </w:tcPr>
          <w:p w14:paraId="4EB8EF33">
            <w:pPr>
              <w:widowControl/>
              <w:tabs>
                <w:tab w:val="clear" w:pos="480"/>
              </w:tabs>
              <w:spacing w:line="240" w:lineRule="auto"/>
              <w:ind w:firstLine="0" w:firstLineChars="0"/>
              <w:jc w:val="left"/>
              <w:rPr>
                <w:sz w:val="21"/>
                <w:szCs w:val="21"/>
              </w:rPr>
            </w:pPr>
          </w:p>
        </w:tc>
        <w:tc>
          <w:tcPr>
            <w:tcW w:w="2541" w:type="pct"/>
            <w:vAlign w:val="center"/>
          </w:tcPr>
          <w:p w14:paraId="27BD67D9">
            <w:pPr>
              <w:tabs>
                <w:tab w:val="clear" w:pos="480"/>
              </w:tabs>
              <w:spacing w:line="240" w:lineRule="auto"/>
              <w:ind w:firstLine="0" w:firstLineChars="0"/>
              <w:rPr>
                <w:sz w:val="21"/>
                <w:szCs w:val="21"/>
              </w:rPr>
            </w:pPr>
            <w:r>
              <w:rPr>
                <w:sz w:val="21"/>
                <w:szCs w:val="21"/>
              </w:rPr>
              <w:t>户外式</w:t>
            </w:r>
          </w:p>
        </w:tc>
        <w:tc>
          <w:tcPr>
            <w:tcW w:w="944" w:type="pct"/>
            <w:vAlign w:val="center"/>
          </w:tcPr>
          <w:p w14:paraId="2845AE06">
            <w:pPr>
              <w:tabs>
                <w:tab w:val="clear" w:pos="480"/>
              </w:tabs>
              <w:spacing w:line="240" w:lineRule="auto"/>
              <w:ind w:firstLine="0" w:firstLineChars="0"/>
              <w:jc w:val="center"/>
              <w:rPr>
                <w:sz w:val="21"/>
                <w:szCs w:val="21"/>
              </w:rPr>
            </w:pPr>
            <w:r>
              <w:rPr>
                <w:sz w:val="21"/>
                <w:szCs w:val="21"/>
              </w:rPr>
              <w:t>二级</w:t>
            </w:r>
          </w:p>
        </w:tc>
      </w:tr>
      <w:tr w14:paraId="4F8232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5A593F44">
            <w:pPr>
              <w:widowControl/>
              <w:tabs>
                <w:tab w:val="clear" w:pos="480"/>
              </w:tabs>
              <w:spacing w:line="240" w:lineRule="auto"/>
              <w:ind w:firstLine="0" w:firstLineChars="0"/>
              <w:jc w:val="left"/>
              <w:rPr>
                <w:sz w:val="21"/>
                <w:szCs w:val="21"/>
              </w:rPr>
            </w:pPr>
          </w:p>
        </w:tc>
        <w:tc>
          <w:tcPr>
            <w:tcW w:w="0" w:type="auto"/>
            <w:vMerge w:val="continue"/>
            <w:vAlign w:val="center"/>
          </w:tcPr>
          <w:p w14:paraId="2CDCF124">
            <w:pPr>
              <w:widowControl/>
              <w:tabs>
                <w:tab w:val="clear" w:pos="480"/>
              </w:tabs>
              <w:spacing w:line="240" w:lineRule="auto"/>
              <w:ind w:firstLine="0" w:firstLineChars="0"/>
              <w:jc w:val="left"/>
              <w:rPr>
                <w:sz w:val="21"/>
                <w:szCs w:val="21"/>
              </w:rPr>
            </w:pPr>
          </w:p>
        </w:tc>
        <w:tc>
          <w:tcPr>
            <w:tcW w:w="455" w:type="pct"/>
            <w:vMerge w:val="restart"/>
            <w:vAlign w:val="center"/>
          </w:tcPr>
          <w:p w14:paraId="331BB8F6">
            <w:pPr>
              <w:tabs>
                <w:tab w:val="clear" w:pos="480"/>
              </w:tabs>
              <w:spacing w:line="240" w:lineRule="auto"/>
              <w:ind w:firstLine="0" w:firstLineChars="0"/>
              <w:jc w:val="center"/>
              <w:rPr>
                <w:sz w:val="21"/>
                <w:szCs w:val="21"/>
              </w:rPr>
            </w:pPr>
            <w:r>
              <w:rPr>
                <w:sz w:val="21"/>
                <w:szCs w:val="21"/>
              </w:rPr>
              <w:t>输电</w:t>
            </w:r>
          </w:p>
          <w:p w14:paraId="499388C3">
            <w:pPr>
              <w:tabs>
                <w:tab w:val="clear" w:pos="480"/>
              </w:tabs>
              <w:spacing w:line="240" w:lineRule="auto"/>
              <w:ind w:firstLine="0" w:firstLineChars="0"/>
              <w:jc w:val="center"/>
              <w:rPr>
                <w:sz w:val="21"/>
                <w:szCs w:val="21"/>
              </w:rPr>
            </w:pPr>
            <w:r>
              <w:rPr>
                <w:sz w:val="21"/>
                <w:szCs w:val="21"/>
              </w:rPr>
              <w:t>线路</w:t>
            </w:r>
          </w:p>
        </w:tc>
        <w:tc>
          <w:tcPr>
            <w:tcW w:w="2541" w:type="pct"/>
            <w:vAlign w:val="center"/>
          </w:tcPr>
          <w:p w14:paraId="3BF2810C">
            <w:pPr>
              <w:tabs>
                <w:tab w:val="clear" w:pos="480"/>
              </w:tabs>
              <w:spacing w:line="240" w:lineRule="auto"/>
              <w:ind w:firstLine="0" w:firstLineChars="0"/>
              <w:rPr>
                <w:sz w:val="21"/>
                <w:szCs w:val="21"/>
              </w:rPr>
            </w:pPr>
            <w:r>
              <w:rPr>
                <w:sz w:val="21"/>
                <w:szCs w:val="21"/>
              </w:rPr>
              <w:t>1、地下电缆</w:t>
            </w:r>
          </w:p>
          <w:p w14:paraId="614D8BE3">
            <w:pPr>
              <w:tabs>
                <w:tab w:val="clear" w:pos="480"/>
              </w:tabs>
              <w:spacing w:line="240" w:lineRule="auto"/>
              <w:ind w:firstLine="0" w:firstLineChars="0"/>
              <w:rPr>
                <w:sz w:val="21"/>
                <w:szCs w:val="21"/>
              </w:rPr>
            </w:pPr>
            <w:r>
              <w:rPr>
                <w:sz w:val="21"/>
                <w:szCs w:val="21"/>
              </w:rPr>
              <w:t>2、边导线地面投影外两侧各10m范围内无电磁环境敏感目标的架空线路</w:t>
            </w:r>
          </w:p>
        </w:tc>
        <w:tc>
          <w:tcPr>
            <w:tcW w:w="944" w:type="pct"/>
            <w:vAlign w:val="center"/>
          </w:tcPr>
          <w:p w14:paraId="76FC7E32">
            <w:pPr>
              <w:tabs>
                <w:tab w:val="clear" w:pos="480"/>
              </w:tabs>
              <w:spacing w:line="240" w:lineRule="auto"/>
              <w:ind w:firstLine="0" w:firstLineChars="0"/>
              <w:jc w:val="center"/>
              <w:rPr>
                <w:sz w:val="21"/>
                <w:szCs w:val="21"/>
              </w:rPr>
            </w:pPr>
            <w:r>
              <w:rPr>
                <w:sz w:val="21"/>
                <w:szCs w:val="21"/>
              </w:rPr>
              <w:t>三级</w:t>
            </w:r>
          </w:p>
        </w:tc>
      </w:tr>
      <w:tr w14:paraId="22B6B2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50CDFB31">
            <w:pPr>
              <w:widowControl/>
              <w:tabs>
                <w:tab w:val="clear" w:pos="480"/>
              </w:tabs>
              <w:spacing w:line="240" w:lineRule="auto"/>
              <w:ind w:firstLine="0" w:firstLineChars="0"/>
              <w:jc w:val="left"/>
              <w:rPr>
                <w:sz w:val="21"/>
                <w:szCs w:val="21"/>
              </w:rPr>
            </w:pPr>
          </w:p>
        </w:tc>
        <w:tc>
          <w:tcPr>
            <w:tcW w:w="0" w:type="auto"/>
            <w:vMerge w:val="continue"/>
            <w:vAlign w:val="center"/>
          </w:tcPr>
          <w:p w14:paraId="092A6703">
            <w:pPr>
              <w:widowControl/>
              <w:tabs>
                <w:tab w:val="clear" w:pos="480"/>
              </w:tabs>
              <w:spacing w:line="240" w:lineRule="auto"/>
              <w:ind w:firstLine="0" w:firstLineChars="0"/>
              <w:jc w:val="left"/>
              <w:rPr>
                <w:sz w:val="21"/>
                <w:szCs w:val="21"/>
              </w:rPr>
            </w:pPr>
          </w:p>
        </w:tc>
        <w:tc>
          <w:tcPr>
            <w:tcW w:w="0" w:type="auto"/>
            <w:vMerge w:val="continue"/>
            <w:vAlign w:val="center"/>
          </w:tcPr>
          <w:p w14:paraId="3ABE9A42">
            <w:pPr>
              <w:widowControl/>
              <w:tabs>
                <w:tab w:val="clear" w:pos="480"/>
              </w:tabs>
              <w:spacing w:line="240" w:lineRule="auto"/>
              <w:ind w:firstLine="0" w:firstLineChars="0"/>
              <w:jc w:val="left"/>
              <w:rPr>
                <w:sz w:val="21"/>
                <w:szCs w:val="21"/>
              </w:rPr>
            </w:pPr>
          </w:p>
        </w:tc>
        <w:tc>
          <w:tcPr>
            <w:tcW w:w="2541" w:type="pct"/>
            <w:vAlign w:val="center"/>
          </w:tcPr>
          <w:p w14:paraId="3D30AA59">
            <w:pPr>
              <w:tabs>
                <w:tab w:val="clear" w:pos="480"/>
              </w:tabs>
              <w:spacing w:line="240" w:lineRule="auto"/>
              <w:ind w:firstLine="0" w:firstLineChars="0"/>
              <w:rPr>
                <w:sz w:val="21"/>
                <w:szCs w:val="21"/>
              </w:rPr>
            </w:pPr>
            <w:r>
              <w:rPr>
                <w:sz w:val="21"/>
                <w:szCs w:val="21"/>
              </w:rPr>
              <w:t>边导线地面投影外两侧各10m范围内有电磁环境敏感目标的架空线路</w:t>
            </w:r>
          </w:p>
        </w:tc>
        <w:tc>
          <w:tcPr>
            <w:tcW w:w="944" w:type="pct"/>
            <w:vAlign w:val="center"/>
          </w:tcPr>
          <w:p w14:paraId="0F03E00B">
            <w:pPr>
              <w:tabs>
                <w:tab w:val="clear" w:pos="480"/>
              </w:tabs>
              <w:spacing w:line="240" w:lineRule="auto"/>
              <w:ind w:firstLine="0" w:firstLineChars="0"/>
              <w:jc w:val="center"/>
              <w:rPr>
                <w:sz w:val="21"/>
                <w:szCs w:val="21"/>
              </w:rPr>
            </w:pPr>
            <w:r>
              <w:rPr>
                <w:sz w:val="21"/>
                <w:szCs w:val="21"/>
              </w:rPr>
              <w:t>二级</w:t>
            </w:r>
          </w:p>
        </w:tc>
      </w:tr>
    </w:tbl>
    <w:p w14:paraId="55FC13E1">
      <w:pPr>
        <w:tabs>
          <w:tab w:val="clear" w:pos="480"/>
        </w:tabs>
        <w:adjustRightInd w:val="0"/>
        <w:snapToGrid w:val="0"/>
        <w:ind w:firstLine="480"/>
      </w:pPr>
      <w:r>
        <w:rPr>
          <w:rFonts w:hint="eastAsia"/>
        </w:rPr>
        <w:t>本项目仅对1</w:t>
      </w:r>
      <w:r>
        <w:t>10</w:t>
      </w:r>
      <w:r>
        <w:rPr>
          <w:rFonts w:hint="eastAsia"/>
        </w:rPr>
        <w:t>k</w:t>
      </w:r>
      <w:r>
        <w:t>V</w:t>
      </w:r>
      <w:r>
        <w:rPr>
          <w:rFonts w:hint="eastAsia"/>
        </w:rPr>
        <w:t>升压站进行评价，不包括输电线路。根据现场调查，确定本次评价等级，详见下表。</w:t>
      </w:r>
    </w:p>
    <w:p w14:paraId="42938564">
      <w:pPr>
        <w:tabs>
          <w:tab w:val="clear" w:pos="480"/>
        </w:tabs>
        <w:spacing w:line="240" w:lineRule="auto"/>
        <w:ind w:firstLine="0" w:firstLineChars="0"/>
        <w:jc w:val="center"/>
        <w:rPr>
          <w:b/>
          <w:bCs/>
          <w:szCs w:val="20"/>
        </w:rPr>
      </w:pPr>
      <w:bookmarkStart w:id="51" w:name="_Ref35435504"/>
      <w:r>
        <w:rPr>
          <w:rFonts w:hint="eastAsia"/>
          <w:b/>
          <w:bCs/>
          <w:szCs w:val="20"/>
        </w:rPr>
        <w:t>表</w:t>
      </w:r>
      <w:bookmarkEnd w:id="51"/>
      <w:r>
        <w:rPr>
          <w:b/>
          <w:bCs/>
          <w:szCs w:val="20"/>
        </w:rPr>
        <w:t>2.5</w:t>
      </w:r>
      <w:r>
        <w:rPr>
          <w:rFonts w:hint="eastAsia"/>
          <w:b/>
          <w:bCs/>
          <w:szCs w:val="20"/>
        </w:rPr>
        <w:t>-</w:t>
      </w:r>
      <w:r>
        <w:rPr>
          <w:b/>
          <w:bCs/>
          <w:szCs w:val="20"/>
        </w:rPr>
        <w:t>5</w:t>
      </w:r>
      <w:r>
        <w:rPr>
          <w:rFonts w:hint="eastAsia"/>
          <w:b/>
          <w:bCs/>
          <w:szCs w:val="20"/>
        </w:rPr>
        <w:t>本工程评价工作等级</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197"/>
        <w:gridCol w:w="1296"/>
        <w:gridCol w:w="2449"/>
        <w:gridCol w:w="1282"/>
        <w:gridCol w:w="1510"/>
      </w:tblGrid>
      <w:tr w14:paraId="77094F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5" w:type="pct"/>
            <w:vAlign w:val="center"/>
          </w:tcPr>
          <w:p w14:paraId="30712153">
            <w:pPr>
              <w:tabs>
                <w:tab w:val="clear" w:pos="480"/>
              </w:tabs>
              <w:spacing w:line="240" w:lineRule="auto"/>
              <w:ind w:firstLine="0" w:firstLineChars="0"/>
              <w:jc w:val="center"/>
              <w:rPr>
                <w:b/>
                <w:bCs/>
                <w:sz w:val="21"/>
                <w:szCs w:val="21"/>
              </w:rPr>
            </w:pPr>
            <w:r>
              <w:rPr>
                <w:b/>
                <w:bCs/>
                <w:sz w:val="21"/>
                <w:szCs w:val="21"/>
              </w:rPr>
              <w:t>分类</w:t>
            </w:r>
          </w:p>
        </w:tc>
        <w:tc>
          <w:tcPr>
            <w:tcW w:w="702" w:type="pct"/>
            <w:vAlign w:val="center"/>
          </w:tcPr>
          <w:p w14:paraId="7F183860">
            <w:pPr>
              <w:tabs>
                <w:tab w:val="clear" w:pos="480"/>
              </w:tabs>
              <w:spacing w:line="240" w:lineRule="auto"/>
              <w:ind w:firstLine="0" w:firstLineChars="0"/>
              <w:jc w:val="center"/>
              <w:rPr>
                <w:b/>
                <w:bCs/>
                <w:sz w:val="21"/>
                <w:szCs w:val="21"/>
              </w:rPr>
            </w:pPr>
            <w:r>
              <w:rPr>
                <w:b/>
                <w:bCs/>
                <w:sz w:val="21"/>
                <w:szCs w:val="21"/>
              </w:rPr>
              <w:t>电压等级</w:t>
            </w:r>
          </w:p>
        </w:tc>
        <w:tc>
          <w:tcPr>
            <w:tcW w:w="760" w:type="pct"/>
            <w:vAlign w:val="center"/>
          </w:tcPr>
          <w:p w14:paraId="5F37C92A">
            <w:pPr>
              <w:tabs>
                <w:tab w:val="clear" w:pos="480"/>
              </w:tabs>
              <w:spacing w:line="240" w:lineRule="auto"/>
              <w:ind w:firstLine="0" w:firstLineChars="0"/>
              <w:jc w:val="center"/>
              <w:rPr>
                <w:b/>
                <w:bCs/>
                <w:sz w:val="21"/>
                <w:szCs w:val="21"/>
              </w:rPr>
            </w:pPr>
            <w:r>
              <w:rPr>
                <w:b/>
                <w:bCs/>
                <w:sz w:val="21"/>
                <w:szCs w:val="21"/>
              </w:rPr>
              <w:t>工程</w:t>
            </w:r>
          </w:p>
        </w:tc>
        <w:tc>
          <w:tcPr>
            <w:tcW w:w="1436" w:type="pct"/>
            <w:vAlign w:val="center"/>
          </w:tcPr>
          <w:p w14:paraId="7A2D27B2">
            <w:pPr>
              <w:tabs>
                <w:tab w:val="clear" w:pos="480"/>
              </w:tabs>
              <w:spacing w:line="240" w:lineRule="auto"/>
              <w:ind w:firstLine="0" w:firstLineChars="0"/>
              <w:jc w:val="center"/>
              <w:rPr>
                <w:b/>
                <w:bCs/>
                <w:sz w:val="21"/>
                <w:szCs w:val="21"/>
              </w:rPr>
            </w:pPr>
            <w:r>
              <w:rPr>
                <w:b/>
                <w:bCs/>
                <w:sz w:val="21"/>
                <w:szCs w:val="21"/>
              </w:rPr>
              <w:t>本项目条件</w:t>
            </w:r>
          </w:p>
        </w:tc>
        <w:tc>
          <w:tcPr>
            <w:tcW w:w="752" w:type="pct"/>
            <w:vAlign w:val="center"/>
          </w:tcPr>
          <w:p w14:paraId="3158D6E5">
            <w:pPr>
              <w:tabs>
                <w:tab w:val="clear" w:pos="480"/>
              </w:tabs>
              <w:spacing w:line="240" w:lineRule="auto"/>
              <w:ind w:firstLine="0" w:firstLineChars="0"/>
              <w:jc w:val="center"/>
              <w:rPr>
                <w:b/>
                <w:bCs/>
                <w:sz w:val="21"/>
                <w:szCs w:val="21"/>
              </w:rPr>
            </w:pPr>
            <w:r>
              <w:rPr>
                <w:b/>
                <w:bCs/>
                <w:sz w:val="21"/>
                <w:szCs w:val="21"/>
              </w:rPr>
              <w:t>评价等级</w:t>
            </w:r>
          </w:p>
        </w:tc>
        <w:tc>
          <w:tcPr>
            <w:tcW w:w="885" w:type="pct"/>
            <w:vAlign w:val="center"/>
          </w:tcPr>
          <w:p w14:paraId="3838D327">
            <w:pPr>
              <w:tabs>
                <w:tab w:val="clear" w:pos="480"/>
              </w:tabs>
              <w:spacing w:line="240" w:lineRule="auto"/>
              <w:ind w:firstLine="0" w:firstLineChars="0"/>
              <w:jc w:val="center"/>
              <w:rPr>
                <w:b/>
                <w:bCs/>
                <w:sz w:val="21"/>
                <w:szCs w:val="21"/>
              </w:rPr>
            </w:pPr>
            <w:r>
              <w:rPr>
                <w:b/>
                <w:bCs/>
                <w:sz w:val="21"/>
                <w:szCs w:val="21"/>
              </w:rPr>
              <w:t>预测方法</w:t>
            </w:r>
          </w:p>
        </w:tc>
      </w:tr>
      <w:tr w14:paraId="48B1F8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5" w:type="pct"/>
            <w:vAlign w:val="center"/>
          </w:tcPr>
          <w:p w14:paraId="3B35A415">
            <w:pPr>
              <w:tabs>
                <w:tab w:val="clear" w:pos="480"/>
              </w:tabs>
              <w:spacing w:line="240" w:lineRule="auto"/>
              <w:ind w:firstLine="0" w:firstLineChars="0"/>
              <w:jc w:val="center"/>
              <w:rPr>
                <w:sz w:val="21"/>
                <w:szCs w:val="21"/>
              </w:rPr>
            </w:pPr>
            <w:r>
              <w:rPr>
                <w:sz w:val="21"/>
                <w:szCs w:val="21"/>
              </w:rPr>
              <w:t>交流</w:t>
            </w:r>
          </w:p>
        </w:tc>
        <w:tc>
          <w:tcPr>
            <w:tcW w:w="702" w:type="pct"/>
            <w:vAlign w:val="center"/>
          </w:tcPr>
          <w:p w14:paraId="13E48DA0">
            <w:pPr>
              <w:tabs>
                <w:tab w:val="clear" w:pos="480"/>
              </w:tabs>
              <w:spacing w:line="240" w:lineRule="auto"/>
              <w:ind w:firstLine="0" w:firstLineChars="0"/>
              <w:jc w:val="center"/>
              <w:rPr>
                <w:sz w:val="21"/>
                <w:szCs w:val="21"/>
              </w:rPr>
            </w:pPr>
            <w:r>
              <w:rPr>
                <w:sz w:val="21"/>
                <w:szCs w:val="21"/>
              </w:rPr>
              <w:t>110kV</w:t>
            </w:r>
          </w:p>
        </w:tc>
        <w:tc>
          <w:tcPr>
            <w:tcW w:w="760" w:type="pct"/>
            <w:vAlign w:val="center"/>
          </w:tcPr>
          <w:p w14:paraId="4219FE5A">
            <w:pPr>
              <w:tabs>
                <w:tab w:val="clear" w:pos="480"/>
              </w:tabs>
              <w:spacing w:line="240" w:lineRule="auto"/>
              <w:ind w:firstLine="0" w:firstLineChars="0"/>
              <w:jc w:val="center"/>
              <w:rPr>
                <w:sz w:val="21"/>
                <w:szCs w:val="21"/>
              </w:rPr>
            </w:pPr>
            <w:r>
              <w:rPr>
                <w:sz w:val="21"/>
                <w:szCs w:val="21"/>
              </w:rPr>
              <w:t>升压站</w:t>
            </w:r>
          </w:p>
        </w:tc>
        <w:tc>
          <w:tcPr>
            <w:tcW w:w="1436" w:type="pct"/>
            <w:vAlign w:val="center"/>
          </w:tcPr>
          <w:p w14:paraId="7A3FAA9E">
            <w:pPr>
              <w:tabs>
                <w:tab w:val="clear" w:pos="480"/>
              </w:tabs>
              <w:spacing w:line="240" w:lineRule="auto"/>
              <w:ind w:firstLine="0" w:firstLineChars="0"/>
              <w:jc w:val="center"/>
              <w:rPr>
                <w:sz w:val="21"/>
                <w:szCs w:val="21"/>
              </w:rPr>
            </w:pPr>
            <w:r>
              <w:rPr>
                <w:sz w:val="21"/>
                <w:szCs w:val="21"/>
              </w:rPr>
              <w:t>户外式</w:t>
            </w:r>
          </w:p>
        </w:tc>
        <w:tc>
          <w:tcPr>
            <w:tcW w:w="752" w:type="pct"/>
            <w:vAlign w:val="center"/>
          </w:tcPr>
          <w:p w14:paraId="77816D20">
            <w:pPr>
              <w:tabs>
                <w:tab w:val="clear" w:pos="480"/>
              </w:tabs>
              <w:spacing w:line="240" w:lineRule="auto"/>
              <w:ind w:firstLine="0" w:firstLineChars="0"/>
              <w:jc w:val="center"/>
              <w:rPr>
                <w:sz w:val="21"/>
                <w:szCs w:val="21"/>
              </w:rPr>
            </w:pPr>
            <w:r>
              <w:rPr>
                <w:sz w:val="21"/>
                <w:szCs w:val="21"/>
              </w:rPr>
              <w:t>二级</w:t>
            </w:r>
          </w:p>
        </w:tc>
        <w:tc>
          <w:tcPr>
            <w:tcW w:w="885" w:type="pct"/>
            <w:vAlign w:val="center"/>
          </w:tcPr>
          <w:p w14:paraId="3B445D09">
            <w:pPr>
              <w:tabs>
                <w:tab w:val="clear" w:pos="480"/>
              </w:tabs>
              <w:spacing w:line="240" w:lineRule="auto"/>
              <w:ind w:firstLine="0" w:firstLineChars="0"/>
              <w:jc w:val="center"/>
              <w:rPr>
                <w:sz w:val="21"/>
                <w:szCs w:val="21"/>
              </w:rPr>
            </w:pPr>
            <w:r>
              <w:rPr>
                <w:rFonts w:hint="eastAsia"/>
                <w:sz w:val="21"/>
                <w:szCs w:val="21"/>
              </w:rPr>
              <w:t>类比监测</w:t>
            </w:r>
          </w:p>
        </w:tc>
      </w:tr>
    </w:tbl>
    <w:p w14:paraId="6E8C1691">
      <w:pPr>
        <w:tabs>
          <w:tab w:val="clear" w:pos="480"/>
        </w:tabs>
        <w:ind w:firstLine="480"/>
        <w:rPr>
          <w:szCs w:val="20"/>
        </w:rPr>
      </w:pPr>
      <w:r>
        <w:rPr>
          <w:rFonts w:hint="eastAsia"/>
          <w:szCs w:val="20"/>
        </w:rPr>
        <w:t>综合考虑，本工程电磁环评影响评价等级为应为“二级”。</w:t>
      </w:r>
    </w:p>
    <w:p w14:paraId="0F4AA88C">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.5.2</w:t>
      </w:r>
      <w:r>
        <w:rPr>
          <w:rFonts w:hint="eastAsia" w:ascii="Times New Roman" w:eastAsia="宋体"/>
          <w:sz w:val="28"/>
          <w:szCs w:val="28"/>
          <w:lang w:val="en-US"/>
        </w:rPr>
        <w:t>评价范围</w:t>
      </w:r>
    </w:p>
    <w:p w14:paraId="3E30BDAE">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.5.2.1</w:t>
      </w:r>
      <w:r>
        <w:rPr>
          <w:rFonts w:hint="eastAsia" w:ascii="Times New Roman" w:eastAsia="宋体"/>
          <w:sz w:val="24"/>
          <w:szCs w:val="24"/>
        </w:rPr>
        <w:t>环境空气</w:t>
      </w:r>
    </w:p>
    <w:p w14:paraId="6EE9863D">
      <w:pPr>
        <w:adjustRightInd w:val="0"/>
        <w:snapToGrid w:val="0"/>
        <w:ind w:firstLine="480"/>
      </w:pPr>
      <w:r>
        <w:rPr>
          <w:rFonts w:hint="eastAsia"/>
        </w:rPr>
        <w:t>本项目大气环境影响评价工作等级为“三级”。根据《环境影响评价技术导则大气环境》（HJ2.2-2018）中对评价范围的规定，本项目无需设置大气环境影响评价范围。</w:t>
      </w:r>
    </w:p>
    <w:p w14:paraId="0FCFBDAF">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.5.2.2</w:t>
      </w:r>
      <w:r>
        <w:rPr>
          <w:rFonts w:hint="eastAsia" w:ascii="Times New Roman" w:eastAsia="宋体"/>
          <w:sz w:val="24"/>
          <w:szCs w:val="24"/>
        </w:rPr>
        <w:t>地表水环境</w:t>
      </w:r>
    </w:p>
    <w:p w14:paraId="2FACAF3A">
      <w:pPr>
        <w:adjustRightInd w:val="0"/>
        <w:snapToGrid w:val="0"/>
        <w:ind w:firstLine="480"/>
      </w:pPr>
      <w:r>
        <w:rPr>
          <w:rFonts w:hint="eastAsia"/>
        </w:rPr>
        <w:t>本项目地表水环境影响评价工作等级为“三级B”。项目地表水环境影响评价范围为风电场区域内水库、沟渠。因项目3</w:t>
      </w:r>
      <w:r>
        <w:t>#</w:t>
      </w:r>
      <w:r>
        <w:rPr>
          <w:rFonts w:hint="eastAsia"/>
        </w:rPr>
        <w:t>风机机位和道路临近衡阳县岣嵝乡环洞村山溪水饮用水水源保护区，因此项目地表水评价范围还包含衡阳县岣嵝乡环洞村山溪水饮用水水源保护区。</w:t>
      </w:r>
    </w:p>
    <w:p w14:paraId="0ECB16F2">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.5.2.3</w:t>
      </w:r>
      <w:r>
        <w:rPr>
          <w:rFonts w:hint="eastAsia" w:ascii="Times New Roman" w:eastAsia="宋体"/>
          <w:sz w:val="24"/>
          <w:szCs w:val="24"/>
        </w:rPr>
        <w:t>地下水、土壤环境</w:t>
      </w:r>
    </w:p>
    <w:p w14:paraId="203BF159">
      <w:pPr>
        <w:adjustRightInd w:val="0"/>
        <w:snapToGrid w:val="0"/>
        <w:ind w:firstLine="480"/>
      </w:pPr>
      <w:r>
        <w:rPr>
          <w:rFonts w:hint="eastAsia"/>
        </w:rPr>
        <w:t>根据前述分析可知，本项目无需开展地下水、土壤环境影响评价，因此项目无需设置地下水、土壤环境影响评价范围。</w:t>
      </w:r>
    </w:p>
    <w:p w14:paraId="36A695FC">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.5.2.4</w:t>
      </w:r>
      <w:r>
        <w:rPr>
          <w:rFonts w:hint="eastAsia" w:ascii="Times New Roman" w:eastAsia="宋体"/>
          <w:sz w:val="24"/>
          <w:szCs w:val="24"/>
        </w:rPr>
        <w:t>环境风险</w:t>
      </w:r>
    </w:p>
    <w:p w14:paraId="2FD4B64C">
      <w:pPr>
        <w:adjustRightInd w:val="0"/>
        <w:snapToGrid w:val="0"/>
        <w:ind w:firstLine="480"/>
      </w:pPr>
      <w:r>
        <w:rPr>
          <w:rFonts w:hint="eastAsia"/>
        </w:rPr>
        <w:t>根据前述分析可知，本项目环境风险评价工作等级为“简单分析”。根据</w:t>
      </w:r>
      <w:r>
        <w:t>《建设项目环境风险评价技术导则》（HJ169-2018）</w:t>
      </w:r>
      <w:r>
        <w:rPr>
          <w:rFonts w:hint="eastAsia"/>
        </w:rPr>
        <w:t>，本项目无需设置环境风险评价范围。</w:t>
      </w:r>
    </w:p>
    <w:p w14:paraId="0E623B9B">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.5.2.5</w:t>
      </w:r>
      <w:r>
        <w:rPr>
          <w:rFonts w:hint="eastAsia" w:ascii="Times New Roman" w:eastAsia="宋体"/>
          <w:sz w:val="24"/>
          <w:szCs w:val="24"/>
        </w:rPr>
        <w:t>声环境</w:t>
      </w:r>
    </w:p>
    <w:p w14:paraId="69957369">
      <w:pPr>
        <w:adjustRightInd w:val="0"/>
        <w:snapToGrid w:val="0"/>
        <w:ind w:firstLine="480"/>
      </w:pPr>
      <w:r>
        <w:rPr>
          <w:rFonts w:hint="eastAsia"/>
        </w:rPr>
        <w:t>根据前述分析，本项目声环境影响评价工作等级为“一级”。本项目声环境影响评价范围为风机平台边界</w:t>
      </w:r>
      <w:r>
        <w:t>外500m范围</w:t>
      </w:r>
      <w:r>
        <w:rPr>
          <w:rFonts w:hint="eastAsia"/>
        </w:rPr>
        <w:t>，场内道路两侧200</w:t>
      </w:r>
      <w:r>
        <w:t>范围</w:t>
      </w:r>
      <w:r>
        <w:rPr>
          <w:rFonts w:hint="eastAsia"/>
        </w:rPr>
        <w:t>，升压站厂界外2</w:t>
      </w:r>
      <w:r>
        <w:t>00</w:t>
      </w:r>
      <w:r>
        <w:rPr>
          <w:rFonts w:hint="eastAsia"/>
        </w:rPr>
        <w:t>m范围。</w:t>
      </w:r>
    </w:p>
    <w:p w14:paraId="257975A3">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.5.2.6</w:t>
      </w:r>
      <w:r>
        <w:rPr>
          <w:rFonts w:hint="eastAsia" w:ascii="Times New Roman" w:eastAsia="宋体"/>
          <w:sz w:val="24"/>
          <w:szCs w:val="24"/>
        </w:rPr>
        <w:t>生态环境</w:t>
      </w:r>
    </w:p>
    <w:p w14:paraId="3FA2B6AC">
      <w:pPr>
        <w:adjustRightInd w:val="0"/>
        <w:snapToGrid w:val="0"/>
        <w:ind w:firstLine="480"/>
      </w:pPr>
      <w:r>
        <w:rPr>
          <w:rFonts w:hint="eastAsia"/>
        </w:rPr>
        <w:t>根据</w:t>
      </w:r>
      <w:r>
        <w:t>《环境影响评价技术导则</w:t>
      </w:r>
      <w:r>
        <w:rPr>
          <w:rFonts w:hint="eastAsia"/>
        </w:rPr>
        <w:t xml:space="preserve"> </w:t>
      </w:r>
      <w:r>
        <w:t xml:space="preserve"> 生态影响》（HJ19-2022）</w:t>
      </w:r>
      <w:r>
        <w:rPr>
          <w:rFonts w:hint="eastAsia"/>
        </w:rPr>
        <w:t>，本项目生态影响评价范围为风</w:t>
      </w:r>
      <w:r>
        <w:t>机及箱变基础、施工生产生活区、</w:t>
      </w:r>
      <w:r>
        <w:rPr>
          <w:rFonts w:hint="eastAsia"/>
        </w:rPr>
        <w:t>弃渣场区</w:t>
      </w:r>
      <w:r>
        <w:t>等永久占地和临时占地及周边300m范围</w:t>
      </w:r>
      <w:r>
        <w:rPr>
          <w:rFonts w:hint="eastAsia"/>
        </w:rPr>
        <w:t>；道路中心线两侧3</w:t>
      </w:r>
      <w:r>
        <w:t>00</w:t>
      </w:r>
      <w:r>
        <w:rPr>
          <w:rFonts w:hint="eastAsia"/>
        </w:rPr>
        <w:t>m范围。</w:t>
      </w:r>
    </w:p>
    <w:p w14:paraId="6046B0C2">
      <w:pPr>
        <w:pStyle w:val="6"/>
        <w:numPr>
          <w:ilvl w:val="0"/>
          <w:numId w:val="0"/>
        </w:numPr>
        <w:adjustRightInd w:val="0"/>
        <w:snapToGrid w:val="0"/>
        <w:spacing w:before="0" w:after="0"/>
        <w:rPr>
          <w:rFonts w:ascii="Times New Roman" w:eastAsia="宋体"/>
          <w:sz w:val="24"/>
          <w:szCs w:val="24"/>
        </w:rPr>
      </w:pPr>
      <w:r>
        <w:rPr>
          <w:rFonts w:hint="eastAsia" w:ascii="Times New Roman" w:eastAsia="宋体"/>
          <w:sz w:val="24"/>
          <w:szCs w:val="24"/>
        </w:rPr>
        <w:t>2</w:t>
      </w:r>
      <w:r>
        <w:rPr>
          <w:rFonts w:ascii="Times New Roman" w:eastAsia="宋体"/>
          <w:sz w:val="24"/>
          <w:szCs w:val="24"/>
        </w:rPr>
        <w:t>.5.2.7</w:t>
      </w:r>
      <w:r>
        <w:rPr>
          <w:rFonts w:hint="eastAsia" w:ascii="Times New Roman" w:eastAsia="宋体"/>
          <w:sz w:val="24"/>
          <w:szCs w:val="24"/>
        </w:rPr>
        <w:t>电磁环境</w:t>
      </w:r>
    </w:p>
    <w:p w14:paraId="12F7FF3C">
      <w:pPr>
        <w:adjustRightInd w:val="0"/>
        <w:snapToGrid w:val="0"/>
        <w:ind w:firstLine="480"/>
      </w:pPr>
      <w:r>
        <w:rPr>
          <w:rFonts w:hint="eastAsia"/>
        </w:rPr>
        <w:t>根据《环境影响评价技术导则</w:t>
      </w:r>
      <w:r>
        <w:t xml:space="preserve"> </w:t>
      </w:r>
      <w:r>
        <w:rPr>
          <w:rFonts w:hint="eastAsia"/>
        </w:rPr>
        <w:t>输变电》（</w:t>
      </w:r>
      <w:r>
        <w:t>HJ24-2020</w:t>
      </w:r>
      <w:r>
        <w:rPr>
          <w:rFonts w:hint="eastAsia"/>
        </w:rPr>
        <w:t>）表</w:t>
      </w:r>
      <w:r>
        <w:t>3</w:t>
      </w:r>
      <w:r>
        <w:rPr>
          <w:rFonts w:hint="eastAsia"/>
        </w:rPr>
        <w:t>，电磁环境影响评价范围判定依据见下表。</w:t>
      </w:r>
    </w:p>
    <w:p w14:paraId="4F0764D5">
      <w:pPr>
        <w:tabs>
          <w:tab w:val="clear" w:pos="480"/>
        </w:tabs>
        <w:autoSpaceDE w:val="0"/>
        <w:autoSpaceDN w:val="0"/>
        <w:adjustRightInd w:val="0"/>
        <w:spacing w:line="240" w:lineRule="auto"/>
        <w:ind w:firstLine="0" w:firstLineChars="0"/>
        <w:jc w:val="center"/>
        <w:rPr>
          <w:b/>
          <w:bCs/>
          <w:iCs/>
          <w:szCs w:val="20"/>
        </w:rPr>
      </w:pPr>
      <w:r>
        <w:rPr>
          <w:rFonts w:hint="eastAsia"/>
          <w:b/>
          <w:bCs/>
          <w:iCs/>
          <w:szCs w:val="20"/>
        </w:rPr>
        <w:t>表</w:t>
      </w:r>
      <w:r>
        <w:rPr>
          <w:b/>
          <w:bCs/>
          <w:iCs/>
          <w:szCs w:val="20"/>
        </w:rPr>
        <w:t>2.5</w:t>
      </w:r>
      <w:r>
        <w:rPr>
          <w:rFonts w:hint="eastAsia"/>
          <w:b/>
          <w:bCs/>
          <w:iCs/>
          <w:szCs w:val="20"/>
        </w:rPr>
        <w:t>-</w:t>
      </w:r>
      <w:r>
        <w:rPr>
          <w:b/>
          <w:bCs/>
          <w:iCs/>
          <w:szCs w:val="20"/>
        </w:rPr>
        <w:t>6</w:t>
      </w:r>
      <w:r>
        <w:rPr>
          <w:rFonts w:hint="eastAsia"/>
          <w:b/>
          <w:bCs/>
          <w:iCs/>
          <w:szCs w:val="20"/>
        </w:rPr>
        <w:t>输变电建设项目电磁环境影响评价范围</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97"/>
        <w:gridCol w:w="1373"/>
        <w:gridCol w:w="1401"/>
        <w:gridCol w:w="3081"/>
        <w:gridCol w:w="1689"/>
      </w:tblGrid>
      <w:tr w14:paraId="0CD232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restart"/>
            <w:shd w:val="clear" w:color="auto" w:fill="auto"/>
            <w:vAlign w:val="center"/>
          </w:tcPr>
          <w:p w14:paraId="69B41685">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分类</w:t>
            </w:r>
          </w:p>
        </w:tc>
        <w:tc>
          <w:tcPr>
            <w:tcW w:w="823" w:type="pct"/>
            <w:vMerge w:val="restart"/>
            <w:shd w:val="clear" w:color="auto" w:fill="auto"/>
            <w:vAlign w:val="center"/>
          </w:tcPr>
          <w:p w14:paraId="3CD0CFAC">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电压等级</w:t>
            </w:r>
          </w:p>
        </w:tc>
        <w:tc>
          <w:tcPr>
            <w:tcW w:w="3698" w:type="pct"/>
            <w:gridSpan w:val="3"/>
            <w:shd w:val="clear" w:color="auto" w:fill="auto"/>
            <w:vAlign w:val="center"/>
          </w:tcPr>
          <w:p w14:paraId="31BBCDC8">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评价范围</w:t>
            </w:r>
          </w:p>
        </w:tc>
      </w:tr>
      <w:tr w14:paraId="598A63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14:paraId="76E42421">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23" w:type="pct"/>
            <w:vMerge w:val="continue"/>
            <w:shd w:val="clear" w:color="auto" w:fill="auto"/>
            <w:vAlign w:val="center"/>
          </w:tcPr>
          <w:p w14:paraId="294B0538">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40" w:type="pct"/>
            <w:vMerge w:val="restart"/>
            <w:shd w:val="clear" w:color="auto" w:fill="auto"/>
            <w:vAlign w:val="center"/>
          </w:tcPr>
          <w:p w14:paraId="3E13F94E">
            <w:pPr>
              <w:tabs>
                <w:tab w:val="clear" w:pos="480"/>
              </w:tabs>
              <w:autoSpaceDE w:val="0"/>
              <w:autoSpaceDN w:val="0"/>
              <w:adjustRightInd w:val="0"/>
              <w:snapToGrid w:val="0"/>
              <w:spacing w:line="240" w:lineRule="auto"/>
              <w:ind w:firstLine="0" w:firstLineChars="0"/>
              <w:jc w:val="center"/>
              <w:rPr>
                <w:sz w:val="21"/>
                <w:szCs w:val="21"/>
              </w:rPr>
            </w:pPr>
            <w:r>
              <w:rPr>
                <w:sz w:val="21"/>
                <w:szCs w:val="21"/>
              </w:rPr>
              <w:t>变电站、换流站、开关站、串补站</w:t>
            </w:r>
          </w:p>
        </w:tc>
        <w:tc>
          <w:tcPr>
            <w:tcW w:w="2859" w:type="pct"/>
            <w:gridSpan w:val="2"/>
            <w:shd w:val="clear" w:color="auto" w:fill="auto"/>
            <w:vAlign w:val="center"/>
          </w:tcPr>
          <w:p w14:paraId="1F4FF583">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线路</w:t>
            </w:r>
          </w:p>
        </w:tc>
      </w:tr>
      <w:tr w14:paraId="13D8DC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14:paraId="2D1FC450">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23" w:type="pct"/>
            <w:vMerge w:val="continue"/>
            <w:shd w:val="clear" w:color="auto" w:fill="auto"/>
            <w:vAlign w:val="center"/>
          </w:tcPr>
          <w:p w14:paraId="36BAF553">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840" w:type="pct"/>
            <w:vMerge w:val="continue"/>
            <w:shd w:val="clear" w:color="auto" w:fill="auto"/>
            <w:vAlign w:val="center"/>
          </w:tcPr>
          <w:p w14:paraId="3D6236D6">
            <w:pPr>
              <w:tabs>
                <w:tab w:val="clear" w:pos="480"/>
              </w:tabs>
              <w:autoSpaceDE w:val="0"/>
              <w:autoSpaceDN w:val="0"/>
              <w:adjustRightInd w:val="0"/>
              <w:snapToGrid w:val="0"/>
              <w:spacing w:line="240" w:lineRule="auto"/>
              <w:ind w:firstLine="0" w:firstLineChars="0"/>
              <w:jc w:val="center"/>
              <w:rPr>
                <w:sz w:val="21"/>
                <w:szCs w:val="21"/>
                <w:lang w:eastAsia="en-US"/>
              </w:rPr>
            </w:pPr>
          </w:p>
        </w:tc>
        <w:tc>
          <w:tcPr>
            <w:tcW w:w="1847" w:type="pct"/>
            <w:shd w:val="clear" w:color="auto" w:fill="auto"/>
            <w:vAlign w:val="center"/>
          </w:tcPr>
          <w:p w14:paraId="7BDE86BB">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架空线路</w:t>
            </w:r>
          </w:p>
        </w:tc>
        <w:tc>
          <w:tcPr>
            <w:tcW w:w="1012" w:type="pct"/>
            <w:shd w:val="clear" w:color="auto" w:fill="auto"/>
            <w:vAlign w:val="center"/>
          </w:tcPr>
          <w:p w14:paraId="22E3AFB8">
            <w:pPr>
              <w:tabs>
                <w:tab w:val="clear" w:pos="480"/>
              </w:tabs>
              <w:autoSpaceDE w:val="0"/>
              <w:autoSpaceDN w:val="0"/>
              <w:adjustRightInd w:val="0"/>
              <w:snapToGrid w:val="0"/>
              <w:spacing w:line="240" w:lineRule="auto"/>
              <w:ind w:firstLine="0" w:firstLineChars="0"/>
              <w:rPr>
                <w:sz w:val="21"/>
                <w:szCs w:val="21"/>
                <w:lang w:eastAsia="en-US"/>
              </w:rPr>
            </w:pPr>
            <w:r>
              <w:rPr>
                <w:sz w:val="21"/>
                <w:szCs w:val="21"/>
                <w:lang w:eastAsia="en-US"/>
              </w:rPr>
              <w:t>地下电缆</w:t>
            </w:r>
          </w:p>
        </w:tc>
      </w:tr>
      <w:tr w14:paraId="432D30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restart"/>
            <w:shd w:val="clear" w:color="auto" w:fill="auto"/>
            <w:vAlign w:val="center"/>
          </w:tcPr>
          <w:p w14:paraId="017D6BCF">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交流</w:t>
            </w:r>
          </w:p>
        </w:tc>
        <w:tc>
          <w:tcPr>
            <w:tcW w:w="823" w:type="pct"/>
            <w:shd w:val="clear" w:color="auto" w:fill="auto"/>
            <w:vAlign w:val="center"/>
          </w:tcPr>
          <w:p w14:paraId="439D9C52">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110kV</w:t>
            </w:r>
          </w:p>
        </w:tc>
        <w:tc>
          <w:tcPr>
            <w:tcW w:w="840" w:type="pct"/>
            <w:shd w:val="clear" w:color="auto" w:fill="auto"/>
            <w:vAlign w:val="center"/>
          </w:tcPr>
          <w:p w14:paraId="1082D181">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站界外30m</w:t>
            </w:r>
          </w:p>
        </w:tc>
        <w:tc>
          <w:tcPr>
            <w:tcW w:w="1847" w:type="pct"/>
            <w:shd w:val="clear" w:color="auto" w:fill="auto"/>
            <w:vAlign w:val="center"/>
          </w:tcPr>
          <w:p w14:paraId="05AC0D65">
            <w:pPr>
              <w:tabs>
                <w:tab w:val="clear" w:pos="480"/>
              </w:tabs>
              <w:autoSpaceDE w:val="0"/>
              <w:autoSpaceDN w:val="0"/>
              <w:adjustRightInd w:val="0"/>
              <w:snapToGrid w:val="0"/>
              <w:spacing w:line="240" w:lineRule="auto"/>
              <w:ind w:firstLine="0" w:firstLineChars="0"/>
              <w:jc w:val="center"/>
              <w:rPr>
                <w:sz w:val="21"/>
                <w:szCs w:val="21"/>
              </w:rPr>
            </w:pPr>
            <w:r>
              <w:rPr>
                <w:sz w:val="21"/>
                <w:szCs w:val="21"/>
              </w:rPr>
              <w:t>边导线地面投影外两侧各30m</w:t>
            </w:r>
          </w:p>
        </w:tc>
        <w:tc>
          <w:tcPr>
            <w:tcW w:w="1012" w:type="pct"/>
            <w:vMerge w:val="restart"/>
            <w:shd w:val="clear" w:color="auto" w:fill="auto"/>
            <w:vAlign w:val="center"/>
          </w:tcPr>
          <w:p w14:paraId="348A92C4">
            <w:pPr>
              <w:tabs>
                <w:tab w:val="clear" w:pos="480"/>
              </w:tabs>
              <w:autoSpaceDE w:val="0"/>
              <w:autoSpaceDN w:val="0"/>
              <w:adjustRightInd w:val="0"/>
              <w:snapToGrid w:val="0"/>
              <w:spacing w:line="240" w:lineRule="auto"/>
              <w:ind w:firstLine="0" w:firstLineChars="0"/>
              <w:rPr>
                <w:sz w:val="21"/>
                <w:szCs w:val="21"/>
              </w:rPr>
            </w:pPr>
            <w:r>
              <w:rPr>
                <w:sz w:val="21"/>
                <w:szCs w:val="21"/>
              </w:rPr>
              <w:t>管廊两侧边缘各外延5m（水平距离）</w:t>
            </w:r>
          </w:p>
        </w:tc>
      </w:tr>
      <w:tr w14:paraId="76EC9D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14:paraId="379A8F63">
            <w:pPr>
              <w:tabs>
                <w:tab w:val="clear" w:pos="480"/>
              </w:tabs>
              <w:autoSpaceDE w:val="0"/>
              <w:autoSpaceDN w:val="0"/>
              <w:adjustRightInd w:val="0"/>
              <w:snapToGrid w:val="0"/>
              <w:spacing w:line="240" w:lineRule="auto"/>
              <w:ind w:firstLine="0" w:firstLineChars="0"/>
              <w:jc w:val="center"/>
              <w:rPr>
                <w:sz w:val="21"/>
                <w:szCs w:val="21"/>
              </w:rPr>
            </w:pPr>
          </w:p>
        </w:tc>
        <w:tc>
          <w:tcPr>
            <w:tcW w:w="823" w:type="pct"/>
            <w:shd w:val="clear" w:color="auto" w:fill="auto"/>
            <w:vAlign w:val="center"/>
          </w:tcPr>
          <w:p w14:paraId="3F7BA92C">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220～330kV</w:t>
            </w:r>
          </w:p>
        </w:tc>
        <w:tc>
          <w:tcPr>
            <w:tcW w:w="840" w:type="pct"/>
            <w:shd w:val="clear" w:color="auto" w:fill="auto"/>
            <w:vAlign w:val="center"/>
          </w:tcPr>
          <w:p w14:paraId="0615DF85">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站界外40m</w:t>
            </w:r>
          </w:p>
        </w:tc>
        <w:tc>
          <w:tcPr>
            <w:tcW w:w="1847" w:type="pct"/>
            <w:shd w:val="clear" w:color="auto" w:fill="auto"/>
            <w:vAlign w:val="center"/>
          </w:tcPr>
          <w:p w14:paraId="102C9F53">
            <w:pPr>
              <w:tabs>
                <w:tab w:val="clear" w:pos="480"/>
              </w:tabs>
              <w:autoSpaceDE w:val="0"/>
              <w:autoSpaceDN w:val="0"/>
              <w:adjustRightInd w:val="0"/>
              <w:snapToGrid w:val="0"/>
              <w:spacing w:line="240" w:lineRule="auto"/>
              <w:ind w:firstLine="0" w:firstLineChars="0"/>
              <w:jc w:val="center"/>
              <w:rPr>
                <w:sz w:val="21"/>
                <w:szCs w:val="21"/>
              </w:rPr>
            </w:pPr>
            <w:r>
              <w:rPr>
                <w:sz w:val="21"/>
                <w:szCs w:val="21"/>
              </w:rPr>
              <w:t>边导线地面投影外两侧各40m</w:t>
            </w:r>
          </w:p>
        </w:tc>
        <w:tc>
          <w:tcPr>
            <w:tcW w:w="1012" w:type="pct"/>
            <w:vMerge w:val="continue"/>
            <w:shd w:val="clear" w:color="auto" w:fill="auto"/>
            <w:vAlign w:val="center"/>
          </w:tcPr>
          <w:p w14:paraId="1AE8FADC">
            <w:pPr>
              <w:tabs>
                <w:tab w:val="clear" w:pos="480"/>
              </w:tabs>
              <w:autoSpaceDE w:val="0"/>
              <w:autoSpaceDN w:val="0"/>
              <w:adjustRightInd w:val="0"/>
              <w:snapToGrid w:val="0"/>
              <w:spacing w:line="240" w:lineRule="auto"/>
              <w:ind w:firstLine="0" w:firstLineChars="0"/>
              <w:rPr>
                <w:sz w:val="21"/>
                <w:szCs w:val="21"/>
              </w:rPr>
            </w:pPr>
          </w:p>
        </w:tc>
      </w:tr>
      <w:tr w14:paraId="2A72BA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vMerge w:val="continue"/>
            <w:shd w:val="clear" w:color="auto" w:fill="auto"/>
            <w:vAlign w:val="center"/>
          </w:tcPr>
          <w:p w14:paraId="6E592CC3">
            <w:pPr>
              <w:tabs>
                <w:tab w:val="clear" w:pos="480"/>
              </w:tabs>
              <w:autoSpaceDE w:val="0"/>
              <w:autoSpaceDN w:val="0"/>
              <w:adjustRightInd w:val="0"/>
              <w:snapToGrid w:val="0"/>
              <w:spacing w:line="240" w:lineRule="auto"/>
              <w:ind w:firstLine="0" w:firstLineChars="0"/>
              <w:jc w:val="center"/>
              <w:rPr>
                <w:sz w:val="21"/>
                <w:szCs w:val="21"/>
              </w:rPr>
            </w:pPr>
          </w:p>
        </w:tc>
        <w:tc>
          <w:tcPr>
            <w:tcW w:w="823" w:type="pct"/>
            <w:shd w:val="clear" w:color="auto" w:fill="auto"/>
            <w:vAlign w:val="center"/>
          </w:tcPr>
          <w:p w14:paraId="6E171B90">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500kV及以上</w:t>
            </w:r>
          </w:p>
        </w:tc>
        <w:tc>
          <w:tcPr>
            <w:tcW w:w="840" w:type="pct"/>
            <w:shd w:val="clear" w:color="auto" w:fill="auto"/>
            <w:vAlign w:val="center"/>
          </w:tcPr>
          <w:p w14:paraId="078964B8">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站界外50m</w:t>
            </w:r>
          </w:p>
        </w:tc>
        <w:tc>
          <w:tcPr>
            <w:tcW w:w="1847" w:type="pct"/>
            <w:shd w:val="clear" w:color="auto" w:fill="auto"/>
            <w:vAlign w:val="center"/>
          </w:tcPr>
          <w:p w14:paraId="3CE98EA2">
            <w:pPr>
              <w:tabs>
                <w:tab w:val="clear" w:pos="480"/>
              </w:tabs>
              <w:autoSpaceDE w:val="0"/>
              <w:autoSpaceDN w:val="0"/>
              <w:adjustRightInd w:val="0"/>
              <w:snapToGrid w:val="0"/>
              <w:spacing w:line="240" w:lineRule="auto"/>
              <w:ind w:firstLine="0" w:firstLineChars="0"/>
              <w:jc w:val="center"/>
              <w:rPr>
                <w:sz w:val="21"/>
                <w:szCs w:val="21"/>
              </w:rPr>
            </w:pPr>
            <w:r>
              <w:rPr>
                <w:sz w:val="21"/>
                <w:szCs w:val="21"/>
              </w:rPr>
              <w:t>边导线地面投影外两侧各50m</w:t>
            </w:r>
          </w:p>
        </w:tc>
        <w:tc>
          <w:tcPr>
            <w:tcW w:w="1012" w:type="pct"/>
            <w:vMerge w:val="continue"/>
            <w:shd w:val="clear" w:color="auto" w:fill="auto"/>
            <w:vAlign w:val="center"/>
          </w:tcPr>
          <w:p w14:paraId="6711A1A2">
            <w:pPr>
              <w:tabs>
                <w:tab w:val="clear" w:pos="480"/>
              </w:tabs>
              <w:autoSpaceDE w:val="0"/>
              <w:autoSpaceDN w:val="0"/>
              <w:adjustRightInd w:val="0"/>
              <w:snapToGrid w:val="0"/>
              <w:spacing w:line="240" w:lineRule="auto"/>
              <w:ind w:firstLine="0" w:firstLineChars="0"/>
              <w:rPr>
                <w:sz w:val="21"/>
                <w:szCs w:val="21"/>
              </w:rPr>
            </w:pPr>
          </w:p>
        </w:tc>
      </w:tr>
      <w:tr w14:paraId="6F9CCD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78" w:type="pct"/>
            <w:shd w:val="clear" w:color="auto" w:fill="auto"/>
            <w:vAlign w:val="center"/>
          </w:tcPr>
          <w:p w14:paraId="0E626F93">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直流</w:t>
            </w:r>
          </w:p>
        </w:tc>
        <w:tc>
          <w:tcPr>
            <w:tcW w:w="823" w:type="pct"/>
            <w:shd w:val="clear" w:color="auto" w:fill="auto"/>
            <w:vAlign w:val="center"/>
          </w:tcPr>
          <w:p w14:paraId="715F0C14">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±100kV及以上</w:t>
            </w:r>
          </w:p>
        </w:tc>
        <w:tc>
          <w:tcPr>
            <w:tcW w:w="840" w:type="pct"/>
            <w:shd w:val="clear" w:color="auto" w:fill="auto"/>
            <w:vAlign w:val="center"/>
          </w:tcPr>
          <w:p w14:paraId="665F4583">
            <w:pPr>
              <w:tabs>
                <w:tab w:val="clear" w:pos="480"/>
              </w:tabs>
              <w:autoSpaceDE w:val="0"/>
              <w:autoSpaceDN w:val="0"/>
              <w:adjustRightInd w:val="0"/>
              <w:snapToGrid w:val="0"/>
              <w:spacing w:line="240" w:lineRule="auto"/>
              <w:ind w:firstLine="0" w:firstLineChars="0"/>
              <w:jc w:val="center"/>
              <w:rPr>
                <w:sz w:val="21"/>
                <w:szCs w:val="21"/>
                <w:lang w:eastAsia="en-US"/>
              </w:rPr>
            </w:pPr>
            <w:r>
              <w:rPr>
                <w:sz w:val="21"/>
                <w:szCs w:val="21"/>
                <w:lang w:eastAsia="en-US"/>
              </w:rPr>
              <w:t>站界外50m</w:t>
            </w:r>
          </w:p>
        </w:tc>
        <w:tc>
          <w:tcPr>
            <w:tcW w:w="1847" w:type="pct"/>
            <w:shd w:val="clear" w:color="auto" w:fill="auto"/>
            <w:vAlign w:val="center"/>
          </w:tcPr>
          <w:p w14:paraId="6FFAA24E">
            <w:pPr>
              <w:tabs>
                <w:tab w:val="clear" w:pos="480"/>
              </w:tabs>
              <w:autoSpaceDE w:val="0"/>
              <w:autoSpaceDN w:val="0"/>
              <w:adjustRightInd w:val="0"/>
              <w:snapToGrid w:val="0"/>
              <w:spacing w:line="240" w:lineRule="auto"/>
              <w:ind w:firstLine="0" w:firstLineChars="0"/>
              <w:jc w:val="center"/>
              <w:rPr>
                <w:sz w:val="21"/>
                <w:szCs w:val="21"/>
              </w:rPr>
            </w:pPr>
            <w:r>
              <w:rPr>
                <w:sz w:val="21"/>
                <w:szCs w:val="21"/>
              </w:rPr>
              <w:t>极导线地面投影外两侧各50m</w:t>
            </w:r>
          </w:p>
        </w:tc>
        <w:tc>
          <w:tcPr>
            <w:tcW w:w="1012" w:type="pct"/>
            <w:vMerge w:val="continue"/>
            <w:shd w:val="clear" w:color="auto" w:fill="auto"/>
            <w:vAlign w:val="center"/>
          </w:tcPr>
          <w:p w14:paraId="7D3183DE">
            <w:pPr>
              <w:tabs>
                <w:tab w:val="clear" w:pos="480"/>
              </w:tabs>
              <w:autoSpaceDE w:val="0"/>
              <w:autoSpaceDN w:val="0"/>
              <w:adjustRightInd w:val="0"/>
              <w:snapToGrid w:val="0"/>
              <w:spacing w:line="240" w:lineRule="auto"/>
              <w:ind w:firstLine="0" w:firstLineChars="0"/>
              <w:rPr>
                <w:sz w:val="21"/>
                <w:szCs w:val="21"/>
              </w:rPr>
            </w:pPr>
          </w:p>
        </w:tc>
      </w:tr>
    </w:tbl>
    <w:p w14:paraId="6D8324C5">
      <w:pPr>
        <w:tabs>
          <w:tab w:val="clear" w:pos="480"/>
        </w:tabs>
        <w:adjustRightInd w:val="0"/>
        <w:snapToGrid w:val="0"/>
        <w:ind w:firstLine="480"/>
      </w:pPr>
      <w:r>
        <w:rPr>
          <w:rFonts w:hint="eastAsia"/>
        </w:rPr>
        <w:t>本项目最高电压等级为1</w:t>
      </w:r>
      <w:r>
        <w:t>10</w:t>
      </w:r>
      <w:r>
        <w:rPr>
          <w:rFonts w:hint="eastAsia"/>
        </w:rPr>
        <w:t>k</w:t>
      </w:r>
      <w:r>
        <w:t>V</w:t>
      </w:r>
      <w:r>
        <w:rPr>
          <w:rFonts w:hint="eastAsia"/>
        </w:rPr>
        <w:t>，为户外式，且本次评价内容不包括输变电线路。因此根据上表判断可知，本项目评价范围为站界外</w:t>
      </w:r>
      <w:r>
        <w:t>30m</w:t>
      </w:r>
      <w:r>
        <w:rPr>
          <w:rFonts w:hint="eastAsia"/>
        </w:rPr>
        <w:t>范围区域内。</w:t>
      </w:r>
    </w:p>
    <w:p w14:paraId="5B2691FA">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hint="eastAsia" w:ascii="Times New Roman" w:eastAsia="宋体"/>
          <w:sz w:val="28"/>
          <w:szCs w:val="28"/>
          <w:lang w:val="en-US"/>
        </w:rPr>
        <w:t>2</w:t>
      </w:r>
      <w:r>
        <w:rPr>
          <w:rFonts w:ascii="Times New Roman" w:eastAsia="宋体"/>
          <w:sz w:val="28"/>
          <w:szCs w:val="28"/>
          <w:lang w:val="en-US"/>
        </w:rPr>
        <w:t>.5.3</w:t>
      </w:r>
      <w:r>
        <w:rPr>
          <w:rFonts w:hint="eastAsia" w:ascii="Times New Roman" w:eastAsia="宋体"/>
          <w:sz w:val="28"/>
          <w:szCs w:val="28"/>
          <w:lang w:val="en-US"/>
        </w:rPr>
        <w:t>汇总情况</w:t>
      </w:r>
    </w:p>
    <w:p w14:paraId="71BAF9C3">
      <w:pPr>
        <w:ind w:firstLine="480"/>
      </w:pPr>
    </w:p>
    <w:p w14:paraId="56B4F966">
      <w:pPr>
        <w:adjustRightInd w:val="0"/>
        <w:snapToGrid w:val="0"/>
        <w:spacing w:line="240" w:lineRule="auto"/>
        <w:ind w:firstLine="0" w:firstLineChars="0"/>
        <w:jc w:val="center"/>
        <w:rPr>
          <w:b/>
          <w:bCs/>
        </w:rPr>
      </w:pPr>
      <w:r>
        <w:rPr>
          <w:rFonts w:hint="eastAsia"/>
          <w:b/>
          <w:bCs/>
        </w:rPr>
        <w:t>表2</w:t>
      </w:r>
      <w:r>
        <w:rPr>
          <w:b/>
          <w:bCs/>
        </w:rPr>
        <w:t>.5-7</w:t>
      </w:r>
      <w:r>
        <w:rPr>
          <w:rFonts w:hint="eastAsia"/>
          <w:b/>
          <w:bCs/>
        </w:rPr>
        <w:t>环境影响评价工作等级和</w:t>
      </w:r>
      <w:r>
        <w:rPr>
          <w:b/>
          <w:bCs/>
        </w:rPr>
        <w:t>评价范围一览表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98"/>
        <w:gridCol w:w="2856"/>
        <w:gridCol w:w="3787"/>
      </w:tblGrid>
      <w:tr w14:paraId="3709A4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77D0AD18">
            <w:pPr>
              <w:tabs>
                <w:tab w:val="clear" w:pos="480"/>
              </w:tabs>
              <w:adjustRightInd w:val="0"/>
              <w:snapToGrid w:val="0"/>
              <w:spacing w:line="240" w:lineRule="auto"/>
              <w:ind w:firstLine="0" w:firstLineChars="0"/>
              <w:jc w:val="center"/>
              <w:rPr>
                <w:sz w:val="21"/>
                <w:szCs w:val="21"/>
              </w:rPr>
            </w:pPr>
            <w:r>
              <w:rPr>
                <w:sz w:val="21"/>
                <w:szCs w:val="21"/>
              </w:rPr>
              <w:t>内容</w:t>
            </w:r>
          </w:p>
        </w:tc>
        <w:tc>
          <w:tcPr>
            <w:tcW w:w="1712" w:type="pct"/>
            <w:vAlign w:val="center"/>
          </w:tcPr>
          <w:p w14:paraId="1B8D7944">
            <w:pPr>
              <w:tabs>
                <w:tab w:val="clear" w:pos="480"/>
              </w:tabs>
              <w:adjustRightInd w:val="0"/>
              <w:snapToGrid w:val="0"/>
              <w:spacing w:line="240" w:lineRule="auto"/>
              <w:ind w:firstLine="0" w:firstLineChars="0"/>
              <w:jc w:val="center"/>
              <w:rPr>
                <w:sz w:val="21"/>
                <w:szCs w:val="21"/>
              </w:rPr>
            </w:pPr>
            <w:r>
              <w:rPr>
                <w:sz w:val="21"/>
                <w:szCs w:val="21"/>
              </w:rPr>
              <w:t>评价等级</w:t>
            </w:r>
          </w:p>
        </w:tc>
        <w:tc>
          <w:tcPr>
            <w:tcW w:w="2270" w:type="pct"/>
            <w:vAlign w:val="center"/>
          </w:tcPr>
          <w:p w14:paraId="1D71EFCF">
            <w:pPr>
              <w:tabs>
                <w:tab w:val="clear" w:pos="480"/>
              </w:tabs>
              <w:adjustRightInd w:val="0"/>
              <w:snapToGrid w:val="0"/>
              <w:spacing w:line="240" w:lineRule="auto"/>
              <w:ind w:firstLine="0" w:firstLineChars="0"/>
              <w:jc w:val="center"/>
              <w:rPr>
                <w:sz w:val="21"/>
                <w:szCs w:val="21"/>
              </w:rPr>
            </w:pPr>
            <w:r>
              <w:rPr>
                <w:sz w:val="21"/>
                <w:szCs w:val="21"/>
              </w:rPr>
              <w:t>评价范围</w:t>
            </w:r>
          </w:p>
        </w:tc>
      </w:tr>
      <w:tr w14:paraId="6F26BA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07F1F2FA">
            <w:pPr>
              <w:tabs>
                <w:tab w:val="clear" w:pos="480"/>
              </w:tabs>
              <w:adjustRightInd w:val="0"/>
              <w:snapToGrid w:val="0"/>
              <w:spacing w:line="240" w:lineRule="auto"/>
              <w:ind w:firstLine="0" w:firstLineChars="0"/>
              <w:jc w:val="center"/>
              <w:rPr>
                <w:sz w:val="21"/>
                <w:szCs w:val="21"/>
              </w:rPr>
            </w:pPr>
            <w:r>
              <w:rPr>
                <w:sz w:val="21"/>
                <w:szCs w:val="21"/>
              </w:rPr>
              <w:t>地表水环境</w:t>
            </w:r>
          </w:p>
        </w:tc>
        <w:tc>
          <w:tcPr>
            <w:tcW w:w="1712" w:type="pct"/>
            <w:vAlign w:val="center"/>
          </w:tcPr>
          <w:p w14:paraId="680306BB">
            <w:pPr>
              <w:tabs>
                <w:tab w:val="clear" w:pos="480"/>
              </w:tabs>
              <w:adjustRightInd w:val="0"/>
              <w:snapToGrid w:val="0"/>
              <w:spacing w:line="240" w:lineRule="auto"/>
              <w:ind w:firstLine="0" w:firstLineChars="0"/>
              <w:jc w:val="center"/>
              <w:rPr>
                <w:sz w:val="21"/>
                <w:szCs w:val="21"/>
              </w:rPr>
            </w:pPr>
            <w:r>
              <w:rPr>
                <w:sz w:val="21"/>
                <w:szCs w:val="21"/>
              </w:rPr>
              <w:t>三级B</w:t>
            </w:r>
          </w:p>
        </w:tc>
        <w:tc>
          <w:tcPr>
            <w:tcW w:w="2270" w:type="pct"/>
            <w:vAlign w:val="center"/>
          </w:tcPr>
          <w:p w14:paraId="572630B0">
            <w:pPr>
              <w:tabs>
                <w:tab w:val="clear" w:pos="480"/>
              </w:tabs>
              <w:adjustRightInd w:val="0"/>
              <w:snapToGrid w:val="0"/>
              <w:spacing w:line="240" w:lineRule="auto"/>
              <w:ind w:firstLine="0" w:firstLineChars="0"/>
              <w:jc w:val="center"/>
              <w:rPr>
                <w:sz w:val="21"/>
                <w:szCs w:val="21"/>
              </w:rPr>
            </w:pPr>
            <w:r>
              <w:rPr>
                <w:sz w:val="21"/>
                <w:szCs w:val="21"/>
              </w:rPr>
              <w:t>风电场区域内水库、沟渠</w:t>
            </w:r>
            <w:r>
              <w:rPr>
                <w:rFonts w:hint="eastAsia"/>
                <w:sz w:val="21"/>
                <w:szCs w:val="21"/>
              </w:rPr>
              <w:t>以及衡阳县岣嵝乡环洞村山溪水饮用水水源保护区</w:t>
            </w:r>
          </w:p>
        </w:tc>
      </w:tr>
      <w:tr w14:paraId="58B451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3BC74C62">
            <w:pPr>
              <w:tabs>
                <w:tab w:val="clear" w:pos="480"/>
              </w:tabs>
              <w:adjustRightInd w:val="0"/>
              <w:snapToGrid w:val="0"/>
              <w:spacing w:line="240" w:lineRule="auto"/>
              <w:ind w:firstLine="0" w:firstLineChars="0"/>
              <w:jc w:val="center"/>
              <w:rPr>
                <w:sz w:val="21"/>
                <w:szCs w:val="21"/>
              </w:rPr>
            </w:pPr>
            <w:r>
              <w:rPr>
                <w:sz w:val="21"/>
                <w:szCs w:val="21"/>
              </w:rPr>
              <w:t>地下水环境</w:t>
            </w:r>
          </w:p>
        </w:tc>
        <w:tc>
          <w:tcPr>
            <w:tcW w:w="1712" w:type="pct"/>
            <w:vAlign w:val="center"/>
          </w:tcPr>
          <w:p w14:paraId="67CA2F08">
            <w:pPr>
              <w:tabs>
                <w:tab w:val="clear" w:pos="480"/>
              </w:tabs>
              <w:adjustRightInd w:val="0"/>
              <w:snapToGrid w:val="0"/>
              <w:spacing w:line="240" w:lineRule="auto"/>
              <w:ind w:firstLine="0" w:firstLineChars="0"/>
              <w:jc w:val="center"/>
              <w:rPr>
                <w:sz w:val="21"/>
                <w:szCs w:val="21"/>
              </w:rPr>
            </w:pPr>
            <w:r>
              <w:rPr>
                <w:sz w:val="21"/>
                <w:szCs w:val="21"/>
              </w:rPr>
              <w:t>无需开展地下水环境影响评价</w:t>
            </w:r>
          </w:p>
        </w:tc>
        <w:tc>
          <w:tcPr>
            <w:tcW w:w="2270" w:type="pct"/>
            <w:vAlign w:val="center"/>
          </w:tcPr>
          <w:p w14:paraId="527B212B">
            <w:pPr>
              <w:tabs>
                <w:tab w:val="clear" w:pos="480"/>
              </w:tabs>
              <w:adjustRightInd w:val="0"/>
              <w:snapToGrid w:val="0"/>
              <w:spacing w:line="240" w:lineRule="auto"/>
              <w:ind w:firstLine="0" w:firstLineChars="0"/>
              <w:jc w:val="center"/>
              <w:rPr>
                <w:sz w:val="21"/>
                <w:szCs w:val="21"/>
              </w:rPr>
            </w:pPr>
            <w:r>
              <w:rPr>
                <w:sz w:val="21"/>
                <w:szCs w:val="21"/>
              </w:rPr>
              <w:t>无需设置</w:t>
            </w:r>
          </w:p>
        </w:tc>
      </w:tr>
      <w:tr w14:paraId="171194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18AB58C4">
            <w:pPr>
              <w:tabs>
                <w:tab w:val="clear" w:pos="480"/>
              </w:tabs>
              <w:adjustRightInd w:val="0"/>
              <w:snapToGrid w:val="0"/>
              <w:spacing w:line="240" w:lineRule="auto"/>
              <w:ind w:firstLine="0" w:firstLineChars="0"/>
              <w:jc w:val="center"/>
              <w:rPr>
                <w:sz w:val="21"/>
                <w:szCs w:val="21"/>
              </w:rPr>
            </w:pPr>
            <w:r>
              <w:rPr>
                <w:sz w:val="21"/>
                <w:szCs w:val="21"/>
              </w:rPr>
              <w:t>环境空气</w:t>
            </w:r>
          </w:p>
        </w:tc>
        <w:tc>
          <w:tcPr>
            <w:tcW w:w="1712" w:type="pct"/>
            <w:vAlign w:val="center"/>
          </w:tcPr>
          <w:p w14:paraId="00790630">
            <w:pPr>
              <w:tabs>
                <w:tab w:val="clear" w:pos="480"/>
              </w:tabs>
              <w:adjustRightInd w:val="0"/>
              <w:snapToGrid w:val="0"/>
              <w:spacing w:line="240" w:lineRule="auto"/>
              <w:ind w:firstLine="0" w:firstLineChars="0"/>
              <w:jc w:val="center"/>
              <w:rPr>
                <w:sz w:val="21"/>
                <w:szCs w:val="21"/>
              </w:rPr>
            </w:pPr>
            <w:r>
              <w:rPr>
                <w:sz w:val="21"/>
                <w:szCs w:val="21"/>
              </w:rPr>
              <w:t>三级</w:t>
            </w:r>
          </w:p>
        </w:tc>
        <w:tc>
          <w:tcPr>
            <w:tcW w:w="2270" w:type="pct"/>
            <w:vAlign w:val="center"/>
          </w:tcPr>
          <w:p w14:paraId="3DEF0EA5">
            <w:pPr>
              <w:tabs>
                <w:tab w:val="clear" w:pos="480"/>
              </w:tabs>
              <w:adjustRightInd w:val="0"/>
              <w:snapToGrid w:val="0"/>
              <w:spacing w:line="240" w:lineRule="auto"/>
              <w:ind w:firstLine="0" w:firstLineChars="0"/>
              <w:jc w:val="center"/>
              <w:rPr>
                <w:sz w:val="21"/>
                <w:szCs w:val="21"/>
              </w:rPr>
            </w:pPr>
            <w:r>
              <w:rPr>
                <w:sz w:val="21"/>
                <w:szCs w:val="21"/>
              </w:rPr>
              <w:t>无需设置</w:t>
            </w:r>
          </w:p>
        </w:tc>
      </w:tr>
      <w:tr w14:paraId="647758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1869A04D">
            <w:pPr>
              <w:tabs>
                <w:tab w:val="clear" w:pos="480"/>
              </w:tabs>
              <w:adjustRightInd w:val="0"/>
              <w:snapToGrid w:val="0"/>
              <w:spacing w:line="240" w:lineRule="auto"/>
              <w:ind w:firstLine="0" w:firstLineChars="0"/>
              <w:jc w:val="center"/>
              <w:rPr>
                <w:sz w:val="21"/>
                <w:szCs w:val="21"/>
              </w:rPr>
            </w:pPr>
            <w:r>
              <w:rPr>
                <w:sz w:val="21"/>
                <w:szCs w:val="21"/>
              </w:rPr>
              <w:t>土壤环境</w:t>
            </w:r>
          </w:p>
        </w:tc>
        <w:tc>
          <w:tcPr>
            <w:tcW w:w="1712" w:type="pct"/>
            <w:vAlign w:val="center"/>
          </w:tcPr>
          <w:p w14:paraId="27375AD4">
            <w:pPr>
              <w:tabs>
                <w:tab w:val="clear" w:pos="480"/>
              </w:tabs>
              <w:adjustRightInd w:val="0"/>
              <w:snapToGrid w:val="0"/>
              <w:spacing w:line="240" w:lineRule="auto"/>
              <w:ind w:firstLine="0" w:firstLineChars="0"/>
              <w:jc w:val="center"/>
              <w:rPr>
                <w:sz w:val="21"/>
                <w:szCs w:val="21"/>
              </w:rPr>
            </w:pPr>
            <w:r>
              <w:rPr>
                <w:sz w:val="21"/>
                <w:szCs w:val="21"/>
              </w:rPr>
              <w:t>无需开展土壤环境影响评价</w:t>
            </w:r>
          </w:p>
        </w:tc>
        <w:tc>
          <w:tcPr>
            <w:tcW w:w="2270" w:type="pct"/>
            <w:vAlign w:val="center"/>
          </w:tcPr>
          <w:p w14:paraId="11A43AFB">
            <w:pPr>
              <w:tabs>
                <w:tab w:val="clear" w:pos="480"/>
              </w:tabs>
              <w:adjustRightInd w:val="0"/>
              <w:snapToGrid w:val="0"/>
              <w:spacing w:line="240" w:lineRule="auto"/>
              <w:ind w:firstLine="0" w:firstLineChars="0"/>
              <w:jc w:val="center"/>
              <w:rPr>
                <w:sz w:val="21"/>
                <w:szCs w:val="21"/>
              </w:rPr>
            </w:pPr>
            <w:r>
              <w:rPr>
                <w:sz w:val="21"/>
                <w:szCs w:val="21"/>
              </w:rPr>
              <w:t>无需设置</w:t>
            </w:r>
          </w:p>
        </w:tc>
      </w:tr>
      <w:tr w14:paraId="591153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519DEFC0">
            <w:pPr>
              <w:tabs>
                <w:tab w:val="clear" w:pos="480"/>
              </w:tabs>
              <w:adjustRightInd w:val="0"/>
              <w:snapToGrid w:val="0"/>
              <w:spacing w:line="240" w:lineRule="auto"/>
              <w:ind w:firstLine="0" w:firstLineChars="0"/>
              <w:jc w:val="center"/>
              <w:rPr>
                <w:sz w:val="21"/>
                <w:szCs w:val="21"/>
              </w:rPr>
            </w:pPr>
            <w:r>
              <w:rPr>
                <w:sz w:val="21"/>
                <w:szCs w:val="21"/>
              </w:rPr>
              <w:t>环境风险</w:t>
            </w:r>
          </w:p>
        </w:tc>
        <w:tc>
          <w:tcPr>
            <w:tcW w:w="1712" w:type="pct"/>
            <w:vAlign w:val="center"/>
          </w:tcPr>
          <w:p w14:paraId="33036CAC">
            <w:pPr>
              <w:tabs>
                <w:tab w:val="clear" w:pos="480"/>
              </w:tabs>
              <w:adjustRightInd w:val="0"/>
              <w:snapToGrid w:val="0"/>
              <w:spacing w:line="240" w:lineRule="auto"/>
              <w:ind w:firstLine="0" w:firstLineChars="0"/>
              <w:jc w:val="center"/>
              <w:rPr>
                <w:sz w:val="21"/>
                <w:szCs w:val="21"/>
              </w:rPr>
            </w:pPr>
            <w:r>
              <w:rPr>
                <w:sz w:val="21"/>
                <w:szCs w:val="21"/>
              </w:rPr>
              <w:t>简单分析</w:t>
            </w:r>
          </w:p>
        </w:tc>
        <w:tc>
          <w:tcPr>
            <w:tcW w:w="2270" w:type="pct"/>
            <w:vAlign w:val="center"/>
          </w:tcPr>
          <w:p w14:paraId="256CC6BF">
            <w:pPr>
              <w:tabs>
                <w:tab w:val="clear" w:pos="480"/>
              </w:tabs>
              <w:adjustRightInd w:val="0"/>
              <w:snapToGrid w:val="0"/>
              <w:spacing w:line="240" w:lineRule="auto"/>
              <w:ind w:firstLine="0" w:firstLineChars="0"/>
              <w:jc w:val="center"/>
              <w:rPr>
                <w:sz w:val="21"/>
                <w:szCs w:val="21"/>
              </w:rPr>
            </w:pPr>
            <w:r>
              <w:rPr>
                <w:sz w:val="21"/>
                <w:szCs w:val="21"/>
              </w:rPr>
              <w:t>无需设置</w:t>
            </w:r>
          </w:p>
        </w:tc>
      </w:tr>
      <w:tr w14:paraId="554F9C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08ACB089">
            <w:pPr>
              <w:tabs>
                <w:tab w:val="clear" w:pos="480"/>
              </w:tabs>
              <w:adjustRightInd w:val="0"/>
              <w:snapToGrid w:val="0"/>
              <w:spacing w:line="240" w:lineRule="auto"/>
              <w:ind w:firstLine="0" w:firstLineChars="0"/>
              <w:jc w:val="center"/>
              <w:rPr>
                <w:sz w:val="21"/>
                <w:szCs w:val="21"/>
              </w:rPr>
            </w:pPr>
            <w:r>
              <w:rPr>
                <w:sz w:val="21"/>
                <w:szCs w:val="21"/>
              </w:rPr>
              <w:t>声环境</w:t>
            </w:r>
          </w:p>
        </w:tc>
        <w:tc>
          <w:tcPr>
            <w:tcW w:w="1712" w:type="pct"/>
            <w:vAlign w:val="center"/>
          </w:tcPr>
          <w:p w14:paraId="63FD26D3">
            <w:pPr>
              <w:tabs>
                <w:tab w:val="clear" w:pos="480"/>
              </w:tabs>
              <w:adjustRightInd w:val="0"/>
              <w:snapToGrid w:val="0"/>
              <w:spacing w:line="240" w:lineRule="auto"/>
              <w:ind w:firstLine="0" w:firstLineChars="0"/>
              <w:jc w:val="center"/>
              <w:rPr>
                <w:sz w:val="21"/>
                <w:szCs w:val="21"/>
              </w:rPr>
            </w:pPr>
            <w:r>
              <w:rPr>
                <w:sz w:val="21"/>
                <w:szCs w:val="21"/>
              </w:rPr>
              <w:t>一级</w:t>
            </w:r>
          </w:p>
        </w:tc>
        <w:tc>
          <w:tcPr>
            <w:tcW w:w="2270" w:type="pct"/>
            <w:vAlign w:val="center"/>
          </w:tcPr>
          <w:p w14:paraId="01C74931">
            <w:pPr>
              <w:tabs>
                <w:tab w:val="clear" w:pos="480"/>
              </w:tabs>
              <w:adjustRightInd w:val="0"/>
              <w:snapToGrid w:val="0"/>
              <w:spacing w:line="240" w:lineRule="auto"/>
              <w:ind w:firstLine="0" w:firstLineChars="0"/>
              <w:jc w:val="center"/>
              <w:rPr>
                <w:sz w:val="21"/>
                <w:szCs w:val="21"/>
              </w:rPr>
            </w:pPr>
            <w:r>
              <w:rPr>
                <w:sz w:val="21"/>
                <w:szCs w:val="21"/>
              </w:rPr>
              <w:t>风机平台边界外500m范围，场内道路两侧200范围</w:t>
            </w:r>
            <w:r>
              <w:rPr>
                <w:rFonts w:hint="eastAsia"/>
                <w:sz w:val="21"/>
                <w:szCs w:val="21"/>
              </w:rPr>
              <w:t>，升压站厂界外2</w:t>
            </w:r>
            <w:r>
              <w:rPr>
                <w:sz w:val="21"/>
                <w:szCs w:val="21"/>
              </w:rPr>
              <w:t>00</w:t>
            </w:r>
            <w:r>
              <w:rPr>
                <w:rFonts w:hint="eastAsia"/>
                <w:sz w:val="21"/>
                <w:szCs w:val="21"/>
              </w:rPr>
              <w:t>m范围</w:t>
            </w:r>
          </w:p>
        </w:tc>
      </w:tr>
      <w:tr w14:paraId="2F1324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6A3ECFDE">
            <w:pPr>
              <w:tabs>
                <w:tab w:val="clear" w:pos="480"/>
              </w:tabs>
              <w:adjustRightInd w:val="0"/>
              <w:snapToGrid w:val="0"/>
              <w:spacing w:line="240" w:lineRule="auto"/>
              <w:ind w:firstLine="0" w:firstLineChars="0"/>
              <w:jc w:val="center"/>
              <w:rPr>
                <w:sz w:val="21"/>
                <w:szCs w:val="21"/>
              </w:rPr>
            </w:pPr>
            <w:r>
              <w:rPr>
                <w:sz w:val="21"/>
                <w:szCs w:val="21"/>
              </w:rPr>
              <w:t>生态环境</w:t>
            </w:r>
          </w:p>
        </w:tc>
        <w:tc>
          <w:tcPr>
            <w:tcW w:w="1712" w:type="pct"/>
            <w:vAlign w:val="center"/>
          </w:tcPr>
          <w:p w14:paraId="06B96A5E">
            <w:pPr>
              <w:tabs>
                <w:tab w:val="clear" w:pos="480"/>
              </w:tabs>
              <w:adjustRightInd w:val="0"/>
              <w:snapToGrid w:val="0"/>
              <w:spacing w:line="240" w:lineRule="auto"/>
              <w:ind w:firstLine="0" w:firstLineChars="0"/>
              <w:jc w:val="center"/>
              <w:rPr>
                <w:sz w:val="21"/>
                <w:szCs w:val="21"/>
              </w:rPr>
            </w:pPr>
            <w:r>
              <w:rPr>
                <w:sz w:val="21"/>
                <w:szCs w:val="21"/>
              </w:rPr>
              <w:t>三级</w:t>
            </w:r>
          </w:p>
        </w:tc>
        <w:tc>
          <w:tcPr>
            <w:tcW w:w="2270" w:type="pct"/>
            <w:vAlign w:val="center"/>
          </w:tcPr>
          <w:p w14:paraId="12324F26">
            <w:pPr>
              <w:tabs>
                <w:tab w:val="clear" w:pos="480"/>
              </w:tabs>
              <w:adjustRightInd w:val="0"/>
              <w:snapToGrid w:val="0"/>
              <w:spacing w:line="240" w:lineRule="auto"/>
              <w:ind w:firstLine="0" w:firstLineChars="0"/>
              <w:jc w:val="center"/>
              <w:rPr>
                <w:sz w:val="21"/>
                <w:szCs w:val="21"/>
              </w:rPr>
            </w:pPr>
            <w:r>
              <w:rPr>
                <w:rFonts w:hint="eastAsia"/>
                <w:sz w:val="21"/>
                <w:szCs w:val="21"/>
              </w:rPr>
              <w:t>风</w:t>
            </w:r>
            <w:r>
              <w:rPr>
                <w:sz w:val="21"/>
                <w:szCs w:val="21"/>
              </w:rPr>
              <w:t>机及箱变基础、施工生产生活区、</w:t>
            </w:r>
            <w:r>
              <w:rPr>
                <w:rFonts w:hint="eastAsia"/>
                <w:sz w:val="21"/>
                <w:szCs w:val="21"/>
              </w:rPr>
              <w:t>弃渣场区</w:t>
            </w:r>
            <w:r>
              <w:rPr>
                <w:sz w:val="21"/>
                <w:szCs w:val="21"/>
              </w:rPr>
              <w:t>等永久占地和临时占地及周边300m范围</w:t>
            </w:r>
            <w:r>
              <w:rPr>
                <w:rFonts w:hint="eastAsia"/>
                <w:sz w:val="21"/>
                <w:szCs w:val="21"/>
              </w:rPr>
              <w:t>；道路中心线两侧3</w:t>
            </w:r>
            <w:r>
              <w:rPr>
                <w:sz w:val="21"/>
                <w:szCs w:val="21"/>
              </w:rPr>
              <w:t>00</w:t>
            </w:r>
            <w:r>
              <w:rPr>
                <w:rFonts w:hint="eastAsia"/>
                <w:sz w:val="21"/>
                <w:szCs w:val="21"/>
              </w:rPr>
              <w:t>m范围</w:t>
            </w:r>
          </w:p>
        </w:tc>
      </w:tr>
      <w:tr w14:paraId="76FBC0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4" w:hRule="atLeast"/>
          <w:jc w:val="center"/>
        </w:trPr>
        <w:tc>
          <w:tcPr>
            <w:tcW w:w="1018" w:type="pct"/>
            <w:vAlign w:val="center"/>
          </w:tcPr>
          <w:p w14:paraId="0C747E5D">
            <w:pPr>
              <w:tabs>
                <w:tab w:val="clear" w:pos="480"/>
              </w:tabs>
              <w:adjustRightInd w:val="0"/>
              <w:snapToGrid w:val="0"/>
              <w:spacing w:line="240" w:lineRule="auto"/>
              <w:ind w:firstLine="0" w:firstLineChars="0"/>
              <w:jc w:val="center"/>
              <w:rPr>
                <w:sz w:val="21"/>
                <w:szCs w:val="21"/>
              </w:rPr>
            </w:pPr>
            <w:r>
              <w:rPr>
                <w:rFonts w:hint="eastAsia"/>
                <w:sz w:val="21"/>
                <w:szCs w:val="21"/>
              </w:rPr>
              <w:t>电磁环境</w:t>
            </w:r>
          </w:p>
        </w:tc>
        <w:tc>
          <w:tcPr>
            <w:tcW w:w="1712" w:type="pct"/>
            <w:vAlign w:val="center"/>
          </w:tcPr>
          <w:p w14:paraId="6C206F41">
            <w:pPr>
              <w:tabs>
                <w:tab w:val="clear" w:pos="480"/>
              </w:tabs>
              <w:adjustRightInd w:val="0"/>
              <w:snapToGrid w:val="0"/>
              <w:spacing w:line="240" w:lineRule="auto"/>
              <w:ind w:firstLine="0" w:firstLineChars="0"/>
              <w:jc w:val="center"/>
              <w:rPr>
                <w:sz w:val="21"/>
                <w:szCs w:val="21"/>
              </w:rPr>
            </w:pPr>
            <w:r>
              <w:rPr>
                <w:rFonts w:hint="eastAsia"/>
                <w:sz w:val="21"/>
                <w:szCs w:val="21"/>
              </w:rPr>
              <w:t>二级</w:t>
            </w:r>
          </w:p>
        </w:tc>
        <w:tc>
          <w:tcPr>
            <w:tcW w:w="2270" w:type="pct"/>
            <w:vAlign w:val="center"/>
          </w:tcPr>
          <w:p w14:paraId="3358F6AB">
            <w:pPr>
              <w:tabs>
                <w:tab w:val="clear" w:pos="480"/>
              </w:tabs>
              <w:adjustRightInd w:val="0"/>
              <w:snapToGrid w:val="0"/>
              <w:spacing w:line="240" w:lineRule="auto"/>
              <w:ind w:firstLine="0" w:firstLineChars="0"/>
              <w:jc w:val="center"/>
              <w:rPr>
                <w:sz w:val="21"/>
                <w:szCs w:val="21"/>
              </w:rPr>
            </w:pPr>
            <w:r>
              <w:rPr>
                <w:rFonts w:hint="eastAsia"/>
                <w:sz w:val="21"/>
                <w:szCs w:val="21"/>
              </w:rPr>
              <w:t>升压站站界外3</w:t>
            </w:r>
            <w:r>
              <w:rPr>
                <w:sz w:val="21"/>
                <w:szCs w:val="21"/>
              </w:rPr>
              <w:t>0</w:t>
            </w:r>
            <w:r>
              <w:rPr>
                <w:rFonts w:hint="eastAsia"/>
                <w:sz w:val="21"/>
                <w:szCs w:val="21"/>
              </w:rPr>
              <w:t>m</w:t>
            </w:r>
          </w:p>
        </w:tc>
      </w:tr>
    </w:tbl>
    <w:p w14:paraId="332371DF">
      <w:pPr>
        <w:pStyle w:val="4"/>
        <w:tabs>
          <w:tab w:val="clear" w:pos="480"/>
          <w:tab w:val="clear" w:pos="630"/>
        </w:tabs>
        <w:adjustRightInd w:val="0"/>
        <w:snapToGrid w:val="0"/>
        <w:spacing w:before="0" w:after="0"/>
        <w:rPr>
          <w:sz w:val="30"/>
          <w:szCs w:val="30"/>
          <w:lang w:val="en-US"/>
        </w:rPr>
      </w:pPr>
      <w:bookmarkStart w:id="52" w:name="_Toc143799362"/>
      <w:bookmarkStart w:id="53" w:name="_Toc116977979"/>
      <w:r>
        <w:rPr>
          <w:rFonts w:hint="eastAsia"/>
          <w:sz w:val="30"/>
          <w:szCs w:val="30"/>
          <w:lang w:val="en-US"/>
        </w:rPr>
        <w:t>2</w:t>
      </w:r>
      <w:r>
        <w:rPr>
          <w:sz w:val="30"/>
          <w:szCs w:val="30"/>
          <w:lang w:val="en-US"/>
        </w:rPr>
        <w:t>.6</w:t>
      </w:r>
      <w:r>
        <w:rPr>
          <w:rFonts w:hint="eastAsia"/>
          <w:sz w:val="30"/>
          <w:szCs w:val="30"/>
          <w:lang w:val="en-US"/>
        </w:rPr>
        <w:t>环境保护目标</w:t>
      </w:r>
      <w:bookmarkEnd w:id="52"/>
      <w:bookmarkEnd w:id="53"/>
    </w:p>
    <w:p w14:paraId="71D454D8">
      <w:pPr>
        <w:adjustRightInd w:val="0"/>
        <w:snapToGrid w:val="0"/>
        <w:ind w:firstLine="480"/>
      </w:pPr>
      <w:r>
        <w:t>（1）生态环境</w:t>
      </w:r>
    </w:p>
    <w:p w14:paraId="79C7E4B1">
      <w:pPr>
        <w:adjustRightInd w:val="0"/>
        <w:snapToGrid w:val="0"/>
        <w:ind w:firstLine="480"/>
      </w:pPr>
      <w:r>
        <w:t>根据现场调查，本项目场址区域不涉自然保护区、风景名胜区、世界文化或自然遗产地、森林公园、地质公园、湿地公园、文物保护单位，不涉及国家</w:t>
      </w:r>
      <w:r>
        <w:rPr>
          <w:rFonts w:hint="eastAsia"/>
        </w:rPr>
        <w:t>生态</w:t>
      </w:r>
      <w:r>
        <w:t>公益林等生态敏感区</w:t>
      </w:r>
      <w:r>
        <w:rPr>
          <w:rFonts w:hint="eastAsia"/>
        </w:rPr>
        <w:t>；项目邻近湖南衡阳岣嵝峰国家森林公园和衡阳岣嵝峰县级自然保护区</w:t>
      </w:r>
    </w:p>
    <w:p w14:paraId="049D4ED1">
      <w:pPr>
        <w:adjustRightInd w:val="0"/>
        <w:snapToGrid w:val="0"/>
        <w:ind w:firstLine="480"/>
      </w:pPr>
      <w:r>
        <w:rPr>
          <w:rFonts w:hint="eastAsia"/>
        </w:rPr>
        <w:t>项目周边生态敏感区见下表2</w:t>
      </w:r>
      <w:r>
        <w:t>.6</w:t>
      </w:r>
      <w:r>
        <w:rPr>
          <w:rFonts w:hint="eastAsia"/>
        </w:rPr>
        <w:t>-</w:t>
      </w:r>
      <w:r>
        <w:t>1</w:t>
      </w:r>
      <w:r>
        <w:rPr>
          <w:rFonts w:hint="eastAsia"/>
        </w:rPr>
        <w:t>。</w:t>
      </w:r>
    </w:p>
    <w:p w14:paraId="21E56CC9">
      <w:pPr>
        <w:adjustRightInd w:val="0"/>
        <w:snapToGrid w:val="0"/>
        <w:spacing w:line="240" w:lineRule="auto"/>
        <w:ind w:firstLine="0" w:firstLineChars="0"/>
        <w:jc w:val="center"/>
        <w:rPr>
          <w:b/>
          <w:bCs/>
        </w:rPr>
      </w:pPr>
      <w:r>
        <w:rPr>
          <w:rFonts w:hint="eastAsia"/>
          <w:b/>
          <w:bCs/>
        </w:rPr>
        <w:t>表</w:t>
      </w:r>
      <w:r>
        <w:rPr>
          <w:b/>
          <w:bCs/>
        </w:rPr>
        <w:t>2.6</w:t>
      </w:r>
      <w:r>
        <w:rPr>
          <w:rFonts w:hint="eastAsia"/>
          <w:b/>
          <w:bCs/>
        </w:rPr>
        <w:t>-</w:t>
      </w:r>
      <w:r>
        <w:rPr>
          <w:b/>
          <w:bCs/>
        </w:rPr>
        <w:t>1</w:t>
      </w:r>
      <w:r>
        <w:rPr>
          <w:rFonts w:hint="eastAsia"/>
          <w:b/>
          <w:bCs/>
        </w:rPr>
        <w:t>项目周边生态敏感区</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841"/>
        <w:gridCol w:w="1143"/>
        <w:gridCol w:w="1755"/>
        <w:gridCol w:w="2602"/>
      </w:tblGrid>
      <w:tr w14:paraId="7FC923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03" w:type="pct"/>
            <w:vAlign w:val="center"/>
          </w:tcPr>
          <w:p w14:paraId="798B3215">
            <w:pPr>
              <w:tabs>
                <w:tab w:val="clear" w:pos="480"/>
              </w:tabs>
              <w:adjustRightInd w:val="0"/>
              <w:snapToGrid w:val="0"/>
              <w:spacing w:line="240" w:lineRule="auto"/>
              <w:ind w:firstLine="0" w:firstLineChars="0"/>
              <w:jc w:val="center"/>
              <w:rPr>
                <w:sz w:val="18"/>
                <w:szCs w:val="18"/>
              </w:rPr>
            </w:pPr>
            <w:r>
              <w:rPr>
                <w:rFonts w:hint="eastAsia"/>
                <w:sz w:val="18"/>
                <w:szCs w:val="18"/>
              </w:rPr>
              <w:t>敏感区名称</w:t>
            </w:r>
          </w:p>
        </w:tc>
        <w:tc>
          <w:tcPr>
            <w:tcW w:w="685" w:type="pct"/>
            <w:vAlign w:val="center"/>
          </w:tcPr>
          <w:p w14:paraId="6C0D5260">
            <w:pPr>
              <w:tabs>
                <w:tab w:val="clear" w:pos="480"/>
              </w:tabs>
              <w:adjustRightInd w:val="0"/>
              <w:snapToGrid w:val="0"/>
              <w:spacing w:line="240" w:lineRule="auto"/>
              <w:ind w:firstLine="0" w:firstLineChars="0"/>
              <w:jc w:val="center"/>
              <w:rPr>
                <w:sz w:val="18"/>
                <w:szCs w:val="18"/>
              </w:rPr>
            </w:pPr>
            <w:r>
              <w:rPr>
                <w:rFonts w:hint="eastAsia"/>
                <w:sz w:val="18"/>
                <w:szCs w:val="18"/>
              </w:rPr>
              <w:t>级别</w:t>
            </w:r>
          </w:p>
        </w:tc>
        <w:tc>
          <w:tcPr>
            <w:tcW w:w="1052" w:type="pct"/>
            <w:vAlign w:val="center"/>
          </w:tcPr>
          <w:p w14:paraId="561E2BBA">
            <w:pPr>
              <w:tabs>
                <w:tab w:val="clear" w:pos="480"/>
              </w:tabs>
              <w:adjustRightInd w:val="0"/>
              <w:snapToGrid w:val="0"/>
              <w:spacing w:line="240" w:lineRule="auto"/>
              <w:ind w:firstLine="0" w:firstLineChars="0"/>
              <w:jc w:val="center"/>
              <w:rPr>
                <w:sz w:val="18"/>
                <w:szCs w:val="18"/>
              </w:rPr>
            </w:pPr>
            <w:r>
              <w:rPr>
                <w:rFonts w:hint="eastAsia"/>
                <w:sz w:val="18"/>
                <w:szCs w:val="18"/>
              </w:rPr>
              <w:t>与本项目的方位</w:t>
            </w:r>
          </w:p>
        </w:tc>
        <w:tc>
          <w:tcPr>
            <w:tcW w:w="1560" w:type="pct"/>
            <w:vAlign w:val="center"/>
          </w:tcPr>
          <w:p w14:paraId="5E806C57">
            <w:pPr>
              <w:tabs>
                <w:tab w:val="clear" w:pos="480"/>
              </w:tabs>
              <w:adjustRightInd w:val="0"/>
              <w:snapToGrid w:val="0"/>
              <w:spacing w:line="240" w:lineRule="auto"/>
              <w:ind w:firstLine="0" w:firstLineChars="0"/>
              <w:jc w:val="center"/>
              <w:rPr>
                <w:sz w:val="18"/>
                <w:szCs w:val="18"/>
              </w:rPr>
            </w:pPr>
            <w:r>
              <w:rPr>
                <w:rFonts w:hint="eastAsia"/>
                <w:sz w:val="18"/>
                <w:szCs w:val="18"/>
              </w:rPr>
              <w:t>与本项目的距离</w:t>
            </w:r>
          </w:p>
        </w:tc>
      </w:tr>
      <w:tr w14:paraId="2F99F3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03" w:type="pct"/>
            <w:vAlign w:val="center"/>
          </w:tcPr>
          <w:p w14:paraId="6260833B">
            <w:pPr>
              <w:tabs>
                <w:tab w:val="clear" w:pos="480"/>
              </w:tabs>
              <w:adjustRightInd w:val="0"/>
              <w:snapToGrid w:val="0"/>
              <w:spacing w:line="240" w:lineRule="auto"/>
              <w:ind w:firstLine="0" w:firstLineChars="0"/>
              <w:jc w:val="center"/>
              <w:rPr>
                <w:sz w:val="18"/>
                <w:szCs w:val="18"/>
              </w:rPr>
            </w:pPr>
            <w:r>
              <w:rPr>
                <w:rFonts w:hint="eastAsia"/>
                <w:sz w:val="18"/>
                <w:szCs w:val="18"/>
              </w:rPr>
              <w:t>湖南岣嵝峰国家森林公园</w:t>
            </w:r>
          </w:p>
        </w:tc>
        <w:tc>
          <w:tcPr>
            <w:tcW w:w="685" w:type="pct"/>
            <w:vAlign w:val="center"/>
          </w:tcPr>
          <w:p w14:paraId="2B9753AA">
            <w:pPr>
              <w:tabs>
                <w:tab w:val="clear" w:pos="480"/>
              </w:tabs>
              <w:adjustRightInd w:val="0"/>
              <w:snapToGrid w:val="0"/>
              <w:spacing w:line="240" w:lineRule="auto"/>
              <w:ind w:firstLine="0" w:firstLineChars="0"/>
              <w:jc w:val="center"/>
              <w:rPr>
                <w:sz w:val="18"/>
                <w:szCs w:val="18"/>
              </w:rPr>
            </w:pPr>
            <w:r>
              <w:rPr>
                <w:rFonts w:hint="eastAsia"/>
                <w:sz w:val="18"/>
                <w:szCs w:val="18"/>
              </w:rPr>
              <w:t>国家级</w:t>
            </w:r>
          </w:p>
        </w:tc>
        <w:tc>
          <w:tcPr>
            <w:tcW w:w="1052" w:type="pct"/>
            <w:vAlign w:val="center"/>
          </w:tcPr>
          <w:p w14:paraId="67716371">
            <w:pPr>
              <w:tabs>
                <w:tab w:val="clear" w:pos="480"/>
              </w:tabs>
              <w:adjustRightInd w:val="0"/>
              <w:snapToGrid w:val="0"/>
              <w:spacing w:line="240" w:lineRule="auto"/>
              <w:ind w:firstLine="0" w:firstLineChars="0"/>
              <w:jc w:val="center"/>
              <w:rPr>
                <w:sz w:val="18"/>
                <w:szCs w:val="18"/>
              </w:rPr>
            </w:pPr>
            <w:r>
              <w:rPr>
                <w:rFonts w:hint="eastAsia"/>
                <w:sz w:val="18"/>
                <w:szCs w:val="18"/>
              </w:rPr>
              <w:t>东南~东北</w:t>
            </w:r>
          </w:p>
        </w:tc>
        <w:tc>
          <w:tcPr>
            <w:tcW w:w="1560" w:type="pct"/>
            <w:vAlign w:val="center"/>
          </w:tcPr>
          <w:p w14:paraId="0400D938">
            <w:pPr>
              <w:tabs>
                <w:tab w:val="clear" w:pos="480"/>
              </w:tabs>
              <w:adjustRightInd w:val="0"/>
              <w:snapToGrid w:val="0"/>
              <w:spacing w:line="240" w:lineRule="auto"/>
              <w:ind w:firstLine="0" w:firstLineChars="0"/>
              <w:jc w:val="center"/>
              <w:rPr>
                <w:sz w:val="18"/>
                <w:szCs w:val="18"/>
              </w:rPr>
            </w:pPr>
            <w:r>
              <w:rPr>
                <w:sz w:val="18"/>
                <w:szCs w:val="18"/>
              </w:rPr>
              <w:t>18#</w:t>
            </w:r>
            <w:r>
              <w:rPr>
                <w:rFonts w:hint="eastAsia"/>
                <w:sz w:val="18"/>
                <w:szCs w:val="18"/>
              </w:rPr>
              <w:t>（备选）风机平台最近约1</w:t>
            </w:r>
            <w:r>
              <w:rPr>
                <w:sz w:val="18"/>
                <w:szCs w:val="18"/>
              </w:rPr>
              <w:t>40</w:t>
            </w:r>
            <w:r>
              <w:rPr>
                <w:rFonts w:hint="eastAsia"/>
                <w:sz w:val="18"/>
                <w:szCs w:val="18"/>
              </w:rPr>
              <w:t>m，道路最近约2</w:t>
            </w:r>
            <w:r>
              <w:rPr>
                <w:sz w:val="18"/>
                <w:szCs w:val="18"/>
              </w:rPr>
              <w:t>5</w:t>
            </w:r>
            <w:r>
              <w:rPr>
                <w:rFonts w:hint="eastAsia"/>
                <w:sz w:val="18"/>
                <w:szCs w:val="18"/>
              </w:rPr>
              <w:t>m</w:t>
            </w:r>
          </w:p>
        </w:tc>
      </w:tr>
      <w:tr w14:paraId="0EA8B9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03" w:type="pct"/>
            <w:vAlign w:val="center"/>
          </w:tcPr>
          <w:p w14:paraId="402A59EF">
            <w:pPr>
              <w:tabs>
                <w:tab w:val="clear" w:pos="480"/>
              </w:tabs>
              <w:adjustRightInd w:val="0"/>
              <w:snapToGrid w:val="0"/>
              <w:spacing w:line="240" w:lineRule="auto"/>
              <w:ind w:firstLine="0" w:firstLineChars="0"/>
              <w:jc w:val="center"/>
              <w:rPr>
                <w:sz w:val="18"/>
                <w:szCs w:val="18"/>
              </w:rPr>
            </w:pPr>
            <w:r>
              <w:rPr>
                <w:rFonts w:hint="eastAsia"/>
                <w:sz w:val="18"/>
                <w:szCs w:val="18"/>
              </w:rPr>
              <w:t>湖南岣嵝峰自然保护区</w:t>
            </w:r>
          </w:p>
        </w:tc>
        <w:tc>
          <w:tcPr>
            <w:tcW w:w="685" w:type="pct"/>
            <w:vAlign w:val="center"/>
          </w:tcPr>
          <w:p w14:paraId="33C8FF97">
            <w:pPr>
              <w:tabs>
                <w:tab w:val="clear" w:pos="480"/>
              </w:tabs>
              <w:adjustRightInd w:val="0"/>
              <w:snapToGrid w:val="0"/>
              <w:spacing w:line="240" w:lineRule="auto"/>
              <w:ind w:firstLine="0" w:firstLineChars="0"/>
              <w:jc w:val="center"/>
              <w:rPr>
                <w:sz w:val="18"/>
                <w:szCs w:val="18"/>
              </w:rPr>
            </w:pPr>
            <w:r>
              <w:rPr>
                <w:rFonts w:hint="eastAsia"/>
                <w:sz w:val="18"/>
                <w:szCs w:val="18"/>
              </w:rPr>
              <w:t>县级</w:t>
            </w:r>
          </w:p>
        </w:tc>
        <w:tc>
          <w:tcPr>
            <w:tcW w:w="1052" w:type="pct"/>
            <w:vAlign w:val="center"/>
          </w:tcPr>
          <w:p w14:paraId="41020E8F">
            <w:pPr>
              <w:tabs>
                <w:tab w:val="clear" w:pos="480"/>
              </w:tabs>
              <w:adjustRightInd w:val="0"/>
              <w:snapToGrid w:val="0"/>
              <w:spacing w:line="240" w:lineRule="auto"/>
              <w:ind w:firstLine="0" w:firstLineChars="0"/>
              <w:jc w:val="center"/>
              <w:rPr>
                <w:sz w:val="18"/>
                <w:szCs w:val="18"/>
              </w:rPr>
            </w:pPr>
            <w:r>
              <w:rPr>
                <w:rFonts w:hint="eastAsia"/>
                <w:sz w:val="18"/>
                <w:szCs w:val="18"/>
              </w:rPr>
              <w:t>东北侧</w:t>
            </w:r>
          </w:p>
        </w:tc>
        <w:tc>
          <w:tcPr>
            <w:tcW w:w="1560" w:type="pct"/>
            <w:vAlign w:val="center"/>
          </w:tcPr>
          <w:p w14:paraId="06F56177">
            <w:pPr>
              <w:tabs>
                <w:tab w:val="clear" w:pos="480"/>
              </w:tabs>
              <w:adjustRightInd w:val="0"/>
              <w:snapToGrid w:val="0"/>
              <w:spacing w:line="240" w:lineRule="auto"/>
              <w:ind w:firstLine="0" w:firstLineChars="0"/>
              <w:jc w:val="center"/>
              <w:rPr>
                <w:sz w:val="18"/>
                <w:szCs w:val="18"/>
              </w:rPr>
            </w:pPr>
            <w:r>
              <w:rPr>
                <w:rFonts w:hint="eastAsia"/>
                <w:sz w:val="18"/>
                <w:szCs w:val="18"/>
              </w:rPr>
              <w:t>5</w:t>
            </w:r>
            <w:r>
              <w:rPr>
                <w:sz w:val="18"/>
                <w:szCs w:val="18"/>
              </w:rPr>
              <w:t>#</w:t>
            </w:r>
            <w:r>
              <w:rPr>
                <w:rFonts w:hint="eastAsia"/>
                <w:sz w:val="18"/>
                <w:szCs w:val="18"/>
              </w:rPr>
              <w:t>风机场内道路最近约5</w:t>
            </w:r>
            <w:r>
              <w:rPr>
                <w:sz w:val="18"/>
                <w:szCs w:val="18"/>
              </w:rPr>
              <w:t>0</w:t>
            </w:r>
            <w:r>
              <w:rPr>
                <w:rFonts w:hint="eastAsia"/>
                <w:sz w:val="18"/>
                <w:szCs w:val="18"/>
              </w:rPr>
              <w:t>m；1</w:t>
            </w:r>
            <w:r>
              <w:rPr>
                <w:sz w:val="18"/>
                <w:szCs w:val="18"/>
              </w:rPr>
              <w:t>8#</w:t>
            </w:r>
            <w:r>
              <w:rPr>
                <w:rFonts w:hint="eastAsia"/>
                <w:sz w:val="18"/>
                <w:szCs w:val="18"/>
              </w:rPr>
              <w:t>风机平台边界最近约1</w:t>
            </w:r>
            <w:r>
              <w:rPr>
                <w:sz w:val="18"/>
                <w:szCs w:val="18"/>
              </w:rPr>
              <w:t>40</w:t>
            </w:r>
            <w:r>
              <w:rPr>
                <w:rFonts w:hint="eastAsia"/>
                <w:sz w:val="18"/>
                <w:szCs w:val="18"/>
              </w:rPr>
              <w:t>m</w:t>
            </w:r>
          </w:p>
        </w:tc>
      </w:tr>
    </w:tbl>
    <w:p w14:paraId="79E9971D">
      <w:pPr>
        <w:adjustRightInd w:val="0"/>
        <w:snapToGrid w:val="0"/>
        <w:ind w:firstLine="480"/>
      </w:pPr>
      <w:r>
        <w:rPr>
          <w:rFonts w:hint="eastAsia"/>
        </w:rPr>
        <w:t>项目周边生态保护目标见表2</w:t>
      </w:r>
      <w:r>
        <w:t>.6</w:t>
      </w:r>
      <w:r>
        <w:rPr>
          <w:rFonts w:hint="eastAsia"/>
        </w:rPr>
        <w:t>-</w:t>
      </w:r>
      <w:r>
        <w:t>2</w:t>
      </w:r>
      <w:r>
        <w:rPr>
          <w:rFonts w:hint="eastAsia"/>
        </w:rPr>
        <w:t>。</w:t>
      </w:r>
    </w:p>
    <w:p w14:paraId="11573A7C">
      <w:pPr>
        <w:adjustRightInd w:val="0"/>
        <w:snapToGrid w:val="0"/>
        <w:ind w:firstLine="480"/>
      </w:pPr>
      <w:r>
        <w:t>（3）地表水调查</w:t>
      </w:r>
    </w:p>
    <w:p w14:paraId="5A6B5FC4">
      <w:pPr>
        <w:adjustRightInd w:val="0"/>
        <w:snapToGrid w:val="0"/>
        <w:ind w:firstLine="480"/>
      </w:pPr>
      <w:r>
        <w:rPr>
          <w:rFonts w:hint="eastAsia"/>
        </w:rPr>
        <w:t>本项目周边分布的衡阳县饮用水水源保护区为衡阳县岣嵝乡环洞村山溪水饮用水水源保护区。根据衡阳县饮用水水源划分情况以及现场调查可知，项目周边无分散式饮用水井、泉眼等地下水环境保护目标。项目周边地表水环境见表2</w:t>
      </w:r>
      <w:r>
        <w:t>.6</w:t>
      </w:r>
      <w:r>
        <w:rPr>
          <w:rFonts w:hint="eastAsia"/>
        </w:rPr>
        <w:t>-</w:t>
      </w:r>
      <w:r>
        <w:t>3</w:t>
      </w:r>
      <w:r>
        <w:rPr>
          <w:rFonts w:hint="eastAsia"/>
        </w:rPr>
        <w:t>。</w:t>
      </w:r>
    </w:p>
    <w:p w14:paraId="6445CF4C">
      <w:pPr>
        <w:adjustRightInd w:val="0"/>
        <w:snapToGrid w:val="0"/>
        <w:ind w:firstLine="480"/>
      </w:pPr>
      <w:r>
        <w:rPr>
          <w:rFonts w:hint="eastAsia"/>
        </w:rPr>
        <w:t>本项目工程范围内无泉眼分布，因项目海拔较低，风电场周边无集中式供水条件的居民采用各家各户自打水井的方式作为其水源。</w:t>
      </w:r>
    </w:p>
    <w:p w14:paraId="652E826E">
      <w:pPr>
        <w:adjustRightInd w:val="0"/>
        <w:snapToGrid w:val="0"/>
        <w:ind w:firstLine="480"/>
      </w:pPr>
      <w:r>
        <w:t>（5）居民点调查</w:t>
      </w:r>
    </w:p>
    <w:p w14:paraId="02A6F4AB">
      <w:pPr>
        <w:adjustRightInd w:val="0"/>
        <w:snapToGrid w:val="0"/>
        <w:ind w:firstLine="480"/>
        <w:sectPr>
          <w:pgSz w:w="11905" w:h="16838"/>
          <w:pgMar w:top="1440" w:right="1797" w:bottom="1440" w:left="1797" w:header="851" w:footer="992" w:gutter="0"/>
          <w:cols w:space="0" w:num="1"/>
          <w:docGrid w:type="lines" w:linePitch="333" w:charSpace="0"/>
        </w:sectPr>
      </w:pPr>
      <w:r>
        <w:rPr>
          <w:rFonts w:hint="eastAsia"/>
        </w:rPr>
        <w:t>项目各</w:t>
      </w:r>
      <w:r>
        <w:t>风机</w:t>
      </w:r>
      <w:r>
        <w:rPr>
          <w:rFonts w:hint="eastAsia"/>
        </w:rPr>
        <w:t>平台</w:t>
      </w:r>
      <w:r>
        <w:t>周边</w:t>
      </w:r>
      <w:r>
        <w:rPr>
          <w:rFonts w:hint="eastAsia"/>
        </w:rPr>
        <w:t>大气和声环境保护目标见表</w:t>
      </w:r>
      <w:r>
        <w:t>2.6</w:t>
      </w:r>
      <w:r>
        <w:rPr>
          <w:rFonts w:hint="eastAsia"/>
        </w:rPr>
        <w:t>-</w:t>
      </w:r>
      <w:r>
        <w:t>4</w:t>
      </w:r>
      <w:r>
        <w:rPr>
          <w:rFonts w:hint="eastAsia"/>
        </w:rPr>
        <w:t>和表2</w:t>
      </w:r>
      <w:r>
        <w:t>.6-5</w:t>
      </w:r>
      <w:r>
        <w:rPr>
          <w:rFonts w:hint="eastAsia"/>
        </w:rPr>
        <w:t>。</w:t>
      </w:r>
    </w:p>
    <w:p w14:paraId="172003EE">
      <w:pPr>
        <w:pStyle w:val="2103"/>
        <w:spacing w:line="240" w:lineRule="auto"/>
        <w:ind w:firstLine="0" w:firstLineChars="0"/>
        <w:jc w:val="center"/>
        <w:rPr>
          <w:b/>
          <w:bCs/>
        </w:rPr>
      </w:pPr>
      <w:r>
        <w:rPr>
          <w:rFonts w:hint="eastAsia"/>
          <w:b/>
          <w:bCs/>
        </w:rPr>
        <w:t>表2</w:t>
      </w:r>
      <w:r>
        <w:rPr>
          <w:b/>
          <w:bCs/>
        </w:rPr>
        <w:t>.6</w:t>
      </w:r>
      <w:r>
        <w:rPr>
          <w:rFonts w:hint="eastAsia"/>
          <w:b/>
          <w:bCs/>
        </w:rPr>
        <w:t>-</w:t>
      </w:r>
      <w:r>
        <w:rPr>
          <w:b/>
          <w:bCs/>
        </w:rPr>
        <w:t>2  项目</w:t>
      </w:r>
      <w:r>
        <w:rPr>
          <w:rFonts w:hint="eastAsia"/>
          <w:b/>
          <w:bCs/>
        </w:rPr>
        <w:t>周边生态环境保护目标一览表（含弃渣场、施工生产区、风机平台、道路）</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1" w:type="dxa"/>
          <w:bottom w:w="0" w:type="dxa"/>
          <w:right w:w="11" w:type="dxa"/>
        </w:tblCellMar>
      </w:tblPr>
      <w:tblGrid>
        <w:gridCol w:w="1057"/>
        <w:gridCol w:w="741"/>
        <w:gridCol w:w="1494"/>
        <w:gridCol w:w="3866"/>
        <w:gridCol w:w="2929"/>
        <w:gridCol w:w="1592"/>
        <w:gridCol w:w="2309"/>
      </w:tblGrid>
      <w:tr w14:paraId="4EA53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630" w:hRule="atLeast"/>
          <w:jc w:val="center"/>
        </w:trPr>
        <w:tc>
          <w:tcPr>
            <w:tcW w:w="378" w:type="pct"/>
            <w:vAlign w:val="center"/>
          </w:tcPr>
          <w:p w14:paraId="4243768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环境</w:t>
            </w:r>
          </w:p>
          <w:p w14:paraId="31264A2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要素</w:t>
            </w:r>
          </w:p>
        </w:tc>
        <w:tc>
          <w:tcPr>
            <w:tcW w:w="799" w:type="pct"/>
            <w:gridSpan w:val="2"/>
            <w:vAlign w:val="center"/>
          </w:tcPr>
          <w:p w14:paraId="24F73D0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敏感保护</w:t>
            </w:r>
          </w:p>
          <w:p w14:paraId="3BEC988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目标</w:t>
            </w:r>
          </w:p>
        </w:tc>
        <w:tc>
          <w:tcPr>
            <w:tcW w:w="1382" w:type="pct"/>
            <w:vAlign w:val="center"/>
          </w:tcPr>
          <w:p w14:paraId="7EA5016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规模及特征</w:t>
            </w:r>
          </w:p>
        </w:tc>
        <w:tc>
          <w:tcPr>
            <w:tcW w:w="1047" w:type="pct"/>
            <w:vAlign w:val="center"/>
          </w:tcPr>
          <w:p w14:paraId="1B32F43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与工程关系</w:t>
            </w:r>
          </w:p>
          <w:p w14:paraId="0CD0370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及特性</w:t>
            </w:r>
          </w:p>
        </w:tc>
        <w:tc>
          <w:tcPr>
            <w:tcW w:w="569" w:type="pct"/>
            <w:vAlign w:val="center"/>
          </w:tcPr>
          <w:p w14:paraId="2ADAE45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影响源</w:t>
            </w:r>
          </w:p>
          <w:p w14:paraId="2A77130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和时段</w:t>
            </w:r>
          </w:p>
        </w:tc>
        <w:tc>
          <w:tcPr>
            <w:tcW w:w="826" w:type="pct"/>
            <w:vAlign w:val="center"/>
          </w:tcPr>
          <w:p w14:paraId="3521040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保护要求</w:t>
            </w:r>
          </w:p>
        </w:tc>
      </w:tr>
      <w:tr w14:paraId="6B9F64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1118" w:hRule="atLeast"/>
          <w:jc w:val="center"/>
        </w:trPr>
        <w:tc>
          <w:tcPr>
            <w:tcW w:w="378" w:type="pct"/>
            <w:vMerge w:val="restart"/>
            <w:vAlign w:val="center"/>
          </w:tcPr>
          <w:p w14:paraId="330CB89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生态环境</w:t>
            </w:r>
          </w:p>
        </w:tc>
        <w:tc>
          <w:tcPr>
            <w:tcW w:w="799" w:type="pct"/>
            <w:gridSpan w:val="2"/>
            <w:vAlign w:val="center"/>
          </w:tcPr>
          <w:p w14:paraId="0A12FDA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土地资源</w:t>
            </w:r>
          </w:p>
        </w:tc>
        <w:tc>
          <w:tcPr>
            <w:tcW w:w="1382" w:type="pct"/>
            <w:vAlign w:val="center"/>
          </w:tcPr>
          <w:p w14:paraId="159AE13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项目占地面积为43.163hm</w:t>
            </w:r>
            <w:r>
              <w:rPr>
                <w:kern w:val="0"/>
                <w:sz w:val="18"/>
                <w:szCs w:val="18"/>
                <w:vertAlign w:val="superscript"/>
              </w:rPr>
              <w:t>2</w:t>
            </w:r>
            <w:r>
              <w:rPr>
                <w:kern w:val="0"/>
                <w:sz w:val="18"/>
                <w:szCs w:val="18"/>
              </w:rPr>
              <w:t>，其中永久占地1.163hm</w:t>
            </w:r>
            <w:r>
              <w:rPr>
                <w:kern w:val="0"/>
                <w:sz w:val="18"/>
                <w:szCs w:val="18"/>
                <w:vertAlign w:val="superscript"/>
              </w:rPr>
              <w:t>2</w:t>
            </w:r>
            <w:r>
              <w:rPr>
                <w:kern w:val="0"/>
                <w:sz w:val="18"/>
                <w:szCs w:val="18"/>
              </w:rPr>
              <w:t>，临时占地42.0hm</w:t>
            </w:r>
            <w:r>
              <w:rPr>
                <w:kern w:val="0"/>
                <w:sz w:val="18"/>
                <w:szCs w:val="18"/>
                <w:vertAlign w:val="superscript"/>
              </w:rPr>
              <w:t>2</w:t>
            </w:r>
            <w:r>
              <w:rPr>
                <w:kern w:val="0"/>
                <w:sz w:val="18"/>
                <w:szCs w:val="18"/>
              </w:rPr>
              <w:t>。</w:t>
            </w:r>
          </w:p>
        </w:tc>
        <w:tc>
          <w:tcPr>
            <w:tcW w:w="1047" w:type="pct"/>
            <w:vAlign w:val="center"/>
          </w:tcPr>
          <w:p w14:paraId="71BECF1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工程占地</w:t>
            </w:r>
          </w:p>
        </w:tc>
        <w:tc>
          <w:tcPr>
            <w:tcW w:w="569" w:type="pct"/>
            <w:vAlign w:val="center"/>
          </w:tcPr>
          <w:p w14:paraId="401CD7C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施工期及营运期</w:t>
            </w:r>
          </w:p>
        </w:tc>
        <w:tc>
          <w:tcPr>
            <w:tcW w:w="826" w:type="pct"/>
            <w:vAlign w:val="center"/>
          </w:tcPr>
          <w:p w14:paraId="2D8F403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合理利用土地</w:t>
            </w:r>
          </w:p>
        </w:tc>
      </w:tr>
      <w:tr w14:paraId="787D8D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1118" w:hRule="atLeast"/>
          <w:jc w:val="center"/>
        </w:trPr>
        <w:tc>
          <w:tcPr>
            <w:tcW w:w="378" w:type="pct"/>
            <w:vMerge w:val="continue"/>
            <w:vAlign w:val="center"/>
          </w:tcPr>
          <w:p w14:paraId="5CCD6FE1">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799" w:type="pct"/>
            <w:gridSpan w:val="2"/>
            <w:vAlign w:val="center"/>
          </w:tcPr>
          <w:p w14:paraId="5049F70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植物</w:t>
            </w:r>
          </w:p>
        </w:tc>
        <w:tc>
          <w:tcPr>
            <w:tcW w:w="1382" w:type="pct"/>
            <w:vAlign w:val="center"/>
          </w:tcPr>
          <w:p w14:paraId="4095F3A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低山针叶林、常绿阔叶林、落叶阔叶林、竹林、灌丛和灌草从、用材林、粮食作物和经济作物</w:t>
            </w:r>
          </w:p>
        </w:tc>
        <w:tc>
          <w:tcPr>
            <w:tcW w:w="1047" w:type="pct"/>
            <w:vAlign w:val="center"/>
          </w:tcPr>
          <w:p w14:paraId="53B00A2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工程施工范围</w:t>
            </w:r>
          </w:p>
        </w:tc>
        <w:tc>
          <w:tcPr>
            <w:tcW w:w="569" w:type="pct"/>
            <w:vAlign w:val="center"/>
          </w:tcPr>
          <w:p w14:paraId="2383646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w:t>
            </w:r>
          </w:p>
        </w:tc>
        <w:tc>
          <w:tcPr>
            <w:tcW w:w="826" w:type="pct"/>
            <w:vAlign w:val="center"/>
          </w:tcPr>
          <w:p w14:paraId="02AE6C4E">
            <w:pPr>
              <w:tabs>
                <w:tab w:val="clear" w:pos="480"/>
              </w:tabs>
              <w:adjustRightInd w:val="0"/>
              <w:snapToGrid w:val="0"/>
              <w:spacing w:before="33" w:beforeLines="10" w:after="33" w:afterLines="10" w:line="240" w:lineRule="auto"/>
              <w:ind w:firstLine="0" w:firstLineChars="0"/>
              <w:jc w:val="center"/>
              <w:rPr>
                <w:kern w:val="0"/>
                <w:sz w:val="18"/>
                <w:szCs w:val="18"/>
              </w:rPr>
            </w:pPr>
            <w:r>
              <w:rPr>
                <w:bCs/>
                <w:kern w:val="0"/>
                <w:sz w:val="18"/>
                <w:szCs w:val="18"/>
              </w:rPr>
              <w:t>减少开挖</w:t>
            </w:r>
          </w:p>
        </w:tc>
      </w:tr>
      <w:tr w14:paraId="2A00E6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265" w:hRule="atLeast"/>
          <w:jc w:val="center"/>
        </w:trPr>
        <w:tc>
          <w:tcPr>
            <w:tcW w:w="378" w:type="pct"/>
            <w:vMerge w:val="continue"/>
            <w:vAlign w:val="center"/>
          </w:tcPr>
          <w:p w14:paraId="039740B4">
            <w:pPr>
              <w:tabs>
                <w:tab w:val="clear" w:pos="480"/>
              </w:tabs>
              <w:spacing w:line="240" w:lineRule="auto"/>
              <w:ind w:firstLine="0" w:firstLineChars="0"/>
              <w:rPr>
                <w:bCs/>
                <w:sz w:val="18"/>
                <w:szCs w:val="18"/>
              </w:rPr>
            </w:pPr>
          </w:p>
        </w:tc>
        <w:tc>
          <w:tcPr>
            <w:tcW w:w="265" w:type="pct"/>
            <w:vMerge w:val="restart"/>
            <w:vAlign w:val="center"/>
          </w:tcPr>
          <w:p w14:paraId="5C99DBA2">
            <w:pPr>
              <w:tabs>
                <w:tab w:val="clear" w:pos="480"/>
              </w:tabs>
              <w:spacing w:line="240" w:lineRule="auto"/>
              <w:ind w:firstLine="0" w:firstLineChars="0"/>
              <w:rPr>
                <w:bCs/>
                <w:sz w:val="18"/>
                <w:szCs w:val="18"/>
              </w:rPr>
            </w:pPr>
            <w:r>
              <w:rPr>
                <w:bCs/>
                <w:sz w:val="18"/>
                <w:szCs w:val="18"/>
              </w:rPr>
              <w:t>动物资源</w:t>
            </w:r>
          </w:p>
        </w:tc>
        <w:tc>
          <w:tcPr>
            <w:tcW w:w="534" w:type="pct"/>
            <w:vAlign w:val="center"/>
          </w:tcPr>
          <w:p w14:paraId="158BB01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国家Ⅱ级保护动物</w:t>
            </w:r>
          </w:p>
        </w:tc>
        <w:tc>
          <w:tcPr>
            <w:tcW w:w="1382" w:type="pct"/>
            <w:vAlign w:val="center"/>
          </w:tcPr>
          <w:p w14:paraId="2AEE4A54">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雀鹰、</w:t>
            </w:r>
            <w:r>
              <w:rPr>
                <w:kern w:val="0"/>
                <w:sz w:val="18"/>
                <w:szCs w:val="18"/>
              </w:rPr>
              <w:t>黑鸢</w:t>
            </w:r>
            <w:r>
              <w:rPr>
                <w:rFonts w:hint="eastAsia"/>
                <w:kern w:val="0"/>
                <w:sz w:val="18"/>
                <w:szCs w:val="18"/>
              </w:rPr>
              <w:t>、</w:t>
            </w:r>
            <w:r>
              <w:rPr>
                <w:kern w:val="0"/>
                <w:sz w:val="18"/>
                <w:szCs w:val="18"/>
              </w:rPr>
              <w:t>东方草鸮</w:t>
            </w:r>
            <w:r>
              <w:rPr>
                <w:rFonts w:hint="eastAsia"/>
                <w:kern w:val="0"/>
                <w:sz w:val="18"/>
                <w:szCs w:val="18"/>
              </w:rPr>
              <w:t>、斑头鸺鹠和红隼</w:t>
            </w:r>
            <w:r>
              <w:rPr>
                <w:kern w:val="0"/>
                <w:sz w:val="18"/>
                <w:szCs w:val="18"/>
              </w:rPr>
              <w:t>等5种国家Ⅱ级保护动物</w:t>
            </w:r>
          </w:p>
        </w:tc>
        <w:tc>
          <w:tcPr>
            <w:tcW w:w="1047" w:type="pct"/>
            <w:vMerge w:val="restart"/>
            <w:vAlign w:val="center"/>
          </w:tcPr>
          <w:p w14:paraId="12A63D4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工程施工范围</w:t>
            </w:r>
          </w:p>
        </w:tc>
        <w:tc>
          <w:tcPr>
            <w:tcW w:w="569" w:type="pct"/>
            <w:vMerge w:val="restart"/>
            <w:vAlign w:val="center"/>
          </w:tcPr>
          <w:p w14:paraId="0E8A831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施工期及营运期</w:t>
            </w:r>
          </w:p>
        </w:tc>
        <w:tc>
          <w:tcPr>
            <w:tcW w:w="826" w:type="pct"/>
            <w:vMerge w:val="restart"/>
            <w:vAlign w:val="center"/>
          </w:tcPr>
          <w:p w14:paraId="72D32A0B">
            <w:pPr>
              <w:tabs>
                <w:tab w:val="clear" w:pos="480"/>
              </w:tabs>
              <w:adjustRightInd w:val="0"/>
              <w:snapToGrid w:val="0"/>
              <w:spacing w:before="33" w:beforeLines="10" w:after="33" w:afterLines="10" w:line="240" w:lineRule="auto"/>
              <w:ind w:firstLine="0" w:firstLineChars="0"/>
              <w:jc w:val="center"/>
              <w:rPr>
                <w:kern w:val="0"/>
                <w:sz w:val="18"/>
                <w:szCs w:val="18"/>
              </w:rPr>
            </w:pPr>
            <w:r>
              <w:rPr>
                <w:bCs/>
                <w:kern w:val="0"/>
                <w:sz w:val="18"/>
                <w:szCs w:val="18"/>
              </w:rPr>
              <w:t>禁止捕猎，控制施工活动范围</w:t>
            </w:r>
          </w:p>
        </w:tc>
      </w:tr>
      <w:tr w14:paraId="67CA38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265" w:hRule="atLeast"/>
          <w:jc w:val="center"/>
        </w:trPr>
        <w:tc>
          <w:tcPr>
            <w:tcW w:w="378" w:type="pct"/>
            <w:vMerge w:val="continue"/>
            <w:vAlign w:val="center"/>
          </w:tcPr>
          <w:p w14:paraId="7F93C160">
            <w:pPr>
              <w:tabs>
                <w:tab w:val="clear" w:pos="480"/>
              </w:tabs>
              <w:spacing w:line="240" w:lineRule="auto"/>
              <w:ind w:firstLine="0" w:firstLineChars="0"/>
              <w:rPr>
                <w:bCs/>
                <w:sz w:val="18"/>
                <w:szCs w:val="18"/>
              </w:rPr>
            </w:pPr>
          </w:p>
        </w:tc>
        <w:tc>
          <w:tcPr>
            <w:tcW w:w="265" w:type="pct"/>
            <w:vMerge w:val="continue"/>
            <w:vAlign w:val="center"/>
          </w:tcPr>
          <w:p w14:paraId="626E7669">
            <w:pPr>
              <w:tabs>
                <w:tab w:val="clear" w:pos="480"/>
              </w:tabs>
              <w:spacing w:line="240" w:lineRule="auto"/>
              <w:ind w:firstLine="0" w:firstLineChars="0"/>
              <w:rPr>
                <w:bCs/>
                <w:sz w:val="18"/>
                <w:szCs w:val="18"/>
              </w:rPr>
            </w:pPr>
          </w:p>
        </w:tc>
        <w:tc>
          <w:tcPr>
            <w:tcW w:w="534" w:type="pct"/>
            <w:vAlign w:val="center"/>
          </w:tcPr>
          <w:p w14:paraId="42C181C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湖南省级保护野生</w:t>
            </w:r>
          </w:p>
          <w:p w14:paraId="149C446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动物</w:t>
            </w:r>
          </w:p>
        </w:tc>
        <w:tc>
          <w:tcPr>
            <w:tcW w:w="1382" w:type="pct"/>
            <w:vAlign w:val="center"/>
          </w:tcPr>
          <w:p w14:paraId="49F9C59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中华蟾蜍、黑斑侧褶蛙、沼蛙、绿臭蛙、花臭蛙、华南湍蛙、泽陆蛙、斑腿泛树蛙、大树蛙、小弧斑姬蛙、饰纹姬蛙等85</w:t>
            </w:r>
            <w:r>
              <w:rPr>
                <w:rFonts w:hint="eastAsia"/>
                <w:kern w:val="0"/>
                <w:sz w:val="18"/>
                <w:szCs w:val="18"/>
              </w:rPr>
              <w:t>种</w:t>
            </w:r>
            <w:r>
              <w:rPr>
                <w:kern w:val="0"/>
                <w:sz w:val="18"/>
                <w:szCs w:val="18"/>
              </w:rPr>
              <w:t>省级保护野生动物</w:t>
            </w:r>
          </w:p>
        </w:tc>
        <w:tc>
          <w:tcPr>
            <w:tcW w:w="1047" w:type="pct"/>
            <w:vMerge w:val="continue"/>
            <w:vAlign w:val="center"/>
          </w:tcPr>
          <w:p w14:paraId="0E1F04D6">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569" w:type="pct"/>
            <w:vMerge w:val="continue"/>
            <w:vAlign w:val="center"/>
          </w:tcPr>
          <w:p w14:paraId="57092F54">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26" w:type="pct"/>
            <w:vMerge w:val="continue"/>
            <w:vAlign w:val="center"/>
          </w:tcPr>
          <w:p w14:paraId="16697C17">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2C100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265" w:hRule="atLeast"/>
          <w:jc w:val="center"/>
        </w:trPr>
        <w:tc>
          <w:tcPr>
            <w:tcW w:w="378" w:type="pct"/>
            <w:vMerge w:val="continue"/>
            <w:vAlign w:val="center"/>
          </w:tcPr>
          <w:p w14:paraId="53DDBEEE">
            <w:pPr>
              <w:tabs>
                <w:tab w:val="clear" w:pos="480"/>
              </w:tabs>
              <w:spacing w:line="240" w:lineRule="auto"/>
              <w:ind w:firstLine="0" w:firstLineChars="0"/>
              <w:rPr>
                <w:bCs/>
                <w:sz w:val="18"/>
                <w:szCs w:val="18"/>
              </w:rPr>
            </w:pPr>
          </w:p>
        </w:tc>
        <w:tc>
          <w:tcPr>
            <w:tcW w:w="265" w:type="pct"/>
            <w:vMerge w:val="continue"/>
            <w:vAlign w:val="center"/>
          </w:tcPr>
          <w:p w14:paraId="7CF280B5">
            <w:pPr>
              <w:tabs>
                <w:tab w:val="clear" w:pos="480"/>
              </w:tabs>
              <w:spacing w:line="240" w:lineRule="auto"/>
              <w:ind w:firstLine="0" w:firstLineChars="0"/>
              <w:rPr>
                <w:bCs/>
                <w:sz w:val="18"/>
                <w:szCs w:val="18"/>
              </w:rPr>
            </w:pPr>
          </w:p>
        </w:tc>
        <w:tc>
          <w:tcPr>
            <w:tcW w:w="534" w:type="pct"/>
            <w:vAlign w:val="center"/>
          </w:tcPr>
          <w:p w14:paraId="7E408E3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鸟类迁徙通道</w:t>
            </w:r>
          </w:p>
        </w:tc>
        <w:tc>
          <w:tcPr>
            <w:tcW w:w="1382" w:type="pct"/>
            <w:vAlign w:val="center"/>
          </w:tcPr>
          <w:p w14:paraId="0D9C0A7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迁徙鸟类主要为鸣禽、攀禽等。如大杜鹃、家燕、金腰燕、黑卷尾以及灰头鹀等</w:t>
            </w:r>
          </w:p>
        </w:tc>
        <w:tc>
          <w:tcPr>
            <w:tcW w:w="1047" w:type="pct"/>
            <w:vAlign w:val="center"/>
          </w:tcPr>
          <w:p w14:paraId="364ABCF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本项目距离湖南省鸟类迁徙通道约141.84km</w:t>
            </w:r>
          </w:p>
        </w:tc>
        <w:tc>
          <w:tcPr>
            <w:tcW w:w="569" w:type="pct"/>
            <w:vAlign w:val="center"/>
          </w:tcPr>
          <w:p w14:paraId="6C4036F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运营期风机转动增加撞伤几率</w:t>
            </w:r>
          </w:p>
        </w:tc>
        <w:tc>
          <w:tcPr>
            <w:tcW w:w="826" w:type="pct"/>
            <w:vAlign w:val="center"/>
          </w:tcPr>
          <w:p w14:paraId="768A208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减少撞击事件</w:t>
            </w:r>
          </w:p>
        </w:tc>
      </w:tr>
      <w:tr w14:paraId="73BBB7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87" w:hRule="atLeast"/>
          <w:jc w:val="center"/>
        </w:trPr>
        <w:tc>
          <w:tcPr>
            <w:tcW w:w="378" w:type="pct"/>
            <w:vMerge w:val="continue"/>
            <w:vAlign w:val="center"/>
          </w:tcPr>
          <w:p w14:paraId="7D9D0FB0">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799" w:type="pct"/>
            <w:gridSpan w:val="2"/>
            <w:vAlign w:val="center"/>
          </w:tcPr>
          <w:p w14:paraId="0D6FDDB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生态景观</w:t>
            </w:r>
          </w:p>
        </w:tc>
        <w:tc>
          <w:tcPr>
            <w:tcW w:w="1382" w:type="pct"/>
            <w:vAlign w:val="center"/>
          </w:tcPr>
          <w:p w14:paraId="17992B8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生态评价范围内</w:t>
            </w:r>
          </w:p>
        </w:tc>
        <w:tc>
          <w:tcPr>
            <w:tcW w:w="1047" w:type="pct"/>
            <w:vAlign w:val="center"/>
          </w:tcPr>
          <w:p w14:paraId="6A273AB9">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w:t>
            </w:r>
          </w:p>
        </w:tc>
        <w:tc>
          <w:tcPr>
            <w:tcW w:w="569" w:type="pct"/>
            <w:vAlign w:val="center"/>
          </w:tcPr>
          <w:p w14:paraId="7E04A7E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施工期及营运期</w:t>
            </w:r>
          </w:p>
        </w:tc>
        <w:tc>
          <w:tcPr>
            <w:tcW w:w="826" w:type="pct"/>
            <w:vAlign w:val="center"/>
          </w:tcPr>
          <w:p w14:paraId="13A9CA1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保持与周边景观协调一致</w:t>
            </w:r>
          </w:p>
        </w:tc>
      </w:tr>
      <w:tr w14:paraId="6852EB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87" w:hRule="atLeast"/>
          <w:jc w:val="center"/>
        </w:trPr>
        <w:tc>
          <w:tcPr>
            <w:tcW w:w="378" w:type="pct"/>
            <w:vMerge w:val="continue"/>
            <w:vAlign w:val="center"/>
          </w:tcPr>
          <w:p w14:paraId="036DBC8B">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799" w:type="pct"/>
            <w:gridSpan w:val="2"/>
            <w:vAlign w:val="center"/>
          </w:tcPr>
          <w:p w14:paraId="23E6D9AB">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湖南衡阳岣嵝峰国家森林公园</w:t>
            </w:r>
          </w:p>
        </w:tc>
        <w:tc>
          <w:tcPr>
            <w:tcW w:w="1382" w:type="pct"/>
            <w:vAlign w:val="center"/>
          </w:tcPr>
          <w:p w14:paraId="6A393F4C">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国家级保护区</w:t>
            </w:r>
          </w:p>
        </w:tc>
        <w:tc>
          <w:tcPr>
            <w:tcW w:w="1047" w:type="pct"/>
            <w:vAlign w:val="center"/>
          </w:tcPr>
          <w:p w14:paraId="313E4012">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1</w:t>
            </w:r>
            <w:r>
              <w:rPr>
                <w:kern w:val="0"/>
                <w:sz w:val="18"/>
                <w:szCs w:val="18"/>
              </w:rPr>
              <w:t>8#</w:t>
            </w:r>
            <w:r>
              <w:rPr>
                <w:rFonts w:hint="eastAsia"/>
                <w:kern w:val="0"/>
                <w:sz w:val="18"/>
                <w:szCs w:val="18"/>
              </w:rPr>
              <w:t>风机平台（备选）最近距离约1</w:t>
            </w:r>
            <w:r>
              <w:rPr>
                <w:kern w:val="0"/>
                <w:sz w:val="18"/>
                <w:szCs w:val="18"/>
              </w:rPr>
              <w:t>40</w:t>
            </w:r>
            <w:r>
              <w:rPr>
                <w:rFonts w:hint="eastAsia"/>
                <w:kern w:val="0"/>
                <w:sz w:val="18"/>
                <w:szCs w:val="18"/>
              </w:rPr>
              <w:t>m，2</w:t>
            </w:r>
            <w:r>
              <w:rPr>
                <w:kern w:val="0"/>
                <w:sz w:val="18"/>
                <w:szCs w:val="18"/>
              </w:rPr>
              <w:t>#</w:t>
            </w:r>
            <w:r>
              <w:rPr>
                <w:rFonts w:hint="eastAsia"/>
                <w:kern w:val="0"/>
                <w:sz w:val="18"/>
                <w:szCs w:val="18"/>
              </w:rPr>
              <w:t>风机场内道路最近约2</w:t>
            </w:r>
            <w:r>
              <w:rPr>
                <w:kern w:val="0"/>
                <w:sz w:val="18"/>
                <w:szCs w:val="18"/>
              </w:rPr>
              <w:t>5</w:t>
            </w:r>
            <w:r>
              <w:rPr>
                <w:rFonts w:hint="eastAsia"/>
                <w:kern w:val="0"/>
                <w:sz w:val="18"/>
                <w:szCs w:val="18"/>
              </w:rPr>
              <w:t>m</w:t>
            </w:r>
          </w:p>
        </w:tc>
        <w:tc>
          <w:tcPr>
            <w:tcW w:w="569" w:type="pct"/>
            <w:vAlign w:val="center"/>
          </w:tcPr>
          <w:p w14:paraId="3C2CB6E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施工期及营运期</w:t>
            </w:r>
          </w:p>
        </w:tc>
        <w:tc>
          <w:tcPr>
            <w:tcW w:w="826" w:type="pct"/>
            <w:vAlign w:val="center"/>
          </w:tcPr>
          <w:p w14:paraId="1A707C07">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bCs/>
                <w:kern w:val="0"/>
                <w:sz w:val="18"/>
                <w:szCs w:val="18"/>
                <w:lang w:val="zh-CN"/>
              </w:rPr>
              <w:t>减少开挖，</w:t>
            </w:r>
            <w:r>
              <w:rPr>
                <w:rFonts w:hint="eastAsia"/>
                <w:kern w:val="0"/>
                <w:sz w:val="18"/>
                <w:szCs w:val="18"/>
              </w:rPr>
              <w:t>禁止捕猎，控制施工活动范围</w:t>
            </w:r>
          </w:p>
        </w:tc>
      </w:tr>
      <w:tr w14:paraId="1FDB5B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87" w:hRule="atLeast"/>
          <w:jc w:val="center"/>
        </w:trPr>
        <w:tc>
          <w:tcPr>
            <w:tcW w:w="378" w:type="pct"/>
            <w:vMerge w:val="continue"/>
            <w:vAlign w:val="center"/>
          </w:tcPr>
          <w:p w14:paraId="501E174D">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799" w:type="pct"/>
            <w:gridSpan w:val="2"/>
            <w:vAlign w:val="center"/>
          </w:tcPr>
          <w:p w14:paraId="2D70BDFD">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衡阳岣嵝峰自然保护区</w:t>
            </w:r>
          </w:p>
        </w:tc>
        <w:tc>
          <w:tcPr>
            <w:tcW w:w="1382" w:type="pct"/>
            <w:vAlign w:val="center"/>
          </w:tcPr>
          <w:p w14:paraId="593564A8">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县级保护区</w:t>
            </w:r>
          </w:p>
        </w:tc>
        <w:tc>
          <w:tcPr>
            <w:tcW w:w="1047" w:type="pct"/>
            <w:vAlign w:val="center"/>
          </w:tcPr>
          <w:p w14:paraId="70636163">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1</w:t>
            </w:r>
            <w:r>
              <w:rPr>
                <w:kern w:val="0"/>
                <w:sz w:val="18"/>
                <w:szCs w:val="18"/>
              </w:rPr>
              <w:t>8#</w:t>
            </w:r>
            <w:r>
              <w:rPr>
                <w:rFonts w:hint="eastAsia"/>
                <w:kern w:val="0"/>
                <w:sz w:val="18"/>
                <w:szCs w:val="18"/>
              </w:rPr>
              <w:t>风机平台（备选）最近距离约1</w:t>
            </w:r>
            <w:r>
              <w:rPr>
                <w:kern w:val="0"/>
                <w:sz w:val="18"/>
                <w:szCs w:val="18"/>
              </w:rPr>
              <w:t>40</w:t>
            </w:r>
            <w:r>
              <w:rPr>
                <w:rFonts w:hint="eastAsia"/>
                <w:kern w:val="0"/>
                <w:sz w:val="18"/>
                <w:szCs w:val="18"/>
              </w:rPr>
              <w:t>m，</w:t>
            </w:r>
            <w:r>
              <w:rPr>
                <w:kern w:val="0"/>
                <w:sz w:val="18"/>
                <w:szCs w:val="18"/>
              </w:rPr>
              <w:t>5#</w:t>
            </w:r>
            <w:r>
              <w:rPr>
                <w:rFonts w:hint="eastAsia"/>
                <w:kern w:val="0"/>
                <w:sz w:val="18"/>
                <w:szCs w:val="18"/>
              </w:rPr>
              <w:t>风机场内道路最近约</w:t>
            </w:r>
            <w:r>
              <w:rPr>
                <w:kern w:val="0"/>
                <w:sz w:val="18"/>
                <w:szCs w:val="18"/>
              </w:rPr>
              <w:t>50</w:t>
            </w:r>
            <w:r>
              <w:rPr>
                <w:rFonts w:hint="eastAsia"/>
                <w:kern w:val="0"/>
                <w:sz w:val="18"/>
                <w:szCs w:val="18"/>
              </w:rPr>
              <w:t>m</w:t>
            </w:r>
          </w:p>
        </w:tc>
        <w:tc>
          <w:tcPr>
            <w:tcW w:w="569" w:type="pct"/>
            <w:vAlign w:val="center"/>
          </w:tcPr>
          <w:p w14:paraId="2F9C036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施工期及营运期</w:t>
            </w:r>
          </w:p>
        </w:tc>
        <w:tc>
          <w:tcPr>
            <w:tcW w:w="826" w:type="pct"/>
            <w:vAlign w:val="center"/>
          </w:tcPr>
          <w:p w14:paraId="0F3C8588">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bCs/>
                <w:kern w:val="0"/>
                <w:sz w:val="18"/>
                <w:szCs w:val="18"/>
                <w:lang w:val="zh-CN"/>
              </w:rPr>
              <w:t>减少开挖，</w:t>
            </w:r>
            <w:r>
              <w:rPr>
                <w:rFonts w:hint="eastAsia"/>
                <w:kern w:val="0"/>
                <w:sz w:val="18"/>
                <w:szCs w:val="18"/>
              </w:rPr>
              <w:t>禁止捕猎，控制施工活动范围</w:t>
            </w:r>
          </w:p>
        </w:tc>
      </w:tr>
    </w:tbl>
    <w:p w14:paraId="3D50D2C0">
      <w:pPr>
        <w:pStyle w:val="2103"/>
        <w:spacing w:line="240" w:lineRule="auto"/>
        <w:ind w:firstLine="0" w:firstLineChars="0"/>
        <w:rPr>
          <w:b/>
          <w:bCs/>
        </w:rPr>
      </w:pPr>
    </w:p>
    <w:p w14:paraId="73ADE068">
      <w:pPr>
        <w:pStyle w:val="2"/>
        <w:ind w:firstLine="420"/>
        <w:sectPr>
          <w:pgSz w:w="16838" w:h="11905" w:orient="landscape"/>
          <w:pgMar w:top="1797" w:right="1440" w:bottom="1797" w:left="1440" w:header="851" w:footer="992" w:gutter="0"/>
          <w:cols w:space="0" w:num="1"/>
          <w:docGrid w:type="lines" w:linePitch="333" w:charSpace="0"/>
        </w:sectPr>
      </w:pPr>
    </w:p>
    <w:p w14:paraId="23E53CD5">
      <w:pPr>
        <w:spacing w:line="240" w:lineRule="auto"/>
        <w:ind w:firstLine="0" w:firstLineChars="0"/>
        <w:jc w:val="center"/>
        <w:rPr>
          <w:b/>
          <w:bCs/>
        </w:rPr>
      </w:pPr>
      <w:r>
        <w:rPr>
          <w:rFonts w:hint="eastAsia"/>
          <w:b/>
          <w:bCs/>
        </w:rPr>
        <w:t>表</w:t>
      </w:r>
      <w:r>
        <w:rPr>
          <w:b/>
          <w:bCs/>
        </w:rPr>
        <w:t>2.6</w:t>
      </w:r>
      <w:r>
        <w:rPr>
          <w:rFonts w:hint="eastAsia"/>
          <w:b/>
          <w:bCs/>
        </w:rPr>
        <w:t>-</w:t>
      </w:r>
      <w:r>
        <w:rPr>
          <w:b/>
          <w:bCs/>
        </w:rPr>
        <w:t xml:space="preserve">3 </w:t>
      </w:r>
      <w:r>
        <w:rPr>
          <w:rFonts w:hint="eastAsia"/>
          <w:b/>
          <w:bCs/>
        </w:rPr>
        <w:t>各风机平台周边地表水环境保护目标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1" w:type="dxa"/>
          <w:bottom w:w="0" w:type="dxa"/>
          <w:right w:w="11" w:type="dxa"/>
        </w:tblCellMar>
      </w:tblPr>
      <w:tblGrid>
        <w:gridCol w:w="1147"/>
        <w:gridCol w:w="2424"/>
        <w:gridCol w:w="904"/>
        <w:gridCol w:w="4302"/>
        <w:gridCol w:w="2767"/>
        <w:gridCol w:w="1383"/>
        <w:gridCol w:w="2239"/>
      </w:tblGrid>
      <w:tr w14:paraId="72A44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Align w:val="center"/>
          </w:tcPr>
          <w:p w14:paraId="2C5B79EB">
            <w:pPr>
              <w:tabs>
                <w:tab w:val="clear" w:pos="480"/>
              </w:tabs>
              <w:adjustRightInd w:val="0"/>
              <w:snapToGrid w:val="0"/>
              <w:spacing w:line="240" w:lineRule="auto"/>
              <w:ind w:firstLine="0" w:firstLineChars="0"/>
              <w:jc w:val="center"/>
              <w:rPr>
                <w:kern w:val="0"/>
                <w:sz w:val="18"/>
                <w:szCs w:val="18"/>
              </w:rPr>
            </w:pPr>
            <w:r>
              <w:rPr>
                <w:kern w:val="0"/>
                <w:sz w:val="18"/>
                <w:szCs w:val="18"/>
              </w:rPr>
              <w:t>环境要素</w:t>
            </w:r>
          </w:p>
        </w:tc>
        <w:tc>
          <w:tcPr>
            <w:tcW w:w="799" w:type="pct"/>
            <w:vAlign w:val="center"/>
          </w:tcPr>
          <w:p w14:paraId="4C60EB3C">
            <w:pPr>
              <w:tabs>
                <w:tab w:val="clear" w:pos="480"/>
              </w:tabs>
              <w:adjustRightInd w:val="0"/>
              <w:snapToGrid w:val="0"/>
              <w:spacing w:line="240" w:lineRule="auto"/>
              <w:ind w:firstLine="0" w:firstLineChars="0"/>
              <w:jc w:val="center"/>
              <w:rPr>
                <w:kern w:val="0"/>
                <w:sz w:val="18"/>
                <w:szCs w:val="18"/>
              </w:rPr>
            </w:pPr>
            <w:r>
              <w:rPr>
                <w:kern w:val="0"/>
                <w:sz w:val="18"/>
                <w:szCs w:val="18"/>
              </w:rPr>
              <w:t>敏感保护目标</w:t>
            </w:r>
          </w:p>
        </w:tc>
        <w:tc>
          <w:tcPr>
            <w:tcW w:w="1716" w:type="pct"/>
            <w:gridSpan w:val="2"/>
            <w:vAlign w:val="center"/>
          </w:tcPr>
          <w:p w14:paraId="3D2D45D9">
            <w:pPr>
              <w:tabs>
                <w:tab w:val="clear" w:pos="480"/>
              </w:tabs>
              <w:adjustRightInd w:val="0"/>
              <w:snapToGrid w:val="0"/>
              <w:spacing w:line="240" w:lineRule="auto"/>
              <w:ind w:firstLine="0" w:firstLineChars="0"/>
              <w:jc w:val="center"/>
              <w:rPr>
                <w:kern w:val="0"/>
                <w:sz w:val="18"/>
                <w:szCs w:val="18"/>
              </w:rPr>
            </w:pPr>
            <w:r>
              <w:rPr>
                <w:kern w:val="0"/>
                <w:sz w:val="18"/>
                <w:szCs w:val="18"/>
              </w:rPr>
              <w:t>规模及特征</w:t>
            </w:r>
          </w:p>
        </w:tc>
        <w:tc>
          <w:tcPr>
            <w:tcW w:w="912" w:type="pct"/>
            <w:vAlign w:val="center"/>
          </w:tcPr>
          <w:p w14:paraId="0CDD62A3">
            <w:pPr>
              <w:tabs>
                <w:tab w:val="clear" w:pos="480"/>
              </w:tabs>
              <w:adjustRightInd w:val="0"/>
              <w:snapToGrid w:val="0"/>
              <w:spacing w:line="240" w:lineRule="auto"/>
              <w:ind w:firstLine="0" w:firstLineChars="0"/>
              <w:jc w:val="center"/>
              <w:rPr>
                <w:kern w:val="0"/>
                <w:sz w:val="18"/>
                <w:szCs w:val="18"/>
              </w:rPr>
            </w:pPr>
            <w:r>
              <w:rPr>
                <w:kern w:val="0"/>
                <w:sz w:val="18"/>
                <w:szCs w:val="18"/>
              </w:rPr>
              <w:t>与工程关系及特性</w:t>
            </w:r>
          </w:p>
        </w:tc>
        <w:tc>
          <w:tcPr>
            <w:tcW w:w="456" w:type="pct"/>
            <w:vAlign w:val="center"/>
          </w:tcPr>
          <w:p w14:paraId="241DC1A9">
            <w:pPr>
              <w:tabs>
                <w:tab w:val="clear" w:pos="480"/>
              </w:tabs>
              <w:adjustRightInd w:val="0"/>
              <w:snapToGrid w:val="0"/>
              <w:spacing w:line="240" w:lineRule="auto"/>
              <w:ind w:firstLine="0" w:firstLineChars="0"/>
              <w:jc w:val="center"/>
              <w:rPr>
                <w:kern w:val="0"/>
                <w:sz w:val="18"/>
                <w:szCs w:val="18"/>
              </w:rPr>
            </w:pPr>
            <w:r>
              <w:rPr>
                <w:kern w:val="0"/>
                <w:sz w:val="18"/>
                <w:szCs w:val="18"/>
              </w:rPr>
              <w:t>影响源和时段</w:t>
            </w:r>
          </w:p>
        </w:tc>
        <w:tc>
          <w:tcPr>
            <w:tcW w:w="738" w:type="pct"/>
            <w:vAlign w:val="center"/>
          </w:tcPr>
          <w:p w14:paraId="249B3DF3">
            <w:pPr>
              <w:tabs>
                <w:tab w:val="clear" w:pos="480"/>
              </w:tabs>
              <w:adjustRightInd w:val="0"/>
              <w:snapToGrid w:val="0"/>
              <w:spacing w:line="240" w:lineRule="auto"/>
              <w:ind w:firstLine="0" w:firstLineChars="0"/>
              <w:jc w:val="center"/>
              <w:rPr>
                <w:kern w:val="0"/>
                <w:sz w:val="18"/>
                <w:szCs w:val="18"/>
              </w:rPr>
            </w:pPr>
            <w:r>
              <w:rPr>
                <w:kern w:val="0"/>
                <w:sz w:val="18"/>
                <w:szCs w:val="18"/>
              </w:rPr>
              <w:t>保护要求</w:t>
            </w:r>
          </w:p>
        </w:tc>
      </w:tr>
      <w:tr w14:paraId="3A1620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restart"/>
            <w:vAlign w:val="center"/>
          </w:tcPr>
          <w:p w14:paraId="23384BEB">
            <w:pPr>
              <w:tabs>
                <w:tab w:val="clear" w:pos="480"/>
              </w:tabs>
              <w:adjustRightInd w:val="0"/>
              <w:snapToGrid w:val="0"/>
              <w:spacing w:line="240" w:lineRule="auto"/>
              <w:ind w:firstLine="0" w:firstLineChars="0"/>
              <w:jc w:val="center"/>
              <w:rPr>
                <w:kern w:val="0"/>
                <w:sz w:val="18"/>
                <w:szCs w:val="18"/>
              </w:rPr>
            </w:pPr>
            <w:r>
              <w:rPr>
                <w:kern w:val="0"/>
                <w:sz w:val="18"/>
                <w:szCs w:val="18"/>
              </w:rPr>
              <w:t>水环境</w:t>
            </w:r>
          </w:p>
        </w:tc>
        <w:tc>
          <w:tcPr>
            <w:tcW w:w="799" w:type="pct"/>
            <w:vAlign w:val="center"/>
          </w:tcPr>
          <w:p w14:paraId="41C52D98">
            <w:pPr>
              <w:tabs>
                <w:tab w:val="clear" w:pos="480"/>
              </w:tabs>
              <w:adjustRightInd w:val="0"/>
              <w:snapToGrid w:val="0"/>
              <w:spacing w:line="240" w:lineRule="auto"/>
              <w:ind w:firstLine="0" w:firstLineChars="0"/>
              <w:jc w:val="center"/>
              <w:rPr>
                <w:kern w:val="0"/>
                <w:sz w:val="18"/>
                <w:szCs w:val="18"/>
              </w:rPr>
            </w:pPr>
            <w:r>
              <w:rPr>
                <w:kern w:val="0"/>
                <w:sz w:val="18"/>
                <w:szCs w:val="18"/>
              </w:rPr>
              <w:t>风电场</w:t>
            </w:r>
            <w:r>
              <w:rPr>
                <w:rFonts w:hint="eastAsia"/>
                <w:kern w:val="0"/>
                <w:sz w:val="18"/>
                <w:szCs w:val="18"/>
              </w:rPr>
              <w:t>东</w:t>
            </w:r>
            <w:r>
              <w:rPr>
                <w:kern w:val="0"/>
                <w:sz w:val="18"/>
                <w:szCs w:val="18"/>
              </w:rPr>
              <w:t>侧无名小溪1</w:t>
            </w:r>
          </w:p>
        </w:tc>
        <w:tc>
          <w:tcPr>
            <w:tcW w:w="1716" w:type="pct"/>
            <w:gridSpan w:val="2"/>
            <w:vAlign w:val="center"/>
          </w:tcPr>
          <w:p w14:paraId="4472F50A">
            <w:pPr>
              <w:tabs>
                <w:tab w:val="clear" w:pos="480"/>
              </w:tabs>
              <w:adjustRightInd w:val="0"/>
              <w:snapToGrid w:val="0"/>
              <w:spacing w:line="240" w:lineRule="auto"/>
              <w:ind w:firstLine="0" w:firstLineChars="0"/>
              <w:jc w:val="center"/>
              <w:rPr>
                <w:kern w:val="0"/>
                <w:sz w:val="18"/>
                <w:szCs w:val="18"/>
              </w:rPr>
            </w:pPr>
            <w:r>
              <w:rPr>
                <w:kern w:val="0"/>
                <w:sz w:val="18"/>
                <w:szCs w:val="18"/>
              </w:rPr>
              <w:t>小型河流，宽3~4m用于农田灌溉，执行《地表水环境质量标准（GB3838-2002）Ⅲ类标准</w:t>
            </w:r>
          </w:p>
        </w:tc>
        <w:tc>
          <w:tcPr>
            <w:tcW w:w="912" w:type="pct"/>
            <w:vAlign w:val="center"/>
          </w:tcPr>
          <w:p w14:paraId="092F4BC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w:t>
            </w:r>
            <w:r>
              <w:rPr>
                <w:rFonts w:hint="eastAsia"/>
                <w:kern w:val="0"/>
                <w:sz w:val="18"/>
                <w:szCs w:val="18"/>
              </w:rPr>
              <w:t>风机东侧最近约1</w:t>
            </w:r>
            <w:r>
              <w:rPr>
                <w:kern w:val="0"/>
                <w:sz w:val="18"/>
                <w:szCs w:val="18"/>
              </w:rPr>
              <w:t>90</w:t>
            </w:r>
            <w:r>
              <w:rPr>
                <w:rFonts w:hint="eastAsia"/>
                <w:kern w:val="0"/>
                <w:sz w:val="18"/>
                <w:szCs w:val="18"/>
              </w:rPr>
              <w:t>m；</w:t>
            </w:r>
            <w:r>
              <w:rPr>
                <w:kern w:val="0"/>
                <w:sz w:val="18"/>
                <w:szCs w:val="18"/>
              </w:rPr>
              <w:t>1#~7#</w:t>
            </w:r>
            <w:r>
              <w:rPr>
                <w:rFonts w:hint="eastAsia"/>
                <w:kern w:val="0"/>
                <w:sz w:val="18"/>
                <w:szCs w:val="18"/>
              </w:rPr>
              <w:t>（含备选1</w:t>
            </w:r>
            <w:r>
              <w:rPr>
                <w:kern w:val="0"/>
                <w:sz w:val="18"/>
                <w:szCs w:val="18"/>
              </w:rPr>
              <w:t>6#</w:t>
            </w:r>
            <w:r>
              <w:rPr>
                <w:rFonts w:hint="eastAsia"/>
                <w:kern w:val="0"/>
                <w:sz w:val="18"/>
                <w:szCs w:val="18"/>
              </w:rPr>
              <w:t>）风机场内道路左侧局部穿越，共4条小溪分布</w:t>
            </w:r>
          </w:p>
        </w:tc>
        <w:tc>
          <w:tcPr>
            <w:tcW w:w="456" w:type="pct"/>
            <w:vMerge w:val="restart"/>
            <w:vAlign w:val="center"/>
          </w:tcPr>
          <w:p w14:paraId="767B3EF9">
            <w:pPr>
              <w:tabs>
                <w:tab w:val="clear" w:pos="480"/>
              </w:tabs>
              <w:adjustRightInd w:val="0"/>
              <w:snapToGrid w:val="0"/>
              <w:spacing w:line="240" w:lineRule="auto"/>
              <w:ind w:firstLine="0" w:firstLineChars="0"/>
              <w:jc w:val="center"/>
              <w:rPr>
                <w:kern w:val="0"/>
                <w:sz w:val="18"/>
                <w:szCs w:val="18"/>
              </w:rPr>
            </w:pPr>
            <w:r>
              <w:rPr>
                <w:kern w:val="0"/>
                <w:sz w:val="18"/>
                <w:szCs w:val="18"/>
              </w:rPr>
              <w:t>施工期</w:t>
            </w:r>
          </w:p>
        </w:tc>
        <w:tc>
          <w:tcPr>
            <w:tcW w:w="738" w:type="pct"/>
            <w:vMerge w:val="restart"/>
            <w:vAlign w:val="center"/>
          </w:tcPr>
          <w:p w14:paraId="712BD84E">
            <w:pPr>
              <w:tabs>
                <w:tab w:val="clear" w:pos="480"/>
              </w:tabs>
              <w:adjustRightInd w:val="0"/>
              <w:snapToGrid w:val="0"/>
              <w:spacing w:line="240" w:lineRule="auto"/>
              <w:ind w:firstLine="0" w:firstLineChars="0"/>
              <w:jc w:val="center"/>
              <w:rPr>
                <w:kern w:val="0"/>
                <w:sz w:val="18"/>
                <w:szCs w:val="18"/>
              </w:rPr>
            </w:pPr>
            <w:r>
              <w:rPr>
                <w:kern w:val="0"/>
                <w:sz w:val="18"/>
                <w:szCs w:val="18"/>
              </w:rPr>
              <w:t>废污水处理后全部回用；做好围挡和水土保持</w:t>
            </w:r>
          </w:p>
        </w:tc>
      </w:tr>
      <w:tr w14:paraId="0D9C89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7DE1D61A">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5BDFA31F">
            <w:pPr>
              <w:tabs>
                <w:tab w:val="clear" w:pos="480"/>
              </w:tabs>
              <w:adjustRightInd w:val="0"/>
              <w:snapToGrid w:val="0"/>
              <w:spacing w:line="240" w:lineRule="auto"/>
              <w:ind w:firstLine="0" w:firstLineChars="0"/>
              <w:jc w:val="center"/>
              <w:rPr>
                <w:kern w:val="0"/>
                <w:sz w:val="18"/>
                <w:szCs w:val="18"/>
              </w:rPr>
            </w:pPr>
            <w:r>
              <w:rPr>
                <w:kern w:val="0"/>
                <w:sz w:val="18"/>
                <w:szCs w:val="18"/>
              </w:rPr>
              <w:t>风电场东侧无名小溪2</w:t>
            </w:r>
          </w:p>
        </w:tc>
        <w:tc>
          <w:tcPr>
            <w:tcW w:w="1716" w:type="pct"/>
            <w:gridSpan w:val="2"/>
            <w:vAlign w:val="center"/>
          </w:tcPr>
          <w:p w14:paraId="2D81C9E2">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672AB2F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7</w:t>
            </w:r>
            <w:r>
              <w:rPr>
                <w:kern w:val="0"/>
                <w:sz w:val="18"/>
                <w:szCs w:val="18"/>
              </w:rPr>
              <w:t>#</w:t>
            </w:r>
            <w:r>
              <w:rPr>
                <w:rFonts w:hint="eastAsia"/>
                <w:kern w:val="0"/>
                <w:sz w:val="18"/>
                <w:szCs w:val="18"/>
              </w:rPr>
              <w:t>风机东南侧最近约3</w:t>
            </w:r>
            <w:r>
              <w:rPr>
                <w:kern w:val="0"/>
                <w:sz w:val="18"/>
                <w:szCs w:val="18"/>
              </w:rPr>
              <w:t>50</w:t>
            </w:r>
            <w:r>
              <w:rPr>
                <w:rFonts w:hint="eastAsia"/>
                <w:kern w:val="0"/>
                <w:sz w:val="18"/>
                <w:szCs w:val="18"/>
              </w:rPr>
              <w:t>m</w:t>
            </w:r>
          </w:p>
        </w:tc>
        <w:tc>
          <w:tcPr>
            <w:tcW w:w="456" w:type="pct"/>
            <w:vMerge w:val="continue"/>
            <w:vAlign w:val="center"/>
          </w:tcPr>
          <w:p w14:paraId="6C20EC6C">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461ACFA3">
            <w:pPr>
              <w:tabs>
                <w:tab w:val="clear" w:pos="480"/>
              </w:tabs>
              <w:adjustRightInd w:val="0"/>
              <w:snapToGrid w:val="0"/>
              <w:spacing w:line="240" w:lineRule="auto"/>
              <w:ind w:firstLine="0" w:firstLineChars="0"/>
              <w:jc w:val="center"/>
              <w:rPr>
                <w:kern w:val="0"/>
                <w:sz w:val="18"/>
                <w:szCs w:val="18"/>
              </w:rPr>
            </w:pPr>
          </w:p>
        </w:tc>
      </w:tr>
      <w:tr w14:paraId="56EE4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494DA260">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425B1990">
            <w:pPr>
              <w:tabs>
                <w:tab w:val="clear" w:pos="480"/>
              </w:tabs>
              <w:adjustRightInd w:val="0"/>
              <w:snapToGrid w:val="0"/>
              <w:spacing w:line="240" w:lineRule="auto"/>
              <w:ind w:firstLine="0" w:firstLineChars="0"/>
              <w:jc w:val="center"/>
              <w:rPr>
                <w:kern w:val="0"/>
                <w:sz w:val="18"/>
                <w:szCs w:val="18"/>
              </w:rPr>
            </w:pPr>
            <w:r>
              <w:rPr>
                <w:kern w:val="0"/>
                <w:sz w:val="18"/>
                <w:szCs w:val="18"/>
              </w:rPr>
              <w:t>风电场东侧无名小溪3</w:t>
            </w:r>
          </w:p>
        </w:tc>
        <w:tc>
          <w:tcPr>
            <w:tcW w:w="1716" w:type="pct"/>
            <w:gridSpan w:val="2"/>
            <w:vAlign w:val="center"/>
          </w:tcPr>
          <w:p w14:paraId="3BF0773D">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131B3568">
            <w:pPr>
              <w:tabs>
                <w:tab w:val="clear" w:pos="480"/>
              </w:tabs>
              <w:adjustRightInd w:val="0"/>
              <w:snapToGrid w:val="0"/>
              <w:spacing w:line="240" w:lineRule="auto"/>
              <w:ind w:firstLine="0" w:firstLineChars="0"/>
              <w:jc w:val="center"/>
              <w:rPr>
                <w:kern w:val="0"/>
                <w:sz w:val="18"/>
                <w:szCs w:val="18"/>
              </w:rPr>
            </w:pPr>
            <w:r>
              <w:rPr>
                <w:kern w:val="0"/>
                <w:sz w:val="18"/>
                <w:szCs w:val="18"/>
              </w:rPr>
              <w:t>9#</w:t>
            </w:r>
            <w:r>
              <w:rPr>
                <w:rFonts w:hint="eastAsia"/>
                <w:kern w:val="0"/>
                <w:sz w:val="18"/>
                <w:szCs w:val="18"/>
              </w:rPr>
              <w:t>风机场内道路周边共分布有</w:t>
            </w:r>
            <w:r>
              <w:rPr>
                <w:kern w:val="0"/>
                <w:sz w:val="18"/>
                <w:szCs w:val="18"/>
              </w:rPr>
              <w:t>5</w:t>
            </w:r>
            <w:r>
              <w:rPr>
                <w:rFonts w:hint="eastAsia"/>
                <w:kern w:val="0"/>
                <w:sz w:val="18"/>
                <w:szCs w:val="18"/>
              </w:rPr>
              <w:t>条小溪，局部穿越</w:t>
            </w:r>
          </w:p>
        </w:tc>
        <w:tc>
          <w:tcPr>
            <w:tcW w:w="456" w:type="pct"/>
            <w:vMerge w:val="continue"/>
            <w:vAlign w:val="center"/>
          </w:tcPr>
          <w:p w14:paraId="15DC8CE2">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4915731F">
            <w:pPr>
              <w:tabs>
                <w:tab w:val="clear" w:pos="480"/>
              </w:tabs>
              <w:adjustRightInd w:val="0"/>
              <w:snapToGrid w:val="0"/>
              <w:spacing w:line="240" w:lineRule="auto"/>
              <w:ind w:firstLine="0" w:firstLineChars="0"/>
              <w:jc w:val="center"/>
              <w:rPr>
                <w:kern w:val="0"/>
                <w:sz w:val="18"/>
                <w:szCs w:val="18"/>
              </w:rPr>
            </w:pPr>
          </w:p>
        </w:tc>
      </w:tr>
      <w:tr w14:paraId="0847FB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0F5475FD">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363F2E7F">
            <w:pPr>
              <w:tabs>
                <w:tab w:val="clear" w:pos="480"/>
              </w:tabs>
              <w:adjustRightInd w:val="0"/>
              <w:snapToGrid w:val="0"/>
              <w:spacing w:line="240" w:lineRule="auto"/>
              <w:ind w:firstLine="0" w:firstLineChars="0"/>
              <w:jc w:val="center"/>
              <w:rPr>
                <w:kern w:val="0"/>
                <w:sz w:val="18"/>
                <w:szCs w:val="18"/>
              </w:rPr>
            </w:pPr>
            <w:r>
              <w:rPr>
                <w:kern w:val="0"/>
                <w:sz w:val="18"/>
                <w:szCs w:val="18"/>
              </w:rPr>
              <w:t>风电场</w:t>
            </w:r>
            <w:r>
              <w:rPr>
                <w:rFonts w:hint="eastAsia"/>
                <w:kern w:val="0"/>
                <w:sz w:val="18"/>
                <w:szCs w:val="18"/>
              </w:rPr>
              <w:t>南侧</w:t>
            </w:r>
            <w:r>
              <w:rPr>
                <w:kern w:val="0"/>
                <w:sz w:val="18"/>
                <w:szCs w:val="18"/>
              </w:rPr>
              <w:t>无名小溪1</w:t>
            </w:r>
          </w:p>
        </w:tc>
        <w:tc>
          <w:tcPr>
            <w:tcW w:w="1716" w:type="pct"/>
            <w:gridSpan w:val="2"/>
            <w:vAlign w:val="center"/>
          </w:tcPr>
          <w:p w14:paraId="30E791D5">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3ED26E1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8</w:t>
            </w:r>
            <w:r>
              <w:rPr>
                <w:kern w:val="0"/>
                <w:sz w:val="18"/>
                <w:szCs w:val="18"/>
              </w:rPr>
              <w:t>#</w:t>
            </w:r>
            <w:r>
              <w:rPr>
                <w:rFonts w:hint="eastAsia"/>
                <w:kern w:val="0"/>
                <w:sz w:val="18"/>
                <w:szCs w:val="18"/>
              </w:rPr>
              <w:t>风机西南侧最近约3</w:t>
            </w:r>
            <w:r>
              <w:rPr>
                <w:kern w:val="0"/>
                <w:sz w:val="18"/>
                <w:szCs w:val="18"/>
              </w:rPr>
              <w:t>00</w:t>
            </w:r>
            <w:r>
              <w:rPr>
                <w:rFonts w:hint="eastAsia"/>
                <w:kern w:val="0"/>
                <w:sz w:val="18"/>
                <w:szCs w:val="18"/>
              </w:rPr>
              <w:t>m</w:t>
            </w:r>
          </w:p>
        </w:tc>
        <w:tc>
          <w:tcPr>
            <w:tcW w:w="456" w:type="pct"/>
            <w:vMerge w:val="continue"/>
            <w:vAlign w:val="center"/>
          </w:tcPr>
          <w:p w14:paraId="29D68721">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260AD2DC">
            <w:pPr>
              <w:tabs>
                <w:tab w:val="clear" w:pos="480"/>
              </w:tabs>
              <w:adjustRightInd w:val="0"/>
              <w:snapToGrid w:val="0"/>
              <w:spacing w:line="240" w:lineRule="auto"/>
              <w:ind w:firstLine="0" w:firstLineChars="0"/>
              <w:jc w:val="center"/>
              <w:rPr>
                <w:kern w:val="0"/>
                <w:sz w:val="18"/>
                <w:szCs w:val="18"/>
              </w:rPr>
            </w:pPr>
          </w:p>
        </w:tc>
      </w:tr>
      <w:tr w14:paraId="50972C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4C89D11F">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5E2872FE">
            <w:pPr>
              <w:tabs>
                <w:tab w:val="clear" w:pos="480"/>
              </w:tabs>
              <w:adjustRightInd w:val="0"/>
              <w:snapToGrid w:val="0"/>
              <w:spacing w:line="240" w:lineRule="auto"/>
              <w:ind w:firstLine="0" w:firstLineChars="0"/>
              <w:jc w:val="center"/>
              <w:rPr>
                <w:kern w:val="0"/>
                <w:sz w:val="18"/>
                <w:szCs w:val="18"/>
              </w:rPr>
            </w:pPr>
            <w:r>
              <w:rPr>
                <w:kern w:val="0"/>
                <w:sz w:val="18"/>
                <w:szCs w:val="18"/>
              </w:rPr>
              <w:t>风电场</w:t>
            </w:r>
            <w:r>
              <w:rPr>
                <w:rFonts w:hint="eastAsia"/>
                <w:kern w:val="0"/>
                <w:sz w:val="18"/>
                <w:szCs w:val="18"/>
              </w:rPr>
              <w:t>南侧</w:t>
            </w:r>
            <w:r>
              <w:rPr>
                <w:kern w:val="0"/>
                <w:sz w:val="18"/>
                <w:szCs w:val="18"/>
              </w:rPr>
              <w:t>无名小</w:t>
            </w:r>
            <w:r>
              <w:rPr>
                <w:rFonts w:hint="eastAsia"/>
                <w:kern w:val="0"/>
                <w:sz w:val="18"/>
                <w:szCs w:val="18"/>
              </w:rPr>
              <w:t>2</w:t>
            </w:r>
          </w:p>
        </w:tc>
        <w:tc>
          <w:tcPr>
            <w:tcW w:w="1716" w:type="pct"/>
            <w:gridSpan w:val="2"/>
            <w:vAlign w:val="center"/>
          </w:tcPr>
          <w:p w14:paraId="50D06738">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6614AD3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5</w:t>
            </w:r>
            <w:r>
              <w:rPr>
                <w:kern w:val="0"/>
                <w:sz w:val="18"/>
                <w:szCs w:val="18"/>
              </w:rPr>
              <w:t>#</w:t>
            </w:r>
            <w:r>
              <w:rPr>
                <w:rFonts w:hint="eastAsia"/>
                <w:kern w:val="0"/>
                <w:sz w:val="18"/>
                <w:szCs w:val="18"/>
              </w:rPr>
              <w:t>风机东南侧最近约5</w:t>
            </w:r>
            <w:r>
              <w:rPr>
                <w:kern w:val="0"/>
                <w:sz w:val="18"/>
                <w:szCs w:val="18"/>
              </w:rPr>
              <w:t>00</w:t>
            </w:r>
            <w:r>
              <w:rPr>
                <w:rFonts w:hint="eastAsia"/>
                <w:kern w:val="0"/>
                <w:sz w:val="18"/>
                <w:szCs w:val="18"/>
              </w:rPr>
              <w:t>m</w:t>
            </w:r>
          </w:p>
        </w:tc>
        <w:tc>
          <w:tcPr>
            <w:tcW w:w="456" w:type="pct"/>
            <w:vMerge w:val="continue"/>
            <w:vAlign w:val="center"/>
          </w:tcPr>
          <w:p w14:paraId="42467AC3">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24E06BE0">
            <w:pPr>
              <w:tabs>
                <w:tab w:val="clear" w:pos="480"/>
              </w:tabs>
              <w:adjustRightInd w:val="0"/>
              <w:snapToGrid w:val="0"/>
              <w:spacing w:line="240" w:lineRule="auto"/>
              <w:ind w:firstLine="0" w:firstLineChars="0"/>
              <w:jc w:val="center"/>
              <w:rPr>
                <w:kern w:val="0"/>
                <w:sz w:val="18"/>
                <w:szCs w:val="18"/>
              </w:rPr>
            </w:pPr>
          </w:p>
        </w:tc>
      </w:tr>
      <w:tr w14:paraId="297112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5291C4FE">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3D3F3677">
            <w:pPr>
              <w:tabs>
                <w:tab w:val="clear" w:pos="480"/>
              </w:tabs>
              <w:adjustRightInd w:val="0"/>
              <w:snapToGrid w:val="0"/>
              <w:spacing w:line="240" w:lineRule="auto"/>
              <w:ind w:firstLine="0" w:firstLineChars="0"/>
              <w:jc w:val="center"/>
              <w:rPr>
                <w:kern w:val="0"/>
                <w:sz w:val="18"/>
                <w:szCs w:val="18"/>
              </w:rPr>
            </w:pPr>
            <w:r>
              <w:rPr>
                <w:kern w:val="0"/>
                <w:sz w:val="18"/>
                <w:szCs w:val="18"/>
              </w:rPr>
              <w:t>风电场</w:t>
            </w:r>
            <w:r>
              <w:rPr>
                <w:rFonts w:hint="eastAsia"/>
                <w:kern w:val="0"/>
                <w:sz w:val="18"/>
                <w:szCs w:val="18"/>
              </w:rPr>
              <w:t>南侧</w:t>
            </w:r>
            <w:r>
              <w:rPr>
                <w:kern w:val="0"/>
                <w:sz w:val="18"/>
                <w:szCs w:val="18"/>
              </w:rPr>
              <w:t>无名小</w:t>
            </w:r>
            <w:r>
              <w:rPr>
                <w:rFonts w:hint="eastAsia"/>
                <w:kern w:val="0"/>
                <w:sz w:val="18"/>
                <w:szCs w:val="18"/>
              </w:rPr>
              <w:t>3</w:t>
            </w:r>
          </w:p>
        </w:tc>
        <w:tc>
          <w:tcPr>
            <w:tcW w:w="1716" w:type="pct"/>
            <w:gridSpan w:val="2"/>
            <w:vAlign w:val="center"/>
          </w:tcPr>
          <w:p w14:paraId="3D19462D">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0DA6091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6</w:t>
            </w:r>
            <w:r>
              <w:rPr>
                <w:kern w:val="0"/>
                <w:sz w:val="18"/>
                <w:szCs w:val="18"/>
              </w:rPr>
              <w:t>#</w:t>
            </w:r>
            <w:r>
              <w:rPr>
                <w:rFonts w:hint="eastAsia"/>
                <w:kern w:val="0"/>
                <w:sz w:val="18"/>
                <w:szCs w:val="18"/>
              </w:rPr>
              <w:t>风机东南侧最近约2</w:t>
            </w:r>
            <w:r>
              <w:rPr>
                <w:kern w:val="0"/>
                <w:sz w:val="18"/>
                <w:szCs w:val="18"/>
              </w:rPr>
              <w:t>30</w:t>
            </w:r>
            <w:r>
              <w:rPr>
                <w:rFonts w:hint="eastAsia"/>
                <w:kern w:val="0"/>
                <w:sz w:val="18"/>
                <w:szCs w:val="18"/>
              </w:rPr>
              <w:t>m</w:t>
            </w:r>
          </w:p>
        </w:tc>
        <w:tc>
          <w:tcPr>
            <w:tcW w:w="456" w:type="pct"/>
            <w:vMerge w:val="continue"/>
            <w:vAlign w:val="center"/>
          </w:tcPr>
          <w:p w14:paraId="35B84C11">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7A4AFA4B">
            <w:pPr>
              <w:tabs>
                <w:tab w:val="clear" w:pos="480"/>
              </w:tabs>
              <w:adjustRightInd w:val="0"/>
              <w:snapToGrid w:val="0"/>
              <w:spacing w:line="240" w:lineRule="auto"/>
              <w:ind w:firstLine="0" w:firstLineChars="0"/>
              <w:jc w:val="center"/>
              <w:rPr>
                <w:kern w:val="0"/>
                <w:sz w:val="18"/>
                <w:szCs w:val="18"/>
              </w:rPr>
            </w:pPr>
          </w:p>
        </w:tc>
      </w:tr>
      <w:tr w14:paraId="0B4742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71DD7B59">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58D200A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风电场西侧无名小溪1</w:t>
            </w:r>
          </w:p>
        </w:tc>
        <w:tc>
          <w:tcPr>
            <w:tcW w:w="1716" w:type="pct"/>
            <w:gridSpan w:val="2"/>
            <w:vAlign w:val="center"/>
          </w:tcPr>
          <w:p w14:paraId="0B705300">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6F2CE74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4</w:t>
            </w:r>
            <w:r>
              <w:rPr>
                <w:kern w:val="0"/>
                <w:sz w:val="18"/>
                <w:szCs w:val="18"/>
              </w:rPr>
              <w:t>#~5#</w:t>
            </w:r>
            <w:r>
              <w:rPr>
                <w:rFonts w:hint="eastAsia"/>
                <w:kern w:val="0"/>
                <w:sz w:val="18"/>
                <w:szCs w:val="18"/>
              </w:rPr>
              <w:t>风机场内道路西侧局部穿越，共</w:t>
            </w:r>
            <w:r>
              <w:rPr>
                <w:kern w:val="0"/>
                <w:sz w:val="18"/>
                <w:szCs w:val="18"/>
              </w:rPr>
              <w:t>4</w:t>
            </w:r>
            <w:r>
              <w:rPr>
                <w:rFonts w:hint="eastAsia"/>
                <w:kern w:val="0"/>
                <w:sz w:val="18"/>
                <w:szCs w:val="18"/>
              </w:rPr>
              <w:t>条小溪分布</w:t>
            </w:r>
          </w:p>
        </w:tc>
        <w:tc>
          <w:tcPr>
            <w:tcW w:w="456" w:type="pct"/>
            <w:vMerge w:val="continue"/>
            <w:vAlign w:val="center"/>
          </w:tcPr>
          <w:p w14:paraId="28B1D5E1">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4966E40A">
            <w:pPr>
              <w:tabs>
                <w:tab w:val="clear" w:pos="480"/>
              </w:tabs>
              <w:adjustRightInd w:val="0"/>
              <w:snapToGrid w:val="0"/>
              <w:spacing w:line="240" w:lineRule="auto"/>
              <w:ind w:firstLine="0" w:firstLineChars="0"/>
              <w:jc w:val="center"/>
              <w:rPr>
                <w:kern w:val="0"/>
                <w:sz w:val="18"/>
                <w:szCs w:val="18"/>
              </w:rPr>
            </w:pPr>
          </w:p>
        </w:tc>
      </w:tr>
      <w:tr w14:paraId="3F8425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47D0084A">
            <w:pPr>
              <w:tabs>
                <w:tab w:val="clear" w:pos="480"/>
              </w:tabs>
              <w:adjustRightInd w:val="0"/>
              <w:snapToGrid w:val="0"/>
              <w:spacing w:line="240" w:lineRule="auto"/>
              <w:ind w:firstLine="0" w:firstLineChars="0"/>
              <w:jc w:val="center"/>
              <w:rPr>
                <w:kern w:val="0"/>
                <w:sz w:val="18"/>
                <w:szCs w:val="18"/>
              </w:rPr>
            </w:pPr>
          </w:p>
        </w:tc>
        <w:tc>
          <w:tcPr>
            <w:tcW w:w="799" w:type="pct"/>
            <w:vAlign w:val="center"/>
          </w:tcPr>
          <w:p w14:paraId="12DAD128">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风电场西侧无名小溪</w:t>
            </w:r>
            <w:r>
              <w:rPr>
                <w:kern w:val="0"/>
                <w:sz w:val="18"/>
                <w:szCs w:val="18"/>
              </w:rPr>
              <w:t>2</w:t>
            </w:r>
          </w:p>
        </w:tc>
        <w:tc>
          <w:tcPr>
            <w:tcW w:w="1716" w:type="pct"/>
            <w:gridSpan w:val="2"/>
            <w:vAlign w:val="center"/>
          </w:tcPr>
          <w:p w14:paraId="6F96AFF0">
            <w:pPr>
              <w:tabs>
                <w:tab w:val="clear" w:pos="480"/>
              </w:tabs>
              <w:adjustRightInd w:val="0"/>
              <w:snapToGrid w:val="0"/>
              <w:spacing w:line="240" w:lineRule="auto"/>
              <w:ind w:firstLine="0" w:firstLineChars="0"/>
              <w:jc w:val="center"/>
              <w:rPr>
                <w:kern w:val="0"/>
                <w:sz w:val="18"/>
                <w:szCs w:val="18"/>
              </w:rPr>
            </w:pPr>
            <w:r>
              <w:rPr>
                <w:kern w:val="0"/>
                <w:sz w:val="18"/>
                <w:szCs w:val="18"/>
              </w:rPr>
              <w:t>小型河流，宽1~2m用于农田灌溉，执行《地表水环境质量标准（GB3838-2002）Ⅲ类标准</w:t>
            </w:r>
          </w:p>
        </w:tc>
        <w:tc>
          <w:tcPr>
            <w:tcW w:w="912" w:type="pct"/>
            <w:vAlign w:val="center"/>
          </w:tcPr>
          <w:p w14:paraId="02E8842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#~3#</w:t>
            </w:r>
            <w:r>
              <w:rPr>
                <w:rFonts w:hint="eastAsia"/>
                <w:kern w:val="0"/>
                <w:sz w:val="18"/>
                <w:szCs w:val="18"/>
              </w:rPr>
              <w:t>风机场内道路西侧局部穿越，共5条小溪分布</w:t>
            </w:r>
          </w:p>
        </w:tc>
        <w:tc>
          <w:tcPr>
            <w:tcW w:w="456" w:type="pct"/>
            <w:vMerge w:val="continue"/>
            <w:vAlign w:val="center"/>
          </w:tcPr>
          <w:p w14:paraId="2D235ABC">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405CB478">
            <w:pPr>
              <w:tabs>
                <w:tab w:val="clear" w:pos="480"/>
              </w:tabs>
              <w:adjustRightInd w:val="0"/>
              <w:snapToGrid w:val="0"/>
              <w:spacing w:line="240" w:lineRule="auto"/>
              <w:ind w:firstLine="0" w:firstLineChars="0"/>
              <w:jc w:val="center"/>
              <w:rPr>
                <w:kern w:val="0"/>
                <w:sz w:val="18"/>
                <w:szCs w:val="18"/>
              </w:rPr>
            </w:pPr>
          </w:p>
        </w:tc>
      </w:tr>
      <w:tr w14:paraId="51CF76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4BA82B02">
            <w:pPr>
              <w:tabs>
                <w:tab w:val="clear" w:pos="480"/>
              </w:tabs>
              <w:adjustRightInd w:val="0"/>
              <w:snapToGrid w:val="0"/>
              <w:spacing w:line="240" w:lineRule="auto"/>
              <w:ind w:firstLine="0" w:firstLineChars="0"/>
              <w:jc w:val="center"/>
              <w:rPr>
                <w:kern w:val="0"/>
                <w:sz w:val="18"/>
                <w:szCs w:val="18"/>
              </w:rPr>
            </w:pPr>
          </w:p>
        </w:tc>
        <w:tc>
          <w:tcPr>
            <w:tcW w:w="799" w:type="pct"/>
            <w:vMerge w:val="restart"/>
            <w:vAlign w:val="center"/>
          </w:tcPr>
          <w:p w14:paraId="0D86CEC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衡阳县岣嵝乡环洞村山溪水饮用水水源保护区</w:t>
            </w:r>
          </w:p>
        </w:tc>
        <w:tc>
          <w:tcPr>
            <w:tcW w:w="298" w:type="pct"/>
            <w:vAlign w:val="center"/>
          </w:tcPr>
          <w:p w14:paraId="07B7AD72">
            <w:pPr>
              <w:tabs>
                <w:tab w:val="clear" w:pos="480"/>
              </w:tabs>
              <w:adjustRightInd w:val="0"/>
              <w:snapToGrid w:val="0"/>
              <w:spacing w:line="240" w:lineRule="auto"/>
              <w:ind w:firstLine="0" w:firstLineChars="0"/>
              <w:jc w:val="center"/>
              <w:rPr>
                <w:kern w:val="0"/>
                <w:sz w:val="18"/>
                <w:szCs w:val="18"/>
              </w:rPr>
            </w:pPr>
            <w:r>
              <w:rPr>
                <w:kern w:val="0"/>
                <w:sz w:val="18"/>
                <w:szCs w:val="18"/>
              </w:rPr>
              <w:t>一级</w:t>
            </w:r>
          </w:p>
        </w:tc>
        <w:tc>
          <w:tcPr>
            <w:tcW w:w="1418" w:type="pct"/>
            <w:vAlign w:val="center"/>
          </w:tcPr>
          <w:p w14:paraId="2C859946">
            <w:pPr>
              <w:tabs>
                <w:tab w:val="clear" w:pos="480"/>
              </w:tabs>
              <w:adjustRightInd w:val="0"/>
              <w:snapToGrid w:val="0"/>
              <w:spacing w:line="240" w:lineRule="auto"/>
              <w:ind w:firstLine="0" w:firstLineChars="0"/>
              <w:rPr>
                <w:kern w:val="0"/>
                <w:sz w:val="18"/>
                <w:szCs w:val="18"/>
              </w:rPr>
            </w:pPr>
            <w:r>
              <w:rPr>
                <w:kern w:val="0"/>
                <w:sz w:val="18"/>
                <w:szCs w:val="18"/>
              </w:rPr>
              <w:t>水域：</w:t>
            </w:r>
            <w:r>
              <w:rPr>
                <w:rFonts w:hint="eastAsia"/>
                <w:kern w:val="0"/>
                <w:sz w:val="18"/>
                <w:szCs w:val="18"/>
              </w:rPr>
              <w:t>取水口至上游3</w:t>
            </w:r>
            <w:r>
              <w:rPr>
                <w:kern w:val="0"/>
                <w:sz w:val="18"/>
                <w:szCs w:val="18"/>
              </w:rPr>
              <w:t>30</w:t>
            </w:r>
            <w:r>
              <w:rPr>
                <w:rFonts w:hint="eastAsia"/>
                <w:kern w:val="0"/>
                <w:sz w:val="18"/>
                <w:szCs w:val="18"/>
              </w:rPr>
              <w:t>米的山溪水水域</w:t>
            </w:r>
            <w:r>
              <w:rPr>
                <w:kern w:val="0"/>
                <w:sz w:val="18"/>
                <w:szCs w:val="18"/>
              </w:rPr>
              <w:t>；陆域：</w:t>
            </w:r>
            <w:r>
              <w:rPr>
                <w:rFonts w:hint="eastAsia"/>
                <w:kern w:val="0"/>
                <w:sz w:val="18"/>
                <w:szCs w:val="18"/>
              </w:rPr>
              <w:t>一级保护区水域边界沿岸纵深1</w:t>
            </w:r>
            <w:r>
              <w:rPr>
                <w:kern w:val="0"/>
                <w:sz w:val="18"/>
                <w:szCs w:val="18"/>
              </w:rPr>
              <w:t>0</w:t>
            </w:r>
            <w:r>
              <w:rPr>
                <w:rFonts w:hint="eastAsia"/>
                <w:kern w:val="0"/>
                <w:sz w:val="18"/>
                <w:szCs w:val="18"/>
              </w:rPr>
              <w:t>米</w:t>
            </w:r>
          </w:p>
        </w:tc>
        <w:tc>
          <w:tcPr>
            <w:tcW w:w="912" w:type="pct"/>
            <w:vAlign w:val="center"/>
          </w:tcPr>
          <w:p w14:paraId="1C55E860">
            <w:pPr>
              <w:tabs>
                <w:tab w:val="clear" w:pos="480"/>
              </w:tabs>
              <w:adjustRightInd w:val="0"/>
              <w:snapToGrid w:val="0"/>
              <w:spacing w:line="240" w:lineRule="auto"/>
              <w:ind w:firstLine="0" w:firstLineChars="0"/>
              <w:jc w:val="center"/>
              <w:rPr>
                <w:kern w:val="0"/>
                <w:sz w:val="18"/>
                <w:szCs w:val="18"/>
              </w:rPr>
            </w:pPr>
            <w:r>
              <w:rPr>
                <w:kern w:val="0"/>
                <w:sz w:val="18"/>
                <w:szCs w:val="18"/>
              </w:rPr>
              <w:t>最近距离：3#</w:t>
            </w:r>
            <w:r>
              <w:rPr>
                <w:rFonts w:hint="eastAsia"/>
                <w:kern w:val="0"/>
                <w:sz w:val="18"/>
                <w:szCs w:val="18"/>
              </w:rPr>
              <w:t>风机机位距一级陆域最近约</w:t>
            </w:r>
            <w:r>
              <w:rPr>
                <w:kern w:val="0"/>
                <w:sz w:val="18"/>
                <w:szCs w:val="18"/>
              </w:rPr>
              <w:t>401.08</w:t>
            </w:r>
            <w:r>
              <w:rPr>
                <w:rFonts w:hint="eastAsia"/>
                <w:kern w:val="0"/>
                <w:sz w:val="18"/>
                <w:szCs w:val="18"/>
              </w:rPr>
              <w:t>m，距一级水域最近约</w:t>
            </w:r>
            <w:r>
              <w:rPr>
                <w:kern w:val="0"/>
                <w:sz w:val="18"/>
                <w:szCs w:val="18"/>
              </w:rPr>
              <w:t>412.21</w:t>
            </w:r>
            <w:r>
              <w:rPr>
                <w:rFonts w:hint="eastAsia"/>
                <w:kern w:val="0"/>
                <w:sz w:val="18"/>
                <w:szCs w:val="18"/>
              </w:rPr>
              <w:t>m；道路距一级陆域最近约2</w:t>
            </w:r>
            <w:r>
              <w:rPr>
                <w:kern w:val="0"/>
                <w:sz w:val="18"/>
                <w:szCs w:val="18"/>
              </w:rPr>
              <w:t>50.44</w:t>
            </w:r>
            <w:r>
              <w:rPr>
                <w:rFonts w:hint="eastAsia"/>
                <w:kern w:val="0"/>
                <w:sz w:val="18"/>
                <w:szCs w:val="18"/>
              </w:rPr>
              <w:t>m，距一级水域最近约2</w:t>
            </w:r>
            <w:r>
              <w:rPr>
                <w:kern w:val="0"/>
                <w:sz w:val="18"/>
                <w:szCs w:val="18"/>
              </w:rPr>
              <w:t>62.30</w:t>
            </w:r>
            <w:r>
              <w:rPr>
                <w:rFonts w:hint="eastAsia"/>
                <w:kern w:val="0"/>
                <w:sz w:val="18"/>
                <w:szCs w:val="18"/>
              </w:rPr>
              <w:t>m</w:t>
            </w:r>
          </w:p>
        </w:tc>
        <w:tc>
          <w:tcPr>
            <w:tcW w:w="456" w:type="pct"/>
            <w:vMerge w:val="continue"/>
            <w:vAlign w:val="center"/>
          </w:tcPr>
          <w:p w14:paraId="26C06B77">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3EE77DBC">
            <w:pPr>
              <w:tabs>
                <w:tab w:val="clear" w:pos="480"/>
              </w:tabs>
              <w:adjustRightInd w:val="0"/>
              <w:snapToGrid w:val="0"/>
              <w:spacing w:line="240" w:lineRule="auto"/>
              <w:ind w:firstLine="0" w:firstLineChars="0"/>
              <w:jc w:val="center"/>
              <w:rPr>
                <w:kern w:val="0"/>
                <w:sz w:val="18"/>
                <w:szCs w:val="18"/>
              </w:rPr>
            </w:pPr>
          </w:p>
        </w:tc>
      </w:tr>
      <w:tr w14:paraId="02A343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cantSplit/>
          <w:trHeight w:val="57" w:hRule="atLeast"/>
          <w:jc w:val="center"/>
        </w:trPr>
        <w:tc>
          <w:tcPr>
            <w:tcW w:w="378" w:type="pct"/>
            <w:vMerge w:val="continue"/>
            <w:vAlign w:val="center"/>
          </w:tcPr>
          <w:p w14:paraId="1EFE36D8">
            <w:pPr>
              <w:tabs>
                <w:tab w:val="clear" w:pos="480"/>
              </w:tabs>
              <w:adjustRightInd w:val="0"/>
              <w:snapToGrid w:val="0"/>
              <w:spacing w:line="240" w:lineRule="auto"/>
              <w:ind w:firstLine="0" w:firstLineChars="0"/>
              <w:jc w:val="center"/>
              <w:rPr>
                <w:kern w:val="0"/>
                <w:sz w:val="18"/>
                <w:szCs w:val="18"/>
              </w:rPr>
            </w:pPr>
          </w:p>
        </w:tc>
        <w:tc>
          <w:tcPr>
            <w:tcW w:w="799" w:type="pct"/>
            <w:vMerge w:val="continue"/>
            <w:vAlign w:val="center"/>
          </w:tcPr>
          <w:p w14:paraId="198AC5C0">
            <w:pPr>
              <w:tabs>
                <w:tab w:val="clear" w:pos="480"/>
              </w:tabs>
              <w:adjustRightInd w:val="0"/>
              <w:snapToGrid w:val="0"/>
              <w:spacing w:line="240" w:lineRule="auto"/>
              <w:ind w:firstLine="0" w:firstLineChars="0"/>
              <w:jc w:val="center"/>
              <w:rPr>
                <w:kern w:val="0"/>
                <w:sz w:val="18"/>
                <w:szCs w:val="18"/>
              </w:rPr>
            </w:pPr>
          </w:p>
        </w:tc>
        <w:tc>
          <w:tcPr>
            <w:tcW w:w="298" w:type="pct"/>
            <w:vAlign w:val="center"/>
          </w:tcPr>
          <w:p w14:paraId="7BD122F3">
            <w:pPr>
              <w:tabs>
                <w:tab w:val="clear" w:pos="480"/>
              </w:tabs>
              <w:adjustRightInd w:val="0"/>
              <w:snapToGrid w:val="0"/>
              <w:spacing w:line="240" w:lineRule="auto"/>
              <w:ind w:firstLine="0" w:firstLineChars="0"/>
              <w:jc w:val="center"/>
              <w:rPr>
                <w:kern w:val="0"/>
                <w:sz w:val="18"/>
                <w:szCs w:val="18"/>
              </w:rPr>
            </w:pPr>
            <w:r>
              <w:rPr>
                <w:kern w:val="0"/>
                <w:sz w:val="18"/>
                <w:szCs w:val="18"/>
              </w:rPr>
              <w:t>二级</w:t>
            </w:r>
          </w:p>
        </w:tc>
        <w:tc>
          <w:tcPr>
            <w:tcW w:w="1418" w:type="pct"/>
            <w:vAlign w:val="center"/>
          </w:tcPr>
          <w:p w14:paraId="2136BA11">
            <w:pPr>
              <w:tabs>
                <w:tab w:val="clear" w:pos="480"/>
              </w:tabs>
              <w:adjustRightInd w:val="0"/>
              <w:snapToGrid w:val="0"/>
              <w:spacing w:line="240" w:lineRule="auto"/>
              <w:ind w:firstLine="0" w:firstLineChars="0"/>
              <w:jc w:val="left"/>
              <w:rPr>
                <w:kern w:val="0"/>
                <w:sz w:val="18"/>
                <w:szCs w:val="18"/>
              </w:rPr>
            </w:pPr>
            <w:r>
              <w:rPr>
                <w:kern w:val="0"/>
                <w:sz w:val="18"/>
                <w:szCs w:val="18"/>
              </w:rPr>
              <w:t>水域：</w:t>
            </w:r>
            <w:r>
              <w:rPr>
                <w:rFonts w:hint="eastAsia"/>
                <w:kern w:val="0"/>
                <w:sz w:val="18"/>
                <w:szCs w:val="18"/>
              </w:rPr>
              <w:t>一级保护区水域上边界上溯6</w:t>
            </w:r>
            <w:r>
              <w:rPr>
                <w:kern w:val="0"/>
                <w:sz w:val="18"/>
                <w:szCs w:val="18"/>
              </w:rPr>
              <w:t>70</w:t>
            </w:r>
            <w:r>
              <w:rPr>
                <w:rFonts w:hint="eastAsia"/>
                <w:kern w:val="0"/>
                <w:sz w:val="18"/>
                <w:szCs w:val="18"/>
              </w:rPr>
              <w:t>米的山溪水水域</w:t>
            </w:r>
            <w:r>
              <w:rPr>
                <w:kern w:val="0"/>
                <w:sz w:val="18"/>
                <w:szCs w:val="18"/>
              </w:rPr>
              <w:t>；陆域：</w:t>
            </w:r>
            <w:r>
              <w:rPr>
                <w:rFonts w:hint="eastAsia"/>
                <w:kern w:val="0"/>
                <w:sz w:val="18"/>
                <w:szCs w:val="18"/>
              </w:rPr>
              <w:t>一、二级保护区水域边界沿岸纵深5</w:t>
            </w:r>
            <w:r>
              <w:rPr>
                <w:kern w:val="0"/>
                <w:sz w:val="18"/>
                <w:szCs w:val="18"/>
              </w:rPr>
              <w:t>0</w:t>
            </w:r>
            <w:r>
              <w:rPr>
                <w:rFonts w:hint="eastAsia"/>
                <w:kern w:val="0"/>
                <w:sz w:val="18"/>
                <w:szCs w:val="18"/>
              </w:rPr>
              <w:t>米（一级保护区除外）</w:t>
            </w:r>
          </w:p>
        </w:tc>
        <w:tc>
          <w:tcPr>
            <w:tcW w:w="912" w:type="pct"/>
            <w:vAlign w:val="center"/>
          </w:tcPr>
          <w:p w14:paraId="4B8CE655">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最近距离：</w:t>
            </w:r>
            <w:r>
              <w:rPr>
                <w:kern w:val="0"/>
                <w:sz w:val="18"/>
                <w:szCs w:val="18"/>
              </w:rPr>
              <w:t>3#</w:t>
            </w:r>
            <w:r>
              <w:rPr>
                <w:rFonts w:hint="eastAsia"/>
                <w:kern w:val="0"/>
                <w:sz w:val="18"/>
                <w:szCs w:val="18"/>
              </w:rPr>
              <w:t>风机机位距二级陆域最近约4</w:t>
            </w:r>
            <w:r>
              <w:rPr>
                <w:kern w:val="0"/>
                <w:sz w:val="18"/>
                <w:szCs w:val="18"/>
              </w:rPr>
              <w:t>5.5</w:t>
            </w:r>
            <w:r>
              <w:rPr>
                <w:rFonts w:hint="eastAsia"/>
                <w:kern w:val="0"/>
                <w:sz w:val="18"/>
                <w:szCs w:val="18"/>
              </w:rPr>
              <w:t>m，距二级水域最近约9</w:t>
            </w:r>
            <w:r>
              <w:rPr>
                <w:kern w:val="0"/>
                <w:sz w:val="18"/>
                <w:szCs w:val="18"/>
              </w:rPr>
              <w:t>9.68</w:t>
            </w:r>
            <w:r>
              <w:rPr>
                <w:rFonts w:hint="eastAsia"/>
                <w:kern w:val="0"/>
                <w:sz w:val="18"/>
                <w:szCs w:val="18"/>
              </w:rPr>
              <w:t>m；道路距二级陆域最近约7</w:t>
            </w:r>
            <w:r>
              <w:rPr>
                <w:kern w:val="0"/>
                <w:sz w:val="18"/>
                <w:szCs w:val="18"/>
              </w:rPr>
              <w:t>.35</w:t>
            </w:r>
            <w:r>
              <w:rPr>
                <w:rFonts w:hint="eastAsia"/>
                <w:kern w:val="0"/>
                <w:sz w:val="18"/>
                <w:szCs w:val="18"/>
              </w:rPr>
              <w:t>m，距二级水域最近约5</w:t>
            </w:r>
            <w:r>
              <w:rPr>
                <w:kern w:val="0"/>
                <w:sz w:val="18"/>
                <w:szCs w:val="18"/>
              </w:rPr>
              <w:t>1.64</w:t>
            </w:r>
            <w:r>
              <w:rPr>
                <w:rFonts w:hint="eastAsia"/>
                <w:kern w:val="0"/>
                <w:sz w:val="18"/>
                <w:szCs w:val="18"/>
              </w:rPr>
              <w:t>m</w:t>
            </w:r>
          </w:p>
        </w:tc>
        <w:tc>
          <w:tcPr>
            <w:tcW w:w="456" w:type="pct"/>
            <w:vMerge w:val="continue"/>
            <w:vAlign w:val="center"/>
          </w:tcPr>
          <w:p w14:paraId="776D21A5">
            <w:pPr>
              <w:tabs>
                <w:tab w:val="clear" w:pos="480"/>
              </w:tabs>
              <w:adjustRightInd w:val="0"/>
              <w:snapToGrid w:val="0"/>
              <w:spacing w:line="240" w:lineRule="auto"/>
              <w:ind w:firstLine="0" w:firstLineChars="0"/>
              <w:jc w:val="center"/>
              <w:rPr>
                <w:kern w:val="0"/>
                <w:sz w:val="18"/>
                <w:szCs w:val="18"/>
              </w:rPr>
            </w:pPr>
          </w:p>
        </w:tc>
        <w:tc>
          <w:tcPr>
            <w:tcW w:w="738" w:type="pct"/>
            <w:vMerge w:val="continue"/>
            <w:vAlign w:val="center"/>
          </w:tcPr>
          <w:p w14:paraId="30B09DD2">
            <w:pPr>
              <w:tabs>
                <w:tab w:val="clear" w:pos="480"/>
              </w:tabs>
              <w:adjustRightInd w:val="0"/>
              <w:snapToGrid w:val="0"/>
              <w:spacing w:line="240" w:lineRule="auto"/>
              <w:ind w:firstLine="0" w:firstLineChars="0"/>
              <w:jc w:val="center"/>
              <w:rPr>
                <w:kern w:val="0"/>
                <w:sz w:val="18"/>
                <w:szCs w:val="18"/>
              </w:rPr>
            </w:pPr>
          </w:p>
        </w:tc>
      </w:tr>
    </w:tbl>
    <w:p w14:paraId="4C70BAC0">
      <w:pPr>
        <w:tabs>
          <w:tab w:val="clear" w:pos="480"/>
        </w:tabs>
        <w:adjustRightInd w:val="0"/>
        <w:snapToGrid w:val="0"/>
        <w:spacing w:line="240" w:lineRule="auto"/>
        <w:ind w:firstLine="0" w:firstLineChars="0"/>
        <w:rPr>
          <w:b/>
          <w:bCs/>
          <w:sz w:val="21"/>
        </w:rPr>
      </w:pPr>
      <w:r>
        <w:rPr>
          <w:b/>
          <w:bCs/>
          <w:sz w:val="18"/>
          <w:szCs w:val="18"/>
        </w:rPr>
        <w:t>备注：</w:t>
      </w:r>
      <w:r>
        <w:rPr>
          <w:rFonts w:hint="eastAsia"/>
          <w:b/>
          <w:bCs/>
          <w:sz w:val="18"/>
          <w:szCs w:val="18"/>
        </w:rPr>
        <w:t>（1）</w:t>
      </w:r>
      <w:r>
        <w:rPr>
          <w:b/>
          <w:bCs/>
          <w:sz w:val="18"/>
          <w:szCs w:val="18"/>
        </w:rPr>
        <w:t>饮用水水源一级保护区执行《地表水环境质量标准（GB3838-2002）“</w:t>
      </w:r>
      <w:r>
        <w:rPr>
          <w:b/>
          <w:bCs/>
          <w:sz w:val="18"/>
          <w:szCs w:val="18"/>
        </w:rPr>
        <w:fldChar w:fldCharType="begin"/>
      </w:r>
      <w:r>
        <w:rPr>
          <w:b/>
          <w:bCs/>
          <w:sz w:val="18"/>
          <w:szCs w:val="18"/>
        </w:rPr>
        <w:instrText xml:space="preserve"> = 2 \* ROMAN </w:instrText>
      </w:r>
      <w:r>
        <w:rPr>
          <w:b/>
          <w:bCs/>
          <w:sz w:val="18"/>
          <w:szCs w:val="18"/>
        </w:rPr>
        <w:fldChar w:fldCharType="separate"/>
      </w:r>
      <w:r>
        <w:rPr>
          <w:b/>
          <w:bCs/>
          <w:sz w:val="18"/>
          <w:szCs w:val="18"/>
        </w:rPr>
        <w:t>II</w:t>
      </w:r>
      <w:r>
        <w:rPr>
          <w:b/>
          <w:bCs/>
          <w:sz w:val="18"/>
          <w:szCs w:val="18"/>
        </w:rPr>
        <w:fldChar w:fldCharType="end"/>
      </w:r>
      <w:r>
        <w:rPr>
          <w:b/>
          <w:bCs/>
          <w:sz w:val="18"/>
          <w:szCs w:val="18"/>
        </w:rPr>
        <w:t>”标准；饮用水水源二级保护区以及其他地表水体执行《地表水环境质量标准（GB3838-2002）“</w:t>
      </w:r>
      <w:r>
        <w:rPr>
          <w:b/>
          <w:bCs/>
          <w:sz w:val="18"/>
          <w:szCs w:val="18"/>
        </w:rPr>
        <w:fldChar w:fldCharType="begin"/>
      </w:r>
      <w:r>
        <w:rPr>
          <w:b/>
          <w:bCs/>
          <w:sz w:val="18"/>
          <w:szCs w:val="18"/>
        </w:rPr>
        <w:instrText xml:space="preserve"> = 3 \* ROMAN </w:instrText>
      </w:r>
      <w:r>
        <w:rPr>
          <w:b/>
          <w:bCs/>
          <w:sz w:val="18"/>
          <w:szCs w:val="18"/>
        </w:rPr>
        <w:fldChar w:fldCharType="separate"/>
      </w:r>
      <w:r>
        <w:rPr>
          <w:b/>
          <w:bCs/>
          <w:sz w:val="18"/>
          <w:szCs w:val="18"/>
        </w:rPr>
        <w:t>III</w:t>
      </w:r>
      <w:r>
        <w:rPr>
          <w:b/>
          <w:bCs/>
          <w:sz w:val="18"/>
          <w:szCs w:val="18"/>
        </w:rPr>
        <w:fldChar w:fldCharType="end"/>
      </w:r>
      <w:r>
        <w:rPr>
          <w:b/>
          <w:bCs/>
          <w:sz w:val="18"/>
          <w:szCs w:val="18"/>
        </w:rPr>
        <w:t>”标准</w:t>
      </w:r>
    </w:p>
    <w:p w14:paraId="1BB93CAF">
      <w:pPr>
        <w:tabs>
          <w:tab w:val="clear" w:pos="480"/>
        </w:tabs>
        <w:adjustRightInd w:val="0"/>
        <w:snapToGrid w:val="0"/>
        <w:spacing w:line="240" w:lineRule="auto"/>
        <w:ind w:firstLine="199" w:firstLineChars="110"/>
        <w:rPr>
          <w:b/>
          <w:bCs/>
          <w:sz w:val="18"/>
          <w:szCs w:val="18"/>
        </w:rPr>
      </w:pPr>
      <w:r>
        <w:rPr>
          <w:rFonts w:hint="eastAsia"/>
          <w:b/>
          <w:bCs/>
          <w:sz w:val="18"/>
          <w:szCs w:val="18"/>
        </w:rPr>
        <w:t>（2）衡阳县岣嵝乡环洞村山溪水饮用水水源保护区主要供水范围为岣嵝乡环洞村，约</w:t>
      </w:r>
      <w:r>
        <w:rPr>
          <w:b/>
          <w:bCs/>
          <w:sz w:val="18"/>
          <w:szCs w:val="18"/>
        </w:rPr>
        <w:t>100</w:t>
      </w:r>
      <w:r>
        <w:rPr>
          <w:rFonts w:hint="eastAsia"/>
          <w:b/>
          <w:bCs/>
          <w:sz w:val="18"/>
          <w:szCs w:val="18"/>
        </w:rPr>
        <w:t>人。根据现场走访可知，环洞村居民除由环洞村山溪水饮用水水源保护区供水外，各家各户均有自家水井，作为环洞村山溪水饮用水水源供水不足时的备用水源。根据走访当地居民可知，在旱季时，环洞村山溪水饮用水水源保护区供水流量极小。</w:t>
      </w:r>
    </w:p>
    <w:p w14:paraId="2C59C364">
      <w:pPr>
        <w:spacing w:line="240" w:lineRule="auto"/>
        <w:ind w:firstLine="0" w:firstLineChars="0"/>
        <w:jc w:val="center"/>
        <w:rPr>
          <w:b/>
          <w:bCs/>
        </w:rPr>
      </w:pPr>
    </w:p>
    <w:p w14:paraId="0AA9A78D">
      <w:pPr>
        <w:pStyle w:val="2"/>
        <w:ind w:firstLine="420"/>
      </w:pPr>
    </w:p>
    <w:p w14:paraId="298D85FE">
      <w:pPr>
        <w:ind w:firstLine="480"/>
      </w:pPr>
    </w:p>
    <w:p w14:paraId="355A3CD6">
      <w:pPr>
        <w:spacing w:line="240" w:lineRule="auto"/>
        <w:ind w:firstLine="0" w:firstLineChars="0"/>
        <w:jc w:val="center"/>
        <w:rPr>
          <w:b/>
          <w:bCs/>
        </w:rPr>
      </w:pPr>
    </w:p>
    <w:p w14:paraId="61DCB63B">
      <w:pPr>
        <w:spacing w:line="240" w:lineRule="auto"/>
        <w:ind w:firstLine="0" w:firstLineChars="0"/>
        <w:jc w:val="center"/>
        <w:rPr>
          <w:b/>
          <w:bCs/>
        </w:rPr>
      </w:pPr>
    </w:p>
    <w:p w14:paraId="6B47E320">
      <w:pPr>
        <w:pStyle w:val="2"/>
        <w:ind w:firstLine="420"/>
      </w:pPr>
    </w:p>
    <w:p w14:paraId="7FA2B7AD">
      <w:pPr>
        <w:ind w:firstLine="420"/>
        <w:rPr>
          <w:sz w:val="21"/>
          <w:szCs w:val="21"/>
          <w:lang w:val="zh-CN"/>
        </w:rPr>
        <w:sectPr>
          <w:pgSz w:w="16838" w:h="11905" w:orient="landscape"/>
          <w:pgMar w:top="851" w:right="851" w:bottom="851" w:left="851" w:header="567" w:footer="567" w:gutter="0"/>
          <w:cols w:space="0" w:num="1"/>
          <w:docGrid w:type="lines" w:linePitch="333" w:charSpace="0"/>
        </w:sectPr>
      </w:pPr>
    </w:p>
    <w:p w14:paraId="3F5A95F0">
      <w:pPr>
        <w:tabs>
          <w:tab w:val="clear" w:pos="480"/>
        </w:tabs>
        <w:adjustRightInd w:val="0"/>
        <w:snapToGrid w:val="0"/>
        <w:spacing w:line="240" w:lineRule="auto"/>
        <w:ind w:firstLine="0" w:firstLineChars="0"/>
        <w:jc w:val="center"/>
        <w:rPr>
          <w:b/>
          <w:bCs/>
        </w:rPr>
      </w:pPr>
      <w:bookmarkStart w:id="54" w:name="_Hlk116114841"/>
      <w:r>
        <w:rPr>
          <w:rFonts w:hint="eastAsia"/>
          <w:b/>
          <w:bCs/>
        </w:rPr>
        <w:t>表</w:t>
      </w:r>
      <w:r>
        <w:rPr>
          <w:b/>
          <w:bCs/>
        </w:rPr>
        <w:t>2.6</w:t>
      </w:r>
      <w:r>
        <w:rPr>
          <w:rFonts w:hint="eastAsia"/>
          <w:b/>
          <w:bCs/>
        </w:rPr>
        <w:t>-</w:t>
      </w:r>
      <w:r>
        <w:rPr>
          <w:b/>
          <w:bCs/>
        </w:rPr>
        <w:t xml:space="preserve">4 </w:t>
      </w:r>
      <w:r>
        <w:rPr>
          <w:rFonts w:hint="eastAsia"/>
          <w:b/>
          <w:bCs/>
        </w:rPr>
        <w:t>声环境、大气环境保护目标表——风机周边5</w:t>
      </w:r>
      <w:r>
        <w:rPr>
          <w:b/>
          <w:bCs/>
        </w:rPr>
        <w:t>00</w:t>
      </w:r>
      <w:r>
        <w:rPr>
          <w:rFonts w:hint="eastAsia"/>
          <w:b/>
          <w:bCs/>
        </w:rPr>
        <w:t>m范围内</w:t>
      </w:r>
    </w:p>
    <w:bookmarkEnd w:id="54"/>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1360"/>
        <w:gridCol w:w="1271"/>
        <w:gridCol w:w="866"/>
        <w:gridCol w:w="1133"/>
        <w:gridCol w:w="1081"/>
        <w:gridCol w:w="1081"/>
        <w:gridCol w:w="924"/>
        <w:gridCol w:w="2309"/>
        <w:gridCol w:w="921"/>
        <w:gridCol w:w="1079"/>
        <w:gridCol w:w="2037"/>
      </w:tblGrid>
      <w:tr w14:paraId="58CF4E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vMerge w:val="restart"/>
            <w:vAlign w:val="center"/>
          </w:tcPr>
          <w:p w14:paraId="1136DD93">
            <w:pPr>
              <w:tabs>
                <w:tab w:val="clear" w:pos="480"/>
              </w:tabs>
              <w:spacing w:line="240" w:lineRule="auto"/>
              <w:ind w:firstLine="0" w:firstLineChars="0"/>
              <w:jc w:val="center"/>
              <w:rPr>
                <w:sz w:val="18"/>
                <w:szCs w:val="18"/>
              </w:rPr>
            </w:pPr>
            <w:bookmarkStart w:id="55" w:name="_Hlk81158697"/>
            <w:r>
              <w:rPr>
                <w:sz w:val="18"/>
                <w:szCs w:val="18"/>
              </w:rPr>
              <w:t>名称</w:t>
            </w:r>
          </w:p>
        </w:tc>
        <w:tc>
          <w:tcPr>
            <w:tcW w:w="857" w:type="pct"/>
            <w:gridSpan w:val="2"/>
            <w:vAlign w:val="center"/>
          </w:tcPr>
          <w:p w14:paraId="00DF0B86">
            <w:pPr>
              <w:tabs>
                <w:tab w:val="clear" w:pos="480"/>
              </w:tabs>
              <w:spacing w:line="240" w:lineRule="auto"/>
              <w:ind w:firstLine="0" w:firstLineChars="0"/>
              <w:jc w:val="center"/>
              <w:rPr>
                <w:sz w:val="18"/>
                <w:szCs w:val="18"/>
              </w:rPr>
            </w:pPr>
            <w:r>
              <w:rPr>
                <w:sz w:val="18"/>
                <w:szCs w:val="18"/>
              </w:rPr>
              <w:t>坐标/°</w:t>
            </w:r>
          </w:p>
        </w:tc>
        <w:tc>
          <w:tcPr>
            <w:tcW w:w="282" w:type="pct"/>
            <w:vMerge w:val="restart"/>
            <w:vAlign w:val="center"/>
          </w:tcPr>
          <w:p w14:paraId="07C9D339">
            <w:pPr>
              <w:tabs>
                <w:tab w:val="clear" w:pos="480"/>
              </w:tabs>
              <w:spacing w:line="240" w:lineRule="auto"/>
              <w:ind w:firstLine="0" w:firstLineChars="0"/>
              <w:jc w:val="center"/>
              <w:rPr>
                <w:sz w:val="18"/>
                <w:szCs w:val="18"/>
              </w:rPr>
            </w:pPr>
            <w:r>
              <w:rPr>
                <w:sz w:val="18"/>
                <w:szCs w:val="18"/>
              </w:rPr>
              <w:t>保护对象</w:t>
            </w:r>
          </w:p>
        </w:tc>
        <w:tc>
          <w:tcPr>
            <w:tcW w:w="1073" w:type="pct"/>
            <w:gridSpan w:val="3"/>
            <w:vAlign w:val="center"/>
          </w:tcPr>
          <w:p w14:paraId="64B8E662">
            <w:pPr>
              <w:tabs>
                <w:tab w:val="clear" w:pos="480"/>
              </w:tabs>
              <w:spacing w:line="240" w:lineRule="auto"/>
              <w:ind w:firstLine="0" w:firstLineChars="0"/>
              <w:jc w:val="center"/>
              <w:rPr>
                <w:sz w:val="18"/>
                <w:szCs w:val="18"/>
              </w:rPr>
            </w:pPr>
            <w:r>
              <w:rPr>
                <w:sz w:val="18"/>
                <w:szCs w:val="18"/>
              </w:rPr>
              <w:t>保护内容（户）</w:t>
            </w:r>
          </w:p>
        </w:tc>
        <w:tc>
          <w:tcPr>
            <w:tcW w:w="301" w:type="pct"/>
            <w:vMerge w:val="restart"/>
            <w:vAlign w:val="center"/>
          </w:tcPr>
          <w:p w14:paraId="246B172E">
            <w:pPr>
              <w:tabs>
                <w:tab w:val="clear" w:pos="480"/>
              </w:tabs>
              <w:spacing w:line="240" w:lineRule="auto"/>
              <w:ind w:firstLine="0" w:firstLineChars="0"/>
              <w:jc w:val="center"/>
              <w:rPr>
                <w:sz w:val="18"/>
                <w:szCs w:val="18"/>
              </w:rPr>
            </w:pPr>
            <w:r>
              <w:rPr>
                <w:sz w:val="18"/>
                <w:szCs w:val="18"/>
              </w:rPr>
              <w:t>环境功能区</w:t>
            </w:r>
          </w:p>
        </w:tc>
        <w:tc>
          <w:tcPr>
            <w:tcW w:w="752" w:type="pct"/>
            <w:vMerge w:val="restart"/>
            <w:vAlign w:val="center"/>
          </w:tcPr>
          <w:p w14:paraId="3B650C23">
            <w:pPr>
              <w:tabs>
                <w:tab w:val="clear" w:pos="480"/>
              </w:tabs>
              <w:spacing w:line="240" w:lineRule="auto"/>
              <w:ind w:firstLine="0" w:firstLineChars="0"/>
              <w:jc w:val="center"/>
              <w:rPr>
                <w:sz w:val="18"/>
                <w:szCs w:val="18"/>
              </w:rPr>
            </w:pPr>
            <w:r>
              <w:rPr>
                <w:sz w:val="18"/>
                <w:szCs w:val="18"/>
              </w:rPr>
              <w:t>与本项目位置关系</w:t>
            </w:r>
          </w:p>
        </w:tc>
        <w:tc>
          <w:tcPr>
            <w:tcW w:w="300" w:type="pct"/>
            <w:vMerge w:val="restart"/>
            <w:vAlign w:val="center"/>
          </w:tcPr>
          <w:p w14:paraId="2E8F7F0C">
            <w:pPr>
              <w:tabs>
                <w:tab w:val="clear" w:pos="480"/>
              </w:tabs>
              <w:spacing w:line="240" w:lineRule="auto"/>
              <w:ind w:firstLine="0" w:firstLineChars="0"/>
              <w:jc w:val="center"/>
              <w:rPr>
                <w:sz w:val="18"/>
                <w:szCs w:val="18"/>
              </w:rPr>
            </w:pPr>
            <w:r>
              <w:rPr>
                <w:sz w:val="18"/>
                <w:szCs w:val="18"/>
              </w:rPr>
              <w:t>高差/m</w:t>
            </w:r>
          </w:p>
        </w:tc>
        <w:tc>
          <w:tcPr>
            <w:tcW w:w="351" w:type="pct"/>
            <w:vMerge w:val="restart"/>
            <w:vAlign w:val="center"/>
          </w:tcPr>
          <w:p w14:paraId="5209AB27">
            <w:pPr>
              <w:tabs>
                <w:tab w:val="clear" w:pos="480"/>
              </w:tabs>
              <w:spacing w:line="240" w:lineRule="auto"/>
              <w:ind w:firstLine="0" w:firstLineChars="0"/>
              <w:jc w:val="center"/>
              <w:rPr>
                <w:sz w:val="18"/>
                <w:szCs w:val="18"/>
              </w:rPr>
            </w:pPr>
            <w:r>
              <w:rPr>
                <w:sz w:val="18"/>
                <w:szCs w:val="18"/>
              </w:rPr>
              <w:t>影响时段</w:t>
            </w:r>
          </w:p>
        </w:tc>
        <w:tc>
          <w:tcPr>
            <w:tcW w:w="663" w:type="pct"/>
            <w:vMerge w:val="restart"/>
            <w:vAlign w:val="center"/>
          </w:tcPr>
          <w:p w14:paraId="57F7CF0F">
            <w:pPr>
              <w:tabs>
                <w:tab w:val="clear" w:pos="480"/>
              </w:tabs>
              <w:spacing w:line="240" w:lineRule="auto"/>
              <w:ind w:firstLine="0" w:firstLineChars="0"/>
              <w:jc w:val="center"/>
              <w:rPr>
                <w:sz w:val="18"/>
                <w:szCs w:val="18"/>
              </w:rPr>
            </w:pPr>
            <w:r>
              <w:rPr>
                <w:sz w:val="18"/>
                <w:szCs w:val="18"/>
              </w:rPr>
              <w:t>保护要求</w:t>
            </w:r>
          </w:p>
        </w:tc>
      </w:tr>
      <w:tr w14:paraId="0E8A3A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vMerge w:val="continue"/>
            <w:vAlign w:val="center"/>
          </w:tcPr>
          <w:p w14:paraId="240D604A">
            <w:pPr>
              <w:tabs>
                <w:tab w:val="clear" w:pos="480"/>
              </w:tabs>
              <w:spacing w:line="240" w:lineRule="auto"/>
              <w:ind w:firstLine="0" w:firstLineChars="0"/>
              <w:jc w:val="center"/>
              <w:rPr>
                <w:sz w:val="18"/>
                <w:szCs w:val="18"/>
              </w:rPr>
            </w:pPr>
          </w:p>
        </w:tc>
        <w:tc>
          <w:tcPr>
            <w:tcW w:w="443" w:type="pct"/>
            <w:vAlign w:val="center"/>
          </w:tcPr>
          <w:p w14:paraId="3033BB5E">
            <w:pPr>
              <w:tabs>
                <w:tab w:val="clear" w:pos="480"/>
              </w:tabs>
              <w:spacing w:line="240" w:lineRule="auto"/>
              <w:ind w:firstLine="0" w:firstLineChars="0"/>
              <w:jc w:val="center"/>
              <w:rPr>
                <w:sz w:val="18"/>
                <w:szCs w:val="18"/>
              </w:rPr>
            </w:pPr>
            <w:r>
              <w:rPr>
                <w:sz w:val="18"/>
                <w:szCs w:val="18"/>
              </w:rPr>
              <w:t>经度</w:t>
            </w:r>
          </w:p>
        </w:tc>
        <w:tc>
          <w:tcPr>
            <w:tcW w:w="414" w:type="pct"/>
            <w:vAlign w:val="center"/>
          </w:tcPr>
          <w:p w14:paraId="4BA7DFBD">
            <w:pPr>
              <w:tabs>
                <w:tab w:val="clear" w:pos="480"/>
              </w:tabs>
              <w:spacing w:line="240" w:lineRule="auto"/>
              <w:ind w:firstLine="0" w:firstLineChars="0"/>
              <w:jc w:val="center"/>
              <w:rPr>
                <w:sz w:val="18"/>
                <w:szCs w:val="18"/>
              </w:rPr>
            </w:pPr>
            <w:r>
              <w:rPr>
                <w:sz w:val="18"/>
                <w:szCs w:val="18"/>
              </w:rPr>
              <w:t>纬度</w:t>
            </w:r>
          </w:p>
        </w:tc>
        <w:tc>
          <w:tcPr>
            <w:tcW w:w="282" w:type="pct"/>
            <w:vMerge w:val="continue"/>
            <w:vAlign w:val="center"/>
          </w:tcPr>
          <w:p w14:paraId="023F204B">
            <w:pPr>
              <w:tabs>
                <w:tab w:val="clear" w:pos="480"/>
              </w:tabs>
              <w:spacing w:line="240" w:lineRule="auto"/>
              <w:ind w:firstLine="0" w:firstLineChars="0"/>
              <w:jc w:val="center"/>
              <w:rPr>
                <w:sz w:val="18"/>
                <w:szCs w:val="18"/>
              </w:rPr>
            </w:pPr>
          </w:p>
        </w:tc>
        <w:tc>
          <w:tcPr>
            <w:tcW w:w="369" w:type="pct"/>
            <w:vAlign w:val="center"/>
          </w:tcPr>
          <w:p w14:paraId="4AC68D6D">
            <w:pPr>
              <w:tabs>
                <w:tab w:val="clear" w:pos="480"/>
              </w:tabs>
              <w:spacing w:line="240" w:lineRule="auto"/>
              <w:ind w:firstLine="0" w:firstLineChars="0"/>
              <w:jc w:val="center"/>
              <w:rPr>
                <w:sz w:val="18"/>
                <w:szCs w:val="18"/>
              </w:rPr>
            </w:pPr>
            <w:r>
              <w:rPr>
                <w:sz w:val="18"/>
                <w:szCs w:val="18"/>
              </w:rPr>
              <w:t>300m内户数</w:t>
            </w:r>
          </w:p>
        </w:tc>
        <w:tc>
          <w:tcPr>
            <w:tcW w:w="352" w:type="pct"/>
            <w:vAlign w:val="center"/>
          </w:tcPr>
          <w:p w14:paraId="3E2C6092">
            <w:pPr>
              <w:tabs>
                <w:tab w:val="clear" w:pos="480"/>
              </w:tabs>
              <w:spacing w:line="240" w:lineRule="auto"/>
              <w:ind w:firstLine="0" w:firstLineChars="0"/>
              <w:jc w:val="center"/>
              <w:rPr>
                <w:sz w:val="18"/>
                <w:szCs w:val="18"/>
              </w:rPr>
            </w:pPr>
            <w:r>
              <w:rPr>
                <w:sz w:val="18"/>
                <w:szCs w:val="18"/>
              </w:rPr>
              <w:t>300~350m户数</w:t>
            </w:r>
          </w:p>
        </w:tc>
        <w:tc>
          <w:tcPr>
            <w:tcW w:w="352" w:type="pct"/>
            <w:vAlign w:val="center"/>
          </w:tcPr>
          <w:p w14:paraId="4781A6F1">
            <w:pPr>
              <w:tabs>
                <w:tab w:val="clear" w:pos="480"/>
              </w:tabs>
              <w:spacing w:line="240" w:lineRule="auto"/>
              <w:ind w:firstLine="0" w:firstLineChars="0"/>
              <w:jc w:val="center"/>
              <w:rPr>
                <w:sz w:val="18"/>
                <w:szCs w:val="18"/>
              </w:rPr>
            </w:pPr>
            <w:r>
              <w:rPr>
                <w:sz w:val="18"/>
                <w:szCs w:val="18"/>
              </w:rPr>
              <w:t>350~500m内户数</w:t>
            </w:r>
          </w:p>
        </w:tc>
        <w:tc>
          <w:tcPr>
            <w:tcW w:w="301" w:type="pct"/>
            <w:vMerge w:val="continue"/>
            <w:vAlign w:val="center"/>
          </w:tcPr>
          <w:p w14:paraId="53EE4696">
            <w:pPr>
              <w:tabs>
                <w:tab w:val="clear" w:pos="480"/>
              </w:tabs>
              <w:spacing w:line="240" w:lineRule="auto"/>
              <w:ind w:firstLine="0" w:firstLineChars="0"/>
              <w:jc w:val="center"/>
              <w:rPr>
                <w:sz w:val="18"/>
                <w:szCs w:val="18"/>
              </w:rPr>
            </w:pPr>
          </w:p>
        </w:tc>
        <w:tc>
          <w:tcPr>
            <w:tcW w:w="752" w:type="pct"/>
            <w:vMerge w:val="continue"/>
            <w:vAlign w:val="center"/>
          </w:tcPr>
          <w:p w14:paraId="7716DCED">
            <w:pPr>
              <w:tabs>
                <w:tab w:val="clear" w:pos="480"/>
              </w:tabs>
              <w:spacing w:line="240" w:lineRule="auto"/>
              <w:ind w:firstLine="0" w:firstLineChars="0"/>
              <w:jc w:val="center"/>
              <w:rPr>
                <w:sz w:val="18"/>
                <w:szCs w:val="18"/>
              </w:rPr>
            </w:pPr>
          </w:p>
        </w:tc>
        <w:tc>
          <w:tcPr>
            <w:tcW w:w="300" w:type="pct"/>
            <w:vMerge w:val="continue"/>
            <w:vAlign w:val="center"/>
          </w:tcPr>
          <w:p w14:paraId="43267AA4">
            <w:pPr>
              <w:tabs>
                <w:tab w:val="clear" w:pos="480"/>
              </w:tabs>
              <w:spacing w:line="240" w:lineRule="auto"/>
              <w:ind w:firstLine="0" w:firstLineChars="0"/>
              <w:jc w:val="center"/>
              <w:rPr>
                <w:sz w:val="18"/>
                <w:szCs w:val="18"/>
              </w:rPr>
            </w:pPr>
          </w:p>
        </w:tc>
        <w:tc>
          <w:tcPr>
            <w:tcW w:w="351" w:type="pct"/>
            <w:vMerge w:val="continue"/>
            <w:vAlign w:val="center"/>
          </w:tcPr>
          <w:p w14:paraId="363BB9E0">
            <w:pPr>
              <w:tabs>
                <w:tab w:val="clear" w:pos="480"/>
              </w:tabs>
              <w:spacing w:line="240" w:lineRule="auto"/>
              <w:ind w:firstLine="0" w:firstLineChars="0"/>
              <w:jc w:val="center"/>
              <w:rPr>
                <w:sz w:val="18"/>
                <w:szCs w:val="18"/>
              </w:rPr>
            </w:pPr>
          </w:p>
        </w:tc>
        <w:tc>
          <w:tcPr>
            <w:tcW w:w="663" w:type="pct"/>
            <w:vMerge w:val="continue"/>
            <w:vAlign w:val="center"/>
          </w:tcPr>
          <w:p w14:paraId="2C56871D">
            <w:pPr>
              <w:tabs>
                <w:tab w:val="clear" w:pos="480"/>
              </w:tabs>
              <w:spacing w:line="240" w:lineRule="auto"/>
              <w:ind w:firstLine="0" w:firstLineChars="0"/>
              <w:jc w:val="center"/>
              <w:rPr>
                <w:sz w:val="18"/>
                <w:szCs w:val="18"/>
              </w:rPr>
            </w:pPr>
          </w:p>
        </w:tc>
      </w:tr>
      <w:tr w14:paraId="41E18A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vAlign w:val="center"/>
          </w:tcPr>
          <w:p w14:paraId="680561AF">
            <w:pPr>
              <w:tabs>
                <w:tab w:val="clear" w:pos="480"/>
              </w:tabs>
              <w:spacing w:line="240" w:lineRule="auto"/>
              <w:ind w:firstLine="0" w:firstLineChars="0"/>
              <w:jc w:val="center"/>
              <w:rPr>
                <w:sz w:val="18"/>
                <w:szCs w:val="18"/>
              </w:rPr>
            </w:pPr>
            <w:r>
              <w:rPr>
                <w:bCs/>
                <w:sz w:val="18"/>
                <w:szCs w:val="18"/>
              </w:rPr>
              <w:t>界江村茅草坳居民点</w:t>
            </w:r>
          </w:p>
        </w:tc>
        <w:tc>
          <w:tcPr>
            <w:tcW w:w="443" w:type="pct"/>
            <w:vAlign w:val="center"/>
          </w:tcPr>
          <w:p w14:paraId="318160C0">
            <w:pPr>
              <w:tabs>
                <w:tab w:val="clear" w:pos="480"/>
              </w:tabs>
              <w:spacing w:line="240" w:lineRule="auto"/>
              <w:ind w:firstLine="0" w:firstLineChars="0"/>
              <w:jc w:val="center"/>
              <w:rPr>
                <w:sz w:val="18"/>
                <w:szCs w:val="18"/>
              </w:rPr>
            </w:pPr>
            <w:r>
              <w:rPr>
                <w:bCs/>
                <w:sz w:val="18"/>
                <w:szCs w:val="18"/>
              </w:rPr>
              <w:t>112°32′5.99″</w:t>
            </w:r>
          </w:p>
        </w:tc>
        <w:tc>
          <w:tcPr>
            <w:tcW w:w="414" w:type="pct"/>
            <w:vAlign w:val="center"/>
          </w:tcPr>
          <w:p w14:paraId="4B6967FC">
            <w:pPr>
              <w:tabs>
                <w:tab w:val="clear" w:pos="480"/>
              </w:tabs>
              <w:spacing w:line="240" w:lineRule="auto"/>
              <w:ind w:firstLine="0" w:firstLineChars="0"/>
              <w:jc w:val="center"/>
              <w:rPr>
                <w:sz w:val="18"/>
                <w:szCs w:val="18"/>
              </w:rPr>
            </w:pPr>
            <w:r>
              <w:rPr>
                <w:bCs/>
                <w:sz w:val="18"/>
                <w:szCs w:val="18"/>
              </w:rPr>
              <w:t>27°8′54.57″</w:t>
            </w:r>
          </w:p>
        </w:tc>
        <w:tc>
          <w:tcPr>
            <w:tcW w:w="282" w:type="pct"/>
            <w:vAlign w:val="center"/>
          </w:tcPr>
          <w:p w14:paraId="25C71E44">
            <w:pPr>
              <w:tabs>
                <w:tab w:val="clear" w:pos="480"/>
              </w:tabs>
              <w:spacing w:line="240" w:lineRule="auto"/>
              <w:ind w:firstLine="0" w:firstLineChars="0"/>
              <w:jc w:val="center"/>
              <w:rPr>
                <w:sz w:val="18"/>
                <w:szCs w:val="18"/>
              </w:rPr>
            </w:pPr>
            <w:r>
              <w:rPr>
                <w:sz w:val="18"/>
                <w:szCs w:val="18"/>
              </w:rPr>
              <w:t>居民</w:t>
            </w:r>
          </w:p>
        </w:tc>
        <w:tc>
          <w:tcPr>
            <w:tcW w:w="369" w:type="pct"/>
            <w:vAlign w:val="center"/>
          </w:tcPr>
          <w:p w14:paraId="62E0E9DF">
            <w:pPr>
              <w:tabs>
                <w:tab w:val="clear" w:pos="480"/>
              </w:tabs>
              <w:spacing w:line="240" w:lineRule="auto"/>
              <w:ind w:firstLine="0" w:firstLineChars="0"/>
              <w:jc w:val="center"/>
              <w:rPr>
                <w:sz w:val="18"/>
                <w:szCs w:val="18"/>
              </w:rPr>
            </w:pPr>
            <w:r>
              <w:rPr>
                <w:sz w:val="18"/>
                <w:szCs w:val="18"/>
              </w:rPr>
              <w:t>1</w:t>
            </w:r>
          </w:p>
        </w:tc>
        <w:tc>
          <w:tcPr>
            <w:tcW w:w="352" w:type="pct"/>
            <w:vAlign w:val="center"/>
          </w:tcPr>
          <w:p w14:paraId="697901AD">
            <w:pPr>
              <w:tabs>
                <w:tab w:val="clear" w:pos="480"/>
              </w:tabs>
              <w:spacing w:line="240" w:lineRule="auto"/>
              <w:ind w:firstLine="0" w:firstLineChars="0"/>
              <w:jc w:val="center"/>
              <w:rPr>
                <w:sz w:val="18"/>
                <w:szCs w:val="18"/>
              </w:rPr>
            </w:pPr>
            <w:r>
              <w:rPr>
                <w:sz w:val="18"/>
                <w:szCs w:val="18"/>
              </w:rPr>
              <w:t>0</w:t>
            </w:r>
          </w:p>
        </w:tc>
        <w:tc>
          <w:tcPr>
            <w:tcW w:w="352" w:type="pct"/>
            <w:vAlign w:val="center"/>
          </w:tcPr>
          <w:p w14:paraId="624238BD">
            <w:pPr>
              <w:tabs>
                <w:tab w:val="clear" w:pos="480"/>
              </w:tabs>
              <w:spacing w:line="240" w:lineRule="auto"/>
              <w:ind w:firstLine="0" w:firstLineChars="0"/>
              <w:jc w:val="center"/>
              <w:rPr>
                <w:sz w:val="18"/>
                <w:szCs w:val="18"/>
              </w:rPr>
            </w:pPr>
            <w:r>
              <w:rPr>
                <w:sz w:val="18"/>
                <w:szCs w:val="18"/>
              </w:rPr>
              <w:t>8</w:t>
            </w:r>
          </w:p>
        </w:tc>
        <w:tc>
          <w:tcPr>
            <w:tcW w:w="301" w:type="pct"/>
            <w:vAlign w:val="center"/>
          </w:tcPr>
          <w:p w14:paraId="2187A445">
            <w:pPr>
              <w:tabs>
                <w:tab w:val="clear" w:pos="480"/>
              </w:tabs>
              <w:spacing w:line="240" w:lineRule="auto"/>
              <w:ind w:firstLine="0" w:firstLineChars="0"/>
              <w:jc w:val="center"/>
              <w:rPr>
                <w:sz w:val="18"/>
                <w:szCs w:val="18"/>
              </w:rPr>
            </w:pPr>
            <w:r>
              <w:rPr>
                <w:sz w:val="18"/>
                <w:szCs w:val="18"/>
              </w:rPr>
              <w:t>二类区</w:t>
            </w:r>
          </w:p>
        </w:tc>
        <w:tc>
          <w:tcPr>
            <w:tcW w:w="752" w:type="pct"/>
            <w:vAlign w:val="center"/>
          </w:tcPr>
          <w:p w14:paraId="6BB5BD56">
            <w:pPr>
              <w:tabs>
                <w:tab w:val="clear" w:pos="480"/>
              </w:tabs>
              <w:spacing w:line="240" w:lineRule="auto"/>
              <w:ind w:firstLine="0" w:firstLineChars="0"/>
              <w:jc w:val="center"/>
              <w:rPr>
                <w:sz w:val="18"/>
                <w:szCs w:val="18"/>
              </w:rPr>
            </w:pPr>
            <w:r>
              <w:rPr>
                <w:bCs/>
                <w:sz w:val="18"/>
                <w:szCs w:val="18"/>
              </w:rPr>
              <w:t>位于7#风机东北侧约285m，有山体阻隔</w:t>
            </w:r>
          </w:p>
        </w:tc>
        <w:tc>
          <w:tcPr>
            <w:tcW w:w="300" w:type="pct"/>
            <w:vAlign w:val="center"/>
          </w:tcPr>
          <w:p w14:paraId="362D7704">
            <w:pPr>
              <w:tabs>
                <w:tab w:val="clear" w:pos="480"/>
              </w:tabs>
              <w:spacing w:line="240" w:lineRule="auto"/>
              <w:ind w:firstLine="0" w:firstLineChars="0"/>
              <w:jc w:val="center"/>
              <w:rPr>
                <w:sz w:val="18"/>
                <w:szCs w:val="18"/>
              </w:rPr>
            </w:pPr>
            <w:r>
              <w:rPr>
                <w:sz w:val="18"/>
                <w:szCs w:val="18"/>
              </w:rPr>
              <w:t>114</w:t>
            </w:r>
          </w:p>
        </w:tc>
        <w:tc>
          <w:tcPr>
            <w:tcW w:w="351" w:type="pct"/>
            <w:vMerge w:val="restart"/>
            <w:vAlign w:val="center"/>
          </w:tcPr>
          <w:p w14:paraId="093BA827">
            <w:pPr>
              <w:tabs>
                <w:tab w:val="clear" w:pos="480"/>
              </w:tabs>
              <w:spacing w:line="240" w:lineRule="auto"/>
              <w:ind w:firstLine="0" w:firstLineChars="0"/>
              <w:jc w:val="center"/>
              <w:rPr>
                <w:sz w:val="18"/>
                <w:szCs w:val="18"/>
              </w:rPr>
            </w:pPr>
            <w:r>
              <w:rPr>
                <w:bCs/>
                <w:sz w:val="18"/>
                <w:szCs w:val="18"/>
              </w:rPr>
              <w:t>施工期：机械设备运行和车辆运输废气；营运期风机运行噪声</w:t>
            </w:r>
          </w:p>
        </w:tc>
        <w:tc>
          <w:tcPr>
            <w:tcW w:w="663" w:type="pct"/>
            <w:vMerge w:val="restart"/>
            <w:vAlign w:val="center"/>
          </w:tcPr>
          <w:p w14:paraId="50AE8F86">
            <w:pPr>
              <w:widowControl/>
              <w:adjustRightInd w:val="0"/>
              <w:snapToGrid w:val="0"/>
              <w:spacing w:line="240" w:lineRule="auto"/>
              <w:ind w:firstLine="0" w:firstLineChars="0"/>
              <w:jc w:val="center"/>
              <w:rPr>
                <w:bCs/>
                <w:sz w:val="18"/>
                <w:szCs w:val="18"/>
              </w:rPr>
            </w:pPr>
            <w:r>
              <w:rPr>
                <w:bCs/>
                <w:sz w:val="18"/>
                <w:szCs w:val="18"/>
              </w:rPr>
              <w:t>施工期洒水降尘，减少粉尘和扬尘的产生，维持空气质量现状《环境空气质量标准》（GB3095-2012）中二级标准；</w:t>
            </w:r>
          </w:p>
          <w:p w14:paraId="53C4D9BA">
            <w:pPr>
              <w:tabs>
                <w:tab w:val="clear" w:pos="480"/>
              </w:tabs>
              <w:spacing w:line="240" w:lineRule="auto"/>
              <w:ind w:firstLine="0" w:firstLineChars="0"/>
              <w:jc w:val="center"/>
              <w:rPr>
                <w:bCs/>
                <w:sz w:val="18"/>
                <w:szCs w:val="18"/>
              </w:rPr>
            </w:pPr>
            <w:r>
              <w:rPr>
                <w:bCs/>
                <w:sz w:val="18"/>
                <w:szCs w:val="18"/>
              </w:rPr>
              <w:t>禁止夜间施工，尽量维持声环境质量，达到《声环境质量标准》（GB3096-2008）中2类标准</w:t>
            </w:r>
          </w:p>
        </w:tc>
      </w:tr>
      <w:tr w14:paraId="55ABE7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vAlign w:val="center"/>
          </w:tcPr>
          <w:p w14:paraId="0488CAAD">
            <w:pPr>
              <w:tabs>
                <w:tab w:val="clear" w:pos="480"/>
              </w:tabs>
              <w:spacing w:line="240" w:lineRule="auto"/>
              <w:ind w:firstLine="0" w:firstLineChars="0"/>
              <w:jc w:val="center"/>
              <w:rPr>
                <w:sz w:val="18"/>
                <w:szCs w:val="18"/>
              </w:rPr>
            </w:pPr>
            <w:r>
              <w:rPr>
                <w:sz w:val="18"/>
                <w:szCs w:val="18"/>
              </w:rPr>
              <w:t>环洞村扶贫基地</w:t>
            </w:r>
          </w:p>
        </w:tc>
        <w:tc>
          <w:tcPr>
            <w:tcW w:w="443" w:type="pct"/>
            <w:vAlign w:val="center"/>
          </w:tcPr>
          <w:p w14:paraId="0ED3F61D">
            <w:pPr>
              <w:tabs>
                <w:tab w:val="clear" w:pos="480"/>
              </w:tabs>
              <w:spacing w:line="240" w:lineRule="auto"/>
              <w:ind w:firstLine="0" w:firstLineChars="0"/>
              <w:jc w:val="center"/>
              <w:rPr>
                <w:sz w:val="18"/>
                <w:szCs w:val="18"/>
              </w:rPr>
            </w:pPr>
            <w:r>
              <w:rPr>
                <w:sz w:val="18"/>
                <w:szCs w:val="18"/>
              </w:rPr>
              <w:t>112°31′19.31″</w:t>
            </w:r>
          </w:p>
        </w:tc>
        <w:tc>
          <w:tcPr>
            <w:tcW w:w="414" w:type="pct"/>
            <w:vAlign w:val="center"/>
          </w:tcPr>
          <w:p w14:paraId="749570E7">
            <w:pPr>
              <w:tabs>
                <w:tab w:val="clear" w:pos="480"/>
              </w:tabs>
              <w:spacing w:line="240" w:lineRule="auto"/>
              <w:ind w:firstLine="0" w:firstLineChars="0"/>
              <w:jc w:val="center"/>
              <w:rPr>
                <w:sz w:val="18"/>
                <w:szCs w:val="18"/>
              </w:rPr>
            </w:pPr>
            <w:r>
              <w:rPr>
                <w:sz w:val="18"/>
                <w:szCs w:val="18"/>
              </w:rPr>
              <w:t>27°8′29.15″</w:t>
            </w:r>
          </w:p>
        </w:tc>
        <w:tc>
          <w:tcPr>
            <w:tcW w:w="282" w:type="pct"/>
            <w:vAlign w:val="center"/>
          </w:tcPr>
          <w:p w14:paraId="24193ADE">
            <w:pPr>
              <w:tabs>
                <w:tab w:val="clear" w:pos="480"/>
              </w:tabs>
              <w:spacing w:line="240" w:lineRule="auto"/>
              <w:ind w:firstLine="0" w:firstLineChars="0"/>
              <w:jc w:val="center"/>
              <w:rPr>
                <w:sz w:val="18"/>
                <w:szCs w:val="18"/>
              </w:rPr>
            </w:pPr>
            <w:r>
              <w:rPr>
                <w:sz w:val="18"/>
                <w:szCs w:val="18"/>
              </w:rPr>
              <w:t>居民</w:t>
            </w:r>
          </w:p>
        </w:tc>
        <w:tc>
          <w:tcPr>
            <w:tcW w:w="369" w:type="pct"/>
            <w:vAlign w:val="center"/>
          </w:tcPr>
          <w:p w14:paraId="76F40E51">
            <w:pPr>
              <w:tabs>
                <w:tab w:val="clear" w:pos="480"/>
              </w:tabs>
              <w:spacing w:line="240" w:lineRule="auto"/>
              <w:ind w:firstLine="0" w:firstLineChars="0"/>
              <w:jc w:val="center"/>
              <w:rPr>
                <w:sz w:val="18"/>
                <w:szCs w:val="18"/>
              </w:rPr>
            </w:pPr>
            <w:r>
              <w:rPr>
                <w:sz w:val="18"/>
                <w:szCs w:val="18"/>
              </w:rPr>
              <w:t>1</w:t>
            </w:r>
          </w:p>
        </w:tc>
        <w:tc>
          <w:tcPr>
            <w:tcW w:w="352" w:type="pct"/>
            <w:vAlign w:val="center"/>
          </w:tcPr>
          <w:p w14:paraId="0BD6380F">
            <w:pPr>
              <w:tabs>
                <w:tab w:val="clear" w:pos="480"/>
              </w:tabs>
              <w:spacing w:line="240" w:lineRule="auto"/>
              <w:ind w:firstLine="0" w:firstLineChars="0"/>
              <w:jc w:val="center"/>
              <w:rPr>
                <w:sz w:val="18"/>
                <w:szCs w:val="18"/>
              </w:rPr>
            </w:pPr>
            <w:r>
              <w:rPr>
                <w:sz w:val="18"/>
                <w:szCs w:val="18"/>
              </w:rPr>
              <w:t>0</w:t>
            </w:r>
          </w:p>
        </w:tc>
        <w:tc>
          <w:tcPr>
            <w:tcW w:w="352" w:type="pct"/>
            <w:vAlign w:val="center"/>
          </w:tcPr>
          <w:p w14:paraId="34314A07">
            <w:pPr>
              <w:tabs>
                <w:tab w:val="clear" w:pos="480"/>
              </w:tabs>
              <w:spacing w:line="240" w:lineRule="auto"/>
              <w:ind w:firstLine="0" w:firstLineChars="0"/>
              <w:jc w:val="center"/>
              <w:rPr>
                <w:sz w:val="18"/>
                <w:szCs w:val="18"/>
              </w:rPr>
            </w:pPr>
            <w:r>
              <w:rPr>
                <w:sz w:val="18"/>
                <w:szCs w:val="18"/>
              </w:rPr>
              <w:t>0</w:t>
            </w:r>
          </w:p>
        </w:tc>
        <w:tc>
          <w:tcPr>
            <w:tcW w:w="301" w:type="pct"/>
            <w:vAlign w:val="center"/>
          </w:tcPr>
          <w:p w14:paraId="61F1B952">
            <w:pPr>
              <w:tabs>
                <w:tab w:val="clear" w:pos="480"/>
              </w:tabs>
              <w:spacing w:line="240" w:lineRule="auto"/>
              <w:ind w:firstLine="0" w:firstLineChars="0"/>
              <w:jc w:val="center"/>
              <w:rPr>
                <w:sz w:val="18"/>
                <w:szCs w:val="18"/>
              </w:rPr>
            </w:pPr>
            <w:r>
              <w:rPr>
                <w:sz w:val="18"/>
                <w:szCs w:val="18"/>
              </w:rPr>
              <w:t>二类区</w:t>
            </w:r>
          </w:p>
        </w:tc>
        <w:tc>
          <w:tcPr>
            <w:tcW w:w="752" w:type="pct"/>
            <w:vAlign w:val="center"/>
          </w:tcPr>
          <w:p w14:paraId="115F6345">
            <w:pPr>
              <w:tabs>
                <w:tab w:val="clear" w:pos="480"/>
              </w:tabs>
              <w:spacing w:line="240" w:lineRule="auto"/>
              <w:ind w:firstLine="0" w:firstLineChars="0"/>
              <w:jc w:val="center"/>
              <w:rPr>
                <w:sz w:val="18"/>
                <w:szCs w:val="18"/>
              </w:rPr>
            </w:pPr>
            <w:r>
              <w:rPr>
                <w:bCs/>
                <w:sz w:val="18"/>
                <w:szCs w:val="18"/>
              </w:rPr>
              <w:t>位于2#风机东北侧约250m，无山体阻隔</w:t>
            </w:r>
          </w:p>
        </w:tc>
        <w:tc>
          <w:tcPr>
            <w:tcW w:w="300" w:type="pct"/>
            <w:vAlign w:val="center"/>
          </w:tcPr>
          <w:p w14:paraId="137017CD">
            <w:pPr>
              <w:tabs>
                <w:tab w:val="clear" w:pos="480"/>
              </w:tabs>
              <w:spacing w:line="240" w:lineRule="auto"/>
              <w:ind w:firstLine="0" w:firstLineChars="0"/>
              <w:jc w:val="center"/>
              <w:rPr>
                <w:sz w:val="18"/>
                <w:szCs w:val="18"/>
              </w:rPr>
            </w:pPr>
            <w:r>
              <w:rPr>
                <w:sz w:val="18"/>
                <w:szCs w:val="18"/>
              </w:rPr>
              <w:t>10</w:t>
            </w:r>
          </w:p>
        </w:tc>
        <w:tc>
          <w:tcPr>
            <w:tcW w:w="351" w:type="pct"/>
            <w:vMerge w:val="continue"/>
            <w:vAlign w:val="center"/>
          </w:tcPr>
          <w:p w14:paraId="4E4DBCC2">
            <w:pPr>
              <w:tabs>
                <w:tab w:val="clear" w:pos="480"/>
              </w:tabs>
              <w:spacing w:line="240" w:lineRule="auto"/>
              <w:ind w:firstLine="0" w:firstLineChars="0"/>
              <w:jc w:val="center"/>
              <w:rPr>
                <w:sz w:val="18"/>
                <w:szCs w:val="18"/>
              </w:rPr>
            </w:pPr>
          </w:p>
        </w:tc>
        <w:tc>
          <w:tcPr>
            <w:tcW w:w="663" w:type="pct"/>
            <w:vMerge w:val="continue"/>
            <w:vAlign w:val="center"/>
          </w:tcPr>
          <w:p w14:paraId="174F3B8A">
            <w:pPr>
              <w:tabs>
                <w:tab w:val="clear" w:pos="480"/>
              </w:tabs>
              <w:spacing w:line="240" w:lineRule="auto"/>
              <w:ind w:firstLine="0" w:firstLineChars="0"/>
              <w:jc w:val="center"/>
              <w:rPr>
                <w:bCs/>
                <w:sz w:val="18"/>
                <w:szCs w:val="18"/>
              </w:rPr>
            </w:pPr>
          </w:p>
        </w:tc>
      </w:tr>
      <w:tr w14:paraId="3F251D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0" w:type="pct"/>
            <w:vAlign w:val="center"/>
          </w:tcPr>
          <w:p w14:paraId="3EDE5AC5">
            <w:pPr>
              <w:tabs>
                <w:tab w:val="clear" w:pos="480"/>
              </w:tabs>
              <w:spacing w:line="240" w:lineRule="auto"/>
              <w:ind w:firstLine="0" w:firstLineChars="0"/>
              <w:jc w:val="center"/>
              <w:rPr>
                <w:sz w:val="18"/>
                <w:szCs w:val="18"/>
              </w:rPr>
            </w:pPr>
            <w:r>
              <w:rPr>
                <w:sz w:val="18"/>
                <w:szCs w:val="18"/>
              </w:rPr>
              <w:t>仁皇村</w:t>
            </w:r>
          </w:p>
        </w:tc>
        <w:tc>
          <w:tcPr>
            <w:tcW w:w="443" w:type="pct"/>
            <w:vAlign w:val="center"/>
          </w:tcPr>
          <w:p w14:paraId="734D15E6">
            <w:pPr>
              <w:tabs>
                <w:tab w:val="clear" w:pos="480"/>
              </w:tabs>
              <w:spacing w:line="240" w:lineRule="auto"/>
              <w:ind w:firstLine="0" w:firstLineChars="0"/>
              <w:jc w:val="center"/>
              <w:rPr>
                <w:sz w:val="18"/>
                <w:szCs w:val="18"/>
              </w:rPr>
            </w:pPr>
            <w:r>
              <w:rPr>
                <w:sz w:val="18"/>
                <w:szCs w:val="18"/>
              </w:rPr>
              <w:t>112°30′34.83″</w:t>
            </w:r>
          </w:p>
        </w:tc>
        <w:tc>
          <w:tcPr>
            <w:tcW w:w="414" w:type="pct"/>
            <w:vAlign w:val="center"/>
          </w:tcPr>
          <w:p w14:paraId="6F4E0CB1">
            <w:pPr>
              <w:tabs>
                <w:tab w:val="clear" w:pos="480"/>
              </w:tabs>
              <w:spacing w:line="240" w:lineRule="auto"/>
              <w:ind w:firstLine="0" w:firstLineChars="0"/>
              <w:jc w:val="center"/>
              <w:rPr>
                <w:sz w:val="18"/>
                <w:szCs w:val="18"/>
              </w:rPr>
            </w:pPr>
            <w:r>
              <w:rPr>
                <w:sz w:val="18"/>
                <w:szCs w:val="18"/>
              </w:rPr>
              <w:t>27°6′45.45″</w:t>
            </w:r>
          </w:p>
        </w:tc>
        <w:tc>
          <w:tcPr>
            <w:tcW w:w="282" w:type="pct"/>
            <w:vAlign w:val="center"/>
          </w:tcPr>
          <w:p w14:paraId="2049D11F">
            <w:pPr>
              <w:tabs>
                <w:tab w:val="clear" w:pos="480"/>
              </w:tabs>
              <w:spacing w:line="240" w:lineRule="auto"/>
              <w:ind w:firstLine="0" w:firstLineChars="0"/>
              <w:jc w:val="center"/>
              <w:rPr>
                <w:sz w:val="18"/>
                <w:szCs w:val="18"/>
              </w:rPr>
            </w:pPr>
            <w:r>
              <w:rPr>
                <w:sz w:val="18"/>
                <w:szCs w:val="18"/>
              </w:rPr>
              <w:t>居民</w:t>
            </w:r>
          </w:p>
        </w:tc>
        <w:tc>
          <w:tcPr>
            <w:tcW w:w="369" w:type="pct"/>
            <w:vAlign w:val="center"/>
          </w:tcPr>
          <w:p w14:paraId="4AE85E9D">
            <w:pPr>
              <w:tabs>
                <w:tab w:val="clear" w:pos="480"/>
              </w:tabs>
              <w:spacing w:line="240" w:lineRule="auto"/>
              <w:ind w:firstLine="0" w:firstLineChars="0"/>
              <w:jc w:val="center"/>
              <w:rPr>
                <w:sz w:val="18"/>
                <w:szCs w:val="18"/>
              </w:rPr>
            </w:pPr>
            <w:r>
              <w:rPr>
                <w:sz w:val="18"/>
                <w:szCs w:val="18"/>
              </w:rPr>
              <w:t>0</w:t>
            </w:r>
          </w:p>
        </w:tc>
        <w:tc>
          <w:tcPr>
            <w:tcW w:w="352" w:type="pct"/>
            <w:vAlign w:val="center"/>
          </w:tcPr>
          <w:p w14:paraId="4F828A65">
            <w:pPr>
              <w:tabs>
                <w:tab w:val="clear" w:pos="480"/>
              </w:tabs>
              <w:spacing w:line="240" w:lineRule="auto"/>
              <w:ind w:firstLine="0" w:firstLineChars="0"/>
              <w:jc w:val="center"/>
              <w:rPr>
                <w:sz w:val="18"/>
                <w:szCs w:val="18"/>
              </w:rPr>
            </w:pPr>
            <w:r>
              <w:rPr>
                <w:sz w:val="18"/>
                <w:szCs w:val="18"/>
              </w:rPr>
              <w:t>1</w:t>
            </w:r>
          </w:p>
        </w:tc>
        <w:tc>
          <w:tcPr>
            <w:tcW w:w="352" w:type="pct"/>
            <w:vAlign w:val="center"/>
          </w:tcPr>
          <w:p w14:paraId="5E042AF8">
            <w:pPr>
              <w:tabs>
                <w:tab w:val="clear" w:pos="480"/>
              </w:tabs>
              <w:spacing w:line="240" w:lineRule="auto"/>
              <w:ind w:firstLine="0" w:firstLineChars="0"/>
              <w:jc w:val="center"/>
              <w:rPr>
                <w:sz w:val="18"/>
                <w:szCs w:val="18"/>
              </w:rPr>
            </w:pPr>
            <w:r>
              <w:rPr>
                <w:sz w:val="18"/>
                <w:szCs w:val="18"/>
              </w:rPr>
              <w:t>0</w:t>
            </w:r>
          </w:p>
        </w:tc>
        <w:tc>
          <w:tcPr>
            <w:tcW w:w="301" w:type="pct"/>
            <w:vAlign w:val="center"/>
          </w:tcPr>
          <w:p w14:paraId="60F1439C">
            <w:pPr>
              <w:tabs>
                <w:tab w:val="clear" w:pos="480"/>
              </w:tabs>
              <w:spacing w:line="240" w:lineRule="auto"/>
              <w:ind w:firstLine="0" w:firstLineChars="0"/>
              <w:jc w:val="center"/>
              <w:rPr>
                <w:sz w:val="18"/>
                <w:szCs w:val="18"/>
              </w:rPr>
            </w:pPr>
            <w:r>
              <w:rPr>
                <w:sz w:val="18"/>
                <w:szCs w:val="18"/>
              </w:rPr>
              <w:t>二类区</w:t>
            </w:r>
          </w:p>
        </w:tc>
        <w:tc>
          <w:tcPr>
            <w:tcW w:w="752" w:type="pct"/>
            <w:vAlign w:val="center"/>
          </w:tcPr>
          <w:p w14:paraId="22BB9782">
            <w:pPr>
              <w:tabs>
                <w:tab w:val="clear" w:pos="480"/>
              </w:tabs>
              <w:spacing w:line="240" w:lineRule="auto"/>
              <w:ind w:firstLine="0" w:firstLineChars="0"/>
              <w:jc w:val="center"/>
              <w:rPr>
                <w:sz w:val="18"/>
                <w:szCs w:val="18"/>
              </w:rPr>
            </w:pPr>
            <w:r>
              <w:rPr>
                <w:bCs/>
                <w:sz w:val="18"/>
                <w:szCs w:val="18"/>
              </w:rPr>
              <w:t>位于6#风机西南侧约330m，有山体阻隔</w:t>
            </w:r>
          </w:p>
        </w:tc>
        <w:tc>
          <w:tcPr>
            <w:tcW w:w="300" w:type="pct"/>
            <w:vAlign w:val="center"/>
          </w:tcPr>
          <w:p w14:paraId="11B015EB">
            <w:pPr>
              <w:tabs>
                <w:tab w:val="clear" w:pos="480"/>
              </w:tabs>
              <w:spacing w:line="240" w:lineRule="auto"/>
              <w:ind w:firstLine="0" w:firstLineChars="0"/>
              <w:jc w:val="center"/>
              <w:rPr>
                <w:sz w:val="18"/>
                <w:szCs w:val="18"/>
              </w:rPr>
            </w:pPr>
            <w:r>
              <w:rPr>
                <w:sz w:val="18"/>
                <w:szCs w:val="18"/>
              </w:rPr>
              <w:t>123</w:t>
            </w:r>
          </w:p>
        </w:tc>
        <w:tc>
          <w:tcPr>
            <w:tcW w:w="351" w:type="pct"/>
            <w:vMerge w:val="continue"/>
            <w:vAlign w:val="center"/>
          </w:tcPr>
          <w:p w14:paraId="2B459AFC">
            <w:pPr>
              <w:tabs>
                <w:tab w:val="clear" w:pos="480"/>
              </w:tabs>
              <w:spacing w:line="240" w:lineRule="auto"/>
              <w:ind w:firstLine="0" w:firstLineChars="0"/>
              <w:jc w:val="center"/>
              <w:rPr>
                <w:sz w:val="18"/>
                <w:szCs w:val="18"/>
              </w:rPr>
            </w:pPr>
          </w:p>
        </w:tc>
        <w:tc>
          <w:tcPr>
            <w:tcW w:w="663" w:type="pct"/>
            <w:vMerge w:val="continue"/>
            <w:vAlign w:val="center"/>
          </w:tcPr>
          <w:p w14:paraId="28577B62">
            <w:pPr>
              <w:tabs>
                <w:tab w:val="clear" w:pos="480"/>
              </w:tabs>
              <w:spacing w:line="240" w:lineRule="auto"/>
              <w:ind w:firstLine="0" w:firstLineChars="0"/>
              <w:jc w:val="center"/>
              <w:rPr>
                <w:bCs/>
                <w:sz w:val="18"/>
                <w:szCs w:val="18"/>
              </w:rPr>
            </w:pPr>
          </w:p>
        </w:tc>
      </w:tr>
    </w:tbl>
    <w:p w14:paraId="0DDCC7CD">
      <w:pPr>
        <w:tabs>
          <w:tab w:val="clear" w:pos="480"/>
        </w:tabs>
        <w:adjustRightInd w:val="0"/>
        <w:snapToGrid w:val="0"/>
        <w:spacing w:line="240" w:lineRule="auto"/>
        <w:ind w:firstLine="0" w:firstLineChars="0"/>
        <w:jc w:val="center"/>
        <w:rPr>
          <w:b/>
          <w:bCs/>
        </w:rPr>
      </w:pPr>
      <w:r>
        <w:rPr>
          <w:rFonts w:hint="eastAsia"/>
          <w:b/>
          <w:bCs/>
        </w:rPr>
        <w:t>表</w:t>
      </w:r>
      <w:r>
        <w:rPr>
          <w:b/>
          <w:bCs/>
        </w:rPr>
        <w:t>2.6</w:t>
      </w:r>
      <w:r>
        <w:rPr>
          <w:rFonts w:hint="eastAsia"/>
          <w:b/>
          <w:bCs/>
        </w:rPr>
        <w:t>-</w:t>
      </w:r>
      <w:r>
        <w:rPr>
          <w:b/>
          <w:bCs/>
        </w:rPr>
        <w:t xml:space="preserve">5 </w:t>
      </w:r>
      <w:r>
        <w:rPr>
          <w:rFonts w:hint="eastAsia"/>
          <w:b/>
          <w:bCs/>
        </w:rPr>
        <w:t>声环境、大气环境保护目标表——道路周边2</w:t>
      </w:r>
      <w:r>
        <w:rPr>
          <w:b/>
          <w:bCs/>
        </w:rPr>
        <w:t>00</w:t>
      </w:r>
      <w:r>
        <w:rPr>
          <w:rFonts w:hint="eastAsia"/>
          <w:b/>
          <w:bCs/>
        </w:rPr>
        <w:t>m范围内</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1452"/>
        <w:gridCol w:w="1213"/>
        <w:gridCol w:w="995"/>
        <w:gridCol w:w="1769"/>
        <w:gridCol w:w="1323"/>
        <w:gridCol w:w="2502"/>
        <w:gridCol w:w="1618"/>
        <w:gridCol w:w="3025"/>
      </w:tblGrid>
      <w:tr w14:paraId="249025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restart"/>
            <w:vAlign w:val="center"/>
          </w:tcPr>
          <w:p w14:paraId="69E9BA65">
            <w:pPr>
              <w:spacing w:line="240" w:lineRule="auto"/>
              <w:ind w:firstLine="0" w:firstLineChars="0"/>
              <w:jc w:val="center"/>
              <w:rPr>
                <w:sz w:val="18"/>
                <w:szCs w:val="18"/>
              </w:rPr>
            </w:pPr>
            <w:r>
              <w:rPr>
                <w:sz w:val="18"/>
                <w:szCs w:val="18"/>
              </w:rPr>
              <w:t>名称</w:t>
            </w:r>
          </w:p>
        </w:tc>
        <w:tc>
          <w:tcPr>
            <w:tcW w:w="868" w:type="pct"/>
            <w:gridSpan w:val="2"/>
            <w:vAlign w:val="center"/>
          </w:tcPr>
          <w:p w14:paraId="46A09400">
            <w:pPr>
              <w:spacing w:line="240" w:lineRule="auto"/>
              <w:ind w:firstLine="0" w:firstLineChars="0"/>
              <w:jc w:val="center"/>
              <w:rPr>
                <w:sz w:val="18"/>
                <w:szCs w:val="18"/>
              </w:rPr>
            </w:pPr>
            <w:r>
              <w:rPr>
                <w:sz w:val="18"/>
                <w:szCs w:val="18"/>
              </w:rPr>
              <w:t>坐标</w:t>
            </w:r>
          </w:p>
        </w:tc>
        <w:tc>
          <w:tcPr>
            <w:tcW w:w="324" w:type="pct"/>
            <w:vMerge w:val="restart"/>
            <w:vAlign w:val="center"/>
          </w:tcPr>
          <w:p w14:paraId="195A9FA4">
            <w:pPr>
              <w:spacing w:line="240" w:lineRule="auto"/>
              <w:ind w:firstLine="0" w:firstLineChars="0"/>
              <w:jc w:val="center"/>
              <w:rPr>
                <w:sz w:val="18"/>
                <w:szCs w:val="18"/>
              </w:rPr>
            </w:pPr>
            <w:r>
              <w:rPr>
                <w:sz w:val="18"/>
                <w:szCs w:val="18"/>
              </w:rPr>
              <w:t>保护对象</w:t>
            </w:r>
          </w:p>
        </w:tc>
        <w:tc>
          <w:tcPr>
            <w:tcW w:w="576" w:type="pct"/>
            <w:vMerge w:val="restart"/>
            <w:vAlign w:val="center"/>
          </w:tcPr>
          <w:p w14:paraId="44AB0FAC">
            <w:pPr>
              <w:spacing w:line="240" w:lineRule="auto"/>
              <w:ind w:firstLine="0" w:firstLineChars="0"/>
              <w:jc w:val="center"/>
              <w:rPr>
                <w:sz w:val="18"/>
                <w:szCs w:val="18"/>
              </w:rPr>
            </w:pPr>
            <w:r>
              <w:rPr>
                <w:sz w:val="18"/>
                <w:szCs w:val="18"/>
              </w:rPr>
              <w:t>200m范围内户数</w:t>
            </w:r>
          </w:p>
        </w:tc>
        <w:tc>
          <w:tcPr>
            <w:tcW w:w="431" w:type="pct"/>
            <w:vMerge w:val="restart"/>
            <w:vAlign w:val="center"/>
          </w:tcPr>
          <w:p w14:paraId="7185230E">
            <w:pPr>
              <w:spacing w:line="240" w:lineRule="auto"/>
              <w:ind w:firstLine="0" w:firstLineChars="0"/>
              <w:jc w:val="center"/>
              <w:rPr>
                <w:sz w:val="18"/>
                <w:szCs w:val="18"/>
              </w:rPr>
            </w:pPr>
            <w:r>
              <w:rPr>
                <w:sz w:val="18"/>
                <w:szCs w:val="18"/>
              </w:rPr>
              <w:t>环境功能区</w:t>
            </w:r>
          </w:p>
        </w:tc>
        <w:tc>
          <w:tcPr>
            <w:tcW w:w="815" w:type="pct"/>
            <w:vMerge w:val="restart"/>
            <w:vAlign w:val="center"/>
          </w:tcPr>
          <w:p w14:paraId="1B9ECDAB">
            <w:pPr>
              <w:spacing w:line="240" w:lineRule="auto"/>
              <w:ind w:firstLine="0" w:firstLineChars="0"/>
              <w:jc w:val="center"/>
              <w:rPr>
                <w:sz w:val="18"/>
                <w:szCs w:val="18"/>
              </w:rPr>
            </w:pPr>
            <w:r>
              <w:rPr>
                <w:sz w:val="18"/>
                <w:szCs w:val="18"/>
              </w:rPr>
              <w:t>与本项目位置关系</w:t>
            </w:r>
          </w:p>
        </w:tc>
        <w:tc>
          <w:tcPr>
            <w:tcW w:w="527" w:type="pct"/>
            <w:vMerge w:val="restart"/>
            <w:vAlign w:val="center"/>
          </w:tcPr>
          <w:p w14:paraId="3644DD15">
            <w:pPr>
              <w:spacing w:line="240" w:lineRule="auto"/>
              <w:ind w:firstLine="0" w:firstLineChars="0"/>
              <w:jc w:val="center"/>
              <w:rPr>
                <w:sz w:val="18"/>
                <w:szCs w:val="18"/>
              </w:rPr>
            </w:pPr>
            <w:r>
              <w:rPr>
                <w:sz w:val="18"/>
                <w:szCs w:val="18"/>
              </w:rPr>
              <w:t>影响时段</w:t>
            </w:r>
          </w:p>
        </w:tc>
        <w:tc>
          <w:tcPr>
            <w:tcW w:w="985" w:type="pct"/>
            <w:vMerge w:val="restart"/>
            <w:vAlign w:val="center"/>
          </w:tcPr>
          <w:p w14:paraId="0AE23ECE">
            <w:pPr>
              <w:spacing w:line="240" w:lineRule="auto"/>
              <w:ind w:firstLine="0" w:firstLineChars="0"/>
              <w:jc w:val="center"/>
              <w:rPr>
                <w:sz w:val="18"/>
                <w:szCs w:val="18"/>
              </w:rPr>
            </w:pPr>
            <w:r>
              <w:rPr>
                <w:sz w:val="18"/>
                <w:szCs w:val="18"/>
              </w:rPr>
              <w:t>保护要求</w:t>
            </w:r>
          </w:p>
        </w:tc>
      </w:tr>
      <w:tr w14:paraId="20D27A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Merge w:val="continue"/>
            <w:vAlign w:val="center"/>
          </w:tcPr>
          <w:p w14:paraId="490CAF32">
            <w:pPr>
              <w:spacing w:line="240" w:lineRule="auto"/>
              <w:ind w:firstLine="0" w:firstLineChars="0"/>
              <w:jc w:val="center"/>
              <w:rPr>
                <w:sz w:val="18"/>
                <w:szCs w:val="18"/>
              </w:rPr>
            </w:pPr>
          </w:p>
        </w:tc>
        <w:tc>
          <w:tcPr>
            <w:tcW w:w="473" w:type="pct"/>
            <w:vAlign w:val="center"/>
          </w:tcPr>
          <w:p w14:paraId="06A9FBCA">
            <w:pPr>
              <w:spacing w:line="240" w:lineRule="auto"/>
              <w:ind w:firstLine="0" w:firstLineChars="0"/>
              <w:jc w:val="center"/>
              <w:rPr>
                <w:sz w:val="18"/>
                <w:szCs w:val="18"/>
              </w:rPr>
            </w:pPr>
            <w:r>
              <w:rPr>
                <w:sz w:val="18"/>
                <w:szCs w:val="18"/>
              </w:rPr>
              <w:t>纬度</w:t>
            </w:r>
          </w:p>
        </w:tc>
        <w:tc>
          <w:tcPr>
            <w:tcW w:w="395" w:type="pct"/>
            <w:vAlign w:val="center"/>
          </w:tcPr>
          <w:p w14:paraId="422D3A11">
            <w:pPr>
              <w:spacing w:line="240" w:lineRule="auto"/>
              <w:ind w:firstLine="0" w:firstLineChars="0"/>
              <w:jc w:val="center"/>
              <w:rPr>
                <w:sz w:val="18"/>
                <w:szCs w:val="18"/>
              </w:rPr>
            </w:pPr>
            <w:r>
              <w:rPr>
                <w:sz w:val="18"/>
                <w:szCs w:val="18"/>
              </w:rPr>
              <w:t>纬度</w:t>
            </w:r>
          </w:p>
        </w:tc>
        <w:tc>
          <w:tcPr>
            <w:tcW w:w="324" w:type="pct"/>
            <w:vMerge w:val="continue"/>
            <w:vAlign w:val="center"/>
          </w:tcPr>
          <w:p w14:paraId="5C19752B">
            <w:pPr>
              <w:spacing w:line="240" w:lineRule="auto"/>
              <w:ind w:firstLine="0" w:firstLineChars="0"/>
              <w:jc w:val="center"/>
              <w:rPr>
                <w:sz w:val="18"/>
                <w:szCs w:val="18"/>
              </w:rPr>
            </w:pPr>
          </w:p>
        </w:tc>
        <w:tc>
          <w:tcPr>
            <w:tcW w:w="576" w:type="pct"/>
            <w:vMerge w:val="continue"/>
            <w:vAlign w:val="center"/>
          </w:tcPr>
          <w:p w14:paraId="57B0C80A">
            <w:pPr>
              <w:spacing w:line="240" w:lineRule="auto"/>
              <w:ind w:firstLine="0" w:firstLineChars="0"/>
              <w:jc w:val="center"/>
              <w:rPr>
                <w:sz w:val="18"/>
                <w:szCs w:val="18"/>
              </w:rPr>
            </w:pPr>
          </w:p>
        </w:tc>
        <w:tc>
          <w:tcPr>
            <w:tcW w:w="431" w:type="pct"/>
            <w:vMerge w:val="continue"/>
            <w:vAlign w:val="center"/>
          </w:tcPr>
          <w:p w14:paraId="33F7042C">
            <w:pPr>
              <w:spacing w:line="240" w:lineRule="auto"/>
              <w:ind w:firstLine="0" w:firstLineChars="0"/>
              <w:jc w:val="center"/>
              <w:rPr>
                <w:sz w:val="18"/>
                <w:szCs w:val="18"/>
              </w:rPr>
            </w:pPr>
          </w:p>
        </w:tc>
        <w:tc>
          <w:tcPr>
            <w:tcW w:w="815" w:type="pct"/>
            <w:vMerge w:val="continue"/>
            <w:vAlign w:val="center"/>
          </w:tcPr>
          <w:p w14:paraId="2667CBFA">
            <w:pPr>
              <w:spacing w:line="240" w:lineRule="auto"/>
              <w:ind w:firstLine="0" w:firstLineChars="0"/>
              <w:jc w:val="center"/>
              <w:rPr>
                <w:sz w:val="18"/>
                <w:szCs w:val="18"/>
              </w:rPr>
            </w:pPr>
          </w:p>
        </w:tc>
        <w:tc>
          <w:tcPr>
            <w:tcW w:w="527" w:type="pct"/>
            <w:vMerge w:val="continue"/>
            <w:vAlign w:val="center"/>
          </w:tcPr>
          <w:p w14:paraId="7708EDF0">
            <w:pPr>
              <w:spacing w:line="240" w:lineRule="auto"/>
              <w:ind w:firstLine="0" w:firstLineChars="0"/>
              <w:jc w:val="center"/>
              <w:rPr>
                <w:sz w:val="18"/>
                <w:szCs w:val="18"/>
              </w:rPr>
            </w:pPr>
          </w:p>
        </w:tc>
        <w:tc>
          <w:tcPr>
            <w:tcW w:w="985" w:type="pct"/>
            <w:vMerge w:val="continue"/>
            <w:vAlign w:val="center"/>
          </w:tcPr>
          <w:p w14:paraId="2C9D1244">
            <w:pPr>
              <w:spacing w:line="240" w:lineRule="auto"/>
              <w:ind w:firstLine="0" w:firstLineChars="0"/>
              <w:jc w:val="center"/>
              <w:rPr>
                <w:sz w:val="18"/>
                <w:szCs w:val="18"/>
              </w:rPr>
            </w:pPr>
          </w:p>
        </w:tc>
      </w:tr>
      <w:tr w14:paraId="0B6CD5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Align w:val="center"/>
          </w:tcPr>
          <w:p w14:paraId="45BC96A8">
            <w:pPr>
              <w:spacing w:line="240" w:lineRule="auto"/>
              <w:ind w:firstLine="0" w:firstLineChars="0"/>
              <w:jc w:val="center"/>
              <w:rPr>
                <w:sz w:val="18"/>
                <w:szCs w:val="18"/>
              </w:rPr>
            </w:pPr>
            <w:r>
              <w:rPr>
                <w:sz w:val="18"/>
                <w:szCs w:val="18"/>
              </w:rPr>
              <w:t>羊角冲居民点</w:t>
            </w:r>
          </w:p>
        </w:tc>
        <w:tc>
          <w:tcPr>
            <w:tcW w:w="473" w:type="pct"/>
            <w:vAlign w:val="center"/>
          </w:tcPr>
          <w:p w14:paraId="6EEC829F">
            <w:pPr>
              <w:spacing w:line="240" w:lineRule="auto"/>
              <w:ind w:firstLine="0" w:firstLineChars="0"/>
              <w:jc w:val="center"/>
              <w:rPr>
                <w:sz w:val="18"/>
                <w:szCs w:val="18"/>
              </w:rPr>
            </w:pPr>
            <w:r>
              <w:rPr>
                <w:sz w:val="18"/>
                <w:szCs w:val="18"/>
              </w:rPr>
              <w:t>112°30′30.94″</w:t>
            </w:r>
          </w:p>
        </w:tc>
        <w:tc>
          <w:tcPr>
            <w:tcW w:w="395" w:type="pct"/>
            <w:vAlign w:val="center"/>
          </w:tcPr>
          <w:p w14:paraId="025BF491">
            <w:pPr>
              <w:spacing w:line="240" w:lineRule="auto"/>
              <w:ind w:firstLine="0" w:firstLineChars="0"/>
              <w:jc w:val="center"/>
              <w:rPr>
                <w:sz w:val="18"/>
                <w:szCs w:val="18"/>
              </w:rPr>
            </w:pPr>
            <w:r>
              <w:rPr>
                <w:sz w:val="18"/>
                <w:szCs w:val="18"/>
              </w:rPr>
              <w:t>27°10′42.61″</w:t>
            </w:r>
          </w:p>
        </w:tc>
        <w:tc>
          <w:tcPr>
            <w:tcW w:w="324" w:type="pct"/>
            <w:vAlign w:val="center"/>
          </w:tcPr>
          <w:p w14:paraId="1CC21A3F">
            <w:pPr>
              <w:spacing w:line="240" w:lineRule="auto"/>
              <w:ind w:firstLine="0" w:firstLineChars="0"/>
              <w:jc w:val="center"/>
              <w:rPr>
                <w:sz w:val="18"/>
                <w:szCs w:val="18"/>
              </w:rPr>
            </w:pPr>
            <w:r>
              <w:rPr>
                <w:sz w:val="18"/>
                <w:szCs w:val="18"/>
              </w:rPr>
              <w:t>居民</w:t>
            </w:r>
          </w:p>
        </w:tc>
        <w:tc>
          <w:tcPr>
            <w:tcW w:w="576" w:type="pct"/>
            <w:vAlign w:val="center"/>
          </w:tcPr>
          <w:p w14:paraId="5D75A5E0">
            <w:pPr>
              <w:spacing w:line="240" w:lineRule="auto"/>
              <w:ind w:firstLine="0" w:firstLineChars="0"/>
              <w:jc w:val="center"/>
              <w:rPr>
                <w:sz w:val="18"/>
                <w:szCs w:val="18"/>
              </w:rPr>
            </w:pPr>
            <w:r>
              <w:rPr>
                <w:sz w:val="18"/>
                <w:szCs w:val="18"/>
              </w:rPr>
              <w:t>约15户，分散居住</w:t>
            </w:r>
          </w:p>
        </w:tc>
        <w:tc>
          <w:tcPr>
            <w:tcW w:w="431" w:type="pct"/>
            <w:vAlign w:val="center"/>
          </w:tcPr>
          <w:p w14:paraId="05695BB2">
            <w:pPr>
              <w:spacing w:line="240" w:lineRule="auto"/>
              <w:ind w:firstLine="0" w:firstLineChars="0"/>
              <w:jc w:val="center"/>
              <w:rPr>
                <w:sz w:val="18"/>
                <w:szCs w:val="18"/>
              </w:rPr>
            </w:pPr>
            <w:r>
              <w:rPr>
                <w:sz w:val="18"/>
                <w:szCs w:val="18"/>
              </w:rPr>
              <w:t>二类区</w:t>
            </w:r>
          </w:p>
        </w:tc>
        <w:tc>
          <w:tcPr>
            <w:tcW w:w="815" w:type="pct"/>
            <w:vAlign w:val="center"/>
          </w:tcPr>
          <w:p w14:paraId="35EF5C8F">
            <w:pPr>
              <w:spacing w:line="240" w:lineRule="auto"/>
              <w:ind w:firstLine="0" w:firstLineChars="0"/>
              <w:jc w:val="center"/>
              <w:rPr>
                <w:sz w:val="18"/>
                <w:szCs w:val="18"/>
              </w:rPr>
            </w:pPr>
            <w:r>
              <w:rPr>
                <w:sz w:val="18"/>
                <w:szCs w:val="18"/>
              </w:rPr>
              <w:t>1#风机进场道路两侧最近约10m，无山体阻隔</w:t>
            </w:r>
          </w:p>
        </w:tc>
        <w:tc>
          <w:tcPr>
            <w:tcW w:w="527" w:type="pct"/>
            <w:vMerge w:val="restart"/>
            <w:vAlign w:val="center"/>
          </w:tcPr>
          <w:p w14:paraId="3ABEA9D3">
            <w:pPr>
              <w:spacing w:line="240" w:lineRule="auto"/>
              <w:ind w:firstLine="0" w:firstLineChars="0"/>
              <w:jc w:val="center"/>
              <w:rPr>
                <w:sz w:val="18"/>
                <w:szCs w:val="18"/>
              </w:rPr>
            </w:pPr>
            <w:r>
              <w:rPr>
                <w:bCs/>
                <w:sz w:val="18"/>
                <w:szCs w:val="18"/>
              </w:rPr>
              <w:t>施工期：机械设备运行和车辆运输废气</w:t>
            </w:r>
          </w:p>
        </w:tc>
        <w:tc>
          <w:tcPr>
            <w:tcW w:w="985" w:type="pct"/>
            <w:vMerge w:val="restart"/>
            <w:vAlign w:val="center"/>
          </w:tcPr>
          <w:p w14:paraId="3F85CF41">
            <w:pPr>
              <w:spacing w:line="240" w:lineRule="auto"/>
              <w:ind w:firstLine="0" w:firstLineChars="0"/>
              <w:jc w:val="center"/>
              <w:rPr>
                <w:sz w:val="18"/>
                <w:szCs w:val="18"/>
              </w:rPr>
            </w:pPr>
            <w:r>
              <w:rPr>
                <w:bCs/>
                <w:sz w:val="18"/>
                <w:szCs w:val="18"/>
              </w:rPr>
              <w:t>施工期洒水降尘，减少粉尘和扬尘的产生，维持空气质量现状《环境空气质量标准》（GB3095-2012）中二级标准；禁止夜间施工，尽量维持声环境质量，达到《声环境质量标准》（GB3096-2008）中2类标准</w:t>
            </w:r>
          </w:p>
        </w:tc>
      </w:tr>
      <w:tr w14:paraId="08968D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Align w:val="center"/>
          </w:tcPr>
          <w:p w14:paraId="6934E393">
            <w:pPr>
              <w:spacing w:line="240" w:lineRule="auto"/>
              <w:ind w:firstLine="0" w:firstLineChars="0"/>
              <w:jc w:val="center"/>
              <w:rPr>
                <w:sz w:val="18"/>
                <w:szCs w:val="18"/>
              </w:rPr>
            </w:pPr>
            <w:r>
              <w:rPr>
                <w:sz w:val="18"/>
                <w:szCs w:val="18"/>
              </w:rPr>
              <w:t>元冲居民点</w:t>
            </w:r>
          </w:p>
        </w:tc>
        <w:tc>
          <w:tcPr>
            <w:tcW w:w="473" w:type="pct"/>
            <w:vAlign w:val="center"/>
          </w:tcPr>
          <w:p w14:paraId="2D0B7889">
            <w:pPr>
              <w:spacing w:line="240" w:lineRule="auto"/>
              <w:ind w:firstLine="0" w:firstLineChars="0"/>
              <w:jc w:val="center"/>
              <w:rPr>
                <w:sz w:val="18"/>
                <w:szCs w:val="18"/>
              </w:rPr>
            </w:pPr>
            <w:r>
              <w:rPr>
                <w:sz w:val="18"/>
                <w:szCs w:val="18"/>
              </w:rPr>
              <w:t>112°32′26.25″</w:t>
            </w:r>
          </w:p>
        </w:tc>
        <w:tc>
          <w:tcPr>
            <w:tcW w:w="395" w:type="pct"/>
            <w:vAlign w:val="center"/>
          </w:tcPr>
          <w:p w14:paraId="2C1BFC75">
            <w:pPr>
              <w:spacing w:line="240" w:lineRule="auto"/>
              <w:ind w:firstLine="0" w:firstLineChars="0"/>
              <w:jc w:val="center"/>
              <w:rPr>
                <w:sz w:val="18"/>
                <w:szCs w:val="18"/>
              </w:rPr>
            </w:pPr>
            <w:r>
              <w:rPr>
                <w:sz w:val="18"/>
                <w:szCs w:val="18"/>
              </w:rPr>
              <w:t>27°7′41.91″</w:t>
            </w:r>
          </w:p>
        </w:tc>
        <w:tc>
          <w:tcPr>
            <w:tcW w:w="324" w:type="pct"/>
            <w:vAlign w:val="center"/>
          </w:tcPr>
          <w:p w14:paraId="48B0E26E">
            <w:pPr>
              <w:spacing w:line="240" w:lineRule="auto"/>
              <w:ind w:firstLine="0" w:firstLineChars="0"/>
              <w:jc w:val="center"/>
              <w:rPr>
                <w:sz w:val="18"/>
                <w:szCs w:val="18"/>
              </w:rPr>
            </w:pPr>
            <w:r>
              <w:rPr>
                <w:sz w:val="18"/>
                <w:szCs w:val="18"/>
              </w:rPr>
              <w:t>居民</w:t>
            </w:r>
          </w:p>
        </w:tc>
        <w:tc>
          <w:tcPr>
            <w:tcW w:w="576" w:type="pct"/>
            <w:vAlign w:val="center"/>
          </w:tcPr>
          <w:p w14:paraId="44EB6C34">
            <w:pPr>
              <w:spacing w:line="240" w:lineRule="auto"/>
              <w:ind w:firstLine="0" w:firstLineChars="0"/>
              <w:jc w:val="center"/>
              <w:rPr>
                <w:sz w:val="18"/>
                <w:szCs w:val="18"/>
              </w:rPr>
            </w:pPr>
            <w:r>
              <w:rPr>
                <w:sz w:val="18"/>
                <w:szCs w:val="18"/>
              </w:rPr>
              <w:t>约12户，分散居住</w:t>
            </w:r>
          </w:p>
        </w:tc>
        <w:tc>
          <w:tcPr>
            <w:tcW w:w="431" w:type="pct"/>
            <w:vAlign w:val="center"/>
          </w:tcPr>
          <w:p w14:paraId="16A2E35B">
            <w:pPr>
              <w:spacing w:line="240" w:lineRule="auto"/>
              <w:ind w:firstLine="0" w:firstLineChars="0"/>
              <w:jc w:val="center"/>
              <w:rPr>
                <w:sz w:val="18"/>
                <w:szCs w:val="18"/>
              </w:rPr>
            </w:pPr>
            <w:r>
              <w:rPr>
                <w:sz w:val="18"/>
                <w:szCs w:val="18"/>
              </w:rPr>
              <w:t>二类区</w:t>
            </w:r>
          </w:p>
        </w:tc>
        <w:tc>
          <w:tcPr>
            <w:tcW w:w="815" w:type="pct"/>
            <w:vAlign w:val="center"/>
          </w:tcPr>
          <w:p w14:paraId="01F8D315">
            <w:pPr>
              <w:spacing w:line="240" w:lineRule="auto"/>
              <w:ind w:firstLine="0" w:firstLineChars="0"/>
              <w:jc w:val="center"/>
              <w:rPr>
                <w:sz w:val="18"/>
                <w:szCs w:val="18"/>
              </w:rPr>
            </w:pPr>
            <w:r>
              <w:rPr>
                <w:sz w:val="18"/>
                <w:szCs w:val="18"/>
              </w:rPr>
              <w:t>9#风机</w:t>
            </w:r>
            <w:r>
              <w:rPr>
                <w:rFonts w:hint="eastAsia"/>
                <w:sz w:val="18"/>
                <w:szCs w:val="18"/>
              </w:rPr>
              <w:t>改建</w:t>
            </w:r>
            <w:r>
              <w:rPr>
                <w:sz w:val="18"/>
                <w:szCs w:val="18"/>
              </w:rPr>
              <w:t>场内道路两侧最近约10m，无山体阻隔</w:t>
            </w:r>
          </w:p>
        </w:tc>
        <w:tc>
          <w:tcPr>
            <w:tcW w:w="527" w:type="pct"/>
            <w:vMerge w:val="continue"/>
            <w:vAlign w:val="center"/>
          </w:tcPr>
          <w:p w14:paraId="41C688DF">
            <w:pPr>
              <w:spacing w:line="240" w:lineRule="auto"/>
              <w:ind w:firstLine="0" w:firstLineChars="0"/>
              <w:jc w:val="center"/>
              <w:rPr>
                <w:sz w:val="18"/>
                <w:szCs w:val="18"/>
              </w:rPr>
            </w:pPr>
          </w:p>
        </w:tc>
        <w:tc>
          <w:tcPr>
            <w:tcW w:w="985" w:type="pct"/>
            <w:vMerge w:val="continue"/>
            <w:vAlign w:val="center"/>
          </w:tcPr>
          <w:p w14:paraId="787DAE59">
            <w:pPr>
              <w:spacing w:line="240" w:lineRule="auto"/>
              <w:ind w:firstLine="0" w:firstLineChars="0"/>
              <w:jc w:val="center"/>
              <w:rPr>
                <w:sz w:val="18"/>
                <w:szCs w:val="18"/>
              </w:rPr>
            </w:pPr>
          </w:p>
        </w:tc>
      </w:tr>
      <w:tr w14:paraId="66CAC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vAlign w:val="center"/>
          </w:tcPr>
          <w:p w14:paraId="12B6F43A">
            <w:pPr>
              <w:spacing w:line="240" w:lineRule="auto"/>
              <w:ind w:firstLine="0" w:firstLineChars="0"/>
              <w:jc w:val="center"/>
              <w:rPr>
                <w:sz w:val="18"/>
                <w:szCs w:val="18"/>
              </w:rPr>
            </w:pPr>
            <w:r>
              <w:rPr>
                <w:sz w:val="18"/>
                <w:szCs w:val="18"/>
              </w:rPr>
              <w:t>大湾居民点</w:t>
            </w:r>
          </w:p>
        </w:tc>
        <w:tc>
          <w:tcPr>
            <w:tcW w:w="473" w:type="pct"/>
            <w:vAlign w:val="center"/>
          </w:tcPr>
          <w:p w14:paraId="0FC40C39">
            <w:pPr>
              <w:spacing w:line="240" w:lineRule="auto"/>
              <w:ind w:firstLine="0" w:firstLineChars="0"/>
              <w:jc w:val="center"/>
              <w:rPr>
                <w:sz w:val="18"/>
                <w:szCs w:val="18"/>
              </w:rPr>
            </w:pPr>
            <w:r>
              <w:rPr>
                <w:sz w:val="18"/>
                <w:szCs w:val="18"/>
              </w:rPr>
              <w:t>112°32′57.32″</w:t>
            </w:r>
          </w:p>
        </w:tc>
        <w:tc>
          <w:tcPr>
            <w:tcW w:w="395" w:type="pct"/>
            <w:vAlign w:val="center"/>
          </w:tcPr>
          <w:p w14:paraId="6F158E31">
            <w:pPr>
              <w:spacing w:line="240" w:lineRule="auto"/>
              <w:ind w:firstLine="0" w:firstLineChars="0"/>
              <w:jc w:val="center"/>
              <w:rPr>
                <w:sz w:val="18"/>
                <w:szCs w:val="18"/>
              </w:rPr>
            </w:pPr>
            <w:r>
              <w:rPr>
                <w:sz w:val="18"/>
                <w:szCs w:val="18"/>
              </w:rPr>
              <w:t>27°7′3.58″</w:t>
            </w:r>
          </w:p>
        </w:tc>
        <w:tc>
          <w:tcPr>
            <w:tcW w:w="324" w:type="pct"/>
            <w:vAlign w:val="center"/>
          </w:tcPr>
          <w:p w14:paraId="28FCE371">
            <w:pPr>
              <w:spacing w:line="240" w:lineRule="auto"/>
              <w:ind w:firstLine="0" w:firstLineChars="0"/>
              <w:jc w:val="center"/>
              <w:rPr>
                <w:sz w:val="18"/>
                <w:szCs w:val="18"/>
              </w:rPr>
            </w:pPr>
            <w:r>
              <w:rPr>
                <w:sz w:val="18"/>
                <w:szCs w:val="18"/>
              </w:rPr>
              <w:t>居民</w:t>
            </w:r>
          </w:p>
        </w:tc>
        <w:tc>
          <w:tcPr>
            <w:tcW w:w="576" w:type="pct"/>
            <w:vAlign w:val="center"/>
          </w:tcPr>
          <w:p w14:paraId="08AE206C">
            <w:pPr>
              <w:spacing w:line="240" w:lineRule="auto"/>
              <w:ind w:firstLine="0" w:firstLineChars="0"/>
              <w:jc w:val="center"/>
              <w:rPr>
                <w:sz w:val="18"/>
                <w:szCs w:val="18"/>
              </w:rPr>
            </w:pPr>
            <w:r>
              <w:rPr>
                <w:sz w:val="18"/>
                <w:szCs w:val="18"/>
              </w:rPr>
              <w:t>约10户，集中居住</w:t>
            </w:r>
          </w:p>
        </w:tc>
        <w:tc>
          <w:tcPr>
            <w:tcW w:w="431" w:type="pct"/>
            <w:vAlign w:val="center"/>
          </w:tcPr>
          <w:p w14:paraId="1B1E95D2">
            <w:pPr>
              <w:spacing w:line="240" w:lineRule="auto"/>
              <w:ind w:firstLine="0" w:firstLineChars="0"/>
              <w:jc w:val="center"/>
              <w:rPr>
                <w:sz w:val="18"/>
                <w:szCs w:val="18"/>
              </w:rPr>
            </w:pPr>
            <w:r>
              <w:rPr>
                <w:sz w:val="18"/>
                <w:szCs w:val="18"/>
              </w:rPr>
              <w:t>二类区</w:t>
            </w:r>
          </w:p>
        </w:tc>
        <w:tc>
          <w:tcPr>
            <w:tcW w:w="815" w:type="pct"/>
            <w:vAlign w:val="center"/>
          </w:tcPr>
          <w:p w14:paraId="7F6650CF">
            <w:pPr>
              <w:spacing w:line="240" w:lineRule="auto"/>
              <w:ind w:firstLine="0" w:firstLineChars="0"/>
              <w:jc w:val="center"/>
              <w:rPr>
                <w:sz w:val="18"/>
                <w:szCs w:val="18"/>
              </w:rPr>
            </w:pPr>
            <w:r>
              <w:rPr>
                <w:sz w:val="18"/>
                <w:szCs w:val="18"/>
              </w:rPr>
              <w:t>10#风机</w:t>
            </w:r>
            <w:r>
              <w:rPr>
                <w:rFonts w:hint="eastAsia"/>
                <w:sz w:val="18"/>
                <w:szCs w:val="18"/>
              </w:rPr>
              <w:t>改建</w:t>
            </w:r>
            <w:r>
              <w:rPr>
                <w:sz w:val="18"/>
                <w:szCs w:val="18"/>
              </w:rPr>
              <w:t>场内道路两侧最近约10m，无山体阻隔</w:t>
            </w:r>
          </w:p>
        </w:tc>
        <w:tc>
          <w:tcPr>
            <w:tcW w:w="527" w:type="pct"/>
            <w:vMerge w:val="continue"/>
            <w:vAlign w:val="center"/>
          </w:tcPr>
          <w:p w14:paraId="133705E5">
            <w:pPr>
              <w:spacing w:line="240" w:lineRule="auto"/>
              <w:ind w:firstLine="0" w:firstLineChars="0"/>
              <w:jc w:val="center"/>
              <w:rPr>
                <w:sz w:val="18"/>
                <w:szCs w:val="18"/>
              </w:rPr>
            </w:pPr>
          </w:p>
        </w:tc>
        <w:tc>
          <w:tcPr>
            <w:tcW w:w="985" w:type="pct"/>
            <w:vMerge w:val="continue"/>
            <w:vAlign w:val="center"/>
          </w:tcPr>
          <w:p w14:paraId="40E9DCDC">
            <w:pPr>
              <w:spacing w:line="240" w:lineRule="auto"/>
              <w:ind w:firstLine="0" w:firstLineChars="0"/>
              <w:jc w:val="center"/>
              <w:rPr>
                <w:sz w:val="18"/>
                <w:szCs w:val="18"/>
              </w:rPr>
            </w:pPr>
          </w:p>
        </w:tc>
      </w:tr>
    </w:tbl>
    <w:p w14:paraId="0C2944A5">
      <w:pPr>
        <w:adjustRightInd w:val="0"/>
        <w:snapToGrid w:val="0"/>
        <w:ind w:firstLine="150" w:firstLineChars="83"/>
        <w:rPr>
          <w:b/>
          <w:bCs/>
          <w:sz w:val="18"/>
          <w:szCs w:val="18"/>
        </w:rPr>
      </w:pPr>
      <w:r>
        <w:rPr>
          <w:rFonts w:hint="eastAsia"/>
          <w:b/>
          <w:bCs/>
          <w:sz w:val="18"/>
          <w:szCs w:val="18"/>
        </w:rPr>
        <w:t>针对表2</w:t>
      </w:r>
      <w:r>
        <w:rPr>
          <w:b/>
          <w:bCs/>
          <w:sz w:val="18"/>
          <w:szCs w:val="18"/>
        </w:rPr>
        <w:t>.6-4</w:t>
      </w:r>
      <w:r>
        <w:rPr>
          <w:rFonts w:hint="eastAsia"/>
          <w:b/>
          <w:bCs/>
          <w:sz w:val="18"/>
          <w:szCs w:val="18"/>
        </w:rPr>
        <w:t>和表2</w:t>
      </w:r>
      <w:r>
        <w:rPr>
          <w:b/>
          <w:bCs/>
          <w:sz w:val="18"/>
          <w:szCs w:val="18"/>
        </w:rPr>
        <w:t>.6-5</w:t>
      </w:r>
      <w:r>
        <w:rPr>
          <w:rFonts w:hint="eastAsia"/>
          <w:b/>
          <w:bCs/>
          <w:sz w:val="18"/>
          <w:szCs w:val="18"/>
        </w:rPr>
        <w:t>备注：（1）因项目弃渣场在弃渣结束后全部进行植被恢复，因此运营期无大气和声环境污染，主要为施工期的大气、噪声、固废污染。因此其声环境敏感目标描述其2</w:t>
      </w:r>
      <w:r>
        <w:rPr>
          <w:b/>
          <w:bCs/>
          <w:sz w:val="18"/>
          <w:szCs w:val="18"/>
        </w:rPr>
        <w:t>00</w:t>
      </w:r>
      <w:r>
        <w:rPr>
          <w:rFonts w:hint="eastAsia"/>
          <w:b/>
          <w:bCs/>
          <w:sz w:val="18"/>
          <w:szCs w:val="18"/>
        </w:rPr>
        <w:t>m范围内的声环境敏感目标；由于施工期弃渣场和施工生产区大气污染物主要为粉尘污染，其影响距离小，因此其大气环境保护目标也定位2</w:t>
      </w:r>
      <w:r>
        <w:rPr>
          <w:b/>
          <w:bCs/>
          <w:sz w:val="18"/>
          <w:szCs w:val="18"/>
        </w:rPr>
        <w:t>00</w:t>
      </w:r>
      <w:r>
        <w:rPr>
          <w:rFonts w:hint="eastAsia"/>
          <w:b/>
          <w:bCs/>
          <w:sz w:val="18"/>
          <w:szCs w:val="18"/>
        </w:rPr>
        <w:t>m。本项目各弃渣场和施工生产区周边2</w:t>
      </w:r>
      <w:r>
        <w:rPr>
          <w:b/>
          <w:bCs/>
          <w:sz w:val="18"/>
          <w:szCs w:val="18"/>
        </w:rPr>
        <w:t>00</w:t>
      </w:r>
      <w:r>
        <w:rPr>
          <w:rFonts w:hint="eastAsia"/>
          <w:b/>
          <w:bCs/>
          <w:sz w:val="18"/>
          <w:szCs w:val="18"/>
        </w:rPr>
        <w:t>m范围内无大气环境、声环境保护目标。</w:t>
      </w:r>
    </w:p>
    <w:p w14:paraId="263B1368">
      <w:pPr>
        <w:adjustRightInd w:val="0"/>
        <w:snapToGrid w:val="0"/>
        <w:ind w:firstLine="361"/>
        <w:rPr>
          <w:b/>
          <w:bCs/>
          <w:sz w:val="18"/>
          <w:szCs w:val="18"/>
        </w:rPr>
      </w:pPr>
      <w:r>
        <w:rPr>
          <w:rFonts w:hint="eastAsia"/>
          <w:b/>
          <w:bCs/>
          <w:sz w:val="18"/>
          <w:szCs w:val="18"/>
        </w:rPr>
        <w:t>（2）根据现场调查可知，项目周边</w:t>
      </w:r>
      <w:r>
        <w:rPr>
          <w:b/>
          <w:bCs/>
          <w:sz w:val="18"/>
          <w:szCs w:val="18"/>
        </w:rPr>
        <w:t>500</w:t>
      </w:r>
      <w:r>
        <w:rPr>
          <w:rFonts w:hint="eastAsia"/>
          <w:b/>
          <w:bCs/>
          <w:sz w:val="18"/>
          <w:szCs w:val="18"/>
        </w:rPr>
        <w:t>m范围内的居民建筑物均为砖瓦结构，层数为1</w:t>
      </w:r>
      <w:r>
        <w:rPr>
          <w:b/>
          <w:bCs/>
          <w:sz w:val="18"/>
          <w:szCs w:val="18"/>
        </w:rPr>
        <w:t>~2</w:t>
      </w:r>
      <w:r>
        <w:rPr>
          <w:rFonts w:hint="eastAsia"/>
          <w:b/>
          <w:bCs/>
          <w:sz w:val="18"/>
          <w:szCs w:val="18"/>
        </w:rPr>
        <w:t>层。</w:t>
      </w:r>
    </w:p>
    <w:p w14:paraId="43644FBA">
      <w:pPr>
        <w:ind w:firstLine="0" w:firstLineChars="0"/>
      </w:pPr>
    </w:p>
    <w:bookmarkEnd w:id="55"/>
    <w:p w14:paraId="57606BA5">
      <w:pPr>
        <w:pStyle w:val="2"/>
        <w:ind w:firstLine="0" w:firstLineChars="0"/>
        <w:sectPr>
          <w:pgSz w:w="16838" w:h="11905" w:orient="landscape"/>
          <w:pgMar w:top="1134" w:right="851" w:bottom="1134" w:left="851" w:header="851" w:footer="992" w:gutter="0"/>
          <w:cols w:space="0" w:num="1"/>
          <w:docGrid w:type="lines" w:linePitch="333" w:charSpace="0"/>
        </w:sectPr>
      </w:pPr>
    </w:p>
    <w:p w14:paraId="6DE2E4C5">
      <w:pPr>
        <w:pStyle w:val="3"/>
        <w:tabs>
          <w:tab w:val="clear" w:pos="480"/>
        </w:tabs>
        <w:spacing w:before="0" w:after="0"/>
        <w:jc w:val="center"/>
        <w:rPr>
          <w:rFonts w:ascii="Times New Roman" w:eastAsia="宋体"/>
          <w:bCs w:val="0"/>
          <w:sz w:val="32"/>
          <w:szCs w:val="32"/>
          <w:lang w:val="en-US"/>
        </w:rPr>
      </w:pPr>
      <w:bookmarkStart w:id="56" w:name="_Toc13022374"/>
      <w:bookmarkStart w:id="57" w:name="_Toc12959067"/>
      <w:bookmarkStart w:id="58" w:name="_Toc12959548"/>
      <w:bookmarkStart w:id="59" w:name="_Toc12960214"/>
      <w:bookmarkStart w:id="60" w:name="_Toc12960113"/>
      <w:bookmarkStart w:id="61" w:name="_Toc18773477"/>
      <w:bookmarkStart w:id="62" w:name="_Toc12953623"/>
      <w:r>
        <w:rPr>
          <w:rFonts w:hint="eastAsia" w:ascii="Times New Roman" w:eastAsia="宋体"/>
          <w:bCs w:val="0"/>
          <w:sz w:val="32"/>
          <w:szCs w:val="32"/>
          <w:lang w:val="en-US"/>
        </w:rPr>
        <w:t xml:space="preserve">  </w:t>
      </w:r>
      <w:bookmarkStart w:id="63" w:name="_Toc2562"/>
      <w:bookmarkStart w:id="64" w:name="_Toc116977980"/>
      <w:bookmarkStart w:id="65" w:name="_Toc143799363"/>
      <w:r>
        <w:rPr>
          <w:rFonts w:ascii="Times New Roman" w:eastAsia="宋体"/>
          <w:bCs w:val="0"/>
          <w:sz w:val="32"/>
          <w:szCs w:val="32"/>
          <w:lang w:val="en-US"/>
        </w:rPr>
        <w:t>3</w:t>
      </w:r>
      <w:r>
        <w:rPr>
          <w:rFonts w:hint="eastAsia" w:ascii="Times New Roman" w:eastAsia="宋体"/>
          <w:bCs w:val="0"/>
          <w:sz w:val="32"/>
          <w:szCs w:val="32"/>
          <w:lang w:val="en-US"/>
        </w:rPr>
        <w:t>项目概况</w:t>
      </w:r>
      <w:bookmarkEnd w:id="63"/>
      <w:bookmarkEnd w:id="64"/>
      <w:bookmarkEnd w:id="65"/>
    </w:p>
    <w:p w14:paraId="346F5221">
      <w:pPr>
        <w:pStyle w:val="4"/>
        <w:tabs>
          <w:tab w:val="clear" w:pos="480"/>
          <w:tab w:val="clear" w:pos="630"/>
        </w:tabs>
        <w:spacing w:before="0" w:after="0"/>
        <w:rPr>
          <w:sz w:val="30"/>
          <w:szCs w:val="30"/>
          <w:lang w:val="en-US"/>
        </w:rPr>
      </w:pPr>
      <w:bookmarkStart w:id="66" w:name="_Toc143799364"/>
      <w:bookmarkStart w:id="67" w:name="_Toc116977981"/>
      <w:r>
        <w:rPr>
          <w:sz w:val="30"/>
          <w:szCs w:val="30"/>
          <w:lang w:val="en-US"/>
        </w:rPr>
        <w:t>3.1</w:t>
      </w:r>
      <w:r>
        <w:rPr>
          <w:rFonts w:hint="eastAsia"/>
          <w:sz w:val="30"/>
          <w:szCs w:val="30"/>
          <w:lang w:val="en-US"/>
        </w:rPr>
        <w:t>项目地理位置</w:t>
      </w:r>
      <w:bookmarkEnd w:id="66"/>
      <w:bookmarkEnd w:id="67"/>
    </w:p>
    <w:p w14:paraId="2DAE7981">
      <w:pPr>
        <w:adjustRightInd w:val="0"/>
        <w:snapToGrid w:val="0"/>
        <w:ind w:firstLine="480"/>
      </w:pPr>
      <w:bookmarkStart w:id="68" w:name="_Hlk116114365"/>
      <w:r>
        <w:t>衡阳县杉桥风电场</w:t>
      </w:r>
      <w:r>
        <w:rPr>
          <w:rFonts w:hint="eastAsia"/>
        </w:rPr>
        <w:t>工程</w:t>
      </w:r>
      <w:r>
        <w:t>位于湖南省衡阳市衡阳县</w:t>
      </w:r>
      <w:r>
        <w:rPr>
          <w:rFonts w:hint="eastAsia"/>
        </w:rPr>
        <w:t>渣江镇、岣嵝乡、集兵镇、界牌镇一带</w:t>
      </w:r>
      <w:r>
        <w:t>。属于山地风电场，海拔高度约100m～500m。G0421许广高速、高速S80、县道X045、县道X043从风电场附近经过，交通便利。本风电场中心到衡阳县城直线距离约23km。</w:t>
      </w:r>
    </w:p>
    <w:bookmarkEnd w:id="68"/>
    <w:p w14:paraId="19782893">
      <w:pPr>
        <w:ind w:firstLine="0" w:firstLineChars="0"/>
        <w:rPr>
          <w:b/>
          <w:bCs/>
        </w:rPr>
      </w:pPr>
      <w:r>
        <w:drawing>
          <wp:inline distT="0" distB="0" distL="0" distR="0">
            <wp:extent cx="5033010" cy="4721860"/>
            <wp:effectExtent l="0" t="0" r="0" b="2540"/>
            <wp:docPr id="278184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84597"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034461" cy="4723541"/>
                    </a:xfrm>
                    <a:prstGeom prst="rect">
                      <a:avLst/>
                    </a:prstGeom>
                    <a:noFill/>
                    <a:ln>
                      <a:noFill/>
                    </a:ln>
                  </pic:spPr>
                </pic:pic>
              </a:graphicData>
            </a:graphic>
          </wp:inline>
        </w:drawing>
      </w:r>
    </w:p>
    <w:p w14:paraId="31B959A8">
      <w:pPr>
        <w:ind w:firstLine="0" w:firstLineChars="0"/>
        <w:jc w:val="center"/>
      </w:pPr>
      <w:r>
        <w:rPr>
          <w:rFonts w:hint="eastAsia"/>
          <w:b/>
          <w:bCs/>
        </w:rPr>
        <w:t>图</w:t>
      </w:r>
      <w:r>
        <w:rPr>
          <w:b/>
          <w:bCs/>
        </w:rPr>
        <w:t>3.1</w:t>
      </w:r>
      <w:r>
        <w:rPr>
          <w:rFonts w:hint="eastAsia"/>
          <w:b/>
          <w:bCs/>
        </w:rPr>
        <w:t>-</w:t>
      </w:r>
      <w:r>
        <w:rPr>
          <w:b/>
          <w:bCs/>
        </w:rPr>
        <w:t xml:space="preserve">1 </w:t>
      </w:r>
      <w:r>
        <w:rPr>
          <w:rFonts w:hint="eastAsia"/>
          <w:b/>
          <w:bCs/>
        </w:rPr>
        <w:t>风电场地理位置图</w:t>
      </w:r>
    </w:p>
    <w:p w14:paraId="2EB15C19">
      <w:pPr>
        <w:pStyle w:val="4"/>
        <w:tabs>
          <w:tab w:val="clear" w:pos="480"/>
          <w:tab w:val="clear" w:pos="630"/>
        </w:tabs>
        <w:spacing w:before="0" w:after="0"/>
        <w:rPr>
          <w:sz w:val="30"/>
          <w:szCs w:val="30"/>
          <w:lang w:val="en-US"/>
        </w:rPr>
      </w:pPr>
      <w:bookmarkStart w:id="69" w:name="_Toc116977982"/>
      <w:bookmarkStart w:id="70" w:name="_Toc143799365"/>
      <w:r>
        <w:rPr>
          <w:sz w:val="30"/>
          <w:szCs w:val="30"/>
          <w:lang w:val="en-US"/>
        </w:rPr>
        <w:t>3.2</w:t>
      </w:r>
      <w:r>
        <w:rPr>
          <w:rFonts w:hint="eastAsia"/>
          <w:sz w:val="30"/>
          <w:szCs w:val="30"/>
          <w:lang w:val="en-US"/>
        </w:rPr>
        <w:t>区域风资源概况</w:t>
      </w:r>
      <w:bookmarkEnd w:id="69"/>
      <w:bookmarkEnd w:id="70"/>
    </w:p>
    <w:p w14:paraId="6526EB4B">
      <w:pPr>
        <w:adjustRightInd w:val="0"/>
        <w:snapToGrid w:val="0"/>
        <w:ind w:firstLine="480"/>
      </w:pPr>
      <w:r>
        <w:t>衡阳县杉桥风电场</w:t>
      </w:r>
      <w:r>
        <w:rPr>
          <w:rFonts w:hint="eastAsia"/>
        </w:rPr>
        <w:t>工程</w:t>
      </w:r>
      <w:r>
        <w:t>位于湖南省衡阳市衡阳县</w:t>
      </w:r>
      <w:r>
        <w:rPr>
          <w:rFonts w:hint="eastAsia"/>
        </w:rPr>
        <w:t>渣江镇、岣嵝乡、集兵镇、界牌镇一带。项目在风电场附近布设有</w:t>
      </w:r>
      <w:r>
        <w:t>3</w:t>
      </w:r>
      <w:r>
        <w:rPr>
          <w:rFonts w:hint="eastAsia"/>
        </w:rPr>
        <w:t>座测风塔，测风塔编号为</w:t>
      </w:r>
      <w:r>
        <w:t>6680#</w:t>
      </w:r>
      <w:r>
        <w:rPr>
          <w:rFonts w:hint="eastAsia"/>
        </w:rPr>
        <w:t>、6</w:t>
      </w:r>
      <w:r>
        <w:t>679#</w:t>
      </w:r>
      <w:r>
        <w:rPr>
          <w:rFonts w:hint="eastAsia"/>
        </w:rPr>
        <w:t>。测风塔基本情况见表</w:t>
      </w:r>
      <w:r>
        <w:t>3.2-1</w:t>
      </w:r>
      <w:r>
        <w:rPr>
          <w:rFonts w:hint="eastAsia"/>
        </w:rPr>
        <w:t>，测风塔的地理位置示意图见图</w:t>
      </w:r>
      <w:r>
        <w:t>3.2-1</w:t>
      </w:r>
      <w:r>
        <w:rPr>
          <w:rFonts w:hint="eastAsia"/>
        </w:rPr>
        <w:t>。</w:t>
      </w:r>
    </w:p>
    <w:p w14:paraId="211D8FA3">
      <w:pPr>
        <w:pStyle w:val="2"/>
        <w:ind w:firstLine="420"/>
      </w:pPr>
    </w:p>
    <w:p w14:paraId="061C2F91">
      <w:pPr>
        <w:tabs>
          <w:tab w:val="clear" w:pos="480"/>
        </w:tabs>
        <w:spacing w:line="240" w:lineRule="auto"/>
        <w:ind w:firstLine="0" w:firstLineChars="0"/>
        <w:jc w:val="center"/>
        <w:rPr>
          <w:b/>
          <w:bCs/>
        </w:rPr>
      </w:pPr>
      <w:r>
        <w:rPr>
          <w:rFonts w:hint="eastAsia"/>
          <w:b/>
          <w:bCs/>
        </w:rPr>
        <w:t>表</w:t>
      </w:r>
      <w:r>
        <w:rPr>
          <w:b/>
          <w:bCs/>
        </w:rPr>
        <w:t xml:space="preserve">3.2-1  </w:t>
      </w:r>
      <w:r>
        <w:rPr>
          <w:rFonts w:hint="eastAsia"/>
          <w:b/>
          <w:bCs/>
        </w:rPr>
        <w:t>测风塔基本情况一览表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1188"/>
        <w:gridCol w:w="1104"/>
        <w:gridCol w:w="563"/>
        <w:gridCol w:w="2061"/>
        <w:gridCol w:w="1027"/>
        <w:gridCol w:w="1899"/>
      </w:tblGrid>
      <w:tr w14:paraId="5410FE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tcBorders>
              <w:top w:val="single" w:color="auto" w:sz="12" w:space="0"/>
              <w:left w:val="single" w:color="auto" w:sz="12" w:space="0"/>
              <w:bottom w:val="single" w:color="auto" w:sz="4" w:space="0"/>
              <w:right w:val="single" w:color="auto" w:sz="4" w:space="0"/>
            </w:tcBorders>
            <w:vAlign w:val="center"/>
          </w:tcPr>
          <w:p w14:paraId="02598EDE">
            <w:pPr>
              <w:tabs>
                <w:tab w:val="clear" w:pos="480"/>
              </w:tabs>
              <w:adjustRightInd w:val="0"/>
              <w:snapToGrid w:val="0"/>
              <w:spacing w:line="240" w:lineRule="auto"/>
              <w:ind w:firstLine="0" w:firstLineChars="0"/>
              <w:jc w:val="center"/>
              <w:rPr>
                <w:sz w:val="18"/>
                <w:szCs w:val="18"/>
              </w:rPr>
            </w:pPr>
            <w:r>
              <w:rPr>
                <w:rFonts w:hint="eastAsia"/>
                <w:sz w:val="18"/>
                <w:szCs w:val="18"/>
              </w:rPr>
              <w:t>编号</w:t>
            </w:r>
          </w:p>
        </w:tc>
        <w:tc>
          <w:tcPr>
            <w:tcW w:w="697" w:type="pct"/>
            <w:tcBorders>
              <w:top w:val="single" w:color="auto" w:sz="12" w:space="0"/>
              <w:left w:val="single" w:color="auto" w:sz="4" w:space="0"/>
              <w:bottom w:val="single" w:color="auto" w:sz="4" w:space="0"/>
              <w:right w:val="single" w:color="auto" w:sz="4" w:space="0"/>
            </w:tcBorders>
            <w:vAlign w:val="center"/>
          </w:tcPr>
          <w:p w14:paraId="40CA8F2C">
            <w:pPr>
              <w:tabs>
                <w:tab w:val="clear" w:pos="480"/>
              </w:tabs>
              <w:adjustRightInd w:val="0"/>
              <w:snapToGrid w:val="0"/>
              <w:spacing w:line="240" w:lineRule="auto"/>
              <w:ind w:firstLine="0" w:firstLineChars="0"/>
              <w:jc w:val="center"/>
              <w:rPr>
                <w:sz w:val="18"/>
                <w:szCs w:val="18"/>
              </w:rPr>
            </w:pPr>
            <w:r>
              <w:rPr>
                <w:rFonts w:hint="eastAsia"/>
                <w:sz w:val="18"/>
                <w:szCs w:val="18"/>
              </w:rPr>
              <w:t>东经</w:t>
            </w:r>
          </w:p>
        </w:tc>
        <w:tc>
          <w:tcPr>
            <w:tcW w:w="647" w:type="pct"/>
            <w:tcBorders>
              <w:top w:val="single" w:color="auto" w:sz="12" w:space="0"/>
              <w:left w:val="single" w:color="auto" w:sz="4" w:space="0"/>
              <w:bottom w:val="single" w:color="auto" w:sz="4" w:space="0"/>
              <w:right w:val="single" w:color="auto" w:sz="4" w:space="0"/>
            </w:tcBorders>
            <w:vAlign w:val="center"/>
          </w:tcPr>
          <w:p w14:paraId="35E3717D">
            <w:pPr>
              <w:tabs>
                <w:tab w:val="clear" w:pos="480"/>
              </w:tabs>
              <w:adjustRightInd w:val="0"/>
              <w:snapToGrid w:val="0"/>
              <w:spacing w:line="240" w:lineRule="auto"/>
              <w:ind w:firstLine="0" w:firstLineChars="0"/>
              <w:jc w:val="center"/>
              <w:rPr>
                <w:sz w:val="18"/>
                <w:szCs w:val="18"/>
              </w:rPr>
            </w:pPr>
            <w:r>
              <w:rPr>
                <w:rFonts w:hint="eastAsia"/>
                <w:sz w:val="18"/>
                <w:szCs w:val="18"/>
              </w:rPr>
              <w:t>北纬</w:t>
            </w:r>
          </w:p>
        </w:tc>
        <w:tc>
          <w:tcPr>
            <w:tcW w:w="330" w:type="pct"/>
            <w:tcBorders>
              <w:top w:val="single" w:color="auto" w:sz="12" w:space="0"/>
              <w:left w:val="single" w:color="auto" w:sz="4" w:space="0"/>
              <w:bottom w:val="single" w:color="auto" w:sz="4" w:space="0"/>
              <w:right w:val="single" w:color="auto" w:sz="4" w:space="0"/>
            </w:tcBorders>
            <w:vAlign w:val="center"/>
          </w:tcPr>
          <w:p w14:paraId="7185A578">
            <w:pPr>
              <w:tabs>
                <w:tab w:val="clear" w:pos="480"/>
              </w:tabs>
              <w:adjustRightInd w:val="0"/>
              <w:snapToGrid w:val="0"/>
              <w:spacing w:line="240" w:lineRule="auto"/>
              <w:ind w:firstLine="0" w:firstLineChars="0"/>
              <w:jc w:val="center"/>
              <w:rPr>
                <w:sz w:val="18"/>
                <w:szCs w:val="18"/>
              </w:rPr>
            </w:pPr>
            <w:r>
              <w:rPr>
                <w:rFonts w:hint="eastAsia"/>
                <w:sz w:val="18"/>
                <w:szCs w:val="18"/>
              </w:rPr>
              <w:t>海拔</w:t>
            </w:r>
          </w:p>
          <w:p w14:paraId="2F29DD5D">
            <w:pPr>
              <w:tabs>
                <w:tab w:val="clear" w:pos="480"/>
              </w:tabs>
              <w:adjustRightInd w:val="0"/>
              <w:snapToGrid w:val="0"/>
              <w:spacing w:line="240" w:lineRule="auto"/>
              <w:ind w:firstLine="0" w:firstLineChars="0"/>
              <w:jc w:val="center"/>
              <w:rPr>
                <w:sz w:val="18"/>
                <w:szCs w:val="18"/>
              </w:rPr>
            </w:pPr>
            <w:r>
              <w:rPr>
                <w:sz w:val="18"/>
                <w:szCs w:val="18"/>
              </w:rPr>
              <w:t>m</w:t>
            </w:r>
          </w:p>
        </w:tc>
        <w:tc>
          <w:tcPr>
            <w:tcW w:w="1208" w:type="pct"/>
            <w:tcBorders>
              <w:top w:val="single" w:color="auto" w:sz="12" w:space="0"/>
              <w:left w:val="single" w:color="auto" w:sz="4" w:space="0"/>
              <w:bottom w:val="single" w:color="auto" w:sz="4" w:space="0"/>
              <w:right w:val="single" w:color="auto" w:sz="4" w:space="0"/>
            </w:tcBorders>
            <w:vAlign w:val="center"/>
          </w:tcPr>
          <w:p w14:paraId="741DFA7F">
            <w:pPr>
              <w:tabs>
                <w:tab w:val="clear" w:pos="480"/>
              </w:tabs>
              <w:adjustRightInd w:val="0"/>
              <w:snapToGrid w:val="0"/>
              <w:spacing w:line="240" w:lineRule="auto"/>
              <w:ind w:firstLine="0" w:firstLineChars="0"/>
              <w:rPr>
                <w:sz w:val="18"/>
                <w:szCs w:val="18"/>
              </w:rPr>
            </w:pPr>
            <w:r>
              <w:rPr>
                <w:rFonts w:hint="eastAsia"/>
                <w:sz w:val="18"/>
                <w:szCs w:val="18"/>
              </w:rPr>
              <w:t>风速高度</w:t>
            </w:r>
          </w:p>
          <w:p w14:paraId="3D1FBF71">
            <w:pPr>
              <w:tabs>
                <w:tab w:val="clear" w:pos="480"/>
              </w:tabs>
              <w:adjustRightInd w:val="0"/>
              <w:snapToGrid w:val="0"/>
              <w:spacing w:line="240" w:lineRule="auto"/>
              <w:ind w:firstLine="0" w:firstLineChars="0"/>
              <w:jc w:val="center"/>
              <w:rPr>
                <w:sz w:val="18"/>
                <w:szCs w:val="18"/>
              </w:rPr>
            </w:pPr>
            <w:r>
              <w:rPr>
                <w:sz w:val="18"/>
                <w:szCs w:val="18"/>
              </w:rPr>
              <w:t>m</w:t>
            </w:r>
          </w:p>
        </w:tc>
        <w:tc>
          <w:tcPr>
            <w:tcW w:w="602" w:type="pct"/>
            <w:tcBorders>
              <w:top w:val="single" w:color="auto" w:sz="12" w:space="0"/>
              <w:left w:val="single" w:color="auto" w:sz="4" w:space="0"/>
              <w:bottom w:val="single" w:color="auto" w:sz="4" w:space="0"/>
              <w:right w:val="single" w:color="auto" w:sz="4" w:space="0"/>
            </w:tcBorders>
            <w:vAlign w:val="center"/>
          </w:tcPr>
          <w:p w14:paraId="06001BB6">
            <w:pPr>
              <w:tabs>
                <w:tab w:val="clear" w:pos="480"/>
              </w:tabs>
              <w:adjustRightInd w:val="0"/>
              <w:snapToGrid w:val="0"/>
              <w:spacing w:line="240" w:lineRule="auto"/>
              <w:ind w:firstLine="0" w:firstLineChars="0"/>
              <w:jc w:val="center"/>
              <w:rPr>
                <w:sz w:val="18"/>
                <w:szCs w:val="18"/>
              </w:rPr>
            </w:pPr>
            <w:r>
              <w:rPr>
                <w:rFonts w:hint="eastAsia"/>
                <w:sz w:val="18"/>
                <w:szCs w:val="18"/>
              </w:rPr>
              <w:t>风向高度（</w:t>
            </w:r>
            <w:r>
              <w:rPr>
                <w:sz w:val="18"/>
                <w:szCs w:val="18"/>
              </w:rPr>
              <w:t>m</w:t>
            </w:r>
            <w:r>
              <w:rPr>
                <w:rFonts w:hint="eastAsia"/>
                <w:sz w:val="18"/>
                <w:szCs w:val="18"/>
              </w:rPr>
              <w:t>）</w:t>
            </w:r>
          </w:p>
        </w:tc>
        <w:tc>
          <w:tcPr>
            <w:tcW w:w="1113" w:type="pct"/>
            <w:tcBorders>
              <w:top w:val="single" w:color="auto" w:sz="12" w:space="0"/>
              <w:left w:val="single" w:color="auto" w:sz="4" w:space="0"/>
              <w:bottom w:val="single" w:color="auto" w:sz="4" w:space="0"/>
              <w:right w:val="single" w:color="auto" w:sz="12" w:space="0"/>
            </w:tcBorders>
            <w:vAlign w:val="center"/>
          </w:tcPr>
          <w:p w14:paraId="4D33B76F">
            <w:pPr>
              <w:tabs>
                <w:tab w:val="clear" w:pos="480"/>
              </w:tabs>
              <w:adjustRightInd w:val="0"/>
              <w:snapToGrid w:val="0"/>
              <w:spacing w:line="240" w:lineRule="auto"/>
              <w:ind w:firstLine="0" w:firstLineChars="0"/>
              <w:jc w:val="center"/>
              <w:rPr>
                <w:sz w:val="18"/>
                <w:szCs w:val="18"/>
              </w:rPr>
            </w:pPr>
            <w:r>
              <w:rPr>
                <w:rFonts w:hint="eastAsia"/>
                <w:sz w:val="18"/>
                <w:szCs w:val="18"/>
              </w:rPr>
              <w:t>观测时段</w:t>
            </w:r>
          </w:p>
        </w:tc>
      </w:tr>
      <w:tr w14:paraId="746B9E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tcBorders>
              <w:top w:val="single" w:color="auto" w:sz="4" w:space="0"/>
              <w:left w:val="single" w:color="auto" w:sz="12" w:space="0"/>
              <w:bottom w:val="single" w:color="auto" w:sz="4" w:space="0"/>
              <w:right w:val="single" w:color="auto" w:sz="4" w:space="0"/>
            </w:tcBorders>
            <w:vAlign w:val="center"/>
          </w:tcPr>
          <w:p w14:paraId="2B008B42">
            <w:pPr>
              <w:tabs>
                <w:tab w:val="clear" w:pos="480"/>
              </w:tabs>
              <w:adjustRightInd w:val="0"/>
              <w:snapToGrid w:val="0"/>
              <w:spacing w:line="240" w:lineRule="auto"/>
              <w:ind w:firstLine="0" w:firstLineChars="0"/>
              <w:jc w:val="center"/>
              <w:rPr>
                <w:sz w:val="18"/>
                <w:szCs w:val="18"/>
              </w:rPr>
            </w:pPr>
            <w:r>
              <w:rPr>
                <w:rFonts w:hint="eastAsia"/>
                <w:sz w:val="18"/>
                <w:szCs w:val="18"/>
              </w:rPr>
              <w:t>6</w:t>
            </w:r>
            <w:r>
              <w:rPr>
                <w:sz w:val="18"/>
                <w:szCs w:val="18"/>
              </w:rPr>
              <w:t>680#</w:t>
            </w:r>
          </w:p>
        </w:tc>
        <w:tc>
          <w:tcPr>
            <w:tcW w:w="697" w:type="pct"/>
            <w:tcBorders>
              <w:top w:val="single" w:color="auto" w:sz="4" w:space="0"/>
              <w:left w:val="single" w:color="auto" w:sz="4" w:space="0"/>
              <w:bottom w:val="single" w:color="auto" w:sz="4" w:space="0"/>
              <w:right w:val="single" w:color="auto" w:sz="4" w:space="0"/>
            </w:tcBorders>
            <w:vAlign w:val="center"/>
          </w:tcPr>
          <w:p w14:paraId="4EEB2823">
            <w:pPr>
              <w:tabs>
                <w:tab w:val="clear" w:pos="480"/>
              </w:tabs>
              <w:adjustRightInd w:val="0"/>
              <w:snapToGrid w:val="0"/>
              <w:spacing w:line="240" w:lineRule="auto"/>
              <w:ind w:firstLine="0" w:firstLineChars="0"/>
              <w:jc w:val="center"/>
              <w:rPr>
                <w:sz w:val="18"/>
                <w:szCs w:val="18"/>
              </w:rPr>
            </w:pPr>
            <w:r>
              <w:rPr>
                <w:sz w:val="18"/>
                <w:szCs w:val="18"/>
              </w:rPr>
              <w:t>112.51505</w:t>
            </w:r>
            <w:r>
              <w:rPr>
                <w:rFonts w:hint="eastAsia"/>
                <w:sz w:val="18"/>
                <w:szCs w:val="18"/>
              </w:rPr>
              <w:t>°</w:t>
            </w:r>
          </w:p>
        </w:tc>
        <w:tc>
          <w:tcPr>
            <w:tcW w:w="647" w:type="pct"/>
            <w:tcBorders>
              <w:top w:val="single" w:color="auto" w:sz="4" w:space="0"/>
              <w:left w:val="single" w:color="auto" w:sz="4" w:space="0"/>
              <w:bottom w:val="single" w:color="auto" w:sz="4" w:space="0"/>
              <w:right w:val="single" w:color="auto" w:sz="4" w:space="0"/>
            </w:tcBorders>
            <w:vAlign w:val="center"/>
          </w:tcPr>
          <w:p w14:paraId="2E6F934B">
            <w:pPr>
              <w:tabs>
                <w:tab w:val="clear" w:pos="480"/>
              </w:tabs>
              <w:adjustRightInd w:val="0"/>
              <w:snapToGrid w:val="0"/>
              <w:spacing w:line="240" w:lineRule="auto"/>
              <w:ind w:firstLine="0" w:firstLineChars="0"/>
              <w:jc w:val="center"/>
              <w:rPr>
                <w:sz w:val="18"/>
                <w:szCs w:val="18"/>
              </w:rPr>
            </w:pPr>
            <w:r>
              <w:rPr>
                <w:sz w:val="18"/>
                <w:szCs w:val="18"/>
              </w:rPr>
              <w:t>27.13704</w:t>
            </w:r>
            <w:r>
              <w:rPr>
                <w:rFonts w:hint="eastAsia"/>
                <w:sz w:val="18"/>
                <w:szCs w:val="18"/>
              </w:rPr>
              <w:t>°</w:t>
            </w:r>
          </w:p>
        </w:tc>
        <w:tc>
          <w:tcPr>
            <w:tcW w:w="330" w:type="pct"/>
            <w:tcBorders>
              <w:top w:val="single" w:color="auto" w:sz="4" w:space="0"/>
              <w:left w:val="single" w:color="auto" w:sz="4" w:space="0"/>
              <w:bottom w:val="single" w:color="auto" w:sz="4" w:space="0"/>
              <w:right w:val="single" w:color="auto" w:sz="4" w:space="0"/>
            </w:tcBorders>
            <w:vAlign w:val="center"/>
          </w:tcPr>
          <w:p w14:paraId="09727027">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63</w:t>
            </w:r>
          </w:p>
        </w:tc>
        <w:tc>
          <w:tcPr>
            <w:tcW w:w="1208" w:type="pct"/>
            <w:tcBorders>
              <w:top w:val="single" w:color="auto" w:sz="4" w:space="0"/>
              <w:left w:val="single" w:color="auto" w:sz="4" w:space="0"/>
              <w:bottom w:val="single" w:color="auto" w:sz="4" w:space="0"/>
              <w:right w:val="single" w:color="auto" w:sz="4" w:space="0"/>
            </w:tcBorders>
            <w:vAlign w:val="center"/>
          </w:tcPr>
          <w:p w14:paraId="06453BB9">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0/30/50/70/90/110/120</w:t>
            </w:r>
          </w:p>
        </w:tc>
        <w:tc>
          <w:tcPr>
            <w:tcW w:w="602" w:type="pct"/>
            <w:tcBorders>
              <w:top w:val="single" w:color="auto" w:sz="4" w:space="0"/>
              <w:left w:val="single" w:color="auto" w:sz="4" w:space="0"/>
              <w:bottom w:val="single" w:color="auto" w:sz="4" w:space="0"/>
              <w:right w:val="single" w:color="auto" w:sz="4" w:space="0"/>
            </w:tcBorders>
            <w:vAlign w:val="center"/>
          </w:tcPr>
          <w:p w14:paraId="2910DA7C">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0/90/120/</w:t>
            </w:r>
          </w:p>
        </w:tc>
        <w:tc>
          <w:tcPr>
            <w:tcW w:w="1113" w:type="pct"/>
            <w:tcBorders>
              <w:top w:val="single" w:color="auto" w:sz="4" w:space="0"/>
              <w:left w:val="single" w:color="auto" w:sz="4" w:space="0"/>
              <w:bottom w:val="single" w:color="auto" w:sz="4" w:space="0"/>
              <w:right w:val="single" w:color="auto" w:sz="12" w:space="0"/>
            </w:tcBorders>
            <w:vAlign w:val="center"/>
          </w:tcPr>
          <w:p w14:paraId="069A9C52">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022.12.16~2023.4.16</w:t>
            </w:r>
          </w:p>
        </w:tc>
      </w:tr>
      <w:tr w14:paraId="4E134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tcBorders>
              <w:top w:val="single" w:color="auto" w:sz="4" w:space="0"/>
              <w:left w:val="single" w:color="auto" w:sz="12" w:space="0"/>
              <w:bottom w:val="single" w:color="auto" w:sz="4" w:space="0"/>
              <w:right w:val="single" w:color="auto" w:sz="4" w:space="0"/>
            </w:tcBorders>
            <w:vAlign w:val="center"/>
          </w:tcPr>
          <w:p w14:paraId="5F9A3AC6">
            <w:pPr>
              <w:tabs>
                <w:tab w:val="clear" w:pos="480"/>
              </w:tabs>
              <w:adjustRightInd w:val="0"/>
              <w:snapToGrid w:val="0"/>
              <w:spacing w:line="240" w:lineRule="auto"/>
              <w:ind w:firstLine="0" w:firstLineChars="0"/>
              <w:jc w:val="center"/>
              <w:rPr>
                <w:sz w:val="18"/>
                <w:szCs w:val="18"/>
              </w:rPr>
            </w:pPr>
            <w:r>
              <w:rPr>
                <w:rFonts w:hint="eastAsia"/>
                <w:sz w:val="18"/>
                <w:szCs w:val="18"/>
              </w:rPr>
              <w:t>6</w:t>
            </w:r>
            <w:r>
              <w:rPr>
                <w:sz w:val="18"/>
                <w:szCs w:val="18"/>
              </w:rPr>
              <w:t>679#</w:t>
            </w:r>
          </w:p>
        </w:tc>
        <w:tc>
          <w:tcPr>
            <w:tcW w:w="697" w:type="pct"/>
            <w:tcBorders>
              <w:top w:val="single" w:color="auto" w:sz="4" w:space="0"/>
              <w:left w:val="single" w:color="auto" w:sz="4" w:space="0"/>
              <w:bottom w:val="single" w:color="auto" w:sz="4" w:space="0"/>
              <w:right w:val="single" w:color="auto" w:sz="4" w:space="0"/>
            </w:tcBorders>
            <w:vAlign w:val="center"/>
          </w:tcPr>
          <w:p w14:paraId="3ACD9BAA">
            <w:pPr>
              <w:tabs>
                <w:tab w:val="clear" w:pos="480"/>
              </w:tabs>
              <w:adjustRightInd w:val="0"/>
              <w:snapToGrid w:val="0"/>
              <w:spacing w:line="240" w:lineRule="auto"/>
              <w:ind w:firstLine="0" w:firstLineChars="0"/>
              <w:jc w:val="center"/>
              <w:rPr>
                <w:sz w:val="18"/>
                <w:szCs w:val="18"/>
              </w:rPr>
            </w:pPr>
            <w:r>
              <w:rPr>
                <w:sz w:val="18"/>
                <w:szCs w:val="18"/>
              </w:rPr>
              <w:t>112.52937</w:t>
            </w:r>
            <w:r>
              <w:rPr>
                <w:rFonts w:hint="eastAsia"/>
                <w:sz w:val="18"/>
                <w:szCs w:val="18"/>
              </w:rPr>
              <w:t>°</w:t>
            </w:r>
          </w:p>
        </w:tc>
        <w:tc>
          <w:tcPr>
            <w:tcW w:w="647" w:type="pct"/>
            <w:tcBorders>
              <w:top w:val="single" w:color="auto" w:sz="4" w:space="0"/>
              <w:left w:val="single" w:color="auto" w:sz="4" w:space="0"/>
              <w:bottom w:val="single" w:color="auto" w:sz="4" w:space="0"/>
              <w:right w:val="single" w:color="auto" w:sz="4" w:space="0"/>
            </w:tcBorders>
            <w:vAlign w:val="center"/>
          </w:tcPr>
          <w:p w14:paraId="7CD9AB83">
            <w:pPr>
              <w:tabs>
                <w:tab w:val="clear" w:pos="480"/>
              </w:tabs>
              <w:adjustRightInd w:val="0"/>
              <w:snapToGrid w:val="0"/>
              <w:spacing w:line="240" w:lineRule="auto"/>
              <w:ind w:firstLine="0" w:firstLineChars="0"/>
              <w:jc w:val="center"/>
              <w:rPr>
                <w:sz w:val="18"/>
                <w:szCs w:val="18"/>
              </w:rPr>
            </w:pPr>
            <w:r>
              <w:rPr>
                <w:sz w:val="18"/>
                <w:szCs w:val="18"/>
              </w:rPr>
              <w:t>27.08791</w:t>
            </w:r>
            <w:r>
              <w:rPr>
                <w:rFonts w:hint="eastAsia"/>
                <w:sz w:val="18"/>
                <w:szCs w:val="18"/>
              </w:rPr>
              <w:t>°</w:t>
            </w:r>
          </w:p>
        </w:tc>
        <w:tc>
          <w:tcPr>
            <w:tcW w:w="330" w:type="pct"/>
            <w:tcBorders>
              <w:top w:val="single" w:color="auto" w:sz="4" w:space="0"/>
              <w:left w:val="single" w:color="auto" w:sz="4" w:space="0"/>
              <w:bottom w:val="single" w:color="auto" w:sz="4" w:space="0"/>
              <w:right w:val="single" w:color="auto" w:sz="4" w:space="0"/>
            </w:tcBorders>
            <w:vAlign w:val="center"/>
          </w:tcPr>
          <w:p w14:paraId="4595A9DD">
            <w:pPr>
              <w:tabs>
                <w:tab w:val="clear" w:pos="480"/>
              </w:tabs>
              <w:adjustRightInd w:val="0"/>
              <w:snapToGrid w:val="0"/>
              <w:spacing w:line="240" w:lineRule="auto"/>
              <w:ind w:firstLine="0" w:firstLineChars="0"/>
              <w:jc w:val="center"/>
              <w:rPr>
                <w:sz w:val="18"/>
                <w:szCs w:val="18"/>
              </w:rPr>
            </w:pPr>
            <w:r>
              <w:rPr>
                <w:rFonts w:hint="eastAsia"/>
                <w:sz w:val="18"/>
                <w:szCs w:val="18"/>
              </w:rPr>
              <w:t>3</w:t>
            </w:r>
            <w:r>
              <w:rPr>
                <w:sz w:val="18"/>
                <w:szCs w:val="18"/>
              </w:rPr>
              <w:t>46</w:t>
            </w:r>
          </w:p>
        </w:tc>
        <w:tc>
          <w:tcPr>
            <w:tcW w:w="1208" w:type="pct"/>
            <w:tcBorders>
              <w:top w:val="single" w:color="auto" w:sz="4" w:space="0"/>
              <w:left w:val="single" w:color="auto" w:sz="4" w:space="0"/>
              <w:bottom w:val="single" w:color="auto" w:sz="4" w:space="0"/>
              <w:right w:val="single" w:color="auto" w:sz="4" w:space="0"/>
            </w:tcBorders>
            <w:vAlign w:val="center"/>
          </w:tcPr>
          <w:p w14:paraId="19A26512">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0/30/50/70/90/110/120</w:t>
            </w:r>
          </w:p>
        </w:tc>
        <w:tc>
          <w:tcPr>
            <w:tcW w:w="602" w:type="pct"/>
            <w:tcBorders>
              <w:top w:val="single" w:color="auto" w:sz="4" w:space="0"/>
              <w:left w:val="single" w:color="auto" w:sz="4" w:space="0"/>
              <w:bottom w:val="single" w:color="auto" w:sz="4" w:space="0"/>
              <w:right w:val="single" w:color="auto" w:sz="4" w:space="0"/>
            </w:tcBorders>
            <w:vAlign w:val="center"/>
          </w:tcPr>
          <w:p w14:paraId="060C1898">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0/90/120</w:t>
            </w:r>
          </w:p>
        </w:tc>
        <w:tc>
          <w:tcPr>
            <w:tcW w:w="1113" w:type="pct"/>
            <w:tcBorders>
              <w:top w:val="single" w:color="auto" w:sz="4" w:space="0"/>
              <w:left w:val="single" w:color="auto" w:sz="4" w:space="0"/>
              <w:bottom w:val="single" w:color="auto" w:sz="4" w:space="0"/>
              <w:right w:val="single" w:color="auto" w:sz="12" w:space="0"/>
            </w:tcBorders>
            <w:vAlign w:val="center"/>
          </w:tcPr>
          <w:p w14:paraId="19182369">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022.10.20~2023.4.16</w:t>
            </w:r>
          </w:p>
        </w:tc>
      </w:tr>
    </w:tbl>
    <w:p w14:paraId="53F362EF">
      <w:pPr>
        <w:tabs>
          <w:tab w:val="clear" w:pos="480"/>
        </w:tabs>
        <w:ind w:firstLine="0" w:firstLineChars="0"/>
        <w:jc w:val="center"/>
        <w:rPr>
          <w:sz w:val="21"/>
        </w:rPr>
      </w:pPr>
      <w:r>
        <w:drawing>
          <wp:inline distT="0" distB="0" distL="0" distR="0">
            <wp:extent cx="3704590" cy="4314190"/>
            <wp:effectExtent l="0" t="0" r="0" b="0"/>
            <wp:docPr id="834046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46533" name="图片 1"/>
                    <pic:cNvPicPr>
                      <a:picLocks noChangeAspect="1"/>
                    </pic:cNvPicPr>
                  </pic:nvPicPr>
                  <pic:blipFill>
                    <a:blip r:embed="rId16"/>
                    <a:stretch>
                      <a:fillRect/>
                    </a:stretch>
                  </pic:blipFill>
                  <pic:spPr>
                    <a:xfrm>
                      <a:off x="0" y="0"/>
                      <a:ext cx="3704762" cy="4314286"/>
                    </a:xfrm>
                    <a:prstGeom prst="rect">
                      <a:avLst/>
                    </a:prstGeom>
                  </pic:spPr>
                </pic:pic>
              </a:graphicData>
            </a:graphic>
          </wp:inline>
        </w:drawing>
      </w:r>
    </w:p>
    <w:p w14:paraId="3B275FB7">
      <w:pPr>
        <w:tabs>
          <w:tab w:val="clear" w:pos="480"/>
        </w:tabs>
        <w:ind w:firstLine="0" w:firstLineChars="0"/>
        <w:jc w:val="center"/>
        <w:rPr>
          <w:b/>
          <w:bCs/>
        </w:rPr>
      </w:pPr>
      <w:r>
        <w:rPr>
          <w:rFonts w:hint="eastAsia"/>
          <w:b/>
          <w:bCs/>
        </w:rPr>
        <w:t>图</w:t>
      </w:r>
      <w:r>
        <w:rPr>
          <w:b/>
          <w:bCs/>
        </w:rPr>
        <w:t xml:space="preserve">3.2-1  </w:t>
      </w:r>
      <w:r>
        <w:rPr>
          <w:rFonts w:hint="eastAsia"/>
          <w:b/>
          <w:bCs/>
        </w:rPr>
        <w:t>项目测风塔地理位置示意图</w:t>
      </w:r>
    </w:p>
    <w:p w14:paraId="708FB0BE">
      <w:pPr>
        <w:adjustRightInd w:val="0"/>
        <w:snapToGrid w:val="0"/>
        <w:ind w:firstLine="480"/>
      </w:pPr>
      <w:r>
        <w:rPr>
          <w:rFonts w:hint="eastAsia"/>
        </w:rPr>
        <w:t>（1）风电场风功率密度等级为</w:t>
      </w:r>
      <w:r>
        <w:t>D-1</w:t>
      </w:r>
      <w:r>
        <w:rPr>
          <w:rFonts w:hint="eastAsia"/>
        </w:rPr>
        <w:t>级，风能资源具有一定的开发价值。</w:t>
      </w:r>
    </w:p>
    <w:p w14:paraId="537C4AE1">
      <w:pPr>
        <w:adjustRightInd w:val="0"/>
        <w:snapToGrid w:val="0"/>
        <w:ind w:firstLine="480"/>
      </w:pPr>
      <w:r>
        <w:t>6680#</w:t>
      </w:r>
      <w:r>
        <w:rPr>
          <w:rFonts w:hint="eastAsia"/>
        </w:rPr>
        <w:t>代表塔轮毂高度年平均风速</w:t>
      </w:r>
      <w:r>
        <w:t>5.27m/s</w:t>
      </w:r>
      <w:r>
        <w:rPr>
          <w:rFonts w:hint="eastAsia"/>
        </w:rPr>
        <w:t>，年平均风功率密度</w:t>
      </w:r>
      <w:r>
        <w:t>164.8W/m</w:t>
      </w:r>
      <w:r>
        <w:rPr>
          <w:vertAlign w:val="superscript"/>
        </w:rPr>
        <w:t>2</w:t>
      </w:r>
      <w:r>
        <w:rPr>
          <w:rFonts w:hint="eastAsia"/>
        </w:rPr>
        <w:t>；</w:t>
      </w:r>
      <w:r>
        <w:t>6679#</w:t>
      </w:r>
      <w:r>
        <w:rPr>
          <w:rFonts w:hint="eastAsia"/>
        </w:rPr>
        <w:t>代表塔轮毂高度年平均风速</w:t>
      </w:r>
      <w:r>
        <w:t>4.45m/s</w:t>
      </w:r>
      <w:r>
        <w:rPr>
          <w:rFonts w:hint="eastAsia"/>
        </w:rPr>
        <w:t>，年平均风功率密度</w:t>
      </w:r>
      <w:r>
        <w:t>120.5W/m</w:t>
      </w:r>
      <w:r>
        <w:rPr>
          <w:vertAlign w:val="superscript"/>
        </w:rPr>
        <w:t>2</w:t>
      </w:r>
      <w:r>
        <w:rPr>
          <w:rFonts w:hint="eastAsia"/>
        </w:rPr>
        <w:t>。风机点位处平均风速</w:t>
      </w:r>
      <w:r>
        <w:t>4.98m/s</w:t>
      </w:r>
      <w:r>
        <w:rPr>
          <w:rFonts w:hint="eastAsia"/>
        </w:rPr>
        <w:t>，平均风功率密度</w:t>
      </w:r>
      <w:r>
        <w:t>171.2W/m</w:t>
      </w:r>
      <w:r>
        <w:rPr>
          <w:vertAlign w:val="superscript"/>
        </w:rPr>
        <w:t>2</w:t>
      </w:r>
      <w:r>
        <w:rPr>
          <w:rFonts w:hint="eastAsia"/>
        </w:rPr>
        <w:t>。根据《风电场工程风能资源测量与评估技术规范》</w:t>
      </w:r>
      <w:r>
        <w:t>(NB/T 31147-2018)</w:t>
      </w:r>
      <w:r>
        <w:rPr>
          <w:rFonts w:hint="eastAsia"/>
        </w:rPr>
        <w:t>风功率密度等级评判标准，本风电场风功率密度等级为</w:t>
      </w:r>
      <w:r>
        <w:t>D-1</w:t>
      </w:r>
      <w:r>
        <w:rPr>
          <w:rFonts w:hint="eastAsia"/>
        </w:rPr>
        <w:t>级。</w:t>
      </w:r>
    </w:p>
    <w:p w14:paraId="62517C44">
      <w:pPr>
        <w:adjustRightInd w:val="0"/>
        <w:snapToGrid w:val="0"/>
        <w:ind w:firstLine="480"/>
      </w:pPr>
      <w:r>
        <w:rPr>
          <w:rFonts w:hint="eastAsia"/>
        </w:rPr>
        <w:t>（2）平均风速、平均风功率密度日变化一致，主导风向和风能方向基本一致。</w:t>
      </w:r>
    </w:p>
    <w:p w14:paraId="6B19376F">
      <w:pPr>
        <w:adjustRightInd w:val="0"/>
        <w:snapToGrid w:val="0"/>
        <w:ind w:firstLine="480"/>
      </w:pPr>
      <w:r>
        <w:t>6680#</w:t>
      </w:r>
      <w:r>
        <w:rPr>
          <w:rFonts w:hint="eastAsia"/>
        </w:rPr>
        <w:t>风塔风速日内变化范围在</w:t>
      </w:r>
      <w:r>
        <w:t>4.68m/s</w:t>
      </w:r>
      <w:r>
        <w:rPr>
          <w:rFonts w:hint="eastAsia"/>
        </w:rPr>
        <w:t>～</w:t>
      </w:r>
      <w:r>
        <w:t xml:space="preserve">5.96m/s </w:t>
      </w:r>
      <w:r>
        <w:rPr>
          <w:rFonts w:hint="eastAsia"/>
        </w:rPr>
        <w:t>之间，风速日内变化幅度相对较大。风功率密度日内变化与风速变化规律基本一致，平均风速及平均风功率密度日变化规律较一致；</w:t>
      </w:r>
      <w:r>
        <w:t>6679#</w:t>
      </w:r>
      <w:r>
        <w:rPr>
          <w:rFonts w:hint="eastAsia"/>
        </w:rPr>
        <w:t>风塔风速日内变化范围在</w:t>
      </w:r>
      <w:r>
        <w:t xml:space="preserve"> 3.79m/s</w:t>
      </w:r>
      <w:r>
        <w:rPr>
          <w:rFonts w:hint="eastAsia"/>
        </w:rPr>
        <w:t>～</w:t>
      </w:r>
      <w:r>
        <w:t xml:space="preserve">5.16m/s </w:t>
      </w:r>
      <w:r>
        <w:rPr>
          <w:rFonts w:hint="eastAsia"/>
        </w:rPr>
        <w:t>之间，风速日内变化幅度相对较大，风功率密度日内变化与风速变化规律基本一致，平均风速及平均风功率密度日变化规律较一致。</w:t>
      </w:r>
    </w:p>
    <w:p w14:paraId="41708B65">
      <w:pPr>
        <w:adjustRightInd w:val="0"/>
        <w:snapToGrid w:val="0"/>
        <w:ind w:firstLine="480"/>
      </w:pPr>
      <w:r>
        <w:t>6680#</w:t>
      </w:r>
      <w:r>
        <w:rPr>
          <w:rFonts w:hint="eastAsia"/>
        </w:rPr>
        <w:t>代表塔轮毂高度全年主导风向为</w:t>
      </w:r>
      <w:r>
        <w:t>N</w:t>
      </w:r>
      <w:r>
        <w:rPr>
          <w:rFonts w:hint="eastAsia"/>
        </w:rPr>
        <w:t>，频率为</w:t>
      </w:r>
      <w:r>
        <w:t>21.3%</w:t>
      </w:r>
      <w:r>
        <w:rPr>
          <w:rFonts w:hint="eastAsia"/>
        </w:rPr>
        <w:t>，全年主导风能方向为</w:t>
      </w:r>
      <w:r>
        <w:t>NNE</w:t>
      </w:r>
      <w:r>
        <w:rPr>
          <w:rFonts w:hint="eastAsia"/>
        </w:rPr>
        <w:t>，频率为</w:t>
      </w:r>
      <w:r>
        <w:t>39.6%</w:t>
      </w:r>
      <w:r>
        <w:rPr>
          <w:rFonts w:hint="eastAsia"/>
        </w:rPr>
        <w:t>，主导风向和主导风能方向变化规律大体一致；</w:t>
      </w:r>
      <w:r>
        <w:t>6679#</w:t>
      </w:r>
      <w:r>
        <w:rPr>
          <w:rFonts w:hint="eastAsia"/>
        </w:rPr>
        <w:t>代表塔轮毂高度全年主导风向为</w:t>
      </w:r>
      <w:r>
        <w:t>NNE</w:t>
      </w:r>
      <w:r>
        <w:rPr>
          <w:rFonts w:hint="eastAsia"/>
        </w:rPr>
        <w:t>，频率为</w:t>
      </w:r>
      <w:r>
        <w:t>20.4%</w:t>
      </w:r>
      <w:r>
        <w:rPr>
          <w:rFonts w:hint="eastAsia"/>
        </w:rPr>
        <w:t>，全年主导风能方向为</w:t>
      </w:r>
      <w:r>
        <w:t>NNE</w:t>
      </w:r>
      <w:r>
        <w:rPr>
          <w:rFonts w:hint="eastAsia"/>
        </w:rPr>
        <w:t>，频率为</w:t>
      </w:r>
      <w:r>
        <w:t>36.7%</w:t>
      </w:r>
      <w:r>
        <w:rPr>
          <w:rFonts w:hint="eastAsia"/>
        </w:rPr>
        <w:t>，主导风向和主导风能方向变化规律大体一致。</w:t>
      </w:r>
    </w:p>
    <w:p w14:paraId="15A07517">
      <w:pPr>
        <w:adjustRightInd w:val="0"/>
        <w:snapToGrid w:val="0"/>
        <w:ind w:firstLine="480"/>
      </w:pPr>
      <w:r>
        <w:t>6680#</w:t>
      </w:r>
      <w:r>
        <w:rPr>
          <w:rFonts w:hint="eastAsia"/>
        </w:rPr>
        <w:t>测风塔风速分布主要集中在</w:t>
      </w:r>
      <w:r>
        <w:t>1m/s</w:t>
      </w:r>
      <w:r>
        <w:rPr>
          <w:rFonts w:hint="eastAsia"/>
        </w:rPr>
        <w:t>～</w:t>
      </w:r>
      <w:r>
        <w:t xml:space="preserve">7m/s </w:t>
      </w:r>
      <w:r>
        <w:rPr>
          <w:rFonts w:hint="eastAsia"/>
        </w:rPr>
        <w:t>风速段，风速频率为</w:t>
      </w:r>
      <w:r>
        <w:t>85.05%</w:t>
      </w:r>
      <w:r>
        <w:rPr>
          <w:rFonts w:hint="eastAsia"/>
        </w:rPr>
        <w:t>；风能分布主要集中在</w:t>
      </w:r>
      <w:r>
        <w:t>5m/s</w:t>
      </w:r>
      <w:r>
        <w:rPr>
          <w:rFonts w:hint="eastAsia"/>
        </w:rPr>
        <w:t>～</w:t>
      </w:r>
      <w:r>
        <w:t>12m/s</w:t>
      </w:r>
      <w:r>
        <w:rPr>
          <w:rFonts w:hint="eastAsia"/>
        </w:rPr>
        <w:t>风速段，风能频率为</w:t>
      </w:r>
      <w:r>
        <w:t>77.56%</w:t>
      </w:r>
      <w:r>
        <w:rPr>
          <w:rFonts w:hint="eastAsia"/>
        </w:rPr>
        <w:t>，风速和风能频率分布相对集中。</w:t>
      </w:r>
      <w:r>
        <w:t>6679#</w:t>
      </w:r>
      <w:r>
        <w:rPr>
          <w:rFonts w:hint="eastAsia"/>
        </w:rPr>
        <w:t>测风塔风速分布主要集中在</w:t>
      </w:r>
      <w:r>
        <w:t xml:space="preserve"> 2m/s</w:t>
      </w:r>
      <w:r>
        <w:rPr>
          <w:rFonts w:hint="eastAsia"/>
        </w:rPr>
        <w:t>～</w:t>
      </w:r>
      <w:r>
        <w:t xml:space="preserve">8m/s </w:t>
      </w:r>
      <w:r>
        <w:rPr>
          <w:rFonts w:hint="eastAsia"/>
        </w:rPr>
        <w:t>风速段，风速频率为</w:t>
      </w:r>
      <w:r>
        <w:t>83.29%</w:t>
      </w:r>
      <w:r>
        <w:rPr>
          <w:rFonts w:hint="eastAsia"/>
        </w:rPr>
        <w:t>；风能分布主要集中在</w:t>
      </w:r>
      <w:r>
        <w:t>5m/s</w:t>
      </w:r>
      <w:r>
        <w:rPr>
          <w:rFonts w:hint="eastAsia"/>
        </w:rPr>
        <w:t>～</w:t>
      </w:r>
      <w:r>
        <w:t>12m/s</w:t>
      </w:r>
      <w:r>
        <w:rPr>
          <w:rFonts w:hint="eastAsia"/>
        </w:rPr>
        <w:t>风速段，风能频率为</w:t>
      </w:r>
      <w:r>
        <w:t>77.47%</w:t>
      </w:r>
      <w:r>
        <w:rPr>
          <w:rFonts w:hint="eastAsia"/>
        </w:rPr>
        <w:t>，风速和风能频率分布相对集中。</w:t>
      </w:r>
    </w:p>
    <w:p w14:paraId="47B8AD33">
      <w:pPr>
        <w:pStyle w:val="4"/>
        <w:tabs>
          <w:tab w:val="clear" w:pos="480"/>
          <w:tab w:val="clear" w:pos="630"/>
        </w:tabs>
        <w:adjustRightInd w:val="0"/>
        <w:snapToGrid w:val="0"/>
        <w:spacing w:before="0" w:after="0"/>
        <w:rPr>
          <w:sz w:val="30"/>
          <w:szCs w:val="30"/>
          <w:lang w:val="en-US"/>
        </w:rPr>
      </w:pPr>
      <w:bookmarkStart w:id="71" w:name="_Toc143799366"/>
      <w:bookmarkStart w:id="72" w:name="_Toc116977983"/>
      <w:r>
        <w:rPr>
          <w:sz w:val="30"/>
          <w:szCs w:val="30"/>
          <w:lang w:val="en-US"/>
        </w:rPr>
        <w:t>3.3</w:t>
      </w:r>
      <w:r>
        <w:rPr>
          <w:rFonts w:hint="eastAsia"/>
          <w:sz w:val="30"/>
          <w:szCs w:val="30"/>
          <w:lang w:val="en-US"/>
        </w:rPr>
        <w:t>工程内容及规模</w:t>
      </w:r>
      <w:bookmarkEnd w:id="71"/>
      <w:bookmarkEnd w:id="72"/>
    </w:p>
    <w:p w14:paraId="12D96010">
      <w:pPr>
        <w:adjustRightInd w:val="0"/>
        <w:snapToGrid w:val="0"/>
        <w:ind w:firstLine="0" w:firstLineChars="0"/>
        <w:rPr>
          <w:b/>
          <w:bCs/>
          <w:sz w:val="28"/>
          <w:szCs w:val="28"/>
        </w:rPr>
      </w:pPr>
      <w:r>
        <w:rPr>
          <w:b/>
          <w:bCs/>
          <w:sz w:val="28"/>
          <w:szCs w:val="28"/>
        </w:rPr>
        <w:t>3.3.1</w:t>
      </w:r>
      <w:r>
        <w:rPr>
          <w:rFonts w:hint="eastAsia"/>
          <w:b/>
          <w:bCs/>
          <w:sz w:val="28"/>
          <w:szCs w:val="28"/>
        </w:rPr>
        <w:t>地理位置及规模</w:t>
      </w:r>
    </w:p>
    <w:p w14:paraId="3846F3D2">
      <w:pPr>
        <w:adjustRightInd w:val="0"/>
        <w:snapToGrid w:val="0"/>
        <w:ind w:firstLine="480"/>
      </w:pPr>
      <w:r>
        <w:t>项目名称：衡阳县杉桥风电场</w:t>
      </w:r>
      <w:r>
        <w:rPr>
          <w:rFonts w:hint="eastAsia"/>
        </w:rPr>
        <w:t>工程</w:t>
      </w:r>
      <w:r>
        <w:t>；</w:t>
      </w:r>
    </w:p>
    <w:p w14:paraId="15048700">
      <w:pPr>
        <w:adjustRightInd w:val="0"/>
        <w:snapToGrid w:val="0"/>
        <w:ind w:firstLine="480"/>
      </w:pPr>
      <w:r>
        <w:t>建设性质：新建；</w:t>
      </w:r>
    </w:p>
    <w:p w14:paraId="69BBB7F4">
      <w:pPr>
        <w:adjustRightInd w:val="0"/>
        <w:snapToGrid w:val="0"/>
        <w:ind w:firstLine="480"/>
      </w:pPr>
      <w:r>
        <w:t>建设单位：湘投能源（衡阳）有限公司</w:t>
      </w:r>
    </w:p>
    <w:p w14:paraId="618D0B3E">
      <w:pPr>
        <w:adjustRightInd w:val="0"/>
        <w:snapToGrid w:val="0"/>
        <w:ind w:firstLine="480"/>
      </w:pPr>
      <w:r>
        <w:t>建设地点：湖南省衡阳市衡阳县</w:t>
      </w:r>
      <w:r>
        <w:rPr>
          <w:rFonts w:hint="eastAsia"/>
        </w:rPr>
        <w:t>渣江镇、岣嵝乡、集兵镇、界牌镇一带</w:t>
      </w:r>
      <w:r>
        <w:t>；</w:t>
      </w:r>
    </w:p>
    <w:p w14:paraId="7AF5302C">
      <w:pPr>
        <w:adjustRightInd w:val="0"/>
        <w:snapToGrid w:val="0"/>
        <w:ind w:firstLine="480"/>
      </w:pPr>
      <w:r>
        <w:rPr>
          <w:rFonts w:hint="eastAsia"/>
        </w:rPr>
        <w:t>总投资：本项目总投资</w:t>
      </w:r>
      <w:bookmarkStart w:id="73" w:name="_Hlk116115856"/>
      <w:r>
        <w:t>37954.51</w:t>
      </w:r>
      <w:r>
        <w:rPr>
          <w:rFonts w:hint="eastAsia"/>
        </w:rPr>
        <w:t>万元</w:t>
      </w:r>
      <w:bookmarkEnd w:id="73"/>
      <w:r>
        <w:rPr>
          <w:rFonts w:hint="eastAsia"/>
        </w:rPr>
        <w:t>（动态）；</w:t>
      </w:r>
    </w:p>
    <w:p w14:paraId="2B460258">
      <w:pPr>
        <w:adjustRightInd w:val="0"/>
        <w:snapToGrid w:val="0"/>
        <w:ind w:firstLine="480"/>
      </w:pPr>
      <w:r>
        <w:rPr>
          <w:rFonts w:hint="eastAsia"/>
        </w:rPr>
        <w:t>建设规模：</w:t>
      </w:r>
      <w:bookmarkStart w:id="74" w:name="_Hlk109143289"/>
      <w:r>
        <w:rPr>
          <w:rFonts w:hint="eastAsia"/>
        </w:rPr>
        <w:t>本工程总用地面积</w:t>
      </w:r>
      <w:r>
        <w:t>43.163</w:t>
      </w:r>
      <w:r>
        <w:rPr>
          <w:rFonts w:hint="eastAsia"/>
        </w:rPr>
        <w:t>万</w:t>
      </w:r>
      <w:r>
        <w:t>m</w:t>
      </w:r>
      <w:r>
        <w:rPr>
          <w:vertAlign w:val="superscript"/>
        </w:rPr>
        <w:t>2</w:t>
      </w:r>
      <w:r>
        <w:rPr>
          <w:rFonts w:hint="eastAsia"/>
        </w:rPr>
        <w:t>，其中永久性用地面积为</w:t>
      </w:r>
      <w:r>
        <w:t>1.163</w:t>
      </w:r>
      <w:r>
        <w:rPr>
          <w:rFonts w:hint="eastAsia"/>
        </w:rPr>
        <w:t>万</w:t>
      </w:r>
      <w:r>
        <w:t>m</w:t>
      </w:r>
      <w:r>
        <w:rPr>
          <w:vertAlign w:val="superscript"/>
        </w:rPr>
        <w:t>2</w:t>
      </w:r>
      <w:r>
        <w:rPr>
          <w:rFonts w:hint="eastAsia"/>
        </w:rPr>
        <w:t>，临时性用地面积</w:t>
      </w:r>
      <w:r>
        <w:t xml:space="preserve">42.0 </w:t>
      </w:r>
      <w:r>
        <w:rPr>
          <w:rFonts w:hint="eastAsia"/>
        </w:rPr>
        <w:t>万</w:t>
      </w:r>
      <w:r>
        <w:t>m</w:t>
      </w:r>
      <w:r>
        <w:rPr>
          <w:vertAlign w:val="superscript"/>
        </w:rPr>
        <w:t>2</w:t>
      </w:r>
      <w:r>
        <w:rPr>
          <w:rFonts w:hint="eastAsia"/>
        </w:rPr>
        <w:t>。工程共拟安装</w:t>
      </w:r>
      <w:bookmarkStart w:id="75" w:name="_Hlk123888896"/>
      <w:r>
        <w:t>10</w:t>
      </w:r>
      <w:r>
        <w:rPr>
          <w:rFonts w:hint="eastAsia"/>
        </w:rPr>
        <w:t>台风电机组单机容量为5</w:t>
      </w:r>
      <w:r>
        <w:t>.0MW</w:t>
      </w:r>
      <w:r>
        <w:rPr>
          <w:rFonts w:hint="eastAsia"/>
        </w:rPr>
        <w:t>的风力发电机组，总装机规模为</w:t>
      </w:r>
      <w:r>
        <w:t>50MW</w:t>
      </w:r>
      <w:bookmarkEnd w:id="75"/>
      <w:r>
        <w:rPr>
          <w:rFonts w:hint="eastAsia"/>
        </w:rPr>
        <w:t>，项目年上网发电量为</w:t>
      </w:r>
      <w:r>
        <w:t>9080</w:t>
      </w:r>
      <w:r>
        <w:rPr>
          <w:rFonts w:hint="eastAsia"/>
        </w:rPr>
        <w:t>万</w:t>
      </w:r>
      <w:r>
        <w:t>kW</w:t>
      </w:r>
      <w:r>
        <w:rPr>
          <w:rFonts w:hint="eastAsia"/>
        </w:rPr>
        <w:t>·</w:t>
      </w:r>
      <w:r>
        <w:t>h</w:t>
      </w:r>
      <w:r>
        <w:rPr>
          <w:rFonts w:hint="eastAsia"/>
        </w:rPr>
        <w:t>，年等效满负荷小时数为</w:t>
      </w:r>
      <w:r>
        <w:t>1816h</w:t>
      </w:r>
      <w:r>
        <w:rPr>
          <w:rFonts w:hint="eastAsia"/>
        </w:rPr>
        <w:t>。拟建设一座</w:t>
      </w:r>
      <w:r>
        <w:t xml:space="preserve">110kV </w:t>
      </w:r>
      <w:r>
        <w:rPr>
          <w:rFonts w:hint="eastAsia"/>
        </w:rPr>
        <w:t>升压站，升压站内拟安装1台</w:t>
      </w:r>
      <w:r>
        <w:t>50MVA</w:t>
      </w:r>
      <w:r>
        <w:rPr>
          <w:rFonts w:hint="eastAsia"/>
        </w:rPr>
        <w:t>主变压器，以一回</w:t>
      </w:r>
      <w:r>
        <w:t xml:space="preserve">110kV </w:t>
      </w:r>
      <w:r>
        <w:rPr>
          <w:rFonts w:hint="eastAsia"/>
        </w:rPr>
        <w:t>线路送出。</w:t>
      </w:r>
    </w:p>
    <w:bookmarkEnd w:id="74"/>
    <w:p w14:paraId="37D4B546">
      <w:pPr>
        <w:adjustRightInd w:val="0"/>
        <w:snapToGrid w:val="0"/>
        <w:ind w:firstLine="480"/>
      </w:pPr>
      <w:bookmarkStart w:id="76" w:name="_Hlk116114433"/>
      <w:r>
        <w:rPr>
          <w:rFonts w:hint="eastAsia"/>
        </w:rPr>
        <w:t>本项目规划区域范围内无大型机关厂矿、无压覆矿产资源、无基本农田、无电台、机场、无军事设施、未发现重大文物古迹。</w:t>
      </w:r>
      <w:r>
        <w:t xml:space="preserve"> </w:t>
      </w:r>
    </w:p>
    <w:bookmarkEnd w:id="76"/>
    <w:p w14:paraId="763B06F5">
      <w:pPr>
        <w:tabs>
          <w:tab w:val="clear" w:pos="480"/>
        </w:tabs>
        <w:adjustRightInd w:val="0"/>
        <w:snapToGrid w:val="0"/>
        <w:ind w:firstLine="0" w:firstLineChars="0"/>
        <w:rPr>
          <w:b/>
          <w:bCs/>
          <w:sz w:val="28"/>
          <w:szCs w:val="28"/>
        </w:rPr>
      </w:pPr>
      <w:r>
        <w:rPr>
          <w:b/>
          <w:bCs/>
          <w:sz w:val="28"/>
          <w:szCs w:val="28"/>
        </w:rPr>
        <w:t>3.3.2</w:t>
      </w:r>
      <w:r>
        <w:rPr>
          <w:rFonts w:hint="eastAsia"/>
          <w:b/>
          <w:bCs/>
          <w:sz w:val="28"/>
          <w:szCs w:val="28"/>
        </w:rPr>
        <w:t>工程等级</w:t>
      </w:r>
    </w:p>
    <w:p w14:paraId="5186DE9D">
      <w:pPr>
        <w:adjustRightInd w:val="0"/>
        <w:snapToGrid w:val="0"/>
        <w:ind w:firstLine="480"/>
      </w:pPr>
      <w:r>
        <w:t>根据《风电场工程等级划分及设计安全标准》(NB/T 10101-2018)、《陆上风电场工程风电机组基础设计规范》(NB/T 10311-2019)、《建筑地基基础设计规范》(GB 50007-2011)的规定，本风电场的工程规模为中型。本工程机组塔架地基基础设计级别为甲级，箱式变电站地基基础设计等级为丙级。风电机组基础结构安全等级为1级。升压站内建筑物、构筑物级别为2级，升压站内建筑物、构筑物的结构安全等级均为二级。主要建、构筑物的抗震设防类别为丙类，次要建、构筑物的抗震设防类别为丁类，抗震设防烈度为6度。</w:t>
      </w:r>
    </w:p>
    <w:p w14:paraId="3E16FF62">
      <w:pPr>
        <w:tabs>
          <w:tab w:val="clear" w:pos="480"/>
        </w:tabs>
        <w:adjustRightInd w:val="0"/>
        <w:snapToGrid w:val="0"/>
        <w:ind w:firstLine="0" w:firstLineChars="0"/>
        <w:rPr>
          <w:b/>
          <w:bCs/>
          <w:sz w:val="28"/>
          <w:szCs w:val="28"/>
        </w:rPr>
      </w:pPr>
      <w:r>
        <w:rPr>
          <w:b/>
          <w:bCs/>
          <w:sz w:val="28"/>
          <w:szCs w:val="28"/>
        </w:rPr>
        <w:t>3.3.3</w:t>
      </w:r>
      <w:r>
        <w:rPr>
          <w:rFonts w:hint="eastAsia"/>
          <w:b/>
          <w:bCs/>
          <w:sz w:val="28"/>
          <w:szCs w:val="28"/>
        </w:rPr>
        <w:t>工程特性</w:t>
      </w:r>
    </w:p>
    <w:p w14:paraId="13501DFC">
      <w:pPr>
        <w:tabs>
          <w:tab w:val="clear" w:pos="480"/>
        </w:tabs>
        <w:adjustRightInd w:val="0"/>
        <w:snapToGrid w:val="0"/>
        <w:ind w:firstLine="480"/>
      </w:pPr>
      <w:r>
        <w:rPr>
          <w:rFonts w:hint="eastAsia"/>
        </w:rPr>
        <w:t>本项目工程特性见下表。</w:t>
      </w:r>
    </w:p>
    <w:p w14:paraId="039AF5B0">
      <w:pPr>
        <w:tabs>
          <w:tab w:val="clear" w:pos="480"/>
        </w:tabs>
        <w:spacing w:line="240" w:lineRule="auto"/>
        <w:ind w:firstLine="0" w:firstLineChars="0"/>
        <w:jc w:val="center"/>
        <w:rPr>
          <w:b/>
          <w:bCs/>
        </w:rPr>
      </w:pPr>
      <w:r>
        <w:rPr>
          <w:rFonts w:hint="eastAsia"/>
          <w:b/>
          <w:bCs/>
        </w:rPr>
        <w:t>表</w:t>
      </w:r>
      <w:r>
        <w:rPr>
          <w:b/>
          <w:bCs/>
        </w:rPr>
        <w:t xml:space="preserve">3.3-1  </w:t>
      </w:r>
      <w:r>
        <w:rPr>
          <w:rFonts w:hint="eastAsia"/>
          <w:b/>
          <w:bCs/>
        </w:rPr>
        <w:t>工程特性表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883"/>
        <w:gridCol w:w="1042"/>
        <w:gridCol w:w="1873"/>
        <w:gridCol w:w="1124"/>
        <w:gridCol w:w="2880"/>
      </w:tblGrid>
      <w:tr w14:paraId="7919BB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652" w:type="pct"/>
            <w:gridSpan w:val="4"/>
            <w:vAlign w:val="center"/>
          </w:tcPr>
          <w:p w14:paraId="6AD009B2">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名    称</w:t>
            </w:r>
          </w:p>
        </w:tc>
        <w:tc>
          <w:tcPr>
            <w:tcW w:w="659" w:type="pct"/>
            <w:vAlign w:val="center"/>
          </w:tcPr>
          <w:p w14:paraId="4A10EAAC">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单位</w:t>
            </w:r>
          </w:p>
          <w:p w14:paraId="0607AFD0">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(或型号)</w:t>
            </w:r>
          </w:p>
        </w:tc>
        <w:tc>
          <w:tcPr>
            <w:tcW w:w="1689" w:type="pct"/>
            <w:vAlign w:val="center"/>
          </w:tcPr>
          <w:p w14:paraId="6FF0848B">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数量</w:t>
            </w:r>
          </w:p>
        </w:tc>
      </w:tr>
      <w:tr w14:paraId="12CA12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vAlign w:val="center"/>
          </w:tcPr>
          <w:p w14:paraId="6B35A3CB">
            <w:pPr>
              <w:tabs>
                <w:tab w:val="clear" w:pos="480"/>
              </w:tabs>
              <w:adjustRightInd w:val="0"/>
              <w:snapToGrid w:val="0"/>
              <w:spacing w:line="240" w:lineRule="auto"/>
              <w:ind w:firstLine="0" w:firstLineChars="0"/>
              <w:jc w:val="center"/>
              <w:rPr>
                <w:kern w:val="0"/>
                <w:sz w:val="18"/>
                <w:szCs w:val="18"/>
              </w:rPr>
            </w:pPr>
            <w:r>
              <w:rPr>
                <w:kern w:val="0"/>
                <w:sz w:val="18"/>
                <w:szCs w:val="18"/>
              </w:rPr>
              <w:t>风</w:t>
            </w:r>
          </w:p>
          <w:p w14:paraId="03D987D4">
            <w:pPr>
              <w:tabs>
                <w:tab w:val="clear" w:pos="480"/>
              </w:tabs>
              <w:adjustRightInd w:val="0"/>
              <w:snapToGrid w:val="0"/>
              <w:spacing w:line="240" w:lineRule="auto"/>
              <w:ind w:firstLine="0" w:firstLineChars="0"/>
              <w:jc w:val="center"/>
              <w:rPr>
                <w:kern w:val="0"/>
                <w:sz w:val="18"/>
                <w:szCs w:val="18"/>
              </w:rPr>
            </w:pPr>
            <w:r>
              <w:rPr>
                <w:kern w:val="0"/>
                <w:sz w:val="18"/>
                <w:szCs w:val="18"/>
              </w:rPr>
              <w:t>电</w:t>
            </w:r>
          </w:p>
          <w:p w14:paraId="4B3C84D7">
            <w:pPr>
              <w:tabs>
                <w:tab w:val="clear" w:pos="480"/>
              </w:tabs>
              <w:adjustRightInd w:val="0"/>
              <w:snapToGrid w:val="0"/>
              <w:spacing w:line="240" w:lineRule="auto"/>
              <w:ind w:firstLine="0" w:firstLineChars="0"/>
              <w:jc w:val="center"/>
              <w:rPr>
                <w:kern w:val="0"/>
                <w:sz w:val="18"/>
                <w:szCs w:val="18"/>
              </w:rPr>
            </w:pPr>
            <w:r>
              <w:rPr>
                <w:kern w:val="0"/>
                <w:sz w:val="18"/>
                <w:szCs w:val="18"/>
              </w:rPr>
              <w:t>场</w:t>
            </w:r>
          </w:p>
          <w:p w14:paraId="6BC1081D">
            <w:pPr>
              <w:tabs>
                <w:tab w:val="clear" w:pos="480"/>
              </w:tabs>
              <w:adjustRightInd w:val="0"/>
              <w:snapToGrid w:val="0"/>
              <w:spacing w:line="240" w:lineRule="auto"/>
              <w:ind w:firstLine="0" w:firstLineChars="0"/>
              <w:jc w:val="center"/>
              <w:rPr>
                <w:kern w:val="0"/>
                <w:sz w:val="18"/>
                <w:szCs w:val="18"/>
              </w:rPr>
            </w:pPr>
            <w:r>
              <w:rPr>
                <w:kern w:val="0"/>
                <w:sz w:val="18"/>
                <w:szCs w:val="18"/>
              </w:rPr>
              <w:t>场</w:t>
            </w:r>
          </w:p>
          <w:p w14:paraId="676142D5">
            <w:pPr>
              <w:tabs>
                <w:tab w:val="clear" w:pos="480"/>
              </w:tabs>
              <w:adjustRightInd w:val="0"/>
              <w:snapToGrid w:val="0"/>
              <w:spacing w:line="240" w:lineRule="auto"/>
              <w:ind w:firstLine="0" w:firstLineChars="0"/>
              <w:jc w:val="center"/>
              <w:rPr>
                <w:kern w:val="0"/>
                <w:sz w:val="18"/>
                <w:szCs w:val="18"/>
              </w:rPr>
            </w:pPr>
            <w:r>
              <w:rPr>
                <w:kern w:val="0"/>
                <w:sz w:val="18"/>
                <w:szCs w:val="18"/>
              </w:rPr>
              <w:t>址</w:t>
            </w:r>
          </w:p>
        </w:tc>
        <w:tc>
          <w:tcPr>
            <w:tcW w:w="2226" w:type="pct"/>
            <w:gridSpan w:val="3"/>
            <w:vAlign w:val="center"/>
          </w:tcPr>
          <w:p w14:paraId="194DE0CA">
            <w:pPr>
              <w:tabs>
                <w:tab w:val="clear" w:pos="480"/>
              </w:tabs>
              <w:adjustRightInd w:val="0"/>
              <w:snapToGrid w:val="0"/>
              <w:spacing w:line="240" w:lineRule="auto"/>
              <w:ind w:firstLine="0" w:firstLineChars="0"/>
              <w:jc w:val="center"/>
              <w:rPr>
                <w:kern w:val="0"/>
                <w:sz w:val="18"/>
                <w:szCs w:val="18"/>
              </w:rPr>
            </w:pPr>
            <w:r>
              <w:rPr>
                <w:kern w:val="0"/>
                <w:sz w:val="18"/>
                <w:szCs w:val="18"/>
              </w:rPr>
              <w:t>海拔高度</w:t>
            </w:r>
          </w:p>
        </w:tc>
        <w:tc>
          <w:tcPr>
            <w:tcW w:w="659" w:type="pct"/>
            <w:vAlign w:val="center"/>
          </w:tcPr>
          <w:p w14:paraId="5BB55F14">
            <w:pPr>
              <w:tabs>
                <w:tab w:val="clear" w:pos="480"/>
              </w:tabs>
              <w:adjustRightInd w:val="0"/>
              <w:snapToGrid w:val="0"/>
              <w:spacing w:line="240" w:lineRule="auto"/>
              <w:ind w:firstLine="0" w:firstLineChars="0"/>
              <w:jc w:val="center"/>
              <w:rPr>
                <w:kern w:val="0"/>
                <w:sz w:val="18"/>
                <w:szCs w:val="18"/>
              </w:rPr>
            </w:pPr>
            <w:r>
              <w:rPr>
                <w:kern w:val="0"/>
                <w:sz w:val="18"/>
                <w:szCs w:val="18"/>
              </w:rPr>
              <w:t>m</w:t>
            </w:r>
          </w:p>
        </w:tc>
        <w:tc>
          <w:tcPr>
            <w:tcW w:w="1689" w:type="pct"/>
            <w:vAlign w:val="center"/>
          </w:tcPr>
          <w:p w14:paraId="580D56DC">
            <w:pPr>
              <w:tabs>
                <w:tab w:val="clear" w:pos="480"/>
              </w:tabs>
              <w:adjustRightInd w:val="0"/>
              <w:snapToGrid w:val="0"/>
              <w:spacing w:line="240" w:lineRule="auto"/>
              <w:ind w:firstLine="0" w:firstLineChars="0"/>
              <w:jc w:val="center"/>
              <w:rPr>
                <w:kern w:val="0"/>
                <w:sz w:val="18"/>
                <w:szCs w:val="18"/>
              </w:rPr>
            </w:pPr>
            <w:r>
              <w:rPr>
                <w:kern w:val="0"/>
                <w:sz w:val="18"/>
                <w:szCs w:val="18"/>
              </w:rPr>
              <w:t>100~500m</w:t>
            </w:r>
          </w:p>
        </w:tc>
      </w:tr>
      <w:tr w14:paraId="32DE3F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6D35D8B9">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45C831EF">
            <w:pPr>
              <w:tabs>
                <w:tab w:val="clear" w:pos="480"/>
              </w:tabs>
              <w:adjustRightInd w:val="0"/>
              <w:snapToGrid w:val="0"/>
              <w:spacing w:line="240" w:lineRule="auto"/>
              <w:ind w:firstLine="0" w:firstLineChars="0"/>
              <w:jc w:val="center"/>
              <w:rPr>
                <w:kern w:val="0"/>
                <w:sz w:val="18"/>
                <w:szCs w:val="18"/>
              </w:rPr>
            </w:pPr>
            <w:r>
              <w:rPr>
                <w:kern w:val="0"/>
                <w:sz w:val="18"/>
                <w:szCs w:val="18"/>
              </w:rPr>
              <w:t>年平均风速</w:t>
            </w:r>
          </w:p>
        </w:tc>
        <w:tc>
          <w:tcPr>
            <w:tcW w:w="659" w:type="pct"/>
            <w:vAlign w:val="center"/>
          </w:tcPr>
          <w:p w14:paraId="2C307A10">
            <w:pPr>
              <w:tabs>
                <w:tab w:val="clear" w:pos="480"/>
              </w:tabs>
              <w:adjustRightInd w:val="0"/>
              <w:snapToGrid w:val="0"/>
              <w:spacing w:line="240" w:lineRule="auto"/>
              <w:ind w:firstLine="0" w:firstLineChars="0"/>
              <w:jc w:val="center"/>
              <w:rPr>
                <w:kern w:val="0"/>
                <w:sz w:val="18"/>
                <w:szCs w:val="18"/>
              </w:rPr>
            </w:pPr>
            <w:r>
              <w:rPr>
                <w:kern w:val="0"/>
                <w:sz w:val="18"/>
                <w:szCs w:val="18"/>
              </w:rPr>
              <w:t>m/s</w:t>
            </w:r>
          </w:p>
        </w:tc>
        <w:tc>
          <w:tcPr>
            <w:tcW w:w="1689" w:type="pct"/>
            <w:vAlign w:val="center"/>
          </w:tcPr>
          <w:p w14:paraId="5AC7824A">
            <w:pPr>
              <w:tabs>
                <w:tab w:val="clear" w:pos="480"/>
              </w:tabs>
              <w:adjustRightInd w:val="0"/>
              <w:snapToGrid w:val="0"/>
              <w:spacing w:line="240" w:lineRule="auto"/>
              <w:ind w:firstLine="0" w:firstLineChars="0"/>
              <w:jc w:val="center"/>
              <w:rPr>
                <w:kern w:val="0"/>
                <w:sz w:val="18"/>
                <w:szCs w:val="18"/>
              </w:rPr>
            </w:pPr>
            <w:r>
              <w:rPr>
                <w:kern w:val="0"/>
                <w:sz w:val="18"/>
                <w:szCs w:val="18"/>
              </w:rPr>
              <w:t>4.69</w:t>
            </w:r>
          </w:p>
        </w:tc>
      </w:tr>
      <w:tr w14:paraId="5FCD11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13446869">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4266524B">
            <w:pPr>
              <w:tabs>
                <w:tab w:val="clear" w:pos="480"/>
              </w:tabs>
              <w:adjustRightInd w:val="0"/>
              <w:snapToGrid w:val="0"/>
              <w:spacing w:line="240" w:lineRule="auto"/>
              <w:ind w:firstLine="0" w:firstLineChars="0"/>
              <w:jc w:val="center"/>
              <w:rPr>
                <w:kern w:val="0"/>
                <w:sz w:val="18"/>
                <w:szCs w:val="18"/>
              </w:rPr>
            </w:pPr>
            <w:r>
              <w:rPr>
                <w:kern w:val="0"/>
                <w:sz w:val="18"/>
                <w:szCs w:val="18"/>
              </w:rPr>
              <w:t>风功率密度</w:t>
            </w:r>
          </w:p>
        </w:tc>
        <w:tc>
          <w:tcPr>
            <w:tcW w:w="659" w:type="pct"/>
            <w:vAlign w:val="center"/>
          </w:tcPr>
          <w:p w14:paraId="6A6FF264">
            <w:pPr>
              <w:tabs>
                <w:tab w:val="clear" w:pos="480"/>
              </w:tabs>
              <w:adjustRightInd w:val="0"/>
              <w:snapToGrid w:val="0"/>
              <w:spacing w:line="240" w:lineRule="auto"/>
              <w:ind w:firstLine="0" w:firstLineChars="0"/>
              <w:jc w:val="center"/>
              <w:rPr>
                <w:kern w:val="0"/>
                <w:sz w:val="18"/>
                <w:szCs w:val="18"/>
              </w:rPr>
            </w:pPr>
            <w:r>
              <w:rPr>
                <w:kern w:val="0"/>
                <w:sz w:val="18"/>
                <w:szCs w:val="18"/>
              </w:rPr>
              <w:t>W/m</w:t>
            </w:r>
            <w:r>
              <w:rPr>
                <w:kern w:val="0"/>
                <w:sz w:val="18"/>
                <w:szCs w:val="18"/>
                <w:vertAlign w:val="superscript"/>
              </w:rPr>
              <w:t>2</w:t>
            </w:r>
          </w:p>
        </w:tc>
        <w:tc>
          <w:tcPr>
            <w:tcW w:w="1689" w:type="pct"/>
            <w:vAlign w:val="center"/>
          </w:tcPr>
          <w:p w14:paraId="63B2DCCA">
            <w:pPr>
              <w:tabs>
                <w:tab w:val="clear" w:pos="480"/>
              </w:tabs>
              <w:adjustRightInd w:val="0"/>
              <w:snapToGrid w:val="0"/>
              <w:spacing w:line="240" w:lineRule="auto"/>
              <w:ind w:firstLine="0" w:firstLineChars="0"/>
              <w:jc w:val="center"/>
              <w:rPr>
                <w:kern w:val="0"/>
                <w:sz w:val="18"/>
                <w:szCs w:val="18"/>
              </w:rPr>
            </w:pPr>
            <w:r>
              <w:rPr>
                <w:kern w:val="0"/>
                <w:sz w:val="18"/>
                <w:szCs w:val="18"/>
              </w:rPr>
              <w:t>171.2</w:t>
            </w:r>
          </w:p>
        </w:tc>
      </w:tr>
      <w:tr w14:paraId="67B87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59342FDE">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421D41E6">
            <w:pPr>
              <w:tabs>
                <w:tab w:val="clear" w:pos="480"/>
              </w:tabs>
              <w:adjustRightInd w:val="0"/>
              <w:snapToGrid w:val="0"/>
              <w:spacing w:line="240" w:lineRule="auto"/>
              <w:ind w:firstLine="0" w:firstLineChars="0"/>
              <w:jc w:val="center"/>
              <w:rPr>
                <w:kern w:val="0"/>
                <w:sz w:val="18"/>
                <w:szCs w:val="18"/>
              </w:rPr>
            </w:pPr>
            <w:r>
              <w:rPr>
                <w:kern w:val="0"/>
                <w:sz w:val="18"/>
                <w:szCs w:val="18"/>
              </w:rPr>
              <w:t>盛行风向</w:t>
            </w:r>
          </w:p>
        </w:tc>
        <w:tc>
          <w:tcPr>
            <w:tcW w:w="659" w:type="pct"/>
            <w:vAlign w:val="center"/>
          </w:tcPr>
          <w:p w14:paraId="7775DDC2">
            <w:pPr>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1689" w:type="pct"/>
            <w:vAlign w:val="center"/>
          </w:tcPr>
          <w:p w14:paraId="7FC94712">
            <w:pPr>
              <w:tabs>
                <w:tab w:val="clear" w:pos="480"/>
              </w:tabs>
              <w:adjustRightInd w:val="0"/>
              <w:snapToGrid w:val="0"/>
              <w:spacing w:line="240" w:lineRule="auto"/>
              <w:ind w:firstLine="0" w:firstLineChars="0"/>
              <w:jc w:val="center"/>
              <w:rPr>
                <w:kern w:val="0"/>
                <w:sz w:val="18"/>
                <w:szCs w:val="18"/>
              </w:rPr>
            </w:pPr>
            <w:r>
              <w:rPr>
                <w:kern w:val="0"/>
                <w:sz w:val="18"/>
                <w:szCs w:val="18"/>
              </w:rPr>
              <w:t>NNE</w:t>
            </w:r>
          </w:p>
        </w:tc>
      </w:tr>
      <w:tr w14:paraId="71D022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vAlign w:val="center"/>
          </w:tcPr>
          <w:p w14:paraId="2ACB3EA3">
            <w:pPr>
              <w:tabs>
                <w:tab w:val="clear" w:pos="480"/>
              </w:tabs>
              <w:adjustRightInd w:val="0"/>
              <w:snapToGrid w:val="0"/>
              <w:spacing w:line="240" w:lineRule="auto"/>
              <w:ind w:firstLine="0" w:firstLineChars="0"/>
              <w:jc w:val="center"/>
              <w:rPr>
                <w:kern w:val="0"/>
                <w:sz w:val="18"/>
                <w:szCs w:val="18"/>
              </w:rPr>
            </w:pPr>
            <w:r>
              <w:rPr>
                <w:kern w:val="0"/>
                <w:sz w:val="18"/>
                <w:szCs w:val="18"/>
              </w:rPr>
              <w:t>主要设备</w:t>
            </w:r>
          </w:p>
        </w:tc>
        <w:tc>
          <w:tcPr>
            <w:tcW w:w="518" w:type="pct"/>
            <w:vMerge w:val="restart"/>
            <w:vAlign w:val="center"/>
          </w:tcPr>
          <w:p w14:paraId="522EAE1C">
            <w:pPr>
              <w:tabs>
                <w:tab w:val="clear" w:pos="480"/>
              </w:tabs>
              <w:adjustRightInd w:val="0"/>
              <w:snapToGrid w:val="0"/>
              <w:spacing w:line="240" w:lineRule="auto"/>
              <w:ind w:firstLine="0" w:firstLineChars="0"/>
              <w:jc w:val="center"/>
              <w:rPr>
                <w:kern w:val="0"/>
                <w:sz w:val="18"/>
                <w:szCs w:val="18"/>
              </w:rPr>
            </w:pPr>
            <w:r>
              <w:rPr>
                <w:kern w:val="0"/>
                <w:sz w:val="18"/>
                <w:szCs w:val="18"/>
              </w:rPr>
              <w:t>风电场主要机电设备</w:t>
            </w:r>
          </w:p>
        </w:tc>
        <w:tc>
          <w:tcPr>
            <w:tcW w:w="611" w:type="pct"/>
            <w:vMerge w:val="restart"/>
            <w:vAlign w:val="center"/>
          </w:tcPr>
          <w:p w14:paraId="63DA392B">
            <w:pPr>
              <w:tabs>
                <w:tab w:val="clear" w:pos="480"/>
              </w:tabs>
              <w:adjustRightInd w:val="0"/>
              <w:snapToGrid w:val="0"/>
              <w:spacing w:line="240" w:lineRule="auto"/>
              <w:ind w:firstLine="0" w:firstLineChars="0"/>
              <w:jc w:val="center"/>
              <w:rPr>
                <w:kern w:val="0"/>
                <w:sz w:val="18"/>
                <w:szCs w:val="18"/>
              </w:rPr>
            </w:pPr>
            <w:r>
              <w:rPr>
                <w:kern w:val="0"/>
                <w:sz w:val="18"/>
                <w:szCs w:val="18"/>
              </w:rPr>
              <w:t>风电机组</w:t>
            </w:r>
          </w:p>
        </w:tc>
        <w:tc>
          <w:tcPr>
            <w:tcW w:w="1097" w:type="pct"/>
            <w:vAlign w:val="center"/>
          </w:tcPr>
          <w:p w14:paraId="45D00E06">
            <w:pPr>
              <w:tabs>
                <w:tab w:val="clear" w:pos="480"/>
              </w:tabs>
              <w:adjustRightInd w:val="0"/>
              <w:snapToGrid w:val="0"/>
              <w:spacing w:line="240" w:lineRule="auto"/>
              <w:ind w:firstLine="0" w:firstLineChars="0"/>
              <w:jc w:val="center"/>
              <w:rPr>
                <w:kern w:val="0"/>
                <w:sz w:val="18"/>
                <w:szCs w:val="18"/>
              </w:rPr>
            </w:pPr>
            <w:r>
              <w:rPr>
                <w:kern w:val="0"/>
                <w:sz w:val="18"/>
                <w:szCs w:val="18"/>
              </w:rPr>
              <w:t>风机台数</w:t>
            </w:r>
          </w:p>
        </w:tc>
        <w:tc>
          <w:tcPr>
            <w:tcW w:w="659" w:type="pct"/>
            <w:vAlign w:val="center"/>
          </w:tcPr>
          <w:p w14:paraId="59B6C921">
            <w:pPr>
              <w:tabs>
                <w:tab w:val="clear" w:pos="480"/>
              </w:tabs>
              <w:adjustRightInd w:val="0"/>
              <w:snapToGrid w:val="0"/>
              <w:spacing w:line="240" w:lineRule="auto"/>
              <w:ind w:firstLine="0" w:firstLineChars="0"/>
              <w:jc w:val="center"/>
              <w:rPr>
                <w:kern w:val="0"/>
                <w:sz w:val="18"/>
                <w:szCs w:val="18"/>
              </w:rPr>
            </w:pPr>
            <w:r>
              <w:rPr>
                <w:kern w:val="0"/>
                <w:sz w:val="18"/>
                <w:szCs w:val="18"/>
              </w:rPr>
              <w:t>台</w:t>
            </w:r>
          </w:p>
        </w:tc>
        <w:tc>
          <w:tcPr>
            <w:tcW w:w="1689" w:type="pct"/>
            <w:vAlign w:val="center"/>
          </w:tcPr>
          <w:p w14:paraId="544EE5BB">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r>
      <w:tr w14:paraId="46C16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58CC6ED2">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35C45850">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487CCFBA">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7739E42A">
            <w:pPr>
              <w:tabs>
                <w:tab w:val="clear" w:pos="480"/>
              </w:tabs>
              <w:adjustRightInd w:val="0"/>
              <w:snapToGrid w:val="0"/>
              <w:spacing w:line="240" w:lineRule="auto"/>
              <w:ind w:firstLine="0" w:firstLineChars="0"/>
              <w:jc w:val="center"/>
              <w:rPr>
                <w:kern w:val="0"/>
                <w:sz w:val="18"/>
                <w:szCs w:val="18"/>
              </w:rPr>
            </w:pPr>
            <w:r>
              <w:rPr>
                <w:kern w:val="0"/>
                <w:sz w:val="18"/>
                <w:szCs w:val="18"/>
              </w:rPr>
              <w:t>功率</w:t>
            </w:r>
          </w:p>
        </w:tc>
        <w:tc>
          <w:tcPr>
            <w:tcW w:w="659" w:type="pct"/>
            <w:vAlign w:val="center"/>
          </w:tcPr>
          <w:p w14:paraId="02F3180C">
            <w:pPr>
              <w:tabs>
                <w:tab w:val="clear" w:pos="480"/>
              </w:tabs>
              <w:adjustRightInd w:val="0"/>
              <w:snapToGrid w:val="0"/>
              <w:spacing w:line="240" w:lineRule="auto"/>
              <w:ind w:firstLine="0" w:firstLineChars="0"/>
              <w:jc w:val="center"/>
              <w:rPr>
                <w:kern w:val="0"/>
                <w:sz w:val="18"/>
                <w:szCs w:val="18"/>
              </w:rPr>
            </w:pPr>
            <w:r>
              <w:rPr>
                <w:kern w:val="0"/>
                <w:sz w:val="18"/>
                <w:szCs w:val="18"/>
              </w:rPr>
              <w:t>kW</w:t>
            </w:r>
          </w:p>
        </w:tc>
        <w:tc>
          <w:tcPr>
            <w:tcW w:w="1689" w:type="pct"/>
            <w:vAlign w:val="center"/>
          </w:tcPr>
          <w:p w14:paraId="42EE3058">
            <w:pPr>
              <w:tabs>
                <w:tab w:val="clear" w:pos="480"/>
              </w:tabs>
              <w:adjustRightInd w:val="0"/>
              <w:snapToGrid w:val="0"/>
              <w:spacing w:line="240" w:lineRule="auto"/>
              <w:ind w:firstLine="0" w:firstLineChars="0"/>
              <w:jc w:val="center"/>
              <w:rPr>
                <w:kern w:val="0"/>
                <w:sz w:val="18"/>
                <w:szCs w:val="18"/>
              </w:rPr>
            </w:pPr>
            <w:r>
              <w:rPr>
                <w:kern w:val="0"/>
                <w:sz w:val="18"/>
                <w:szCs w:val="18"/>
              </w:rPr>
              <w:t>5000</w:t>
            </w:r>
          </w:p>
        </w:tc>
      </w:tr>
      <w:tr w14:paraId="6DF71D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05401BD6">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0778A6CE">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3AA3D9F2">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3AECD9BA">
            <w:pPr>
              <w:tabs>
                <w:tab w:val="clear" w:pos="480"/>
              </w:tabs>
              <w:adjustRightInd w:val="0"/>
              <w:snapToGrid w:val="0"/>
              <w:spacing w:line="240" w:lineRule="auto"/>
              <w:ind w:firstLine="0" w:firstLineChars="0"/>
              <w:jc w:val="center"/>
              <w:rPr>
                <w:kern w:val="0"/>
                <w:sz w:val="18"/>
                <w:szCs w:val="18"/>
              </w:rPr>
            </w:pPr>
            <w:r>
              <w:rPr>
                <w:kern w:val="0"/>
                <w:sz w:val="18"/>
                <w:szCs w:val="18"/>
              </w:rPr>
              <w:t>叶片数</w:t>
            </w:r>
          </w:p>
        </w:tc>
        <w:tc>
          <w:tcPr>
            <w:tcW w:w="659" w:type="pct"/>
            <w:vAlign w:val="center"/>
          </w:tcPr>
          <w:p w14:paraId="2B6992FB">
            <w:pPr>
              <w:tabs>
                <w:tab w:val="clear" w:pos="480"/>
              </w:tabs>
              <w:adjustRightInd w:val="0"/>
              <w:snapToGrid w:val="0"/>
              <w:spacing w:line="240" w:lineRule="auto"/>
              <w:ind w:firstLine="0" w:firstLineChars="0"/>
              <w:jc w:val="center"/>
              <w:rPr>
                <w:kern w:val="0"/>
                <w:sz w:val="18"/>
                <w:szCs w:val="18"/>
              </w:rPr>
            </w:pPr>
            <w:r>
              <w:rPr>
                <w:kern w:val="0"/>
                <w:sz w:val="18"/>
                <w:szCs w:val="18"/>
              </w:rPr>
              <w:t>片</w:t>
            </w:r>
          </w:p>
        </w:tc>
        <w:tc>
          <w:tcPr>
            <w:tcW w:w="1689" w:type="pct"/>
            <w:vAlign w:val="center"/>
          </w:tcPr>
          <w:p w14:paraId="0C387BEE">
            <w:pPr>
              <w:tabs>
                <w:tab w:val="clear" w:pos="480"/>
              </w:tabs>
              <w:adjustRightInd w:val="0"/>
              <w:snapToGrid w:val="0"/>
              <w:spacing w:line="240" w:lineRule="auto"/>
              <w:ind w:firstLine="0" w:firstLineChars="0"/>
              <w:jc w:val="center"/>
              <w:rPr>
                <w:kern w:val="0"/>
                <w:sz w:val="18"/>
                <w:szCs w:val="18"/>
              </w:rPr>
            </w:pPr>
            <w:r>
              <w:rPr>
                <w:kern w:val="0"/>
                <w:sz w:val="18"/>
                <w:szCs w:val="18"/>
              </w:rPr>
              <w:t>3</w:t>
            </w:r>
          </w:p>
        </w:tc>
      </w:tr>
      <w:tr w14:paraId="2F403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3C392805">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77C12300">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4768B960">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179C73D1">
            <w:pPr>
              <w:tabs>
                <w:tab w:val="clear" w:pos="480"/>
              </w:tabs>
              <w:adjustRightInd w:val="0"/>
              <w:snapToGrid w:val="0"/>
              <w:spacing w:line="240" w:lineRule="auto"/>
              <w:ind w:firstLine="0" w:firstLineChars="0"/>
              <w:jc w:val="center"/>
              <w:rPr>
                <w:kern w:val="0"/>
                <w:sz w:val="18"/>
                <w:szCs w:val="18"/>
              </w:rPr>
            </w:pPr>
            <w:r>
              <w:rPr>
                <w:kern w:val="0"/>
                <w:sz w:val="18"/>
                <w:szCs w:val="18"/>
              </w:rPr>
              <w:t>风轮直径</w:t>
            </w:r>
          </w:p>
        </w:tc>
        <w:tc>
          <w:tcPr>
            <w:tcW w:w="659" w:type="pct"/>
            <w:vAlign w:val="center"/>
          </w:tcPr>
          <w:p w14:paraId="6813C787">
            <w:pPr>
              <w:tabs>
                <w:tab w:val="clear" w:pos="480"/>
              </w:tabs>
              <w:adjustRightInd w:val="0"/>
              <w:snapToGrid w:val="0"/>
              <w:spacing w:line="240" w:lineRule="auto"/>
              <w:ind w:firstLine="0" w:firstLineChars="0"/>
              <w:jc w:val="center"/>
              <w:rPr>
                <w:kern w:val="0"/>
                <w:sz w:val="18"/>
                <w:szCs w:val="18"/>
              </w:rPr>
            </w:pPr>
            <w:r>
              <w:rPr>
                <w:kern w:val="0"/>
                <w:sz w:val="18"/>
                <w:szCs w:val="18"/>
              </w:rPr>
              <w:t>m</w:t>
            </w:r>
          </w:p>
        </w:tc>
        <w:tc>
          <w:tcPr>
            <w:tcW w:w="1689" w:type="pct"/>
            <w:vAlign w:val="center"/>
          </w:tcPr>
          <w:p w14:paraId="59DA857F">
            <w:pPr>
              <w:tabs>
                <w:tab w:val="clear" w:pos="480"/>
              </w:tabs>
              <w:adjustRightInd w:val="0"/>
              <w:snapToGrid w:val="0"/>
              <w:spacing w:line="240" w:lineRule="auto"/>
              <w:ind w:firstLine="0" w:firstLineChars="0"/>
              <w:jc w:val="center"/>
              <w:rPr>
                <w:kern w:val="0"/>
                <w:sz w:val="18"/>
                <w:szCs w:val="18"/>
              </w:rPr>
            </w:pPr>
            <w:r>
              <w:rPr>
                <w:kern w:val="0"/>
                <w:sz w:val="18"/>
                <w:szCs w:val="18"/>
              </w:rPr>
              <w:t>200</w:t>
            </w:r>
          </w:p>
        </w:tc>
      </w:tr>
      <w:tr w14:paraId="2B073F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4CC5546E">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4944F0CD">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74D6D770">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7113E443">
            <w:pPr>
              <w:tabs>
                <w:tab w:val="clear" w:pos="480"/>
              </w:tabs>
              <w:adjustRightInd w:val="0"/>
              <w:snapToGrid w:val="0"/>
              <w:spacing w:line="240" w:lineRule="auto"/>
              <w:ind w:firstLine="0" w:firstLineChars="0"/>
              <w:jc w:val="center"/>
              <w:rPr>
                <w:kern w:val="0"/>
                <w:sz w:val="18"/>
                <w:szCs w:val="18"/>
              </w:rPr>
            </w:pPr>
            <w:r>
              <w:rPr>
                <w:kern w:val="0"/>
                <w:sz w:val="18"/>
                <w:szCs w:val="18"/>
              </w:rPr>
              <w:t>扫掠面积</w:t>
            </w:r>
          </w:p>
        </w:tc>
        <w:tc>
          <w:tcPr>
            <w:tcW w:w="659" w:type="pct"/>
            <w:vAlign w:val="center"/>
          </w:tcPr>
          <w:p w14:paraId="2328D2DB">
            <w:pPr>
              <w:tabs>
                <w:tab w:val="clear" w:pos="480"/>
              </w:tabs>
              <w:adjustRightInd w:val="0"/>
              <w:snapToGrid w:val="0"/>
              <w:spacing w:line="240" w:lineRule="auto"/>
              <w:ind w:firstLine="0" w:firstLineChars="0"/>
              <w:jc w:val="center"/>
              <w:rPr>
                <w:kern w:val="0"/>
                <w:sz w:val="18"/>
                <w:szCs w:val="18"/>
              </w:rPr>
            </w:pPr>
            <w:r>
              <w:rPr>
                <w:kern w:val="0"/>
                <w:sz w:val="18"/>
                <w:szCs w:val="18"/>
              </w:rPr>
              <w:t>m</w:t>
            </w:r>
            <w:r>
              <w:rPr>
                <w:kern w:val="0"/>
                <w:sz w:val="18"/>
                <w:szCs w:val="18"/>
                <w:vertAlign w:val="superscript"/>
              </w:rPr>
              <w:t>2</w:t>
            </w:r>
          </w:p>
        </w:tc>
        <w:tc>
          <w:tcPr>
            <w:tcW w:w="1689" w:type="pct"/>
            <w:vAlign w:val="center"/>
          </w:tcPr>
          <w:p w14:paraId="702DE06A">
            <w:pPr>
              <w:tabs>
                <w:tab w:val="clear" w:pos="480"/>
              </w:tabs>
              <w:adjustRightInd w:val="0"/>
              <w:snapToGrid w:val="0"/>
              <w:spacing w:line="240" w:lineRule="auto"/>
              <w:ind w:firstLine="0" w:firstLineChars="0"/>
              <w:jc w:val="center"/>
              <w:rPr>
                <w:kern w:val="0"/>
                <w:sz w:val="18"/>
                <w:szCs w:val="18"/>
              </w:rPr>
            </w:pPr>
            <w:r>
              <w:rPr>
                <w:kern w:val="0"/>
                <w:sz w:val="18"/>
                <w:szCs w:val="18"/>
              </w:rPr>
              <w:t>31416</w:t>
            </w:r>
          </w:p>
        </w:tc>
      </w:tr>
      <w:tr w14:paraId="3D046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502CB6B9">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5E6ABD8F">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3FF6F56F">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00327F0A">
            <w:pPr>
              <w:tabs>
                <w:tab w:val="clear" w:pos="480"/>
              </w:tabs>
              <w:adjustRightInd w:val="0"/>
              <w:snapToGrid w:val="0"/>
              <w:spacing w:line="240" w:lineRule="auto"/>
              <w:ind w:firstLine="0" w:firstLineChars="0"/>
              <w:jc w:val="center"/>
              <w:rPr>
                <w:kern w:val="0"/>
                <w:sz w:val="18"/>
                <w:szCs w:val="18"/>
              </w:rPr>
            </w:pPr>
            <w:r>
              <w:rPr>
                <w:kern w:val="0"/>
                <w:sz w:val="18"/>
                <w:szCs w:val="18"/>
              </w:rPr>
              <w:t>切入风速</w:t>
            </w:r>
          </w:p>
        </w:tc>
        <w:tc>
          <w:tcPr>
            <w:tcW w:w="659" w:type="pct"/>
            <w:vAlign w:val="center"/>
          </w:tcPr>
          <w:p w14:paraId="2C4062B3">
            <w:pPr>
              <w:tabs>
                <w:tab w:val="clear" w:pos="480"/>
              </w:tabs>
              <w:adjustRightInd w:val="0"/>
              <w:snapToGrid w:val="0"/>
              <w:spacing w:line="240" w:lineRule="auto"/>
              <w:ind w:firstLine="0" w:firstLineChars="0"/>
              <w:jc w:val="center"/>
              <w:rPr>
                <w:kern w:val="0"/>
                <w:sz w:val="18"/>
                <w:szCs w:val="18"/>
              </w:rPr>
            </w:pPr>
            <w:r>
              <w:rPr>
                <w:kern w:val="0"/>
                <w:sz w:val="18"/>
                <w:szCs w:val="18"/>
              </w:rPr>
              <w:t>m/s</w:t>
            </w:r>
          </w:p>
        </w:tc>
        <w:tc>
          <w:tcPr>
            <w:tcW w:w="1689" w:type="pct"/>
            <w:vAlign w:val="center"/>
          </w:tcPr>
          <w:p w14:paraId="3D172C1E">
            <w:pPr>
              <w:tabs>
                <w:tab w:val="clear" w:pos="480"/>
              </w:tabs>
              <w:adjustRightInd w:val="0"/>
              <w:snapToGrid w:val="0"/>
              <w:spacing w:line="240" w:lineRule="auto"/>
              <w:ind w:firstLine="0" w:firstLineChars="0"/>
              <w:jc w:val="center"/>
              <w:rPr>
                <w:kern w:val="0"/>
                <w:sz w:val="18"/>
                <w:szCs w:val="18"/>
              </w:rPr>
            </w:pPr>
            <w:r>
              <w:rPr>
                <w:kern w:val="0"/>
                <w:sz w:val="18"/>
                <w:szCs w:val="18"/>
              </w:rPr>
              <w:t>2.5</w:t>
            </w:r>
          </w:p>
        </w:tc>
      </w:tr>
      <w:tr w14:paraId="5B7DB8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6C055361">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235CA08F">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33884C37">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0EE0B1A6">
            <w:pPr>
              <w:tabs>
                <w:tab w:val="clear" w:pos="480"/>
              </w:tabs>
              <w:adjustRightInd w:val="0"/>
              <w:snapToGrid w:val="0"/>
              <w:spacing w:line="240" w:lineRule="auto"/>
              <w:ind w:firstLine="0" w:firstLineChars="0"/>
              <w:jc w:val="center"/>
              <w:rPr>
                <w:kern w:val="0"/>
                <w:sz w:val="18"/>
                <w:szCs w:val="18"/>
              </w:rPr>
            </w:pPr>
            <w:r>
              <w:rPr>
                <w:kern w:val="0"/>
                <w:sz w:val="18"/>
                <w:szCs w:val="18"/>
              </w:rPr>
              <w:t>额定风速</w:t>
            </w:r>
          </w:p>
        </w:tc>
        <w:tc>
          <w:tcPr>
            <w:tcW w:w="659" w:type="pct"/>
            <w:vAlign w:val="center"/>
          </w:tcPr>
          <w:p w14:paraId="5D0BF4B6">
            <w:pPr>
              <w:tabs>
                <w:tab w:val="clear" w:pos="480"/>
              </w:tabs>
              <w:adjustRightInd w:val="0"/>
              <w:snapToGrid w:val="0"/>
              <w:spacing w:line="240" w:lineRule="auto"/>
              <w:ind w:firstLine="0" w:firstLineChars="0"/>
              <w:jc w:val="center"/>
              <w:rPr>
                <w:kern w:val="0"/>
                <w:sz w:val="18"/>
                <w:szCs w:val="18"/>
              </w:rPr>
            </w:pPr>
            <w:r>
              <w:rPr>
                <w:kern w:val="0"/>
                <w:sz w:val="18"/>
                <w:szCs w:val="18"/>
              </w:rPr>
              <w:t>m/s</w:t>
            </w:r>
          </w:p>
        </w:tc>
        <w:tc>
          <w:tcPr>
            <w:tcW w:w="1689" w:type="pct"/>
            <w:vAlign w:val="center"/>
          </w:tcPr>
          <w:p w14:paraId="2EB7C7EE">
            <w:pPr>
              <w:tabs>
                <w:tab w:val="clear" w:pos="480"/>
              </w:tabs>
              <w:adjustRightInd w:val="0"/>
              <w:snapToGrid w:val="0"/>
              <w:spacing w:line="240" w:lineRule="auto"/>
              <w:ind w:firstLine="0" w:firstLineChars="0"/>
              <w:jc w:val="center"/>
              <w:rPr>
                <w:kern w:val="0"/>
                <w:sz w:val="18"/>
                <w:szCs w:val="18"/>
              </w:rPr>
            </w:pPr>
            <w:r>
              <w:rPr>
                <w:kern w:val="0"/>
                <w:sz w:val="18"/>
                <w:szCs w:val="18"/>
              </w:rPr>
              <w:t>10.5(静态)</w:t>
            </w:r>
          </w:p>
        </w:tc>
      </w:tr>
      <w:tr w14:paraId="2F448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01283572">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7E971221">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049F7347">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74163066">
            <w:pPr>
              <w:tabs>
                <w:tab w:val="clear" w:pos="480"/>
              </w:tabs>
              <w:adjustRightInd w:val="0"/>
              <w:snapToGrid w:val="0"/>
              <w:spacing w:line="240" w:lineRule="auto"/>
              <w:ind w:firstLine="0" w:firstLineChars="0"/>
              <w:jc w:val="center"/>
              <w:rPr>
                <w:kern w:val="0"/>
                <w:sz w:val="18"/>
                <w:szCs w:val="18"/>
              </w:rPr>
            </w:pPr>
            <w:r>
              <w:rPr>
                <w:kern w:val="0"/>
                <w:sz w:val="18"/>
                <w:szCs w:val="18"/>
              </w:rPr>
              <w:t>切出风速</w:t>
            </w:r>
          </w:p>
        </w:tc>
        <w:tc>
          <w:tcPr>
            <w:tcW w:w="659" w:type="pct"/>
            <w:vAlign w:val="center"/>
          </w:tcPr>
          <w:p w14:paraId="124BAF72">
            <w:pPr>
              <w:tabs>
                <w:tab w:val="clear" w:pos="480"/>
              </w:tabs>
              <w:adjustRightInd w:val="0"/>
              <w:snapToGrid w:val="0"/>
              <w:spacing w:line="240" w:lineRule="auto"/>
              <w:ind w:firstLine="0" w:firstLineChars="0"/>
              <w:jc w:val="center"/>
              <w:rPr>
                <w:kern w:val="0"/>
                <w:sz w:val="18"/>
                <w:szCs w:val="18"/>
              </w:rPr>
            </w:pPr>
            <w:r>
              <w:rPr>
                <w:kern w:val="0"/>
                <w:sz w:val="18"/>
                <w:szCs w:val="18"/>
              </w:rPr>
              <w:t>m/s</w:t>
            </w:r>
          </w:p>
        </w:tc>
        <w:tc>
          <w:tcPr>
            <w:tcW w:w="1689" w:type="pct"/>
            <w:vAlign w:val="center"/>
          </w:tcPr>
          <w:p w14:paraId="7C965B96">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r>
      <w:tr w14:paraId="565E86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shd w:val="clear" w:color="auto" w:fill="auto"/>
            <w:vAlign w:val="center"/>
          </w:tcPr>
          <w:p w14:paraId="73BC5F79">
            <w:pPr>
              <w:tabs>
                <w:tab w:val="clear" w:pos="480"/>
              </w:tabs>
              <w:adjustRightInd w:val="0"/>
              <w:snapToGrid w:val="0"/>
              <w:spacing w:line="240" w:lineRule="auto"/>
              <w:ind w:firstLine="0" w:firstLineChars="0"/>
              <w:jc w:val="center"/>
              <w:rPr>
                <w:kern w:val="0"/>
                <w:sz w:val="18"/>
                <w:szCs w:val="18"/>
              </w:rPr>
            </w:pPr>
          </w:p>
        </w:tc>
        <w:tc>
          <w:tcPr>
            <w:tcW w:w="518" w:type="pct"/>
            <w:vMerge w:val="continue"/>
            <w:shd w:val="clear" w:color="auto" w:fill="auto"/>
            <w:vAlign w:val="center"/>
          </w:tcPr>
          <w:p w14:paraId="1CA7A5FC">
            <w:pPr>
              <w:tabs>
                <w:tab w:val="clear" w:pos="480"/>
              </w:tabs>
              <w:adjustRightInd w:val="0"/>
              <w:snapToGrid w:val="0"/>
              <w:spacing w:line="240" w:lineRule="auto"/>
              <w:ind w:firstLine="0" w:firstLineChars="0"/>
              <w:jc w:val="center"/>
              <w:rPr>
                <w:kern w:val="0"/>
                <w:sz w:val="18"/>
                <w:szCs w:val="18"/>
              </w:rPr>
            </w:pPr>
          </w:p>
        </w:tc>
        <w:tc>
          <w:tcPr>
            <w:tcW w:w="611" w:type="pct"/>
            <w:vMerge w:val="continue"/>
            <w:shd w:val="clear" w:color="auto" w:fill="auto"/>
            <w:vAlign w:val="center"/>
          </w:tcPr>
          <w:p w14:paraId="6697864B">
            <w:pPr>
              <w:tabs>
                <w:tab w:val="clear" w:pos="480"/>
              </w:tabs>
              <w:adjustRightInd w:val="0"/>
              <w:snapToGrid w:val="0"/>
              <w:spacing w:line="240" w:lineRule="auto"/>
              <w:ind w:firstLine="0" w:firstLineChars="0"/>
              <w:jc w:val="center"/>
              <w:rPr>
                <w:kern w:val="0"/>
                <w:sz w:val="18"/>
                <w:szCs w:val="18"/>
              </w:rPr>
            </w:pPr>
          </w:p>
        </w:tc>
        <w:tc>
          <w:tcPr>
            <w:tcW w:w="1097" w:type="pct"/>
            <w:shd w:val="clear" w:color="auto" w:fill="auto"/>
            <w:vAlign w:val="center"/>
          </w:tcPr>
          <w:p w14:paraId="5E07CB9A">
            <w:pPr>
              <w:tabs>
                <w:tab w:val="clear" w:pos="480"/>
              </w:tabs>
              <w:adjustRightInd w:val="0"/>
              <w:snapToGrid w:val="0"/>
              <w:spacing w:line="240" w:lineRule="auto"/>
              <w:ind w:firstLine="0" w:firstLineChars="0"/>
              <w:jc w:val="center"/>
              <w:rPr>
                <w:kern w:val="0"/>
                <w:sz w:val="18"/>
                <w:szCs w:val="18"/>
              </w:rPr>
            </w:pPr>
            <w:r>
              <w:rPr>
                <w:kern w:val="0"/>
                <w:sz w:val="18"/>
                <w:szCs w:val="18"/>
              </w:rPr>
              <w:t>安全等级</w:t>
            </w:r>
          </w:p>
        </w:tc>
        <w:tc>
          <w:tcPr>
            <w:tcW w:w="659" w:type="pct"/>
            <w:shd w:val="clear" w:color="auto" w:fill="FFFFFF"/>
            <w:vAlign w:val="center"/>
          </w:tcPr>
          <w:p w14:paraId="6C1AC369">
            <w:pPr>
              <w:tabs>
                <w:tab w:val="clear" w:pos="480"/>
              </w:tabs>
              <w:adjustRightInd w:val="0"/>
              <w:snapToGrid w:val="0"/>
              <w:spacing w:line="240" w:lineRule="auto"/>
              <w:ind w:firstLine="0" w:firstLineChars="0"/>
              <w:jc w:val="center"/>
              <w:rPr>
                <w:kern w:val="0"/>
                <w:sz w:val="18"/>
                <w:szCs w:val="18"/>
              </w:rPr>
            </w:pPr>
          </w:p>
        </w:tc>
        <w:tc>
          <w:tcPr>
            <w:tcW w:w="1689" w:type="pct"/>
            <w:shd w:val="clear" w:color="auto" w:fill="FFFFFF"/>
            <w:vAlign w:val="center"/>
          </w:tcPr>
          <w:p w14:paraId="59C785A2">
            <w:pPr>
              <w:tabs>
                <w:tab w:val="clear" w:pos="480"/>
              </w:tabs>
              <w:adjustRightInd w:val="0"/>
              <w:snapToGrid w:val="0"/>
              <w:spacing w:line="240" w:lineRule="auto"/>
              <w:ind w:firstLine="0" w:firstLineChars="0"/>
              <w:jc w:val="center"/>
              <w:rPr>
                <w:kern w:val="0"/>
                <w:sz w:val="18"/>
                <w:szCs w:val="18"/>
              </w:rPr>
            </w:pPr>
            <w:r>
              <w:rPr>
                <w:kern w:val="0"/>
                <w:sz w:val="18"/>
                <w:szCs w:val="18"/>
              </w:rPr>
              <w:t>IEC S</w:t>
            </w:r>
          </w:p>
        </w:tc>
      </w:tr>
      <w:tr w14:paraId="4DB0AC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shd w:val="clear" w:color="auto" w:fill="auto"/>
            <w:vAlign w:val="center"/>
          </w:tcPr>
          <w:p w14:paraId="036140C4">
            <w:pPr>
              <w:tabs>
                <w:tab w:val="clear" w:pos="480"/>
              </w:tabs>
              <w:adjustRightInd w:val="0"/>
              <w:snapToGrid w:val="0"/>
              <w:spacing w:line="240" w:lineRule="auto"/>
              <w:ind w:firstLine="0" w:firstLineChars="0"/>
              <w:jc w:val="center"/>
              <w:rPr>
                <w:kern w:val="0"/>
                <w:sz w:val="18"/>
                <w:szCs w:val="18"/>
              </w:rPr>
            </w:pPr>
          </w:p>
        </w:tc>
        <w:tc>
          <w:tcPr>
            <w:tcW w:w="518" w:type="pct"/>
            <w:vMerge w:val="continue"/>
            <w:shd w:val="clear" w:color="auto" w:fill="auto"/>
            <w:vAlign w:val="center"/>
          </w:tcPr>
          <w:p w14:paraId="44FE4F3B">
            <w:pPr>
              <w:tabs>
                <w:tab w:val="clear" w:pos="480"/>
              </w:tabs>
              <w:adjustRightInd w:val="0"/>
              <w:snapToGrid w:val="0"/>
              <w:spacing w:line="240" w:lineRule="auto"/>
              <w:ind w:firstLine="0" w:firstLineChars="0"/>
              <w:jc w:val="center"/>
              <w:rPr>
                <w:kern w:val="0"/>
                <w:sz w:val="18"/>
                <w:szCs w:val="18"/>
              </w:rPr>
            </w:pPr>
          </w:p>
        </w:tc>
        <w:tc>
          <w:tcPr>
            <w:tcW w:w="611" w:type="pct"/>
            <w:vMerge w:val="continue"/>
            <w:shd w:val="clear" w:color="auto" w:fill="auto"/>
            <w:vAlign w:val="center"/>
          </w:tcPr>
          <w:p w14:paraId="6B3274D4">
            <w:pPr>
              <w:tabs>
                <w:tab w:val="clear" w:pos="480"/>
              </w:tabs>
              <w:adjustRightInd w:val="0"/>
              <w:snapToGrid w:val="0"/>
              <w:spacing w:line="240" w:lineRule="auto"/>
              <w:ind w:firstLine="0" w:firstLineChars="0"/>
              <w:jc w:val="center"/>
              <w:rPr>
                <w:kern w:val="0"/>
                <w:sz w:val="18"/>
                <w:szCs w:val="18"/>
              </w:rPr>
            </w:pPr>
          </w:p>
        </w:tc>
        <w:tc>
          <w:tcPr>
            <w:tcW w:w="1097" w:type="pct"/>
            <w:shd w:val="clear" w:color="auto" w:fill="auto"/>
            <w:vAlign w:val="center"/>
          </w:tcPr>
          <w:p w14:paraId="09B8E686">
            <w:pPr>
              <w:tabs>
                <w:tab w:val="clear" w:pos="480"/>
              </w:tabs>
              <w:adjustRightInd w:val="0"/>
              <w:snapToGrid w:val="0"/>
              <w:spacing w:line="240" w:lineRule="auto"/>
              <w:ind w:firstLine="0" w:firstLineChars="0"/>
              <w:jc w:val="center"/>
              <w:rPr>
                <w:kern w:val="0"/>
                <w:sz w:val="18"/>
                <w:szCs w:val="18"/>
              </w:rPr>
            </w:pPr>
            <w:r>
              <w:rPr>
                <w:kern w:val="0"/>
                <w:sz w:val="18"/>
                <w:szCs w:val="18"/>
              </w:rPr>
              <w:t>轮毂高度</w:t>
            </w:r>
          </w:p>
        </w:tc>
        <w:tc>
          <w:tcPr>
            <w:tcW w:w="659" w:type="pct"/>
            <w:shd w:val="clear" w:color="auto" w:fill="FFFFFF"/>
            <w:vAlign w:val="center"/>
          </w:tcPr>
          <w:p w14:paraId="15705FC0">
            <w:pPr>
              <w:tabs>
                <w:tab w:val="clear" w:pos="480"/>
              </w:tabs>
              <w:adjustRightInd w:val="0"/>
              <w:snapToGrid w:val="0"/>
              <w:spacing w:line="240" w:lineRule="auto"/>
              <w:ind w:firstLine="0" w:firstLineChars="0"/>
              <w:jc w:val="center"/>
              <w:rPr>
                <w:kern w:val="0"/>
                <w:sz w:val="18"/>
                <w:szCs w:val="18"/>
              </w:rPr>
            </w:pPr>
            <w:r>
              <w:rPr>
                <w:kern w:val="0"/>
                <w:sz w:val="18"/>
                <w:szCs w:val="18"/>
              </w:rPr>
              <w:t>m</w:t>
            </w:r>
          </w:p>
        </w:tc>
        <w:tc>
          <w:tcPr>
            <w:tcW w:w="1689" w:type="pct"/>
            <w:shd w:val="clear" w:color="auto" w:fill="FFFFFF"/>
            <w:vAlign w:val="center"/>
          </w:tcPr>
          <w:p w14:paraId="1315FDA7">
            <w:pPr>
              <w:tabs>
                <w:tab w:val="clear" w:pos="480"/>
              </w:tabs>
              <w:adjustRightInd w:val="0"/>
              <w:snapToGrid w:val="0"/>
              <w:spacing w:line="240" w:lineRule="auto"/>
              <w:ind w:firstLine="0" w:firstLineChars="0"/>
              <w:jc w:val="center"/>
              <w:rPr>
                <w:kern w:val="0"/>
                <w:sz w:val="18"/>
                <w:szCs w:val="18"/>
              </w:rPr>
            </w:pPr>
            <w:r>
              <w:rPr>
                <w:kern w:val="0"/>
                <w:sz w:val="18"/>
                <w:szCs w:val="18"/>
              </w:rPr>
              <w:t>115</w:t>
            </w:r>
          </w:p>
        </w:tc>
      </w:tr>
      <w:tr w14:paraId="00BE63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shd w:val="clear" w:color="auto" w:fill="auto"/>
            <w:vAlign w:val="center"/>
          </w:tcPr>
          <w:p w14:paraId="0DCE4457">
            <w:pPr>
              <w:tabs>
                <w:tab w:val="clear" w:pos="480"/>
              </w:tabs>
              <w:adjustRightInd w:val="0"/>
              <w:snapToGrid w:val="0"/>
              <w:spacing w:line="240" w:lineRule="auto"/>
              <w:ind w:firstLine="0" w:firstLineChars="0"/>
              <w:jc w:val="center"/>
              <w:rPr>
                <w:kern w:val="0"/>
                <w:sz w:val="18"/>
                <w:szCs w:val="18"/>
              </w:rPr>
            </w:pPr>
          </w:p>
        </w:tc>
        <w:tc>
          <w:tcPr>
            <w:tcW w:w="518" w:type="pct"/>
            <w:vMerge w:val="continue"/>
            <w:shd w:val="clear" w:color="auto" w:fill="auto"/>
            <w:vAlign w:val="center"/>
          </w:tcPr>
          <w:p w14:paraId="3D206C96">
            <w:pPr>
              <w:tabs>
                <w:tab w:val="clear" w:pos="480"/>
              </w:tabs>
              <w:adjustRightInd w:val="0"/>
              <w:snapToGrid w:val="0"/>
              <w:spacing w:line="240" w:lineRule="auto"/>
              <w:ind w:firstLine="0" w:firstLineChars="0"/>
              <w:jc w:val="center"/>
              <w:rPr>
                <w:kern w:val="0"/>
                <w:sz w:val="18"/>
                <w:szCs w:val="18"/>
              </w:rPr>
            </w:pPr>
          </w:p>
        </w:tc>
        <w:tc>
          <w:tcPr>
            <w:tcW w:w="611" w:type="pct"/>
            <w:vMerge w:val="continue"/>
            <w:shd w:val="clear" w:color="auto" w:fill="auto"/>
            <w:vAlign w:val="center"/>
          </w:tcPr>
          <w:p w14:paraId="1FF28C10">
            <w:pPr>
              <w:tabs>
                <w:tab w:val="clear" w:pos="480"/>
              </w:tabs>
              <w:adjustRightInd w:val="0"/>
              <w:snapToGrid w:val="0"/>
              <w:spacing w:line="240" w:lineRule="auto"/>
              <w:ind w:firstLine="0" w:firstLineChars="0"/>
              <w:jc w:val="center"/>
              <w:rPr>
                <w:kern w:val="0"/>
                <w:sz w:val="18"/>
                <w:szCs w:val="18"/>
              </w:rPr>
            </w:pPr>
          </w:p>
        </w:tc>
        <w:tc>
          <w:tcPr>
            <w:tcW w:w="1097" w:type="pct"/>
            <w:shd w:val="clear" w:color="auto" w:fill="auto"/>
            <w:vAlign w:val="center"/>
          </w:tcPr>
          <w:p w14:paraId="36F405EC">
            <w:pPr>
              <w:tabs>
                <w:tab w:val="clear" w:pos="480"/>
              </w:tabs>
              <w:adjustRightInd w:val="0"/>
              <w:snapToGrid w:val="0"/>
              <w:spacing w:line="240" w:lineRule="auto"/>
              <w:ind w:firstLine="0" w:firstLineChars="0"/>
              <w:jc w:val="center"/>
              <w:rPr>
                <w:kern w:val="0"/>
                <w:sz w:val="18"/>
                <w:szCs w:val="18"/>
              </w:rPr>
            </w:pPr>
            <w:r>
              <w:rPr>
                <w:kern w:val="0"/>
                <w:sz w:val="18"/>
                <w:szCs w:val="18"/>
              </w:rPr>
              <w:t>发电机功率因数</w:t>
            </w:r>
          </w:p>
        </w:tc>
        <w:tc>
          <w:tcPr>
            <w:tcW w:w="659" w:type="pct"/>
            <w:shd w:val="clear" w:color="auto" w:fill="FFFFFF"/>
            <w:vAlign w:val="center"/>
          </w:tcPr>
          <w:p w14:paraId="4A940CD8">
            <w:pPr>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1689" w:type="pct"/>
            <w:shd w:val="clear" w:color="auto" w:fill="FFFFFF"/>
            <w:vAlign w:val="center"/>
          </w:tcPr>
          <w:p w14:paraId="2CBD99B4">
            <w:pPr>
              <w:tabs>
                <w:tab w:val="clear" w:pos="480"/>
              </w:tabs>
              <w:adjustRightInd w:val="0"/>
              <w:snapToGrid w:val="0"/>
              <w:spacing w:line="240" w:lineRule="auto"/>
              <w:ind w:firstLine="0" w:firstLineChars="0"/>
              <w:jc w:val="center"/>
              <w:rPr>
                <w:kern w:val="0"/>
                <w:sz w:val="18"/>
                <w:szCs w:val="18"/>
              </w:rPr>
            </w:pPr>
            <w:r>
              <w:rPr>
                <w:kern w:val="0"/>
                <w:sz w:val="18"/>
                <w:szCs w:val="18"/>
              </w:rPr>
              <w:t xml:space="preserve">-0.95 ~ +0.95 </w:t>
            </w:r>
          </w:p>
        </w:tc>
      </w:tr>
      <w:tr w14:paraId="434D41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shd w:val="clear" w:color="auto" w:fill="auto"/>
            <w:vAlign w:val="center"/>
          </w:tcPr>
          <w:p w14:paraId="22EB1A08">
            <w:pPr>
              <w:tabs>
                <w:tab w:val="clear" w:pos="480"/>
              </w:tabs>
              <w:adjustRightInd w:val="0"/>
              <w:snapToGrid w:val="0"/>
              <w:spacing w:line="240" w:lineRule="auto"/>
              <w:ind w:firstLine="0" w:firstLineChars="0"/>
              <w:jc w:val="center"/>
              <w:rPr>
                <w:kern w:val="0"/>
                <w:sz w:val="18"/>
                <w:szCs w:val="18"/>
              </w:rPr>
            </w:pPr>
          </w:p>
        </w:tc>
        <w:tc>
          <w:tcPr>
            <w:tcW w:w="518" w:type="pct"/>
            <w:vMerge w:val="continue"/>
            <w:shd w:val="clear" w:color="auto" w:fill="auto"/>
            <w:vAlign w:val="center"/>
          </w:tcPr>
          <w:p w14:paraId="305267BF">
            <w:pPr>
              <w:tabs>
                <w:tab w:val="clear" w:pos="480"/>
              </w:tabs>
              <w:adjustRightInd w:val="0"/>
              <w:snapToGrid w:val="0"/>
              <w:spacing w:line="240" w:lineRule="auto"/>
              <w:ind w:firstLine="0" w:firstLineChars="0"/>
              <w:jc w:val="center"/>
              <w:rPr>
                <w:kern w:val="0"/>
                <w:sz w:val="18"/>
                <w:szCs w:val="18"/>
              </w:rPr>
            </w:pPr>
          </w:p>
        </w:tc>
        <w:tc>
          <w:tcPr>
            <w:tcW w:w="611" w:type="pct"/>
            <w:vMerge w:val="continue"/>
            <w:shd w:val="clear" w:color="auto" w:fill="auto"/>
            <w:vAlign w:val="center"/>
          </w:tcPr>
          <w:p w14:paraId="6462CA43">
            <w:pPr>
              <w:tabs>
                <w:tab w:val="clear" w:pos="480"/>
              </w:tabs>
              <w:adjustRightInd w:val="0"/>
              <w:snapToGrid w:val="0"/>
              <w:spacing w:line="240" w:lineRule="auto"/>
              <w:ind w:firstLine="0" w:firstLineChars="0"/>
              <w:jc w:val="center"/>
              <w:rPr>
                <w:kern w:val="0"/>
                <w:sz w:val="18"/>
                <w:szCs w:val="18"/>
              </w:rPr>
            </w:pPr>
          </w:p>
        </w:tc>
        <w:tc>
          <w:tcPr>
            <w:tcW w:w="1097" w:type="pct"/>
            <w:shd w:val="clear" w:color="auto" w:fill="auto"/>
            <w:vAlign w:val="center"/>
          </w:tcPr>
          <w:p w14:paraId="3CF6538E">
            <w:pPr>
              <w:tabs>
                <w:tab w:val="clear" w:pos="480"/>
              </w:tabs>
              <w:adjustRightInd w:val="0"/>
              <w:snapToGrid w:val="0"/>
              <w:spacing w:line="240" w:lineRule="auto"/>
              <w:ind w:firstLine="0" w:firstLineChars="0"/>
              <w:jc w:val="center"/>
              <w:rPr>
                <w:kern w:val="0"/>
                <w:sz w:val="18"/>
                <w:szCs w:val="18"/>
              </w:rPr>
            </w:pPr>
            <w:r>
              <w:rPr>
                <w:kern w:val="0"/>
                <w:sz w:val="18"/>
                <w:szCs w:val="18"/>
              </w:rPr>
              <w:t>额定电压</w:t>
            </w:r>
          </w:p>
        </w:tc>
        <w:tc>
          <w:tcPr>
            <w:tcW w:w="659" w:type="pct"/>
            <w:shd w:val="clear" w:color="auto" w:fill="FFFFFF"/>
            <w:vAlign w:val="center"/>
          </w:tcPr>
          <w:p w14:paraId="50F03D43">
            <w:pPr>
              <w:tabs>
                <w:tab w:val="clear" w:pos="480"/>
              </w:tabs>
              <w:adjustRightInd w:val="0"/>
              <w:snapToGrid w:val="0"/>
              <w:spacing w:line="240" w:lineRule="auto"/>
              <w:ind w:firstLine="0" w:firstLineChars="0"/>
              <w:jc w:val="center"/>
              <w:rPr>
                <w:kern w:val="0"/>
                <w:sz w:val="18"/>
                <w:szCs w:val="18"/>
              </w:rPr>
            </w:pPr>
            <w:r>
              <w:rPr>
                <w:kern w:val="0"/>
                <w:sz w:val="18"/>
                <w:szCs w:val="18"/>
              </w:rPr>
              <w:t>V</w:t>
            </w:r>
          </w:p>
        </w:tc>
        <w:tc>
          <w:tcPr>
            <w:tcW w:w="1689" w:type="pct"/>
            <w:shd w:val="clear" w:color="auto" w:fill="FFFFFF"/>
            <w:vAlign w:val="center"/>
          </w:tcPr>
          <w:p w14:paraId="2B6B028A">
            <w:pPr>
              <w:tabs>
                <w:tab w:val="clear" w:pos="480"/>
              </w:tabs>
              <w:adjustRightInd w:val="0"/>
              <w:snapToGrid w:val="0"/>
              <w:spacing w:line="240" w:lineRule="auto"/>
              <w:ind w:firstLine="0" w:firstLineChars="0"/>
              <w:jc w:val="center"/>
              <w:rPr>
                <w:kern w:val="0"/>
                <w:sz w:val="18"/>
                <w:szCs w:val="18"/>
              </w:rPr>
            </w:pPr>
            <w:r>
              <w:rPr>
                <w:kern w:val="0"/>
                <w:sz w:val="18"/>
                <w:szCs w:val="18"/>
              </w:rPr>
              <w:t>1140</w:t>
            </w:r>
          </w:p>
        </w:tc>
      </w:tr>
      <w:tr w14:paraId="639BF2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shd w:val="clear" w:color="auto" w:fill="auto"/>
            <w:vAlign w:val="center"/>
          </w:tcPr>
          <w:p w14:paraId="05E01F85">
            <w:pPr>
              <w:tabs>
                <w:tab w:val="clear" w:pos="480"/>
              </w:tabs>
              <w:adjustRightInd w:val="0"/>
              <w:snapToGrid w:val="0"/>
              <w:spacing w:line="240" w:lineRule="auto"/>
              <w:ind w:firstLine="0" w:firstLineChars="0"/>
              <w:jc w:val="center"/>
              <w:rPr>
                <w:kern w:val="0"/>
                <w:sz w:val="18"/>
                <w:szCs w:val="18"/>
              </w:rPr>
            </w:pPr>
          </w:p>
        </w:tc>
        <w:tc>
          <w:tcPr>
            <w:tcW w:w="518" w:type="pct"/>
            <w:vMerge w:val="continue"/>
            <w:shd w:val="clear" w:color="auto" w:fill="auto"/>
            <w:vAlign w:val="center"/>
          </w:tcPr>
          <w:p w14:paraId="0225F0B6">
            <w:pPr>
              <w:tabs>
                <w:tab w:val="clear" w:pos="480"/>
              </w:tabs>
              <w:adjustRightInd w:val="0"/>
              <w:snapToGrid w:val="0"/>
              <w:spacing w:line="240" w:lineRule="auto"/>
              <w:ind w:firstLine="0" w:firstLineChars="0"/>
              <w:jc w:val="center"/>
              <w:rPr>
                <w:kern w:val="0"/>
                <w:sz w:val="18"/>
                <w:szCs w:val="18"/>
              </w:rPr>
            </w:pPr>
          </w:p>
        </w:tc>
        <w:tc>
          <w:tcPr>
            <w:tcW w:w="611" w:type="pct"/>
            <w:vMerge w:val="restart"/>
            <w:shd w:val="clear" w:color="auto" w:fill="auto"/>
            <w:vAlign w:val="center"/>
          </w:tcPr>
          <w:p w14:paraId="04901CDC">
            <w:pPr>
              <w:tabs>
                <w:tab w:val="clear" w:pos="480"/>
              </w:tabs>
              <w:adjustRightInd w:val="0"/>
              <w:snapToGrid w:val="0"/>
              <w:spacing w:line="240" w:lineRule="auto"/>
              <w:ind w:firstLine="0" w:firstLineChars="0"/>
              <w:jc w:val="center"/>
              <w:rPr>
                <w:kern w:val="0"/>
                <w:sz w:val="18"/>
                <w:szCs w:val="18"/>
              </w:rPr>
            </w:pPr>
            <w:r>
              <w:rPr>
                <w:kern w:val="0"/>
                <w:sz w:val="18"/>
                <w:szCs w:val="18"/>
              </w:rPr>
              <w:t>机组升压变压器</w:t>
            </w:r>
          </w:p>
        </w:tc>
        <w:tc>
          <w:tcPr>
            <w:tcW w:w="1097" w:type="pct"/>
            <w:shd w:val="clear" w:color="auto" w:fill="auto"/>
            <w:vAlign w:val="center"/>
          </w:tcPr>
          <w:p w14:paraId="27AFD3E1">
            <w:pPr>
              <w:tabs>
                <w:tab w:val="clear" w:pos="480"/>
              </w:tabs>
              <w:adjustRightInd w:val="0"/>
              <w:snapToGrid w:val="0"/>
              <w:spacing w:line="240" w:lineRule="auto"/>
              <w:ind w:firstLine="0" w:firstLineChars="0"/>
              <w:jc w:val="center"/>
              <w:rPr>
                <w:kern w:val="0"/>
                <w:sz w:val="18"/>
                <w:szCs w:val="18"/>
              </w:rPr>
            </w:pPr>
            <w:r>
              <w:rPr>
                <w:kern w:val="0"/>
                <w:sz w:val="18"/>
                <w:szCs w:val="18"/>
              </w:rPr>
              <w:t>套数</w:t>
            </w:r>
          </w:p>
        </w:tc>
        <w:tc>
          <w:tcPr>
            <w:tcW w:w="659" w:type="pct"/>
            <w:shd w:val="clear" w:color="auto" w:fill="FFFFFF"/>
            <w:vAlign w:val="center"/>
          </w:tcPr>
          <w:p w14:paraId="1F6032CD">
            <w:pPr>
              <w:tabs>
                <w:tab w:val="clear" w:pos="480"/>
              </w:tabs>
              <w:adjustRightInd w:val="0"/>
              <w:snapToGrid w:val="0"/>
              <w:spacing w:line="240" w:lineRule="auto"/>
              <w:ind w:firstLine="0" w:firstLineChars="0"/>
              <w:jc w:val="center"/>
              <w:rPr>
                <w:kern w:val="0"/>
                <w:sz w:val="18"/>
                <w:szCs w:val="18"/>
              </w:rPr>
            </w:pPr>
            <w:r>
              <w:rPr>
                <w:kern w:val="0"/>
                <w:sz w:val="18"/>
                <w:szCs w:val="18"/>
              </w:rPr>
              <w:t>套</w:t>
            </w:r>
          </w:p>
        </w:tc>
        <w:tc>
          <w:tcPr>
            <w:tcW w:w="1689" w:type="pct"/>
            <w:shd w:val="clear" w:color="auto" w:fill="FFFFFF"/>
            <w:vAlign w:val="center"/>
          </w:tcPr>
          <w:p w14:paraId="4889A56C">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r>
      <w:tr w14:paraId="27C05D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shd w:val="clear" w:color="auto" w:fill="auto"/>
            <w:vAlign w:val="center"/>
          </w:tcPr>
          <w:p w14:paraId="70A91A20">
            <w:pPr>
              <w:tabs>
                <w:tab w:val="clear" w:pos="480"/>
              </w:tabs>
              <w:adjustRightInd w:val="0"/>
              <w:snapToGrid w:val="0"/>
              <w:spacing w:line="240" w:lineRule="auto"/>
              <w:ind w:firstLine="0" w:firstLineChars="0"/>
              <w:jc w:val="center"/>
              <w:rPr>
                <w:kern w:val="0"/>
                <w:sz w:val="18"/>
                <w:szCs w:val="18"/>
              </w:rPr>
            </w:pPr>
          </w:p>
        </w:tc>
        <w:tc>
          <w:tcPr>
            <w:tcW w:w="518" w:type="pct"/>
            <w:vMerge w:val="continue"/>
            <w:shd w:val="clear" w:color="auto" w:fill="auto"/>
            <w:vAlign w:val="center"/>
          </w:tcPr>
          <w:p w14:paraId="225C2328">
            <w:pPr>
              <w:tabs>
                <w:tab w:val="clear" w:pos="480"/>
              </w:tabs>
              <w:adjustRightInd w:val="0"/>
              <w:snapToGrid w:val="0"/>
              <w:spacing w:line="240" w:lineRule="auto"/>
              <w:ind w:firstLine="0" w:firstLineChars="0"/>
              <w:jc w:val="center"/>
              <w:rPr>
                <w:kern w:val="0"/>
                <w:sz w:val="18"/>
                <w:szCs w:val="18"/>
              </w:rPr>
            </w:pPr>
          </w:p>
        </w:tc>
        <w:tc>
          <w:tcPr>
            <w:tcW w:w="611" w:type="pct"/>
            <w:vMerge w:val="continue"/>
            <w:shd w:val="clear" w:color="auto" w:fill="auto"/>
            <w:vAlign w:val="center"/>
          </w:tcPr>
          <w:p w14:paraId="43BD6DCD">
            <w:pPr>
              <w:tabs>
                <w:tab w:val="clear" w:pos="480"/>
              </w:tabs>
              <w:adjustRightInd w:val="0"/>
              <w:snapToGrid w:val="0"/>
              <w:spacing w:line="240" w:lineRule="auto"/>
              <w:ind w:firstLine="0" w:firstLineChars="0"/>
              <w:jc w:val="center"/>
              <w:rPr>
                <w:kern w:val="0"/>
                <w:sz w:val="18"/>
                <w:szCs w:val="18"/>
              </w:rPr>
            </w:pPr>
          </w:p>
        </w:tc>
        <w:tc>
          <w:tcPr>
            <w:tcW w:w="1097" w:type="pct"/>
            <w:shd w:val="clear" w:color="auto" w:fill="auto"/>
            <w:vAlign w:val="center"/>
          </w:tcPr>
          <w:p w14:paraId="552A3B1F">
            <w:pPr>
              <w:tabs>
                <w:tab w:val="clear" w:pos="480"/>
              </w:tabs>
              <w:adjustRightInd w:val="0"/>
              <w:snapToGrid w:val="0"/>
              <w:spacing w:line="240" w:lineRule="auto"/>
              <w:ind w:firstLine="0" w:firstLineChars="0"/>
              <w:jc w:val="center"/>
              <w:rPr>
                <w:kern w:val="0"/>
                <w:sz w:val="18"/>
                <w:szCs w:val="18"/>
              </w:rPr>
            </w:pPr>
            <w:r>
              <w:rPr>
                <w:kern w:val="0"/>
                <w:sz w:val="18"/>
                <w:szCs w:val="18"/>
              </w:rPr>
              <w:t>型号</w:t>
            </w:r>
          </w:p>
        </w:tc>
        <w:tc>
          <w:tcPr>
            <w:tcW w:w="659" w:type="pct"/>
            <w:shd w:val="clear" w:color="auto" w:fill="FFFFFF"/>
            <w:vAlign w:val="center"/>
          </w:tcPr>
          <w:p w14:paraId="502AF272">
            <w:pPr>
              <w:tabs>
                <w:tab w:val="clear" w:pos="480"/>
              </w:tabs>
              <w:adjustRightInd w:val="0"/>
              <w:snapToGrid w:val="0"/>
              <w:spacing w:line="240" w:lineRule="auto"/>
              <w:ind w:firstLine="0" w:firstLineChars="0"/>
              <w:jc w:val="center"/>
              <w:rPr>
                <w:kern w:val="0"/>
                <w:sz w:val="18"/>
                <w:szCs w:val="18"/>
              </w:rPr>
            </w:pPr>
            <w:r>
              <w:rPr>
                <w:kern w:val="0"/>
                <w:sz w:val="18"/>
                <w:szCs w:val="18"/>
              </w:rPr>
              <w:t>华式</w:t>
            </w:r>
          </w:p>
          <w:p w14:paraId="1AA3E59E">
            <w:pPr>
              <w:tabs>
                <w:tab w:val="clear" w:pos="480"/>
              </w:tabs>
              <w:adjustRightInd w:val="0"/>
              <w:snapToGrid w:val="0"/>
              <w:spacing w:line="240" w:lineRule="auto"/>
              <w:ind w:firstLine="0" w:firstLineChars="0"/>
              <w:jc w:val="center"/>
              <w:rPr>
                <w:kern w:val="0"/>
                <w:sz w:val="18"/>
                <w:szCs w:val="18"/>
              </w:rPr>
            </w:pPr>
            <w:r>
              <w:rPr>
                <w:kern w:val="0"/>
                <w:sz w:val="18"/>
                <w:szCs w:val="18"/>
              </w:rPr>
              <w:t>箱变</w:t>
            </w:r>
          </w:p>
        </w:tc>
        <w:tc>
          <w:tcPr>
            <w:tcW w:w="1689" w:type="pct"/>
            <w:shd w:val="clear" w:color="auto" w:fill="FFFFFF"/>
            <w:vAlign w:val="center"/>
          </w:tcPr>
          <w:p w14:paraId="1CACAEF3">
            <w:pPr>
              <w:tabs>
                <w:tab w:val="clear" w:pos="480"/>
              </w:tabs>
              <w:adjustRightInd w:val="0"/>
              <w:snapToGrid w:val="0"/>
              <w:spacing w:line="240" w:lineRule="auto"/>
              <w:ind w:firstLine="0" w:firstLineChars="0"/>
              <w:jc w:val="center"/>
              <w:rPr>
                <w:kern w:val="0"/>
                <w:sz w:val="18"/>
                <w:szCs w:val="18"/>
              </w:rPr>
            </w:pPr>
            <w:r>
              <w:rPr>
                <w:kern w:val="0"/>
                <w:sz w:val="18"/>
                <w:szCs w:val="18"/>
              </w:rPr>
              <w:t>5300kVA（油变）</w:t>
            </w:r>
          </w:p>
        </w:tc>
      </w:tr>
      <w:tr w14:paraId="58A01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19DDF354">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72CCA3A5">
            <w:pPr>
              <w:tabs>
                <w:tab w:val="clear" w:pos="480"/>
              </w:tabs>
              <w:adjustRightInd w:val="0"/>
              <w:snapToGrid w:val="0"/>
              <w:spacing w:line="240" w:lineRule="auto"/>
              <w:ind w:firstLine="0" w:firstLineChars="0"/>
              <w:jc w:val="center"/>
              <w:rPr>
                <w:kern w:val="0"/>
                <w:sz w:val="18"/>
                <w:szCs w:val="18"/>
              </w:rPr>
            </w:pPr>
          </w:p>
        </w:tc>
        <w:tc>
          <w:tcPr>
            <w:tcW w:w="611" w:type="pct"/>
            <w:vMerge w:val="restart"/>
            <w:vAlign w:val="center"/>
          </w:tcPr>
          <w:p w14:paraId="2FAEF1BF">
            <w:pPr>
              <w:tabs>
                <w:tab w:val="clear" w:pos="480"/>
              </w:tabs>
              <w:adjustRightInd w:val="0"/>
              <w:snapToGrid w:val="0"/>
              <w:spacing w:line="240" w:lineRule="auto"/>
              <w:ind w:firstLine="0" w:firstLineChars="0"/>
              <w:jc w:val="center"/>
              <w:rPr>
                <w:kern w:val="0"/>
                <w:sz w:val="18"/>
                <w:szCs w:val="18"/>
              </w:rPr>
            </w:pPr>
            <w:r>
              <w:rPr>
                <w:kern w:val="0"/>
                <w:sz w:val="18"/>
                <w:szCs w:val="18"/>
              </w:rPr>
              <w:t>集电线路</w:t>
            </w:r>
          </w:p>
        </w:tc>
        <w:tc>
          <w:tcPr>
            <w:tcW w:w="1097" w:type="pct"/>
            <w:vAlign w:val="center"/>
          </w:tcPr>
          <w:p w14:paraId="657CE927">
            <w:pPr>
              <w:tabs>
                <w:tab w:val="clear" w:pos="480"/>
              </w:tabs>
              <w:adjustRightInd w:val="0"/>
              <w:snapToGrid w:val="0"/>
              <w:spacing w:line="240" w:lineRule="auto"/>
              <w:ind w:firstLine="0" w:firstLineChars="0"/>
              <w:jc w:val="center"/>
              <w:rPr>
                <w:kern w:val="0"/>
                <w:sz w:val="18"/>
                <w:szCs w:val="18"/>
              </w:rPr>
            </w:pPr>
            <w:r>
              <w:rPr>
                <w:kern w:val="0"/>
                <w:sz w:val="18"/>
                <w:szCs w:val="18"/>
              </w:rPr>
              <w:t>电压等级</w:t>
            </w:r>
          </w:p>
        </w:tc>
        <w:tc>
          <w:tcPr>
            <w:tcW w:w="659" w:type="pct"/>
            <w:vAlign w:val="center"/>
          </w:tcPr>
          <w:p w14:paraId="040962ED">
            <w:pPr>
              <w:tabs>
                <w:tab w:val="clear" w:pos="480"/>
              </w:tabs>
              <w:adjustRightInd w:val="0"/>
              <w:snapToGrid w:val="0"/>
              <w:spacing w:line="240" w:lineRule="auto"/>
              <w:ind w:firstLine="0" w:firstLineChars="0"/>
              <w:jc w:val="center"/>
              <w:rPr>
                <w:kern w:val="0"/>
                <w:sz w:val="18"/>
                <w:szCs w:val="18"/>
              </w:rPr>
            </w:pPr>
            <w:r>
              <w:rPr>
                <w:kern w:val="0"/>
                <w:sz w:val="18"/>
                <w:szCs w:val="18"/>
              </w:rPr>
              <w:t>kV</w:t>
            </w:r>
          </w:p>
        </w:tc>
        <w:tc>
          <w:tcPr>
            <w:tcW w:w="1689" w:type="pct"/>
            <w:vAlign w:val="center"/>
          </w:tcPr>
          <w:p w14:paraId="7724C4D5">
            <w:pPr>
              <w:tabs>
                <w:tab w:val="clear" w:pos="480"/>
              </w:tabs>
              <w:adjustRightInd w:val="0"/>
              <w:snapToGrid w:val="0"/>
              <w:spacing w:line="240" w:lineRule="auto"/>
              <w:ind w:firstLine="0" w:firstLineChars="0"/>
              <w:jc w:val="center"/>
              <w:rPr>
                <w:kern w:val="0"/>
                <w:sz w:val="18"/>
                <w:szCs w:val="18"/>
              </w:rPr>
            </w:pPr>
            <w:r>
              <w:rPr>
                <w:kern w:val="0"/>
                <w:sz w:val="18"/>
                <w:szCs w:val="18"/>
              </w:rPr>
              <w:t>35</w:t>
            </w:r>
          </w:p>
        </w:tc>
      </w:tr>
      <w:tr w14:paraId="687100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11614EE2">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5D1BE900">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12C687FC">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655B7FFF">
            <w:pPr>
              <w:tabs>
                <w:tab w:val="clear" w:pos="480"/>
              </w:tabs>
              <w:adjustRightInd w:val="0"/>
              <w:snapToGrid w:val="0"/>
              <w:spacing w:line="240" w:lineRule="auto"/>
              <w:ind w:firstLine="0" w:firstLineChars="0"/>
              <w:jc w:val="center"/>
              <w:rPr>
                <w:kern w:val="0"/>
                <w:sz w:val="18"/>
                <w:szCs w:val="18"/>
              </w:rPr>
            </w:pPr>
            <w:r>
              <w:rPr>
                <w:kern w:val="0"/>
                <w:sz w:val="18"/>
                <w:szCs w:val="18"/>
              </w:rPr>
              <w:t>回路数</w:t>
            </w:r>
          </w:p>
        </w:tc>
        <w:tc>
          <w:tcPr>
            <w:tcW w:w="659" w:type="pct"/>
            <w:vAlign w:val="center"/>
          </w:tcPr>
          <w:p w14:paraId="024A5559">
            <w:pPr>
              <w:tabs>
                <w:tab w:val="clear" w:pos="480"/>
              </w:tabs>
              <w:adjustRightInd w:val="0"/>
              <w:snapToGrid w:val="0"/>
              <w:spacing w:line="240" w:lineRule="auto"/>
              <w:ind w:firstLine="0" w:firstLineChars="0"/>
              <w:jc w:val="center"/>
              <w:rPr>
                <w:kern w:val="0"/>
                <w:sz w:val="18"/>
                <w:szCs w:val="18"/>
              </w:rPr>
            </w:pPr>
            <w:r>
              <w:rPr>
                <w:kern w:val="0"/>
                <w:sz w:val="18"/>
                <w:szCs w:val="18"/>
              </w:rPr>
              <w:t>回</w:t>
            </w:r>
          </w:p>
        </w:tc>
        <w:tc>
          <w:tcPr>
            <w:tcW w:w="1689" w:type="pct"/>
            <w:vAlign w:val="center"/>
          </w:tcPr>
          <w:p w14:paraId="78B8E689">
            <w:pPr>
              <w:tabs>
                <w:tab w:val="clear" w:pos="480"/>
              </w:tabs>
              <w:adjustRightInd w:val="0"/>
              <w:snapToGrid w:val="0"/>
              <w:spacing w:line="240" w:lineRule="auto"/>
              <w:ind w:firstLine="0" w:firstLineChars="0"/>
              <w:jc w:val="center"/>
              <w:rPr>
                <w:kern w:val="0"/>
                <w:sz w:val="18"/>
                <w:szCs w:val="18"/>
              </w:rPr>
            </w:pPr>
            <w:r>
              <w:rPr>
                <w:kern w:val="0"/>
                <w:sz w:val="18"/>
                <w:szCs w:val="18"/>
              </w:rPr>
              <w:t>2</w:t>
            </w:r>
          </w:p>
        </w:tc>
      </w:tr>
      <w:tr w14:paraId="409F5D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52233FA3">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2D4D2662">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03C65319">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6A6EA339">
            <w:pPr>
              <w:widowControl/>
              <w:tabs>
                <w:tab w:val="clear" w:pos="480"/>
              </w:tabs>
              <w:adjustRightInd w:val="0"/>
              <w:snapToGrid w:val="0"/>
              <w:spacing w:line="240" w:lineRule="auto"/>
              <w:ind w:firstLine="0" w:firstLineChars="0"/>
              <w:jc w:val="center"/>
              <w:rPr>
                <w:kern w:val="0"/>
                <w:sz w:val="18"/>
                <w:szCs w:val="18"/>
              </w:rPr>
            </w:pPr>
            <w:r>
              <w:rPr>
                <w:kern w:val="0"/>
                <w:sz w:val="18"/>
                <w:szCs w:val="18"/>
                <w:lang w:bidi="ar"/>
              </w:rPr>
              <w:t>长度</w:t>
            </w:r>
          </w:p>
        </w:tc>
        <w:tc>
          <w:tcPr>
            <w:tcW w:w="659" w:type="pct"/>
            <w:vAlign w:val="center"/>
          </w:tcPr>
          <w:p w14:paraId="3178A3F0">
            <w:pPr>
              <w:widowControl/>
              <w:tabs>
                <w:tab w:val="clear" w:pos="480"/>
              </w:tabs>
              <w:adjustRightInd w:val="0"/>
              <w:snapToGrid w:val="0"/>
              <w:spacing w:line="240" w:lineRule="auto"/>
              <w:ind w:firstLine="0" w:firstLineChars="0"/>
              <w:jc w:val="center"/>
              <w:rPr>
                <w:kern w:val="0"/>
                <w:sz w:val="18"/>
                <w:szCs w:val="18"/>
              </w:rPr>
            </w:pPr>
            <w:r>
              <w:rPr>
                <w:kern w:val="0"/>
                <w:sz w:val="18"/>
                <w:szCs w:val="18"/>
                <w:lang w:bidi="ar"/>
              </w:rPr>
              <w:t>km</w:t>
            </w:r>
          </w:p>
        </w:tc>
        <w:tc>
          <w:tcPr>
            <w:tcW w:w="1689" w:type="pct"/>
            <w:vAlign w:val="center"/>
          </w:tcPr>
          <w:p w14:paraId="7C360D0B">
            <w:pPr>
              <w:widowControl/>
              <w:tabs>
                <w:tab w:val="clear" w:pos="480"/>
              </w:tabs>
              <w:adjustRightInd w:val="0"/>
              <w:snapToGrid w:val="0"/>
              <w:spacing w:line="240" w:lineRule="auto"/>
              <w:ind w:firstLine="0" w:firstLineChars="0"/>
              <w:jc w:val="center"/>
              <w:rPr>
                <w:kern w:val="0"/>
                <w:sz w:val="18"/>
                <w:szCs w:val="18"/>
              </w:rPr>
            </w:pPr>
            <w:r>
              <w:rPr>
                <w:kern w:val="0"/>
                <w:sz w:val="18"/>
                <w:szCs w:val="18"/>
              </w:rPr>
              <w:t>地埋：13.50km，架空9.0km</w:t>
            </w:r>
          </w:p>
        </w:tc>
      </w:tr>
      <w:tr w14:paraId="46D98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3CD4BC1F">
            <w:pPr>
              <w:tabs>
                <w:tab w:val="clear" w:pos="480"/>
              </w:tabs>
              <w:adjustRightInd w:val="0"/>
              <w:snapToGrid w:val="0"/>
              <w:spacing w:line="240" w:lineRule="auto"/>
              <w:ind w:firstLine="0" w:firstLineChars="0"/>
              <w:jc w:val="center"/>
              <w:rPr>
                <w:kern w:val="0"/>
                <w:sz w:val="18"/>
                <w:szCs w:val="18"/>
              </w:rPr>
            </w:pPr>
          </w:p>
        </w:tc>
        <w:tc>
          <w:tcPr>
            <w:tcW w:w="518" w:type="pct"/>
            <w:vMerge w:val="restart"/>
            <w:vAlign w:val="center"/>
          </w:tcPr>
          <w:p w14:paraId="4841B931">
            <w:pPr>
              <w:tabs>
                <w:tab w:val="clear" w:pos="480"/>
              </w:tabs>
              <w:adjustRightInd w:val="0"/>
              <w:snapToGrid w:val="0"/>
              <w:spacing w:line="240" w:lineRule="auto"/>
              <w:ind w:firstLine="0" w:firstLineChars="0"/>
              <w:jc w:val="center"/>
              <w:rPr>
                <w:kern w:val="0"/>
                <w:sz w:val="18"/>
                <w:szCs w:val="18"/>
              </w:rPr>
            </w:pPr>
            <w:r>
              <w:rPr>
                <w:kern w:val="0"/>
                <w:sz w:val="18"/>
                <w:szCs w:val="18"/>
              </w:rPr>
              <w:t>升压变电站</w:t>
            </w:r>
          </w:p>
        </w:tc>
        <w:tc>
          <w:tcPr>
            <w:tcW w:w="611" w:type="pct"/>
            <w:vMerge w:val="restart"/>
            <w:vAlign w:val="center"/>
          </w:tcPr>
          <w:p w14:paraId="1C6A7507">
            <w:pPr>
              <w:tabs>
                <w:tab w:val="clear" w:pos="480"/>
              </w:tabs>
              <w:adjustRightInd w:val="0"/>
              <w:snapToGrid w:val="0"/>
              <w:spacing w:line="240" w:lineRule="auto"/>
              <w:ind w:firstLine="0" w:firstLineChars="0"/>
              <w:jc w:val="center"/>
              <w:rPr>
                <w:kern w:val="0"/>
                <w:sz w:val="18"/>
                <w:szCs w:val="18"/>
              </w:rPr>
            </w:pPr>
            <w:r>
              <w:rPr>
                <w:kern w:val="0"/>
                <w:sz w:val="18"/>
                <w:szCs w:val="18"/>
              </w:rPr>
              <w:t>主变压器</w:t>
            </w:r>
          </w:p>
        </w:tc>
        <w:tc>
          <w:tcPr>
            <w:tcW w:w="1097" w:type="pct"/>
            <w:vAlign w:val="center"/>
          </w:tcPr>
          <w:p w14:paraId="3B185A6C">
            <w:pPr>
              <w:tabs>
                <w:tab w:val="clear" w:pos="480"/>
              </w:tabs>
              <w:adjustRightInd w:val="0"/>
              <w:snapToGrid w:val="0"/>
              <w:spacing w:line="240" w:lineRule="auto"/>
              <w:ind w:firstLine="0" w:firstLineChars="0"/>
              <w:jc w:val="center"/>
              <w:rPr>
                <w:kern w:val="0"/>
                <w:sz w:val="18"/>
                <w:szCs w:val="18"/>
              </w:rPr>
            </w:pPr>
            <w:r>
              <w:rPr>
                <w:kern w:val="0"/>
                <w:sz w:val="18"/>
                <w:szCs w:val="18"/>
              </w:rPr>
              <w:t>型号</w:t>
            </w:r>
          </w:p>
        </w:tc>
        <w:tc>
          <w:tcPr>
            <w:tcW w:w="2348" w:type="pct"/>
            <w:gridSpan w:val="2"/>
            <w:vAlign w:val="center"/>
          </w:tcPr>
          <w:p w14:paraId="3051A2A6">
            <w:pPr>
              <w:tabs>
                <w:tab w:val="clear" w:pos="480"/>
              </w:tabs>
              <w:adjustRightInd w:val="0"/>
              <w:snapToGrid w:val="0"/>
              <w:spacing w:line="240" w:lineRule="auto"/>
              <w:ind w:firstLine="0" w:firstLineChars="0"/>
              <w:jc w:val="center"/>
              <w:rPr>
                <w:kern w:val="0"/>
                <w:sz w:val="18"/>
                <w:szCs w:val="18"/>
              </w:rPr>
            </w:pPr>
            <w:r>
              <w:rPr>
                <w:kern w:val="0"/>
                <w:sz w:val="18"/>
                <w:szCs w:val="18"/>
              </w:rPr>
              <w:t>SZ18-50000/110</w:t>
            </w:r>
          </w:p>
        </w:tc>
      </w:tr>
      <w:tr w14:paraId="1797D1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219F9D70">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036798E0">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38606BEB">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6618E618">
            <w:pPr>
              <w:tabs>
                <w:tab w:val="clear" w:pos="480"/>
              </w:tabs>
              <w:adjustRightInd w:val="0"/>
              <w:snapToGrid w:val="0"/>
              <w:spacing w:line="240" w:lineRule="auto"/>
              <w:ind w:firstLine="0" w:firstLineChars="0"/>
              <w:jc w:val="center"/>
              <w:rPr>
                <w:kern w:val="0"/>
                <w:sz w:val="18"/>
                <w:szCs w:val="18"/>
              </w:rPr>
            </w:pPr>
            <w:r>
              <w:rPr>
                <w:kern w:val="0"/>
                <w:sz w:val="18"/>
                <w:szCs w:val="18"/>
              </w:rPr>
              <w:t>台数</w:t>
            </w:r>
          </w:p>
        </w:tc>
        <w:tc>
          <w:tcPr>
            <w:tcW w:w="659" w:type="pct"/>
            <w:vAlign w:val="center"/>
          </w:tcPr>
          <w:p w14:paraId="64400ABF">
            <w:pPr>
              <w:tabs>
                <w:tab w:val="clear" w:pos="480"/>
              </w:tabs>
              <w:adjustRightInd w:val="0"/>
              <w:snapToGrid w:val="0"/>
              <w:spacing w:line="240" w:lineRule="auto"/>
              <w:ind w:firstLine="0" w:firstLineChars="0"/>
              <w:jc w:val="center"/>
              <w:rPr>
                <w:kern w:val="0"/>
                <w:sz w:val="18"/>
                <w:szCs w:val="18"/>
              </w:rPr>
            </w:pPr>
            <w:r>
              <w:rPr>
                <w:kern w:val="0"/>
                <w:sz w:val="18"/>
                <w:szCs w:val="18"/>
              </w:rPr>
              <w:t>台</w:t>
            </w:r>
          </w:p>
        </w:tc>
        <w:tc>
          <w:tcPr>
            <w:tcW w:w="1689" w:type="pct"/>
            <w:vAlign w:val="center"/>
          </w:tcPr>
          <w:p w14:paraId="07E92E09">
            <w:pPr>
              <w:tabs>
                <w:tab w:val="clear" w:pos="480"/>
              </w:tabs>
              <w:adjustRightInd w:val="0"/>
              <w:snapToGrid w:val="0"/>
              <w:spacing w:line="240" w:lineRule="auto"/>
              <w:ind w:firstLine="0" w:firstLineChars="0"/>
              <w:jc w:val="center"/>
              <w:rPr>
                <w:kern w:val="0"/>
                <w:sz w:val="18"/>
                <w:szCs w:val="18"/>
              </w:rPr>
            </w:pPr>
            <w:r>
              <w:rPr>
                <w:kern w:val="0"/>
                <w:sz w:val="18"/>
                <w:szCs w:val="18"/>
              </w:rPr>
              <w:t>1</w:t>
            </w:r>
          </w:p>
        </w:tc>
      </w:tr>
      <w:tr w14:paraId="7D75C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364491F8">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7FA0B6A0">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538B08AB">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17D85B5F">
            <w:pPr>
              <w:tabs>
                <w:tab w:val="clear" w:pos="480"/>
              </w:tabs>
              <w:adjustRightInd w:val="0"/>
              <w:snapToGrid w:val="0"/>
              <w:spacing w:line="240" w:lineRule="auto"/>
              <w:ind w:firstLine="0" w:firstLineChars="0"/>
              <w:jc w:val="center"/>
              <w:rPr>
                <w:kern w:val="0"/>
                <w:sz w:val="18"/>
                <w:szCs w:val="18"/>
              </w:rPr>
            </w:pPr>
            <w:r>
              <w:rPr>
                <w:kern w:val="0"/>
                <w:sz w:val="18"/>
                <w:szCs w:val="18"/>
              </w:rPr>
              <w:t>容量</w:t>
            </w:r>
          </w:p>
        </w:tc>
        <w:tc>
          <w:tcPr>
            <w:tcW w:w="659" w:type="pct"/>
            <w:vAlign w:val="center"/>
          </w:tcPr>
          <w:p w14:paraId="6235F76B">
            <w:pPr>
              <w:tabs>
                <w:tab w:val="clear" w:pos="480"/>
              </w:tabs>
              <w:adjustRightInd w:val="0"/>
              <w:snapToGrid w:val="0"/>
              <w:spacing w:line="240" w:lineRule="auto"/>
              <w:ind w:firstLine="0" w:firstLineChars="0"/>
              <w:jc w:val="center"/>
              <w:rPr>
                <w:kern w:val="0"/>
                <w:sz w:val="18"/>
                <w:szCs w:val="18"/>
              </w:rPr>
            </w:pPr>
            <w:r>
              <w:rPr>
                <w:kern w:val="0"/>
                <w:sz w:val="18"/>
                <w:szCs w:val="18"/>
              </w:rPr>
              <w:t>MVA</w:t>
            </w:r>
          </w:p>
        </w:tc>
        <w:tc>
          <w:tcPr>
            <w:tcW w:w="1689" w:type="pct"/>
            <w:vAlign w:val="center"/>
          </w:tcPr>
          <w:p w14:paraId="4B61AEA5">
            <w:pPr>
              <w:tabs>
                <w:tab w:val="clear" w:pos="480"/>
              </w:tabs>
              <w:adjustRightInd w:val="0"/>
              <w:snapToGrid w:val="0"/>
              <w:spacing w:line="240" w:lineRule="auto"/>
              <w:ind w:firstLine="0" w:firstLineChars="0"/>
              <w:jc w:val="center"/>
              <w:rPr>
                <w:kern w:val="0"/>
                <w:sz w:val="18"/>
                <w:szCs w:val="18"/>
              </w:rPr>
            </w:pPr>
            <w:r>
              <w:rPr>
                <w:kern w:val="0"/>
                <w:sz w:val="18"/>
                <w:szCs w:val="18"/>
              </w:rPr>
              <w:t>50</w:t>
            </w:r>
          </w:p>
        </w:tc>
      </w:tr>
      <w:tr w14:paraId="20D1C2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29DC3A10">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00AC4E0F">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6D3B4B8C">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16CE193F">
            <w:pPr>
              <w:tabs>
                <w:tab w:val="clear" w:pos="480"/>
              </w:tabs>
              <w:adjustRightInd w:val="0"/>
              <w:snapToGrid w:val="0"/>
              <w:spacing w:line="240" w:lineRule="auto"/>
              <w:ind w:firstLine="0" w:firstLineChars="0"/>
              <w:jc w:val="center"/>
              <w:rPr>
                <w:kern w:val="0"/>
                <w:sz w:val="18"/>
                <w:szCs w:val="18"/>
              </w:rPr>
            </w:pPr>
            <w:r>
              <w:rPr>
                <w:kern w:val="0"/>
                <w:sz w:val="18"/>
                <w:szCs w:val="18"/>
              </w:rPr>
              <w:t>额定电压</w:t>
            </w:r>
          </w:p>
        </w:tc>
        <w:tc>
          <w:tcPr>
            <w:tcW w:w="659" w:type="pct"/>
            <w:vAlign w:val="center"/>
          </w:tcPr>
          <w:p w14:paraId="7BAB4DBD">
            <w:pPr>
              <w:tabs>
                <w:tab w:val="clear" w:pos="480"/>
              </w:tabs>
              <w:adjustRightInd w:val="0"/>
              <w:snapToGrid w:val="0"/>
              <w:spacing w:line="240" w:lineRule="auto"/>
              <w:ind w:firstLine="0" w:firstLineChars="0"/>
              <w:jc w:val="center"/>
              <w:rPr>
                <w:kern w:val="0"/>
                <w:sz w:val="18"/>
                <w:szCs w:val="18"/>
              </w:rPr>
            </w:pPr>
            <w:r>
              <w:rPr>
                <w:kern w:val="0"/>
                <w:sz w:val="18"/>
                <w:szCs w:val="18"/>
              </w:rPr>
              <w:t>kV</w:t>
            </w:r>
          </w:p>
        </w:tc>
        <w:tc>
          <w:tcPr>
            <w:tcW w:w="1689" w:type="pct"/>
            <w:vAlign w:val="center"/>
          </w:tcPr>
          <w:p w14:paraId="75D25347">
            <w:pPr>
              <w:tabs>
                <w:tab w:val="clear" w:pos="480"/>
              </w:tabs>
              <w:adjustRightInd w:val="0"/>
              <w:snapToGrid w:val="0"/>
              <w:spacing w:line="240" w:lineRule="auto"/>
              <w:ind w:firstLine="0" w:firstLineChars="0"/>
              <w:jc w:val="center"/>
              <w:rPr>
                <w:kern w:val="0"/>
                <w:sz w:val="18"/>
                <w:szCs w:val="18"/>
              </w:rPr>
            </w:pPr>
            <w:r>
              <w:rPr>
                <w:kern w:val="0"/>
                <w:sz w:val="18"/>
                <w:szCs w:val="18"/>
              </w:rPr>
              <w:t>110</w:t>
            </w:r>
          </w:p>
        </w:tc>
      </w:tr>
      <w:tr w14:paraId="5081FA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2A17F963">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74C716A4">
            <w:pPr>
              <w:tabs>
                <w:tab w:val="clear" w:pos="480"/>
              </w:tabs>
              <w:adjustRightInd w:val="0"/>
              <w:snapToGrid w:val="0"/>
              <w:spacing w:line="240" w:lineRule="auto"/>
              <w:ind w:firstLine="0" w:firstLineChars="0"/>
              <w:jc w:val="center"/>
              <w:rPr>
                <w:kern w:val="0"/>
                <w:sz w:val="18"/>
                <w:szCs w:val="18"/>
              </w:rPr>
            </w:pPr>
          </w:p>
        </w:tc>
        <w:tc>
          <w:tcPr>
            <w:tcW w:w="611" w:type="pct"/>
            <w:vMerge w:val="restart"/>
            <w:vAlign w:val="center"/>
          </w:tcPr>
          <w:p w14:paraId="14BC7CF4">
            <w:pPr>
              <w:tabs>
                <w:tab w:val="clear" w:pos="480"/>
              </w:tabs>
              <w:adjustRightInd w:val="0"/>
              <w:snapToGrid w:val="0"/>
              <w:spacing w:line="240" w:lineRule="auto"/>
              <w:ind w:firstLine="0" w:firstLineChars="0"/>
              <w:jc w:val="center"/>
              <w:rPr>
                <w:kern w:val="0"/>
                <w:sz w:val="18"/>
                <w:szCs w:val="18"/>
              </w:rPr>
            </w:pPr>
            <w:r>
              <w:rPr>
                <w:kern w:val="0"/>
                <w:sz w:val="18"/>
                <w:szCs w:val="18"/>
              </w:rPr>
              <w:t>升压站</w:t>
            </w:r>
          </w:p>
          <w:p w14:paraId="1E125B5C">
            <w:pPr>
              <w:tabs>
                <w:tab w:val="clear" w:pos="480"/>
              </w:tabs>
              <w:adjustRightInd w:val="0"/>
              <w:snapToGrid w:val="0"/>
              <w:spacing w:line="240" w:lineRule="auto"/>
              <w:ind w:firstLine="0" w:firstLineChars="0"/>
              <w:jc w:val="center"/>
              <w:rPr>
                <w:kern w:val="0"/>
                <w:sz w:val="18"/>
                <w:szCs w:val="18"/>
              </w:rPr>
            </w:pPr>
            <w:r>
              <w:rPr>
                <w:kern w:val="0"/>
                <w:sz w:val="18"/>
                <w:szCs w:val="18"/>
              </w:rPr>
              <w:t>出线回路及电压等级</w:t>
            </w:r>
          </w:p>
        </w:tc>
        <w:tc>
          <w:tcPr>
            <w:tcW w:w="1097" w:type="pct"/>
            <w:vAlign w:val="center"/>
          </w:tcPr>
          <w:p w14:paraId="41478D2C">
            <w:pPr>
              <w:tabs>
                <w:tab w:val="clear" w:pos="480"/>
              </w:tabs>
              <w:adjustRightInd w:val="0"/>
              <w:snapToGrid w:val="0"/>
              <w:spacing w:line="240" w:lineRule="auto"/>
              <w:ind w:firstLine="0" w:firstLineChars="0"/>
              <w:jc w:val="center"/>
              <w:rPr>
                <w:kern w:val="0"/>
                <w:sz w:val="18"/>
                <w:szCs w:val="18"/>
              </w:rPr>
            </w:pPr>
            <w:r>
              <w:rPr>
                <w:kern w:val="0"/>
                <w:sz w:val="18"/>
                <w:szCs w:val="18"/>
              </w:rPr>
              <w:t>出线回路数</w:t>
            </w:r>
          </w:p>
        </w:tc>
        <w:tc>
          <w:tcPr>
            <w:tcW w:w="659" w:type="pct"/>
            <w:vAlign w:val="center"/>
          </w:tcPr>
          <w:p w14:paraId="70FFA606">
            <w:pPr>
              <w:tabs>
                <w:tab w:val="clear" w:pos="480"/>
              </w:tabs>
              <w:adjustRightInd w:val="0"/>
              <w:snapToGrid w:val="0"/>
              <w:spacing w:line="240" w:lineRule="auto"/>
              <w:ind w:firstLine="0" w:firstLineChars="0"/>
              <w:jc w:val="center"/>
              <w:rPr>
                <w:kern w:val="0"/>
                <w:sz w:val="18"/>
                <w:szCs w:val="18"/>
              </w:rPr>
            </w:pPr>
            <w:r>
              <w:rPr>
                <w:kern w:val="0"/>
                <w:sz w:val="18"/>
                <w:szCs w:val="18"/>
              </w:rPr>
              <w:t>回</w:t>
            </w:r>
          </w:p>
        </w:tc>
        <w:tc>
          <w:tcPr>
            <w:tcW w:w="1689" w:type="pct"/>
            <w:vAlign w:val="center"/>
          </w:tcPr>
          <w:p w14:paraId="1A913A9B">
            <w:pPr>
              <w:tabs>
                <w:tab w:val="clear" w:pos="480"/>
              </w:tabs>
              <w:adjustRightInd w:val="0"/>
              <w:snapToGrid w:val="0"/>
              <w:spacing w:line="240" w:lineRule="auto"/>
              <w:ind w:firstLine="0" w:firstLineChars="0"/>
              <w:jc w:val="center"/>
              <w:rPr>
                <w:kern w:val="0"/>
                <w:sz w:val="18"/>
                <w:szCs w:val="18"/>
              </w:rPr>
            </w:pPr>
            <w:r>
              <w:rPr>
                <w:kern w:val="0"/>
                <w:sz w:val="18"/>
                <w:szCs w:val="18"/>
              </w:rPr>
              <w:t>1</w:t>
            </w:r>
          </w:p>
        </w:tc>
      </w:tr>
      <w:tr w14:paraId="37DF41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257B1C7D">
            <w:pPr>
              <w:tabs>
                <w:tab w:val="clear" w:pos="480"/>
              </w:tabs>
              <w:adjustRightInd w:val="0"/>
              <w:snapToGrid w:val="0"/>
              <w:spacing w:line="240" w:lineRule="auto"/>
              <w:ind w:firstLine="0" w:firstLineChars="0"/>
              <w:jc w:val="center"/>
              <w:rPr>
                <w:kern w:val="0"/>
                <w:sz w:val="18"/>
                <w:szCs w:val="18"/>
              </w:rPr>
            </w:pPr>
          </w:p>
        </w:tc>
        <w:tc>
          <w:tcPr>
            <w:tcW w:w="518" w:type="pct"/>
            <w:vMerge w:val="continue"/>
            <w:vAlign w:val="center"/>
          </w:tcPr>
          <w:p w14:paraId="7F00A61F">
            <w:pPr>
              <w:tabs>
                <w:tab w:val="clear" w:pos="480"/>
              </w:tabs>
              <w:adjustRightInd w:val="0"/>
              <w:snapToGrid w:val="0"/>
              <w:spacing w:line="240" w:lineRule="auto"/>
              <w:ind w:firstLine="0" w:firstLineChars="0"/>
              <w:jc w:val="center"/>
              <w:rPr>
                <w:kern w:val="0"/>
                <w:sz w:val="18"/>
                <w:szCs w:val="18"/>
              </w:rPr>
            </w:pPr>
          </w:p>
        </w:tc>
        <w:tc>
          <w:tcPr>
            <w:tcW w:w="611" w:type="pct"/>
            <w:vMerge w:val="continue"/>
            <w:vAlign w:val="center"/>
          </w:tcPr>
          <w:p w14:paraId="56F1F4BD">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1B46CBB5">
            <w:pPr>
              <w:tabs>
                <w:tab w:val="clear" w:pos="480"/>
              </w:tabs>
              <w:adjustRightInd w:val="0"/>
              <w:snapToGrid w:val="0"/>
              <w:spacing w:line="240" w:lineRule="auto"/>
              <w:ind w:firstLine="0" w:firstLineChars="0"/>
              <w:jc w:val="center"/>
              <w:rPr>
                <w:kern w:val="0"/>
                <w:sz w:val="18"/>
                <w:szCs w:val="18"/>
              </w:rPr>
            </w:pPr>
            <w:r>
              <w:rPr>
                <w:kern w:val="0"/>
                <w:sz w:val="18"/>
                <w:szCs w:val="18"/>
              </w:rPr>
              <w:t>电压等级</w:t>
            </w:r>
          </w:p>
        </w:tc>
        <w:tc>
          <w:tcPr>
            <w:tcW w:w="659" w:type="pct"/>
            <w:vAlign w:val="center"/>
          </w:tcPr>
          <w:p w14:paraId="06019874">
            <w:pPr>
              <w:tabs>
                <w:tab w:val="clear" w:pos="480"/>
              </w:tabs>
              <w:adjustRightInd w:val="0"/>
              <w:snapToGrid w:val="0"/>
              <w:spacing w:line="240" w:lineRule="auto"/>
              <w:ind w:firstLine="0" w:firstLineChars="0"/>
              <w:jc w:val="center"/>
              <w:rPr>
                <w:kern w:val="0"/>
                <w:sz w:val="18"/>
                <w:szCs w:val="18"/>
              </w:rPr>
            </w:pPr>
            <w:r>
              <w:rPr>
                <w:kern w:val="0"/>
                <w:sz w:val="18"/>
                <w:szCs w:val="18"/>
              </w:rPr>
              <w:t>kV</w:t>
            </w:r>
          </w:p>
        </w:tc>
        <w:tc>
          <w:tcPr>
            <w:tcW w:w="1689" w:type="pct"/>
            <w:vAlign w:val="center"/>
          </w:tcPr>
          <w:p w14:paraId="06424860">
            <w:pPr>
              <w:tabs>
                <w:tab w:val="clear" w:pos="480"/>
              </w:tabs>
              <w:adjustRightInd w:val="0"/>
              <w:snapToGrid w:val="0"/>
              <w:spacing w:line="240" w:lineRule="auto"/>
              <w:ind w:firstLine="0" w:firstLineChars="0"/>
              <w:jc w:val="center"/>
              <w:rPr>
                <w:kern w:val="0"/>
                <w:sz w:val="18"/>
                <w:szCs w:val="18"/>
              </w:rPr>
            </w:pPr>
            <w:r>
              <w:rPr>
                <w:kern w:val="0"/>
                <w:sz w:val="18"/>
                <w:szCs w:val="18"/>
              </w:rPr>
              <w:t>110</w:t>
            </w:r>
          </w:p>
        </w:tc>
      </w:tr>
      <w:tr w14:paraId="6A0B04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vAlign w:val="center"/>
          </w:tcPr>
          <w:p w14:paraId="0AD22F96">
            <w:pPr>
              <w:tabs>
                <w:tab w:val="clear" w:pos="480"/>
              </w:tabs>
              <w:adjustRightInd w:val="0"/>
              <w:snapToGrid w:val="0"/>
              <w:spacing w:line="240" w:lineRule="auto"/>
              <w:ind w:firstLine="0" w:firstLineChars="0"/>
              <w:jc w:val="center"/>
              <w:rPr>
                <w:kern w:val="0"/>
                <w:sz w:val="18"/>
                <w:szCs w:val="18"/>
              </w:rPr>
            </w:pPr>
            <w:r>
              <w:rPr>
                <w:kern w:val="0"/>
                <w:sz w:val="18"/>
                <w:szCs w:val="18"/>
              </w:rPr>
              <w:t>土建</w:t>
            </w:r>
          </w:p>
        </w:tc>
        <w:tc>
          <w:tcPr>
            <w:tcW w:w="1129" w:type="pct"/>
            <w:gridSpan w:val="2"/>
            <w:vMerge w:val="restart"/>
            <w:vAlign w:val="center"/>
          </w:tcPr>
          <w:p w14:paraId="3C78417E">
            <w:pPr>
              <w:tabs>
                <w:tab w:val="clear" w:pos="480"/>
              </w:tabs>
              <w:adjustRightInd w:val="0"/>
              <w:snapToGrid w:val="0"/>
              <w:spacing w:line="240" w:lineRule="auto"/>
              <w:ind w:firstLine="0" w:firstLineChars="0"/>
              <w:jc w:val="center"/>
              <w:rPr>
                <w:kern w:val="0"/>
                <w:sz w:val="18"/>
                <w:szCs w:val="18"/>
              </w:rPr>
            </w:pPr>
            <w:r>
              <w:rPr>
                <w:kern w:val="0"/>
                <w:sz w:val="18"/>
                <w:szCs w:val="18"/>
              </w:rPr>
              <w:t>风电机组基础</w:t>
            </w:r>
          </w:p>
        </w:tc>
        <w:tc>
          <w:tcPr>
            <w:tcW w:w="1097" w:type="pct"/>
            <w:vAlign w:val="center"/>
          </w:tcPr>
          <w:p w14:paraId="6C755ADC">
            <w:pPr>
              <w:tabs>
                <w:tab w:val="clear" w:pos="480"/>
              </w:tabs>
              <w:adjustRightInd w:val="0"/>
              <w:snapToGrid w:val="0"/>
              <w:spacing w:line="240" w:lineRule="auto"/>
              <w:ind w:firstLine="0" w:firstLineChars="0"/>
              <w:jc w:val="center"/>
              <w:rPr>
                <w:kern w:val="0"/>
                <w:sz w:val="18"/>
                <w:szCs w:val="18"/>
              </w:rPr>
            </w:pPr>
            <w:r>
              <w:rPr>
                <w:kern w:val="0"/>
                <w:sz w:val="18"/>
                <w:szCs w:val="18"/>
              </w:rPr>
              <w:t>数量</w:t>
            </w:r>
          </w:p>
        </w:tc>
        <w:tc>
          <w:tcPr>
            <w:tcW w:w="659" w:type="pct"/>
            <w:vAlign w:val="center"/>
          </w:tcPr>
          <w:p w14:paraId="6D2B8CD3">
            <w:pPr>
              <w:tabs>
                <w:tab w:val="clear" w:pos="480"/>
              </w:tabs>
              <w:adjustRightInd w:val="0"/>
              <w:snapToGrid w:val="0"/>
              <w:spacing w:line="240" w:lineRule="auto"/>
              <w:ind w:firstLine="0" w:firstLineChars="0"/>
              <w:jc w:val="center"/>
              <w:rPr>
                <w:kern w:val="0"/>
                <w:sz w:val="18"/>
                <w:szCs w:val="18"/>
              </w:rPr>
            </w:pPr>
            <w:r>
              <w:rPr>
                <w:kern w:val="0"/>
                <w:sz w:val="18"/>
                <w:szCs w:val="18"/>
              </w:rPr>
              <w:t>台</w:t>
            </w:r>
          </w:p>
        </w:tc>
        <w:tc>
          <w:tcPr>
            <w:tcW w:w="1689" w:type="pct"/>
            <w:vAlign w:val="center"/>
          </w:tcPr>
          <w:p w14:paraId="3AC671DD">
            <w:pPr>
              <w:tabs>
                <w:tab w:val="clear" w:pos="480"/>
              </w:tabs>
              <w:adjustRightInd w:val="0"/>
              <w:snapToGrid w:val="0"/>
              <w:spacing w:line="240" w:lineRule="auto"/>
              <w:ind w:firstLine="0" w:firstLineChars="0"/>
              <w:jc w:val="center"/>
              <w:rPr>
                <w:kern w:val="0"/>
                <w:sz w:val="18"/>
                <w:szCs w:val="18"/>
              </w:rPr>
            </w:pPr>
            <w:r>
              <w:rPr>
                <w:kern w:val="0"/>
                <w:sz w:val="18"/>
                <w:szCs w:val="18"/>
              </w:rPr>
              <w:t>12</w:t>
            </w:r>
          </w:p>
        </w:tc>
      </w:tr>
      <w:tr w14:paraId="1B7A28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43C4EED0">
            <w:pPr>
              <w:tabs>
                <w:tab w:val="clear" w:pos="480"/>
              </w:tabs>
              <w:adjustRightInd w:val="0"/>
              <w:snapToGrid w:val="0"/>
              <w:spacing w:line="240" w:lineRule="auto"/>
              <w:ind w:firstLine="0" w:firstLineChars="0"/>
              <w:jc w:val="center"/>
              <w:rPr>
                <w:kern w:val="0"/>
                <w:sz w:val="18"/>
                <w:szCs w:val="18"/>
              </w:rPr>
            </w:pPr>
          </w:p>
        </w:tc>
        <w:tc>
          <w:tcPr>
            <w:tcW w:w="1129" w:type="pct"/>
            <w:gridSpan w:val="2"/>
            <w:vMerge w:val="continue"/>
            <w:vAlign w:val="center"/>
          </w:tcPr>
          <w:p w14:paraId="750A8B6F">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3094146A">
            <w:pPr>
              <w:tabs>
                <w:tab w:val="clear" w:pos="480"/>
              </w:tabs>
              <w:adjustRightInd w:val="0"/>
              <w:snapToGrid w:val="0"/>
              <w:spacing w:line="240" w:lineRule="auto"/>
              <w:ind w:firstLine="0" w:firstLineChars="0"/>
              <w:jc w:val="center"/>
              <w:rPr>
                <w:kern w:val="0"/>
                <w:sz w:val="18"/>
                <w:szCs w:val="18"/>
              </w:rPr>
            </w:pPr>
            <w:r>
              <w:rPr>
                <w:kern w:val="0"/>
                <w:sz w:val="18"/>
                <w:szCs w:val="18"/>
              </w:rPr>
              <w:t>型式</w:t>
            </w:r>
          </w:p>
        </w:tc>
        <w:tc>
          <w:tcPr>
            <w:tcW w:w="2348" w:type="pct"/>
            <w:gridSpan w:val="2"/>
            <w:vAlign w:val="center"/>
          </w:tcPr>
          <w:p w14:paraId="3BE00059">
            <w:pPr>
              <w:tabs>
                <w:tab w:val="clear" w:pos="480"/>
              </w:tabs>
              <w:adjustRightInd w:val="0"/>
              <w:snapToGrid w:val="0"/>
              <w:spacing w:line="240" w:lineRule="auto"/>
              <w:ind w:firstLine="0" w:firstLineChars="0"/>
              <w:jc w:val="center"/>
              <w:rPr>
                <w:kern w:val="0"/>
                <w:sz w:val="18"/>
                <w:szCs w:val="18"/>
              </w:rPr>
            </w:pPr>
            <w:r>
              <w:rPr>
                <w:kern w:val="0"/>
                <w:sz w:val="18"/>
                <w:szCs w:val="18"/>
              </w:rPr>
              <w:t>重力式基础</w:t>
            </w:r>
          </w:p>
        </w:tc>
      </w:tr>
      <w:tr w14:paraId="3F3215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vAlign w:val="center"/>
          </w:tcPr>
          <w:p w14:paraId="385D87C1">
            <w:pPr>
              <w:tabs>
                <w:tab w:val="clear" w:pos="480"/>
              </w:tabs>
              <w:adjustRightInd w:val="0"/>
              <w:snapToGrid w:val="0"/>
              <w:spacing w:line="240" w:lineRule="auto"/>
              <w:ind w:firstLine="0" w:firstLineChars="0"/>
              <w:jc w:val="center"/>
              <w:rPr>
                <w:kern w:val="0"/>
                <w:sz w:val="18"/>
                <w:szCs w:val="18"/>
              </w:rPr>
            </w:pPr>
            <w:r>
              <w:rPr>
                <w:kern w:val="0"/>
                <w:sz w:val="18"/>
                <w:szCs w:val="18"/>
              </w:rPr>
              <w:t>施工</w:t>
            </w:r>
          </w:p>
        </w:tc>
        <w:tc>
          <w:tcPr>
            <w:tcW w:w="1129" w:type="pct"/>
            <w:gridSpan w:val="2"/>
            <w:vMerge w:val="restart"/>
            <w:vAlign w:val="center"/>
          </w:tcPr>
          <w:p w14:paraId="772DC556">
            <w:pPr>
              <w:tabs>
                <w:tab w:val="clear" w:pos="480"/>
              </w:tabs>
              <w:adjustRightInd w:val="0"/>
              <w:snapToGrid w:val="0"/>
              <w:spacing w:line="240" w:lineRule="auto"/>
              <w:ind w:firstLine="0" w:firstLineChars="0"/>
              <w:jc w:val="center"/>
              <w:rPr>
                <w:kern w:val="0"/>
                <w:sz w:val="18"/>
                <w:szCs w:val="18"/>
              </w:rPr>
            </w:pPr>
            <w:r>
              <w:rPr>
                <w:kern w:val="0"/>
                <w:sz w:val="18"/>
                <w:szCs w:val="18"/>
              </w:rPr>
              <w:t>工程量</w:t>
            </w:r>
          </w:p>
        </w:tc>
        <w:tc>
          <w:tcPr>
            <w:tcW w:w="1097" w:type="pct"/>
            <w:vAlign w:val="center"/>
          </w:tcPr>
          <w:p w14:paraId="31F8665C">
            <w:pPr>
              <w:tabs>
                <w:tab w:val="clear" w:pos="480"/>
              </w:tabs>
              <w:adjustRightInd w:val="0"/>
              <w:snapToGrid w:val="0"/>
              <w:spacing w:line="240" w:lineRule="auto"/>
              <w:ind w:firstLine="0" w:firstLineChars="0"/>
              <w:jc w:val="center"/>
              <w:rPr>
                <w:kern w:val="0"/>
                <w:sz w:val="18"/>
                <w:szCs w:val="18"/>
              </w:rPr>
            </w:pPr>
            <w:r>
              <w:rPr>
                <w:kern w:val="0"/>
                <w:sz w:val="18"/>
                <w:szCs w:val="18"/>
              </w:rPr>
              <w:t>新建</w:t>
            </w:r>
            <w:r>
              <w:rPr>
                <w:rFonts w:hint="eastAsia"/>
                <w:kern w:val="0"/>
                <w:sz w:val="18"/>
                <w:szCs w:val="18"/>
              </w:rPr>
              <w:t>场内道路</w:t>
            </w:r>
          </w:p>
        </w:tc>
        <w:tc>
          <w:tcPr>
            <w:tcW w:w="659" w:type="pct"/>
            <w:vAlign w:val="center"/>
          </w:tcPr>
          <w:p w14:paraId="217BA37A">
            <w:pPr>
              <w:tabs>
                <w:tab w:val="clear" w:pos="480"/>
              </w:tabs>
              <w:adjustRightInd w:val="0"/>
              <w:snapToGrid w:val="0"/>
              <w:spacing w:line="240" w:lineRule="auto"/>
              <w:ind w:firstLine="0" w:firstLineChars="0"/>
              <w:jc w:val="center"/>
              <w:rPr>
                <w:kern w:val="0"/>
                <w:sz w:val="18"/>
                <w:szCs w:val="18"/>
              </w:rPr>
            </w:pPr>
            <w:r>
              <w:rPr>
                <w:kern w:val="0"/>
                <w:sz w:val="18"/>
                <w:szCs w:val="18"/>
              </w:rPr>
              <w:t>km</w:t>
            </w:r>
          </w:p>
        </w:tc>
        <w:tc>
          <w:tcPr>
            <w:tcW w:w="1689" w:type="pct"/>
            <w:vAlign w:val="center"/>
          </w:tcPr>
          <w:p w14:paraId="1F3B40CF">
            <w:pPr>
              <w:tabs>
                <w:tab w:val="clear" w:pos="480"/>
              </w:tabs>
              <w:adjustRightInd w:val="0"/>
              <w:snapToGrid w:val="0"/>
              <w:spacing w:line="240" w:lineRule="auto"/>
              <w:ind w:firstLine="0" w:firstLineChars="0"/>
              <w:jc w:val="center"/>
              <w:rPr>
                <w:kern w:val="0"/>
                <w:sz w:val="18"/>
                <w:szCs w:val="18"/>
              </w:rPr>
            </w:pPr>
            <w:r>
              <w:rPr>
                <w:kern w:val="0"/>
                <w:sz w:val="18"/>
                <w:szCs w:val="18"/>
              </w:rPr>
              <w:t>16.4</w:t>
            </w:r>
          </w:p>
        </w:tc>
      </w:tr>
      <w:tr w14:paraId="1837ED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7F736499">
            <w:pPr>
              <w:tabs>
                <w:tab w:val="clear" w:pos="480"/>
              </w:tabs>
              <w:adjustRightInd w:val="0"/>
              <w:snapToGrid w:val="0"/>
              <w:spacing w:line="240" w:lineRule="auto"/>
              <w:ind w:firstLine="0" w:firstLineChars="0"/>
              <w:jc w:val="center"/>
              <w:rPr>
                <w:kern w:val="0"/>
                <w:sz w:val="18"/>
                <w:szCs w:val="18"/>
              </w:rPr>
            </w:pPr>
          </w:p>
        </w:tc>
        <w:tc>
          <w:tcPr>
            <w:tcW w:w="1129" w:type="pct"/>
            <w:gridSpan w:val="2"/>
            <w:vMerge w:val="continue"/>
            <w:vAlign w:val="center"/>
          </w:tcPr>
          <w:p w14:paraId="08E72F81">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28162D5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改建场内道路</w:t>
            </w:r>
          </w:p>
        </w:tc>
        <w:tc>
          <w:tcPr>
            <w:tcW w:w="659" w:type="pct"/>
            <w:vAlign w:val="center"/>
          </w:tcPr>
          <w:p w14:paraId="75D58B3C">
            <w:pPr>
              <w:tabs>
                <w:tab w:val="clear" w:pos="480"/>
              </w:tabs>
              <w:adjustRightInd w:val="0"/>
              <w:snapToGrid w:val="0"/>
              <w:spacing w:line="240" w:lineRule="auto"/>
              <w:ind w:firstLine="0" w:firstLineChars="0"/>
              <w:jc w:val="center"/>
              <w:rPr>
                <w:kern w:val="0"/>
                <w:sz w:val="18"/>
                <w:szCs w:val="18"/>
              </w:rPr>
            </w:pPr>
            <w:r>
              <w:rPr>
                <w:kern w:val="0"/>
                <w:sz w:val="18"/>
                <w:szCs w:val="18"/>
              </w:rPr>
              <w:t>K</w:t>
            </w:r>
            <w:r>
              <w:rPr>
                <w:rFonts w:hint="eastAsia"/>
                <w:kern w:val="0"/>
                <w:sz w:val="18"/>
                <w:szCs w:val="18"/>
              </w:rPr>
              <w:t>m</w:t>
            </w:r>
          </w:p>
        </w:tc>
        <w:tc>
          <w:tcPr>
            <w:tcW w:w="1689" w:type="pct"/>
            <w:vAlign w:val="center"/>
          </w:tcPr>
          <w:p w14:paraId="1C4B84F2">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4</w:t>
            </w:r>
            <w:r>
              <w:rPr>
                <w:kern w:val="0"/>
                <w:sz w:val="18"/>
                <w:szCs w:val="18"/>
              </w:rPr>
              <w:t>.10</w:t>
            </w:r>
          </w:p>
        </w:tc>
      </w:tr>
      <w:tr w14:paraId="0749A8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348D6A28">
            <w:pPr>
              <w:tabs>
                <w:tab w:val="clear" w:pos="480"/>
              </w:tabs>
              <w:adjustRightInd w:val="0"/>
              <w:snapToGrid w:val="0"/>
              <w:spacing w:line="240" w:lineRule="auto"/>
              <w:ind w:firstLine="0" w:firstLineChars="0"/>
              <w:jc w:val="center"/>
              <w:rPr>
                <w:kern w:val="0"/>
                <w:sz w:val="18"/>
                <w:szCs w:val="18"/>
              </w:rPr>
            </w:pPr>
          </w:p>
        </w:tc>
        <w:tc>
          <w:tcPr>
            <w:tcW w:w="1129" w:type="pct"/>
            <w:gridSpan w:val="2"/>
            <w:vMerge w:val="continue"/>
            <w:vAlign w:val="center"/>
          </w:tcPr>
          <w:p w14:paraId="302E4BFC">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7B25D90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改建进场道路</w:t>
            </w:r>
          </w:p>
        </w:tc>
        <w:tc>
          <w:tcPr>
            <w:tcW w:w="659" w:type="pct"/>
            <w:vAlign w:val="center"/>
          </w:tcPr>
          <w:p w14:paraId="76033974">
            <w:pPr>
              <w:tabs>
                <w:tab w:val="clear" w:pos="480"/>
              </w:tabs>
              <w:adjustRightInd w:val="0"/>
              <w:snapToGrid w:val="0"/>
              <w:spacing w:line="240" w:lineRule="auto"/>
              <w:ind w:firstLine="0" w:firstLineChars="0"/>
              <w:jc w:val="center"/>
              <w:rPr>
                <w:kern w:val="0"/>
                <w:sz w:val="18"/>
                <w:szCs w:val="18"/>
              </w:rPr>
            </w:pPr>
            <w:r>
              <w:rPr>
                <w:kern w:val="0"/>
                <w:sz w:val="18"/>
                <w:szCs w:val="18"/>
              </w:rPr>
              <w:t>km</w:t>
            </w:r>
          </w:p>
        </w:tc>
        <w:tc>
          <w:tcPr>
            <w:tcW w:w="1689" w:type="pct"/>
            <w:vAlign w:val="center"/>
          </w:tcPr>
          <w:p w14:paraId="74C01099">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r>
      <w:tr w14:paraId="70005C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vAlign w:val="center"/>
          </w:tcPr>
          <w:p w14:paraId="2FCC7EC1">
            <w:pPr>
              <w:tabs>
                <w:tab w:val="clear" w:pos="480"/>
              </w:tabs>
              <w:adjustRightInd w:val="0"/>
              <w:snapToGrid w:val="0"/>
              <w:spacing w:line="240" w:lineRule="auto"/>
              <w:ind w:firstLine="0" w:firstLineChars="0"/>
              <w:jc w:val="center"/>
              <w:rPr>
                <w:kern w:val="0"/>
                <w:sz w:val="18"/>
                <w:szCs w:val="18"/>
              </w:rPr>
            </w:pPr>
            <w:r>
              <w:rPr>
                <w:kern w:val="0"/>
                <w:sz w:val="18"/>
                <w:szCs w:val="18"/>
              </w:rPr>
              <w:t>概算指标</w:t>
            </w:r>
          </w:p>
        </w:tc>
        <w:tc>
          <w:tcPr>
            <w:tcW w:w="2226" w:type="pct"/>
            <w:gridSpan w:val="3"/>
            <w:vAlign w:val="center"/>
          </w:tcPr>
          <w:p w14:paraId="532787D5">
            <w:pPr>
              <w:tabs>
                <w:tab w:val="clear" w:pos="480"/>
              </w:tabs>
              <w:adjustRightInd w:val="0"/>
              <w:snapToGrid w:val="0"/>
              <w:spacing w:line="240" w:lineRule="auto"/>
              <w:ind w:firstLine="0" w:firstLineChars="0"/>
              <w:jc w:val="center"/>
              <w:rPr>
                <w:kern w:val="0"/>
                <w:sz w:val="18"/>
                <w:szCs w:val="18"/>
              </w:rPr>
            </w:pPr>
            <w:r>
              <w:rPr>
                <w:kern w:val="0"/>
                <w:sz w:val="18"/>
                <w:szCs w:val="18"/>
              </w:rPr>
              <w:t>工程静态投资</w:t>
            </w:r>
          </w:p>
        </w:tc>
        <w:tc>
          <w:tcPr>
            <w:tcW w:w="659" w:type="pct"/>
            <w:vAlign w:val="center"/>
          </w:tcPr>
          <w:p w14:paraId="2E92C86D">
            <w:pPr>
              <w:tabs>
                <w:tab w:val="clear" w:pos="480"/>
              </w:tabs>
              <w:adjustRightInd w:val="0"/>
              <w:snapToGrid w:val="0"/>
              <w:spacing w:line="240" w:lineRule="auto"/>
              <w:ind w:firstLine="0" w:firstLineChars="0"/>
              <w:jc w:val="center"/>
              <w:rPr>
                <w:kern w:val="0"/>
                <w:sz w:val="18"/>
                <w:szCs w:val="18"/>
              </w:rPr>
            </w:pPr>
            <w:r>
              <w:rPr>
                <w:kern w:val="0"/>
                <w:sz w:val="18"/>
                <w:szCs w:val="18"/>
              </w:rPr>
              <w:t>万元</w:t>
            </w:r>
          </w:p>
        </w:tc>
        <w:tc>
          <w:tcPr>
            <w:tcW w:w="1689" w:type="pct"/>
            <w:vAlign w:val="center"/>
          </w:tcPr>
          <w:p w14:paraId="501FD377">
            <w:pPr>
              <w:tabs>
                <w:tab w:val="clear" w:pos="480"/>
              </w:tabs>
              <w:adjustRightInd w:val="0"/>
              <w:snapToGrid w:val="0"/>
              <w:spacing w:line="240" w:lineRule="auto"/>
              <w:ind w:firstLine="0" w:firstLineChars="0"/>
              <w:jc w:val="center"/>
              <w:rPr>
                <w:kern w:val="0"/>
                <w:sz w:val="18"/>
                <w:szCs w:val="18"/>
              </w:rPr>
            </w:pPr>
            <w:r>
              <w:rPr>
                <w:kern w:val="0"/>
                <w:sz w:val="18"/>
                <w:szCs w:val="18"/>
              </w:rPr>
              <w:t>37432.29</w:t>
            </w:r>
          </w:p>
        </w:tc>
      </w:tr>
      <w:tr w14:paraId="0FDE4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58DE779B">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699F560A">
            <w:pPr>
              <w:tabs>
                <w:tab w:val="clear" w:pos="480"/>
              </w:tabs>
              <w:adjustRightInd w:val="0"/>
              <w:snapToGrid w:val="0"/>
              <w:spacing w:line="240" w:lineRule="auto"/>
              <w:ind w:firstLine="0" w:firstLineChars="0"/>
              <w:jc w:val="center"/>
              <w:rPr>
                <w:kern w:val="0"/>
                <w:sz w:val="18"/>
                <w:szCs w:val="18"/>
              </w:rPr>
            </w:pPr>
            <w:r>
              <w:rPr>
                <w:kern w:val="0"/>
                <w:sz w:val="18"/>
                <w:szCs w:val="18"/>
              </w:rPr>
              <w:t>工程动态投资</w:t>
            </w:r>
          </w:p>
        </w:tc>
        <w:tc>
          <w:tcPr>
            <w:tcW w:w="659" w:type="pct"/>
            <w:vAlign w:val="center"/>
          </w:tcPr>
          <w:p w14:paraId="20B4AA95">
            <w:pPr>
              <w:tabs>
                <w:tab w:val="clear" w:pos="480"/>
              </w:tabs>
              <w:adjustRightInd w:val="0"/>
              <w:snapToGrid w:val="0"/>
              <w:spacing w:line="240" w:lineRule="auto"/>
              <w:ind w:firstLine="0" w:firstLineChars="0"/>
              <w:jc w:val="center"/>
              <w:rPr>
                <w:kern w:val="0"/>
                <w:sz w:val="18"/>
                <w:szCs w:val="18"/>
              </w:rPr>
            </w:pPr>
            <w:r>
              <w:rPr>
                <w:kern w:val="0"/>
                <w:sz w:val="18"/>
                <w:szCs w:val="18"/>
              </w:rPr>
              <w:t>万元</w:t>
            </w:r>
          </w:p>
        </w:tc>
        <w:tc>
          <w:tcPr>
            <w:tcW w:w="1689" w:type="pct"/>
            <w:vAlign w:val="center"/>
          </w:tcPr>
          <w:p w14:paraId="4E00CDA6">
            <w:pPr>
              <w:tabs>
                <w:tab w:val="clear" w:pos="480"/>
              </w:tabs>
              <w:adjustRightInd w:val="0"/>
              <w:snapToGrid w:val="0"/>
              <w:spacing w:line="240" w:lineRule="auto"/>
              <w:ind w:firstLine="0" w:firstLineChars="0"/>
              <w:jc w:val="center"/>
              <w:rPr>
                <w:kern w:val="0"/>
                <w:sz w:val="18"/>
                <w:szCs w:val="18"/>
              </w:rPr>
            </w:pPr>
            <w:r>
              <w:rPr>
                <w:kern w:val="0"/>
                <w:sz w:val="18"/>
                <w:szCs w:val="18"/>
              </w:rPr>
              <w:t>37954.51</w:t>
            </w:r>
          </w:p>
        </w:tc>
      </w:tr>
      <w:tr w14:paraId="259C30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5DC99CAB">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1A8C2E94">
            <w:pPr>
              <w:tabs>
                <w:tab w:val="clear" w:pos="480"/>
              </w:tabs>
              <w:adjustRightInd w:val="0"/>
              <w:snapToGrid w:val="0"/>
              <w:spacing w:line="240" w:lineRule="auto"/>
              <w:ind w:firstLine="0" w:firstLineChars="0"/>
              <w:jc w:val="center"/>
              <w:rPr>
                <w:kern w:val="0"/>
                <w:sz w:val="18"/>
                <w:szCs w:val="18"/>
              </w:rPr>
            </w:pPr>
            <w:r>
              <w:rPr>
                <w:kern w:val="0"/>
                <w:sz w:val="18"/>
                <w:szCs w:val="18"/>
              </w:rPr>
              <w:t>单位千瓦静态投资</w:t>
            </w:r>
          </w:p>
        </w:tc>
        <w:tc>
          <w:tcPr>
            <w:tcW w:w="659" w:type="pct"/>
            <w:vAlign w:val="center"/>
          </w:tcPr>
          <w:p w14:paraId="0EE3B12B">
            <w:pPr>
              <w:tabs>
                <w:tab w:val="clear" w:pos="480"/>
              </w:tabs>
              <w:adjustRightInd w:val="0"/>
              <w:snapToGrid w:val="0"/>
              <w:spacing w:line="240" w:lineRule="auto"/>
              <w:ind w:firstLine="0" w:firstLineChars="0"/>
              <w:jc w:val="center"/>
              <w:rPr>
                <w:kern w:val="0"/>
                <w:sz w:val="18"/>
                <w:szCs w:val="18"/>
              </w:rPr>
            </w:pPr>
            <w:r>
              <w:rPr>
                <w:kern w:val="0"/>
                <w:sz w:val="18"/>
                <w:szCs w:val="18"/>
              </w:rPr>
              <w:t>元/kW</w:t>
            </w:r>
          </w:p>
        </w:tc>
        <w:tc>
          <w:tcPr>
            <w:tcW w:w="1689" w:type="pct"/>
            <w:vAlign w:val="center"/>
          </w:tcPr>
          <w:p w14:paraId="50108A73">
            <w:pPr>
              <w:tabs>
                <w:tab w:val="clear" w:pos="480"/>
              </w:tabs>
              <w:adjustRightInd w:val="0"/>
              <w:snapToGrid w:val="0"/>
              <w:spacing w:line="240" w:lineRule="auto"/>
              <w:ind w:firstLine="0" w:firstLineChars="0"/>
              <w:jc w:val="center"/>
              <w:rPr>
                <w:kern w:val="0"/>
                <w:sz w:val="18"/>
                <w:szCs w:val="18"/>
              </w:rPr>
            </w:pPr>
            <w:r>
              <w:rPr>
                <w:kern w:val="0"/>
                <w:sz w:val="18"/>
                <w:szCs w:val="18"/>
              </w:rPr>
              <w:t>7486.46</w:t>
            </w:r>
          </w:p>
        </w:tc>
      </w:tr>
      <w:tr w14:paraId="3CBDD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740605F7">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261FCFFD">
            <w:pPr>
              <w:tabs>
                <w:tab w:val="clear" w:pos="480"/>
              </w:tabs>
              <w:adjustRightInd w:val="0"/>
              <w:snapToGrid w:val="0"/>
              <w:spacing w:line="240" w:lineRule="auto"/>
              <w:ind w:firstLine="0" w:firstLineChars="0"/>
              <w:jc w:val="center"/>
              <w:rPr>
                <w:kern w:val="0"/>
                <w:sz w:val="18"/>
                <w:szCs w:val="18"/>
              </w:rPr>
            </w:pPr>
            <w:r>
              <w:rPr>
                <w:kern w:val="0"/>
                <w:sz w:val="18"/>
                <w:szCs w:val="18"/>
              </w:rPr>
              <w:t>单位千瓦动态投资</w:t>
            </w:r>
          </w:p>
        </w:tc>
        <w:tc>
          <w:tcPr>
            <w:tcW w:w="659" w:type="pct"/>
            <w:vAlign w:val="center"/>
          </w:tcPr>
          <w:p w14:paraId="2D7AEF1C">
            <w:pPr>
              <w:tabs>
                <w:tab w:val="clear" w:pos="480"/>
              </w:tabs>
              <w:adjustRightInd w:val="0"/>
              <w:snapToGrid w:val="0"/>
              <w:spacing w:line="240" w:lineRule="auto"/>
              <w:ind w:firstLine="0" w:firstLineChars="0"/>
              <w:jc w:val="center"/>
              <w:rPr>
                <w:kern w:val="0"/>
                <w:sz w:val="18"/>
                <w:szCs w:val="18"/>
              </w:rPr>
            </w:pPr>
            <w:r>
              <w:rPr>
                <w:kern w:val="0"/>
                <w:sz w:val="18"/>
                <w:szCs w:val="18"/>
              </w:rPr>
              <w:t>元/kW</w:t>
            </w:r>
          </w:p>
        </w:tc>
        <w:tc>
          <w:tcPr>
            <w:tcW w:w="1689" w:type="pct"/>
            <w:vAlign w:val="center"/>
          </w:tcPr>
          <w:p w14:paraId="6033C29D">
            <w:pPr>
              <w:tabs>
                <w:tab w:val="clear" w:pos="480"/>
              </w:tabs>
              <w:adjustRightInd w:val="0"/>
              <w:snapToGrid w:val="0"/>
              <w:spacing w:line="240" w:lineRule="auto"/>
              <w:ind w:firstLine="0" w:firstLineChars="0"/>
              <w:jc w:val="center"/>
              <w:rPr>
                <w:kern w:val="0"/>
                <w:sz w:val="18"/>
                <w:szCs w:val="18"/>
              </w:rPr>
            </w:pPr>
            <w:r>
              <w:rPr>
                <w:kern w:val="0"/>
                <w:sz w:val="18"/>
                <w:szCs w:val="18"/>
              </w:rPr>
              <w:t>7590.90</w:t>
            </w:r>
          </w:p>
        </w:tc>
      </w:tr>
      <w:tr w14:paraId="3EECC5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restart"/>
            <w:vAlign w:val="center"/>
          </w:tcPr>
          <w:p w14:paraId="5A3218AB">
            <w:pPr>
              <w:tabs>
                <w:tab w:val="clear" w:pos="480"/>
              </w:tabs>
              <w:adjustRightInd w:val="0"/>
              <w:snapToGrid w:val="0"/>
              <w:spacing w:line="240" w:lineRule="auto"/>
              <w:ind w:firstLine="0" w:firstLineChars="0"/>
              <w:jc w:val="center"/>
              <w:rPr>
                <w:kern w:val="0"/>
                <w:sz w:val="18"/>
                <w:szCs w:val="18"/>
              </w:rPr>
            </w:pPr>
            <w:r>
              <w:rPr>
                <w:kern w:val="0"/>
                <w:sz w:val="18"/>
                <w:szCs w:val="18"/>
              </w:rPr>
              <w:t>经济指标</w:t>
            </w:r>
          </w:p>
        </w:tc>
        <w:tc>
          <w:tcPr>
            <w:tcW w:w="2226" w:type="pct"/>
            <w:gridSpan w:val="3"/>
            <w:vAlign w:val="center"/>
          </w:tcPr>
          <w:p w14:paraId="4EE931CF">
            <w:pPr>
              <w:tabs>
                <w:tab w:val="clear" w:pos="480"/>
              </w:tabs>
              <w:adjustRightInd w:val="0"/>
              <w:snapToGrid w:val="0"/>
              <w:spacing w:line="240" w:lineRule="auto"/>
              <w:ind w:firstLine="0" w:firstLineChars="0"/>
              <w:jc w:val="center"/>
              <w:rPr>
                <w:kern w:val="0"/>
                <w:sz w:val="18"/>
                <w:szCs w:val="18"/>
              </w:rPr>
            </w:pPr>
            <w:r>
              <w:rPr>
                <w:kern w:val="0"/>
                <w:sz w:val="18"/>
                <w:szCs w:val="18"/>
              </w:rPr>
              <w:t>装机容量</w:t>
            </w:r>
          </w:p>
        </w:tc>
        <w:tc>
          <w:tcPr>
            <w:tcW w:w="659" w:type="pct"/>
            <w:vAlign w:val="center"/>
          </w:tcPr>
          <w:p w14:paraId="6328BC4C">
            <w:pPr>
              <w:tabs>
                <w:tab w:val="clear" w:pos="480"/>
              </w:tabs>
              <w:adjustRightInd w:val="0"/>
              <w:snapToGrid w:val="0"/>
              <w:spacing w:line="240" w:lineRule="auto"/>
              <w:ind w:firstLine="0" w:firstLineChars="0"/>
              <w:jc w:val="center"/>
              <w:rPr>
                <w:kern w:val="0"/>
                <w:sz w:val="18"/>
                <w:szCs w:val="18"/>
              </w:rPr>
            </w:pPr>
            <w:r>
              <w:rPr>
                <w:kern w:val="0"/>
                <w:sz w:val="18"/>
                <w:szCs w:val="18"/>
              </w:rPr>
              <w:t>MW</w:t>
            </w:r>
          </w:p>
        </w:tc>
        <w:tc>
          <w:tcPr>
            <w:tcW w:w="1689" w:type="pct"/>
            <w:vAlign w:val="center"/>
          </w:tcPr>
          <w:p w14:paraId="2CCC913E">
            <w:pPr>
              <w:tabs>
                <w:tab w:val="clear" w:pos="480"/>
              </w:tabs>
              <w:adjustRightInd w:val="0"/>
              <w:snapToGrid w:val="0"/>
              <w:spacing w:line="240" w:lineRule="auto"/>
              <w:ind w:firstLine="0" w:firstLineChars="0"/>
              <w:jc w:val="center"/>
              <w:rPr>
                <w:kern w:val="0"/>
                <w:sz w:val="18"/>
                <w:szCs w:val="18"/>
              </w:rPr>
            </w:pPr>
            <w:r>
              <w:rPr>
                <w:kern w:val="0"/>
                <w:sz w:val="18"/>
                <w:szCs w:val="18"/>
              </w:rPr>
              <w:t>50</w:t>
            </w:r>
          </w:p>
        </w:tc>
      </w:tr>
      <w:tr w14:paraId="48A6F4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1C4E63CC">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065757F0">
            <w:pPr>
              <w:tabs>
                <w:tab w:val="clear" w:pos="480"/>
              </w:tabs>
              <w:adjustRightInd w:val="0"/>
              <w:snapToGrid w:val="0"/>
              <w:spacing w:line="240" w:lineRule="auto"/>
              <w:ind w:firstLine="0" w:firstLineChars="0"/>
              <w:jc w:val="center"/>
              <w:rPr>
                <w:kern w:val="0"/>
                <w:sz w:val="18"/>
                <w:szCs w:val="18"/>
              </w:rPr>
            </w:pPr>
            <w:r>
              <w:rPr>
                <w:kern w:val="0"/>
                <w:sz w:val="18"/>
                <w:szCs w:val="18"/>
              </w:rPr>
              <w:t>年上网电量</w:t>
            </w:r>
          </w:p>
        </w:tc>
        <w:tc>
          <w:tcPr>
            <w:tcW w:w="659" w:type="pct"/>
            <w:vAlign w:val="center"/>
          </w:tcPr>
          <w:p w14:paraId="5FD548F5">
            <w:pPr>
              <w:tabs>
                <w:tab w:val="clear" w:pos="480"/>
              </w:tabs>
              <w:adjustRightInd w:val="0"/>
              <w:snapToGrid w:val="0"/>
              <w:spacing w:line="240" w:lineRule="auto"/>
              <w:ind w:firstLine="0" w:firstLineChars="0"/>
              <w:jc w:val="center"/>
              <w:rPr>
                <w:kern w:val="0"/>
                <w:sz w:val="18"/>
                <w:szCs w:val="18"/>
              </w:rPr>
            </w:pPr>
            <w:r>
              <w:rPr>
                <w:kern w:val="0"/>
                <w:sz w:val="18"/>
                <w:szCs w:val="18"/>
              </w:rPr>
              <w:t>万kW·h</w:t>
            </w:r>
          </w:p>
        </w:tc>
        <w:tc>
          <w:tcPr>
            <w:tcW w:w="1689" w:type="pct"/>
            <w:vAlign w:val="center"/>
          </w:tcPr>
          <w:p w14:paraId="145CD6BE">
            <w:pPr>
              <w:tabs>
                <w:tab w:val="clear" w:pos="480"/>
              </w:tabs>
              <w:adjustRightInd w:val="0"/>
              <w:snapToGrid w:val="0"/>
              <w:spacing w:line="240" w:lineRule="auto"/>
              <w:ind w:firstLine="0" w:firstLineChars="0"/>
              <w:jc w:val="center"/>
              <w:rPr>
                <w:kern w:val="0"/>
                <w:sz w:val="18"/>
                <w:szCs w:val="18"/>
              </w:rPr>
            </w:pPr>
            <w:r>
              <w:rPr>
                <w:kern w:val="0"/>
                <w:sz w:val="18"/>
                <w:szCs w:val="18"/>
              </w:rPr>
              <w:t>9624</w:t>
            </w:r>
          </w:p>
        </w:tc>
      </w:tr>
      <w:tr w14:paraId="7CA012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480030D8">
            <w:pPr>
              <w:tabs>
                <w:tab w:val="clear" w:pos="480"/>
              </w:tabs>
              <w:adjustRightInd w:val="0"/>
              <w:snapToGrid w:val="0"/>
              <w:spacing w:line="240" w:lineRule="auto"/>
              <w:ind w:firstLine="0" w:firstLineChars="0"/>
              <w:jc w:val="center"/>
              <w:rPr>
                <w:kern w:val="0"/>
                <w:sz w:val="18"/>
                <w:szCs w:val="18"/>
              </w:rPr>
            </w:pPr>
          </w:p>
        </w:tc>
        <w:tc>
          <w:tcPr>
            <w:tcW w:w="2226" w:type="pct"/>
            <w:gridSpan w:val="3"/>
            <w:vAlign w:val="center"/>
          </w:tcPr>
          <w:p w14:paraId="4A5E98B9">
            <w:pPr>
              <w:tabs>
                <w:tab w:val="clear" w:pos="480"/>
              </w:tabs>
              <w:adjustRightInd w:val="0"/>
              <w:snapToGrid w:val="0"/>
              <w:spacing w:line="240" w:lineRule="auto"/>
              <w:ind w:firstLine="0" w:firstLineChars="0"/>
              <w:jc w:val="center"/>
              <w:rPr>
                <w:kern w:val="0"/>
                <w:sz w:val="18"/>
                <w:szCs w:val="18"/>
              </w:rPr>
            </w:pPr>
            <w:r>
              <w:rPr>
                <w:kern w:val="0"/>
                <w:sz w:val="18"/>
                <w:szCs w:val="18"/>
              </w:rPr>
              <w:t>年等效满负荷小时数</w:t>
            </w:r>
          </w:p>
        </w:tc>
        <w:tc>
          <w:tcPr>
            <w:tcW w:w="659" w:type="pct"/>
            <w:vAlign w:val="center"/>
          </w:tcPr>
          <w:p w14:paraId="2A15CB46">
            <w:pPr>
              <w:tabs>
                <w:tab w:val="clear" w:pos="480"/>
              </w:tabs>
              <w:adjustRightInd w:val="0"/>
              <w:snapToGrid w:val="0"/>
              <w:spacing w:line="240" w:lineRule="auto"/>
              <w:ind w:firstLine="0" w:firstLineChars="0"/>
              <w:jc w:val="center"/>
              <w:rPr>
                <w:kern w:val="0"/>
                <w:sz w:val="18"/>
                <w:szCs w:val="18"/>
              </w:rPr>
            </w:pPr>
            <w:r>
              <w:rPr>
                <w:kern w:val="0"/>
                <w:sz w:val="18"/>
                <w:szCs w:val="18"/>
              </w:rPr>
              <w:t>h</w:t>
            </w:r>
          </w:p>
        </w:tc>
        <w:tc>
          <w:tcPr>
            <w:tcW w:w="1689" w:type="pct"/>
            <w:vAlign w:val="center"/>
          </w:tcPr>
          <w:p w14:paraId="2123FCA5">
            <w:pPr>
              <w:tabs>
                <w:tab w:val="clear" w:pos="480"/>
              </w:tabs>
              <w:adjustRightInd w:val="0"/>
              <w:snapToGrid w:val="0"/>
              <w:spacing w:line="240" w:lineRule="auto"/>
              <w:ind w:firstLine="0" w:firstLineChars="0"/>
              <w:jc w:val="center"/>
              <w:rPr>
                <w:kern w:val="0"/>
                <w:sz w:val="18"/>
                <w:szCs w:val="18"/>
              </w:rPr>
            </w:pPr>
            <w:r>
              <w:rPr>
                <w:kern w:val="0"/>
                <w:sz w:val="18"/>
                <w:szCs w:val="18"/>
              </w:rPr>
              <w:t>1924</w:t>
            </w:r>
          </w:p>
        </w:tc>
      </w:tr>
      <w:tr w14:paraId="23F51F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24048372">
            <w:pPr>
              <w:tabs>
                <w:tab w:val="clear" w:pos="480"/>
              </w:tabs>
              <w:adjustRightInd w:val="0"/>
              <w:snapToGrid w:val="0"/>
              <w:spacing w:line="240" w:lineRule="auto"/>
              <w:ind w:firstLine="0" w:firstLineChars="0"/>
              <w:jc w:val="center"/>
              <w:rPr>
                <w:kern w:val="0"/>
                <w:sz w:val="18"/>
                <w:szCs w:val="18"/>
              </w:rPr>
            </w:pPr>
          </w:p>
        </w:tc>
        <w:tc>
          <w:tcPr>
            <w:tcW w:w="1129" w:type="pct"/>
            <w:gridSpan w:val="2"/>
            <w:vMerge w:val="restart"/>
            <w:vAlign w:val="center"/>
          </w:tcPr>
          <w:p w14:paraId="5C336DAD">
            <w:pPr>
              <w:tabs>
                <w:tab w:val="clear" w:pos="480"/>
              </w:tabs>
              <w:adjustRightInd w:val="0"/>
              <w:snapToGrid w:val="0"/>
              <w:spacing w:line="240" w:lineRule="auto"/>
              <w:ind w:firstLine="0" w:firstLineChars="0"/>
              <w:jc w:val="center"/>
              <w:rPr>
                <w:kern w:val="0"/>
                <w:sz w:val="18"/>
                <w:szCs w:val="18"/>
              </w:rPr>
            </w:pPr>
            <w:r>
              <w:rPr>
                <w:kern w:val="0"/>
                <w:sz w:val="18"/>
                <w:szCs w:val="18"/>
              </w:rPr>
              <w:t>盈利能力指标</w:t>
            </w:r>
          </w:p>
        </w:tc>
        <w:tc>
          <w:tcPr>
            <w:tcW w:w="1097" w:type="pct"/>
            <w:vAlign w:val="center"/>
          </w:tcPr>
          <w:p w14:paraId="3C0367B4">
            <w:pPr>
              <w:tabs>
                <w:tab w:val="clear" w:pos="480"/>
              </w:tabs>
              <w:adjustRightInd w:val="0"/>
              <w:snapToGrid w:val="0"/>
              <w:spacing w:line="240" w:lineRule="auto"/>
              <w:ind w:firstLine="0" w:firstLineChars="0"/>
              <w:jc w:val="center"/>
              <w:rPr>
                <w:kern w:val="0"/>
                <w:sz w:val="18"/>
                <w:szCs w:val="18"/>
              </w:rPr>
            </w:pPr>
            <w:r>
              <w:rPr>
                <w:kern w:val="0"/>
                <w:sz w:val="18"/>
                <w:szCs w:val="18"/>
              </w:rPr>
              <w:t>项目投资财务内部收益率（税后）</w:t>
            </w:r>
          </w:p>
        </w:tc>
        <w:tc>
          <w:tcPr>
            <w:tcW w:w="659" w:type="pct"/>
            <w:vAlign w:val="center"/>
          </w:tcPr>
          <w:p w14:paraId="69AE46C5">
            <w:pPr>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1689" w:type="pct"/>
            <w:vAlign w:val="center"/>
          </w:tcPr>
          <w:p w14:paraId="5DDDE05C">
            <w:pPr>
              <w:tabs>
                <w:tab w:val="clear" w:pos="480"/>
              </w:tabs>
              <w:adjustRightInd w:val="0"/>
              <w:snapToGrid w:val="0"/>
              <w:spacing w:line="240" w:lineRule="auto"/>
              <w:ind w:firstLine="0" w:firstLineChars="0"/>
              <w:jc w:val="center"/>
              <w:rPr>
                <w:kern w:val="0"/>
                <w:sz w:val="18"/>
                <w:szCs w:val="18"/>
              </w:rPr>
            </w:pPr>
            <w:r>
              <w:rPr>
                <w:kern w:val="0"/>
                <w:sz w:val="18"/>
                <w:szCs w:val="18"/>
              </w:rPr>
              <w:t>4.85</w:t>
            </w:r>
          </w:p>
        </w:tc>
      </w:tr>
      <w:tr w14:paraId="0A0304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0DCF41DF">
            <w:pPr>
              <w:tabs>
                <w:tab w:val="clear" w:pos="480"/>
              </w:tabs>
              <w:adjustRightInd w:val="0"/>
              <w:snapToGrid w:val="0"/>
              <w:spacing w:line="240" w:lineRule="auto"/>
              <w:ind w:firstLine="0" w:firstLineChars="0"/>
              <w:jc w:val="center"/>
              <w:rPr>
                <w:kern w:val="0"/>
                <w:sz w:val="18"/>
                <w:szCs w:val="18"/>
              </w:rPr>
            </w:pPr>
          </w:p>
        </w:tc>
        <w:tc>
          <w:tcPr>
            <w:tcW w:w="1129" w:type="pct"/>
            <w:gridSpan w:val="2"/>
            <w:vMerge w:val="continue"/>
            <w:vAlign w:val="center"/>
          </w:tcPr>
          <w:p w14:paraId="631EC1EE">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2E02B0F6">
            <w:pPr>
              <w:tabs>
                <w:tab w:val="clear" w:pos="480"/>
              </w:tabs>
              <w:adjustRightInd w:val="0"/>
              <w:snapToGrid w:val="0"/>
              <w:spacing w:line="240" w:lineRule="auto"/>
              <w:ind w:firstLine="0" w:firstLineChars="0"/>
              <w:jc w:val="center"/>
              <w:rPr>
                <w:kern w:val="0"/>
                <w:sz w:val="18"/>
                <w:szCs w:val="18"/>
              </w:rPr>
            </w:pPr>
            <w:r>
              <w:rPr>
                <w:kern w:val="0"/>
                <w:sz w:val="18"/>
                <w:szCs w:val="18"/>
              </w:rPr>
              <w:t>资本金财务内部收益率</w:t>
            </w:r>
          </w:p>
        </w:tc>
        <w:tc>
          <w:tcPr>
            <w:tcW w:w="659" w:type="pct"/>
            <w:vAlign w:val="center"/>
          </w:tcPr>
          <w:p w14:paraId="384B9D9E">
            <w:pPr>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1689" w:type="pct"/>
            <w:vAlign w:val="center"/>
          </w:tcPr>
          <w:p w14:paraId="47EA7E7B">
            <w:pPr>
              <w:tabs>
                <w:tab w:val="clear" w:pos="480"/>
              </w:tabs>
              <w:adjustRightInd w:val="0"/>
              <w:snapToGrid w:val="0"/>
              <w:spacing w:line="240" w:lineRule="auto"/>
              <w:ind w:firstLine="0" w:firstLineChars="0"/>
              <w:jc w:val="center"/>
              <w:rPr>
                <w:kern w:val="0"/>
                <w:sz w:val="18"/>
                <w:szCs w:val="18"/>
              </w:rPr>
            </w:pPr>
            <w:r>
              <w:rPr>
                <w:kern w:val="0"/>
                <w:sz w:val="18"/>
                <w:szCs w:val="18"/>
              </w:rPr>
              <w:t>7.75</w:t>
            </w:r>
          </w:p>
        </w:tc>
      </w:tr>
      <w:tr w14:paraId="08B09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30CFCDAF">
            <w:pPr>
              <w:tabs>
                <w:tab w:val="clear" w:pos="480"/>
              </w:tabs>
              <w:adjustRightInd w:val="0"/>
              <w:snapToGrid w:val="0"/>
              <w:spacing w:line="240" w:lineRule="auto"/>
              <w:ind w:firstLine="0" w:firstLineChars="0"/>
              <w:jc w:val="center"/>
              <w:rPr>
                <w:kern w:val="0"/>
                <w:sz w:val="18"/>
                <w:szCs w:val="18"/>
              </w:rPr>
            </w:pPr>
          </w:p>
        </w:tc>
        <w:tc>
          <w:tcPr>
            <w:tcW w:w="1129" w:type="pct"/>
            <w:gridSpan w:val="2"/>
            <w:vMerge w:val="continue"/>
            <w:vAlign w:val="center"/>
          </w:tcPr>
          <w:p w14:paraId="2F1274BD">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7215390B">
            <w:pPr>
              <w:tabs>
                <w:tab w:val="clear" w:pos="480"/>
              </w:tabs>
              <w:adjustRightInd w:val="0"/>
              <w:snapToGrid w:val="0"/>
              <w:spacing w:line="240" w:lineRule="auto"/>
              <w:ind w:firstLine="0" w:firstLineChars="0"/>
              <w:jc w:val="center"/>
              <w:rPr>
                <w:kern w:val="0"/>
                <w:sz w:val="18"/>
                <w:szCs w:val="18"/>
              </w:rPr>
            </w:pPr>
            <w:r>
              <w:rPr>
                <w:kern w:val="0"/>
                <w:sz w:val="18"/>
                <w:szCs w:val="18"/>
              </w:rPr>
              <w:t>总投资收益率</w:t>
            </w:r>
          </w:p>
        </w:tc>
        <w:tc>
          <w:tcPr>
            <w:tcW w:w="659" w:type="pct"/>
            <w:vAlign w:val="center"/>
          </w:tcPr>
          <w:p w14:paraId="333A58A7">
            <w:pPr>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1689" w:type="pct"/>
            <w:vAlign w:val="center"/>
          </w:tcPr>
          <w:p w14:paraId="6067C9AB">
            <w:pPr>
              <w:tabs>
                <w:tab w:val="clear" w:pos="480"/>
              </w:tabs>
              <w:adjustRightInd w:val="0"/>
              <w:snapToGrid w:val="0"/>
              <w:spacing w:line="240" w:lineRule="auto"/>
              <w:ind w:firstLine="0" w:firstLineChars="0"/>
              <w:jc w:val="center"/>
              <w:rPr>
                <w:kern w:val="0"/>
                <w:sz w:val="18"/>
                <w:szCs w:val="18"/>
              </w:rPr>
            </w:pPr>
            <w:r>
              <w:rPr>
                <w:kern w:val="0"/>
                <w:sz w:val="18"/>
                <w:szCs w:val="18"/>
              </w:rPr>
              <w:t>3.20</w:t>
            </w:r>
          </w:p>
        </w:tc>
      </w:tr>
      <w:tr w14:paraId="432E64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vMerge w:val="continue"/>
            <w:vAlign w:val="center"/>
          </w:tcPr>
          <w:p w14:paraId="7ABD9E97">
            <w:pPr>
              <w:tabs>
                <w:tab w:val="clear" w:pos="480"/>
              </w:tabs>
              <w:adjustRightInd w:val="0"/>
              <w:snapToGrid w:val="0"/>
              <w:spacing w:line="240" w:lineRule="auto"/>
              <w:ind w:firstLine="0" w:firstLineChars="0"/>
              <w:jc w:val="center"/>
              <w:rPr>
                <w:kern w:val="0"/>
                <w:sz w:val="18"/>
                <w:szCs w:val="18"/>
              </w:rPr>
            </w:pPr>
          </w:p>
        </w:tc>
        <w:tc>
          <w:tcPr>
            <w:tcW w:w="1129" w:type="pct"/>
            <w:gridSpan w:val="2"/>
            <w:vMerge w:val="continue"/>
            <w:vAlign w:val="center"/>
          </w:tcPr>
          <w:p w14:paraId="5779FDFE">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7E11CBEA">
            <w:pPr>
              <w:tabs>
                <w:tab w:val="clear" w:pos="480"/>
              </w:tabs>
              <w:adjustRightInd w:val="0"/>
              <w:snapToGrid w:val="0"/>
              <w:spacing w:line="240" w:lineRule="auto"/>
              <w:ind w:firstLine="0" w:firstLineChars="0"/>
              <w:jc w:val="center"/>
              <w:rPr>
                <w:kern w:val="0"/>
                <w:sz w:val="18"/>
                <w:szCs w:val="18"/>
              </w:rPr>
            </w:pPr>
            <w:r>
              <w:rPr>
                <w:kern w:val="0"/>
                <w:sz w:val="18"/>
                <w:szCs w:val="18"/>
              </w:rPr>
              <w:t>投资回收期</w:t>
            </w:r>
          </w:p>
          <w:p w14:paraId="0BC8DDA0">
            <w:pPr>
              <w:tabs>
                <w:tab w:val="clear" w:pos="480"/>
              </w:tabs>
              <w:adjustRightInd w:val="0"/>
              <w:snapToGrid w:val="0"/>
              <w:spacing w:line="240" w:lineRule="auto"/>
              <w:ind w:firstLine="0" w:firstLineChars="0"/>
              <w:jc w:val="center"/>
              <w:rPr>
                <w:kern w:val="0"/>
                <w:sz w:val="18"/>
                <w:szCs w:val="18"/>
              </w:rPr>
            </w:pPr>
            <w:r>
              <w:rPr>
                <w:kern w:val="0"/>
                <w:sz w:val="18"/>
                <w:szCs w:val="18"/>
              </w:rPr>
              <w:t>（税后）</w:t>
            </w:r>
          </w:p>
        </w:tc>
        <w:tc>
          <w:tcPr>
            <w:tcW w:w="659" w:type="pct"/>
            <w:vAlign w:val="center"/>
          </w:tcPr>
          <w:p w14:paraId="33EB024A">
            <w:pPr>
              <w:tabs>
                <w:tab w:val="clear" w:pos="480"/>
              </w:tabs>
              <w:adjustRightInd w:val="0"/>
              <w:snapToGrid w:val="0"/>
              <w:spacing w:line="240" w:lineRule="auto"/>
              <w:ind w:firstLine="0" w:firstLineChars="0"/>
              <w:jc w:val="center"/>
              <w:rPr>
                <w:kern w:val="0"/>
                <w:sz w:val="18"/>
                <w:szCs w:val="18"/>
              </w:rPr>
            </w:pPr>
            <w:r>
              <w:rPr>
                <w:kern w:val="0"/>
                <w:sz w:val="18"/>
                <w:szCs w:val="18"/>
              </w:rPr>
              <w:t>年</w:t>
            </w:r>
          </w:p>
        </w:tc>
        <w:tc>
          <w:tcPr>
            <w:tcW w:w="1689" w:type="pct"/>
            <w:vAlign w:val="center"/>
          </w:tcPr>
          <w:p w14:paraId="59C3AF71">
            <w:pPr>
              <w:tabs>
                <w:tab w:val="clear" w:pos="480"/>
              </w:tabs>
              <w:adjustRightInd w:val="0"/>
              <w:snapToGrid w:val="0"/>
              <w:spacing w:line="240" w:lineRule="auto"/>
              <w:ind w:firstLine="0" w:firstLineChars="0"/>
              <w:jc w:val="center"/>
              <w:rPr>
                <w:kern w:val="0"/>
                <w:sz w:val="18"/>
                <w:szCs w:val="18"/>
              </w:rPr>
            </w:pPr>
            <w:r>
              <w:rPr>
                <w:kern w:val="0"/>
                <w:sz w:val="18"/>
                <w:szCs w:val="18"/>
              </w:rPr>
              <w:t>12.96</w:t>
            </w:r>
          </w:p>
        </w:tc>
      </w:tr>
    </w:tbl>
    <w:p w14:paraId="65DB3C3D">
      <w:pPr>
        <w:pStyle w:val="4"/>
        <w:tabs>
          <w:tab w:val="clear" w:pos="480"/>
          <w:tab w:val="clear" w:pos="630"/>
        </w:tabs>
        <w:adjustRightInd w:val="0"/>
        <w:snapToGrid w:val="0"/>
        <w:spacing w:before="0" w:after="0"/>
        <w:rPr>
          <w:sz w:val="30"/>
          <w:szCs w:val="30"/>
          <w:lang w:val="en-US"/>
        </w:rPr>
      </w:pPr>
      <w:bookmarkStart w:id="77" w:name="_Toc143799367"/>
      <w:bookmarkStart w:id="78" w:name="_Toc116977984"/>
      <w:r>
        <w:rPr>
          <w:sz w:val="30"/>
          <w:szCs w:val="30"/>
          <w:lang w:val="en-US"/>
        </w:rPr>
        <w:t>3.4</w:t>
      </w:r>
      <w:r>
        <w:rPr>
          <w:rFonts w:hint="eastAsia"/>
          <w:sz w:val="30"/>
          <w:szCs w:val="30"/>
          <w:lang w:val="en-US"/>
        </w:rPr>
        <w:t>项目组成</w:t>
      </w:r>
      <w:bookmarkEnd w:id="77"/>
      <w:bookmarkEnd w:id="78"/>
    </w:p>
    <w:p w14:paraId="26A2D5FD">
      <w:pPr>
        <w:adjustRightInd w:val="0"/>
        <w:snapToGrid w:val="0"/>
        <w:ind w:firstLine="480"/>
      </w:pPr>
      <w:r>
        <w:rPr>
          <w:rFonts w:hint="eastAsia"/>
        </w:rPr>
        <w:t>项目主要由风机基础区、交通设施区、集电线路区、升压站工程、施工生产生活区和弃渣场区等项目组成，项目组成详见下表</w:t>
      </w:r>
      <w:bookmarkStart w:id="79" w:name="OLE_LINK61"/>
      <w:r>
        <w:rPr>
          <w:rFonts w:hint="eastAsia"/>
        </w:rPr>
        <w:t>所示。</w:t>
      </w:r>
      <w:bookmarkEnd w:id="79"/>
    </w:p>
    <w:p w14:paraId="4FF81EFB">
      <w:pPr>
        <w:tabs>
          <w:tab w:val="clear" w:pos="480"/>
        </w:tabs>
        <w:spacing w:line="240" w:lineRule="auto"/>
        <w:ind w:firstLine="0" w:firstLineChars="0"/>
        <w:jc w:val="center"/>
        <w:rPr>
          <w:b/>
          <w:bCs/>
        </w:rPr>
      </w:pPr>
      <w:r>
        <w:rPr>
          <w:rFonts w:hint="eastAsia"/>
          <w:b/>
          <w:bCs/>
        </w:rPr>
        <w:t>表</w:t>
      </w:r>
      <w:r>
        <w:rPr>
          <w:b/>
          <w:bCs/>
        </w:rPr>
        <w:t xml:space="preserve">3.4-1  </w:t>
      </w:r>
      <w:r>
        <w:rPr>
          <w:rFonts w:hint="eastAsia"/>
          <w:b/>
          <w:bCs/>
        </w:rPr>
        <w:t>项目组成一览表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392"/>
        <w:gridCol w:w="6407"/>
      </w:tblGrid>
      <w:tr w14:paraId="3A52C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pct"/>
            <w:vAlign w:val="center"/>
          </w:tcPr>
          <w:p w14:paraId="7CC95560">
            <w:pPr>
              <w:tabs>
                <w:tab w:val="clear" w:pos="480"/>
              </w:tabs>
              <w:adjustRightInd w:val="0"/>
              <w:snapToGrid w:val="0"/>
              <w:spacing w:line="240" w:lineRule="auto"/>
              <w:ind w:firstLine="0" w:firstLineChars="0"/>
              <w:jc w:val="center"/>
              <w:rPr>
                <w:sz w:val="18"/>
                <w:szCs w:val="18"/>
              </w:rPr>
            </w:pPr>
            <w:bookmarkStart w:id="80" w:name="_Hlk142920944"/>
            <w:r>
              <w:rPr>
                <w:sz w:val="18"/>
                <w:szCs w:val="18"/>
              </w:rPr>
              <w:t>类型</w:t>
            </w:r>
          </w:p>
        </w:tc>
        <w:tc>
          <w:tcPr>
            <w:tcW w:w="816" w:type="pct"/>
            <w:vAlign w:val="center"/>
          </w:tcPr>
          <w:p w14:paraId="52DD4E0B">
            <w:pPr>
              <w:tabs>
                <w:tab w:val="clear" w:pos="480"/>
              </w:tabs>
              <w:adjustRightInd w:val="0"/>
              <w:snapToGrid w:val="0"/>
              <w:spacing w:line="240" w:lineRule="auto"/>
              <w:ind w:firstLine="0" w:firstLineChars="0"/>
              <w:jc w:val="center"/>
              <w:rPr>
                <w:sz w:val="18"/>
                <w:szCs w:val="18"/>
              </w:rPr>
            </w:pPr>
            <w:r>
              <w:rPr>
                <w:sz w:val="18"/>
                <w:szCs w:val="18"/>
              </w:rPr>
              <w:t>工程内容</w:t>
            </w:r>
          </w:p>
        </w:tc>
        <w:tc>
          <w:tcPr>
            <w:tcW w:w="3757" w:type="pct"/>
            <w:vAlign w:val="center"/>
          </w:tcPr>
          <w:p w14:paraId="0F07D3BE">
            <w:pPr>
              <w:tabs>
                <w:tab w:val="clear" w:pos="480"/>
              </w:tabs>
              <w:adjustRightInd w:val="0"/>
              <w:snapToGrid w:val="0"/>
              <w:spacing w:line="240" w:lineRule="auto"/>
              <w:ind w:firstLine="0" w:firstLineChars="0"/>
              <w:jc w:val="center"/>
              <w:rPr>
                <w:sz w:val="18"/>
                <w:szCs w:val="18"/>
              </w:rPr>
            </w:pPr>
            <w:r>
              <w:rPr>
                <w:sz w:val="18"/>
                <w:szCs w:val="18"/>
              </w:rPr>
              <w:t>工程规模</w:t>
            </w:r>
          </w:p>
        </w:tc>
      </w:tr>
      <w:tr w14:paraId="4AEAC2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restart"/>
            <w:vAlign w:val="center"/>
          </w:tcPr>
          <w:p w14:paraId="14D0DAF6">
            <w:pPr>
              <w:tabs>
                <w:tab w:val="clear" w:pos="480"/>
              </w:tabs>
              <w:adjustRightInd w:val="0"/>
              <w:snapToGrid w:val="0"/>
              <w:spacing w:line="240" w:lineRule="auto"/>
              <w:ind w:firstLine="0" w:firstLineChars="0"/>
              <w:rPr>
                <w:sz w:val="18"/>
                <w:szCs w:val="18"/>
              </w:rPr>
            </w:pPr>
            <w:r>
              <w:rPr>
                <w:sz w:val="18"/>
                <w:szCs w:val="18"/>
              </w:rPr>
              <w:t>主体工程</w:t>
            </w:r>
          </w:p>
        </w:tc>
        <w:tc>
          <w:tcPr>
            <w:tcW w:w="816" w:type="pct"/>
            <w:vAlign w:val="center"/>
          </w:tcPr>
          <w:p w14:paraId="2B6CD31B">
            <w:pPr>
              <w:tabs>
                <w:tab w:val="clear" w:pos="480"/>
              </w:tabs>
              <w:adjustRightInd w:val="0"/>
              <w:snapToGrid w:val="0"/>
              <w:spacing w:line="240" w:lineRule="auto"/>
              <w:ind w:firstLine="0" w:firstLineChars="0"/>
              <w:rPr>
                <w:sz w:val="18"/>
                <w:szCs w:val="18"/>
              </w:rPr>
            </w:pPr>
            <w:r>
              <w:rPr>
                <w:sz w:val="18"/>
                <w:szCs w:val="18"/>
              </w:rPr>
              <w:t>风电机组工程</w:t>
            </w:r>
          </w:p>
        </w:tc>
        <w:tc>
          <w:tcPr>
            <w:tcW w:w="3757" w:type="pct"/>
            <w:vAlign w:val="center"/>
          </w:tcPr>
          <w:p w14:paraId="08EB6E15">
            <w:pPr>
              <w:tabs>
                <w:tab w:val="clear" w:pos="480"/>
              </w:tabs>
              <w:adjustRightInd w:val="0"/>
              <w:snapToGrid w:val="0"/>
              <w:spacing w:line="240" w:lineRule="auto"/>
              <w:ind w:firstLine="0" w:firstLineChars="0"/>
              <w:rPr>
                <w:sz w:val="18"/>
                <w:szCs w:val="18"/>
              </w:rPr>
            </w:pPr>
            <w:r>
              <w:rPr>
                <w:sz w:val="18"/>
                <w:szCs w:val="18"/>
              </w:rPr>
              <w:t>共装有10台单机容量为5.0W的风电机组，采用一机一变，每台风机配置一台35/1140kV容量为5300kVA的箱式变压器，总占地面积0.45 hm</w:t>
            </w:r>
            <w:r>
              <w:rPr>
                <w:sz w:val="18"/>
                <w:szCs w:val="18"/>
                <w:vertAlign w:val="superscript"/>
              </w:rPr>
              <w:t>2</w:t>
            </w:r>
          </w:p>
        </w:tc>
      </w:tr>
      <w:tr w14:paraId="769070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2B3DC5D2">
            <w:pPr>
              <w:tabs>
                <w:tab w:val="clear" w:pos="480"/>
              </w:tabs>
              <w:adjustRightInd w:val="0"/>
              <w:snapToGrid w:val="0"/>
              <w:spacing w:line="240" w:lineRule="auto"/>
              <w:ind w:firstLine="0" w:firstLineChars="0"/>
              <w:rPr>
                <w:sz w:val="18"/>
                <w:szCs w:val="18"/>
              </w:rPr>
            </w:pPr>
          </w:p>
        </w:tc>
        <w:tc>
          <w:tcPr>
            <w:tcW w:w="816" w:type="pct"/>
            <w:vAlign w:val="center"/>
          </w:tcPr>
          <w:p w14:paraId="7BDAD81C">
            <w:pPr>
              <w:tabs>
                <w:tab w:val="clear" w:pos="480"/>
              </w:tabs>
              <w:adjustRightInd w:val="0"/>
              <w:snapToGrid w:val="0"/>
              <w:spacing w:line="240" w:lineRule="auto"/>
              <w:ind w:firstLine="0" w:firstLineChars="0"/>
              <w:rPr>
                <w:sz w:val="18"/>
                <w:szCs w:val="18"/>
              </w:rPr>
            </w:pPr>
            <w:r>
              <w:rPr>
                <w:sz w:val="18"/>
                <w:szCs w:val="18"/>
              </w:rPr>
              <w:t>110kV升压站工程及进站道路</w:t>
            </w:r>
          </w:p>
        </w:tc>
        <w:tc>
          <w:tcPr>
            <w:tcW w:w="3757" w:type="pct"/>
            <w:vAlign w:val="center"/>
          </w:tcPr>
          <w:p w14:paraId="15A1ADAD">
            <w:pPr>
              <w:tabs>
                <w:tab w:val="clear" w:pos="480"/>
              </w:tabs>
              <w:adjustRightInd w:val="0"/>
              <w:snapToGrid w:val="0"/>
              <w:spacing w:line="240" w:lineRule="auto"/>
              <w:ind w:firstLine="0" w:firstLineChars="0"/>
              <w:rPr>
                <w:sz w:val="18"/>
                <w:szCs w:val="18"/>
              </w:rPr>
            </w:pPr>
            <w:r>
              <w:rPr>
                <w:sz w:val="18"/>
                <w:szCs w:val="18"/>
              </w:rPr>
              <w:t>新建一座110kV升压站，设置一台50MVA主变。升压站四周布置2.5m高的实体围墙。站内布置了控制楼（含35kV配电室、SIG室）、生活楼、无功补偿室、水泵房、事故油池、污水处理设施及附属用房等构筑物，占地面积7500m</w:t>
            </w:r>
            <w:r>
              <w:rPr>
                <w:sz w:val="18"/>
                <w:szCs w:val="18"/>
                <w:vertAlign w:val="superscript"/>
              </w:rPr>
              <w:t>2</w:t>
            </w:r>
            <w:r>
              <w:rPr>
                <w:sz w:val="18"/>
                <w:szCs w:val="18"/>
              </w:rPr>
              <w:t>， 1回110kV线路送出。110kV升压站进站道路永久占地2400m</w:t>
            </w:r>
            <w:r>
              <w:rPr>
                <w:sz w:val="18"/>
                <w:szCs w:val="18"/>
                <w:vertAlign w:val="superscript"/>
              </w:rPr>
              <w:t>2</w:t>
            </w:r>
          </w:p>
        </w:tc>
      </w:tr>
      <w:tr w14:paraId="1F265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restart"/>
            <w:vAlign w:val="center"/>
          </w:tcPr>
          <w:p w14:paraId="1E494550">
            <w:pPr>
              <w:tabs>
                <w:tab w:val="clear" w:pos="480"/>
              </w:tabs>
              <w:adjustRightInd w:val="0"/>
              <w:snapToGrid w:val="0"/>
              <w:spacing w:line="240" w:lineRule="auto"/>
              <w:ind w:firstLine="0" w:firstLineChars="0"/>
              <w:rPr>
                <w:sz w:val="18"/>
                <w:szCs w:val="18"/>
              </w:rPr>
            </w:pPr>
            <w:r>
              <w:rPr>
                <w:sz w:val="18"/>
                <w:szCs w:val="18"/>
              </w:rPr>
              <w:t>辅助工程</w:t>
            </w:r>
          </w:p>
        </w:tc>
        <w:tc>
          <w:tcPr>
            <w:tcW w:w="816" w:type="pct"/>
            <w:vAlign w:val="center"/>
          </w:tcPr>
          <w:p w14:paraId="7BF4C26F">
            <w:pPr>
              <w:tabs>
                <w:tab w:val="clear" w:pos="480"/>
              </w:tabs>
              <w:adjustRightInd w:val="0"/>
              <w:snapToGrid w:val="0"/>
              <w:spacing w:line="240" w:lineRule="auto"/>
              <w:ind w:firstLine="0" w:firstLineChars="0"/>
              <w:rPr>
                <w:sz w:val="18"/>
                <w:szCs w:val="18"/>
              </w:rPr>
            </w:pPr>
            <w:r>
              <w:rPr>
                <w:sz w:val="18"/>
                <w:szCs w:val="18"/>
              </w:rPr>
              <w:t>电气工程</w:t>
            </w:r>
          </w:p>
        </w:tc>
        <w:tc>
          <w:tcPr>
            <w:tcW w:w="3757" w:type="pct"/>
            <w:vAlign w:val="center"/>
          </w:tcPr>
          <w:p w14:paraId="77D41B40">
            <w:pPr>
              <w:tabs>
                <w:tab w:val="clear" w:pos="480"/>
              </w:tabs>
              <w:adjustRightInd w:val="0"/>
              <w:snapToGrid w:val="0"/>
              <w:spacing w:line="240" w:lineRule="auto"/>
              <w:ind w:firstLine="0" w:firstLineChars="0"/>
              <w:rPr>
                <w:sz w:val="18"/>
                <w:szCs w:val="18"/>
              </w:rPr>
            </w:pPr>
            <w:r>
              <w:rPr>
                <w:sz w:val="18"/>
                <w:szCs w:val="18"/>
              </w:rPr>
              <w:t>风力发电机组机所发出电量经电缆引接至箱式变压器低压侧，通过箱式变压器升压至35kV，再经过集电线路接至新建风电场110kV 升压站内主变压器35kV母线侧，经升压变升压至110kV</w:t>
            </w:r>
          </w:p>
        </w:tc>
      </w:tr>
      <w:tr w14:paraId="7E330F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1D80558C">
            <w:pPr>
              <w:tabs>
                <w:tab w:val="clear" w:pos="480"/>
              </w:tabs>
              <w:adjustRightInd w:val="0"/>
              <w:snapToGrid w:val="0"/>
              <w:spacing w:line="240" w:lineRule="auto"/>
              <w:ind w:firstLine="0" w:firstLineChars="0"/>
              <w:rPr>
                <w:sz w:val="18"/>
                <w:szCs w:val="18"/>
              </w:rPr>
            </w:pPr>
          </w:p>
        </w:tc>
        <w:tc>
          <w:tcPr>
            <w:tcW w:w="816" w:type="pct"/>
            <w:vAlign w:val="center"/>
          </w:tcPr>
          <w:p w14:paraId="5F5EA271">
            <w:pPr>
              <w:tabs>
                <w:tab w:val="clear" w:pos="480"/>
              </w:tabs>
              <w:adjustRightInd w:val="0"/>
              <w:snapToGrid w:val="0"/>
              <w:spacing w:line="240" w:lineRule="auto"/>
              <w:ind w:firstLine="0" w:firstLineChars="0"/>
              <w:rPr>
                <w:sz w:val="18"/>
                <w:szCs w:val="18"/>
              </w:rPr>
            </w:pPr>
            <w:r>
              <w:rPr>
                <w:sz w:val="18"/>
                <w:szCs w:val="18"/>
              </w:rPr>
              <w:t>集电线路工程</w:t>
            </w:r>
          </w:p>
        </w:tc>
        <w:tc>
          <w:tcPr>
            <w:tcW w:w="3757" w:type="pct"/>
            <w:vAlign w:val="center"/>
          </w:tcPr>
          <w:p w14:paraId="4C8AA6EF">
            <w:pPr>
              <w:tabs>
                <w:tab w:val="clear" w:pos="480"/>
              </w:tabs>
              <w:adjustRightInd w:val="0"/>
              <w:snapToGrid w:val="0"/>
              <w:spacing w:line="240" w:lineRule="auto"/>
              <w:ind w:firstLine="0" w:firstLineChars="0"/>
              <w:rPr>
                <w:sz w:val="18"/>
                <w:szCs w:val="18"/>
              </w:rPr>
            </w:pPr>
            <w:r>
              <w:rPr>
                <w:sz w:val="18"/>
                <w:szCs w:val="18"/>
              </w:rPr>
              <w:t>风电场分4回35kV集电线路接入升压站，集电线路采用架空+直埋的方式进行敷设，其中架空</w:t>
            </w:r>
            <w:r>
              <w:rPr>
                <w:rFonts w:hint="eastAsia"/>
                <w:sz w:val="18"/>
                <w:szCs w:val="18"/>
              </w:rPr>
              <w:t>输电线路</w:t>
            </w:r>
            <w:r>
              <w:rPr>
                <w:sz w:val="18"/>
                <w:szCs w:val="18"/>
              </w:rPr>
              <w:t>长度为9.0km，直埋电缆长度为13.50km</w:t>
            </w:r>
          </w:p>
        </w:tc>
      </w:tr>
      <w:tr w14:paraId="5824B8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07E71BFD">
            <w:pPr>
              <w:tabs>
                <w:tab w:val="clear" w:pos="480"/>
              </w:tabs>
              <w:adjustRightInd w:val="0"/>
              <w:snapToGrid w:val="0"/>
              <w:spacing w:line="240" w:lineRule="auto"/>
              <w:ind w:firstLine="0" w:firstLineChars="0"/>
              <w:rPr>
                <w:sz w:val="18"/>
                <w:szCs w:val="18"/>
              </w:rPr>
            </w:pPr>
          </w:p>
        </w:tc>
        <w:tc>
          <w:tcPr>
            <w:tcW w:w="816" w:type="pct"/>
            <w:vAlign w:val="center"/>
          </w:tcPr>
          <w:p w14:paraId="48297514">
            <w:pPr>
              <w:tabs>
                <w:tab w:val="clear" w:pos="480"/>
              </w:tabs>
              <w:adjustRightInd w:val="0"/>
              <w:snapToGrid w:val="0"/>
              <w:spacing w:line="240" w:lineRule="auto"/>
              <w:ind w:firstLine="0" w:firstLineChars="0"/>
              <w:rPr>
                <w:sz w:val="18"/>
                <w:szCs w:val="18"/>
              </w:rPr>
            </w:pPr>
            <w:r>
              <w:rPr>
                <w:sz w:val="18"/>
                <w:szCs w:val="18"/>
              </w:rPr>
              <w:t>道路工程</w:t>
            </w:r>
          </w:p>
        </w:tc>
        <w:tc>
          <w:tcPr>
            <w:tcW w:w="3757" w:type="pct"/>
            <w:vAlign w:val="center"/>
          </w:tcPr>
          <w:p w14:paraId="797D54A2">
            <w:pPr>
              <w:tabs>
                <w:tab w:val="clear" w:pos="480"/>
              </w:tabs>
              <w:adjustRightInd w:val="0"/>
              <w:snapToGrid w:val="0"/>
              <w:spacing w:line="240" w:lineRule="auto"/>
              <w:ind w:firstLine="0" w:firstLineChars="0"/>
              <w:rPr>
                <w:sz w:val="18"/>
                <w:szCs w:val="18"/>
              </w:rPr>
            </w:pPr>
            <w:r>
              <w:rPr>
                <w:sz w:val="18"/>
                <w:szCs w:val="18"/>
              </w:rPr>
              <w:t>风电场道路总长30.5km，其中新建</w:t>
            </w:r>
            <w:r>
              <w:rPr>
                <w:rFonts w:hint="eastAsia"/>
                <w:sz w:val="18"/>
                <w:szCs w:val="18"/>
              </w:rPr>
              <w:t>场内</w:t>
            </w:r>
            <w:r>
              <w:rPr>
                <w:sz w:val="18"/>
                <w:szCs w:val="18"/>
              </w:rPr>
              <w:t>道路16.4km，</w:t>
            </w:r>
            <w:r>
              <w:rPr>
                <w:rFonts w:hint="eastAsia"/>
                <w:sz w:val="18"/>
                <w:szCs w:val="18"/>
              </w:rPr>
              <w:t>改建场内道路4</w:t>
            </w:r>
            <w:r>
              <w:rPr>
                <w:sz w:val="18"/>
                <w:szCs w:val="18"/>
              </w:rPr>
              <w:t>.1</w:t>
            </w:r>
            <w:r>
              <w:rPr>
                <w:rFonts w:hint="eastAsia"/>
                <w:sz w:val="18"/>
                <w:szCs w:val="18"/>
              </w:rPr>
              <w:t>km，改建进场</w:t>
            </w:r>
            <w:r>
              <w:rPr>
                <w:sz w:val="18"/>
                <w:szCs w:val="18"/>
              </w:rPr>
              <w:t>道路10km。施工完成后，在场内施工道路、进站道路基础上改造成检修道路，路基宽5.5m，路面宽4.5m。</w:t>
            </w:r>
          </w:p>
        </w:tc>
      </w:tr>
      <w:tr w14:paraId="5C117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restart"/>
            <w:vAlign w:val="center"/>
          </w:tcPr>
          <w:p w14:paraId="13D70922">
            <w:pPr>
              <w:tabs>
                <w:tab w:val="clear" w:pos="480"/>
              </w:tabs>
              <w:adjustRightInd w:val="0"/>
              <w:snapToGrid w:val="0"/>
              <w:spacing w:line="240" w:lineRule="auto"/>
              <w:ind w:firstLine="0" w:firstLineChars="0"/>
              <w:rPr>
                <w:sz w:val="18"/>
                <w:szCs w:val="18"/>
              </w:rPr>
            </w:pPr>
            <w:r>
              <w:rPr>
                <w:sz w:val="18"/>
                <w:szCs w:val="18"/>
              </w:rPr>
              <w:t>公用工程</w:t>
            </w:r>
          </w:p>
        </w:tc>
        <w:tc>
          <w:tcPr>
            <w:tcW w:w="816" w:type="pct"/>
            <w:vAlign w:val="center"/>
          </w:tcPr>
          <w:p w14:paraId="3B861732">
            <w:pPr>
              <w:tabs>
                <w:tab w:val="clear" w:pos="480"/>
              </w:tabs>
              <w:adjustRightInd w:val="0"/>
              <w:snapToGrid w:val="0"/>
              <w:spacing w:line="240" w:lineRule="auto"/>
              <w:ind w:firstLine="0" w:firstLineChars="0"/>
              <w:rPr>
                <w:sz w:val="18"/>
                <w:szCs w:val="18"/>
              </w:rPr>
            </w:pPr>
            <w:r>
              <w:rPr>
                <w:sz w:val="18"/>
                <w:szCs w:val="18"/>
              </w:rPr>
              <w:t>供电</w:t>
            </w:r>
          </w:p>
        </w:tc>
        <w:tc>
          <w:tcPr>
            <w:tcW w:w="3757" w:type="pct"/>
            <w:vAlign w:val="center"/>
          </w:tcPr>
          <w:p w14:paraId="2234BBB2">
            <w:pPr>
              <w:tabs>
                <w:tab w:val="clear" w:pos="480"/>
              </w:tabs>
              <w:autoSpaceDE w:val="0"/>
              <w:autoSpaceDN w:val="0"/>
              <w:adjustRightInd w:val="0"/>
              <w:spacing w:line="240" w:lineRule="auto"/>
              <w:ind w:firstLine="0" w:firstLineChars="0"/>
              <w:jc w:val="left"/>
              <w:rPr>
                <w:sz w:val="18"/>
                <w:szCs w:val="18"/>
              </w:rPr>
            </w:pPr>
            <w:r>
              <w:rPr>
                <w:sz w:val="18"/>
                <w:szCs w:val="18"/>
              </w:rPr>
              <w:t>本工程设1 台35kV 站用接地变压器，电源从35kV 母线上引接，施工电源在施工完后留作站用电备用电源，备用站用变压器型号为S11-250/10。</w:t>
            </w:r>
          </w:p>
        </w:tc>
      </w:tr>
      <w:tr w14:paraId="759EBA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2403D0FA">
            <w:pPr>
              <w:tabs>
                <w:tab w:val="clear" w:pos="480"/>
              </w:tabs>
              <w:adjustRightInd w:val="0"/>
              <w:snapToGrid w:val="0"/>
              <w:spacing w:line="240" w:lineRule="auto"/>
              <w:ind w:firstLine="0" w:firstLineChars="0"/>
              <w:rPr>
                <w:sz w:val="18"/>
                <w:szCs w:val="18"/>
              </w:rPr>
            </w:pPr>
          </w:p>
        </w:tc>
        <w:tc>
          <w:tcPr>
            <w:tcW w:w="816" w:type="pct"/>
            <w:vAlign w:val="center"/>
          </w:tcPr>
          <w:p w14:paraId="4174DA24">
            <w:pPr>
              <w:tabs>
                <w:tab w:val="clear" w:pos="480"/>
              </w:tabs>
              <w:adjustRightInd w:val="0"/>
              <w:snapToGrid w:val="0"/>
              <w:spacing w:line="240" w:lineRule="auto"/>
              <w:ind w:firstLine="0" w:firstLineChars="0"/>
              <w:rPr>
                <w:sz w:val="18"/>
                <w:szCs w:val="18"/>
              </w:rPr>
            </w:pPr>
            <w:r>
              <w:rPr>
                <w:sz w:val="18"/>
                <w:szCs w:val="18"/>
              </w:rPr>
              <w:t>供水</w:t>
            </w:r>
          </w:p>
        </w:tc>
        <w:tc>
          <w:tcPr>
            <w:tcW w:w="3757" w:type="pct"/>
            <w:vAlign w:val="center"/>
          </w:tcPr>
          <w:p w14:paraId="3AE17051">
            <w:pPr>
              <w:tabs>
                <w:tab w:val="clear" w:pos="480"/>
              </w:tabs>
              <w:adjustRightInd w:val="0"/>
              <w:snapToGrid w:val="0"/>
              <w:spacing w:line="240" w:lineRule="auto"/>
              <w:ind w:firstLine="0" w:firstLineChars="0"/>
              <w:rPr>
                <w:sz w:val="18"/>
                <w:szCs w:val="18"/>
              </w:rPr>
            </w:pPr>
            <w:r>
              <w:rPr>
                <w:sz w:val="18"/>
                <w:szCs w:val="18"/>
              </w:rPr>
              <w:t>采用地下水作供水水源</w:t>
            </w:r>
          </w:p>
        </w:tc>
      </w:tr>
      <w:tr w14:paraId="04CC65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427" w:type="pct"/>
            <w:vMerge w:val="continue"/>
            <w:vAlign w:val="center"/>
          </w:tcPr>
          <w:p w14:paraId="65556542">
            <w:pPr>
              <w:tabs>
                <w:tab w:val="clear" w:pos="480"/>
              </w:tabs>
              <w:adjustRightInd w:val="0"/>
              <w:snapToGrid w:val="0"/>
              <w:spacing w:line="240" w:lineRule="auto"/>
              <w:ind w:firstLine="0" w:firstLineChars="0"/>
              <w:rPr>
                <w:sz w:val="18"/>
                <w:szCs w:val="18"/>
              </w:rPr>
            </w:pPr>
          </w:p>
        </w:tc>
        <w:tc>
          <w:tcPr>
            <w:tcW w:w="816" w:type="pct"/>
            <w:vAlign w:val="center"/>
          </w:tcPr>
          <w:p w14:paraId="181A86A5">
            <w:pPr>
              <w:tabs>
                <w:tab w:val="clear" w:pos="480"/>
              </w:tabs>
              <w:adjustRightInd w:val="0"/>
              <w:snapToGrid w:val="0"/>
              <w:spacing w:line="240" w:lineRule="auto"/>
              <w:ind w:firstLine="0" w:firstLineChars="0"/>
              <w:rPr>
                <w:sz w:val="18"/>
                <w:szCs w:val="18"/>
              </w:rPr>
            </w:pPr>
            <w:r>
              <w:rPr>
                <w:sz w:val="18"/>
                <w:szCs w:val="18"/>
              </w:rPr>
              <w:t>排水</w:t>
            </w:r>
          </w:p>
        </w:tc>
        <w:tc>
          <w:tcPr>
            <w:tcW w:w="3757" w:type="pct"/>
            <w:vAlign w:val="center"/>
          </w:tcPr>
          <w:p w14:paraId="4CAC3079">
            <w:pPr>
              <w:tabs>
                <w:tab w:val="clear" w:pos="480"/>
              </w:tabs>
              <w:adjustRightInd w:val="0"/>
              <w:snapToGrid w:val="0"/>
              <w:spacing w:line="240" w:lineRule="auto"/>
              <w:ind w:firstLine="0" w:firstLineChars="0"/>
              <w:rPr>
                <w:sz w:val="18"/>
                <w:szCs w:val="18"/>
              </w:rPr>
            </w:pPr>
            <w:r>
              <w:rPr>
                <w:sz w:val="18"/>
                <w:szCs w:val="18"/>
              </w:rPr>
              <w:t>采用雨污分流，雨水通过雨水沟排至站外，生活污水经污水处理设施处理后用于升压站</w:t>
            </w:r>
            <w:r>
              <w:rPr>
                <w:rFonts w:hint="eastAsia"/>
                <w:sz w:val="18"/>
                <w:szCs w:val="18"/>
              </w:rPr>
              <w:t>周边</w:t>
            </w:r>
            <w:r>
              <w:rPr>
                <w:sz w:val="18"/>
                <w:szCs w:val="18"/>
              </w:rPr>
              <w:t>绿化</w:t>
            </w:r>
          </w:p>
        </w:tc>
      </w:tr>
      <w:tr w14:paraId="02CD5B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restart"/>
            <w:vAlign w:val="center"/>
          </w:tcPr>
          <w:p w14:paraId="30534E2A">
            <w:pPr>
              <w:tabs>
                <w:tab w:val="clear" w:pos="480"/>
              </w:tabs>
              <w:adjustRightInd w:val="0"/>
              <w:snapToGrid w:val="0"/>
              <w:spacing w:line="240" w:lineRule="auto"/>
              <w:ind w:firstLine="0" w:firstLineChars="0"/>
              <w:rPr>
                <w:sz w:val="18"/>
                <w:szCs w:val="18"/>
              </w:rPr>
            </w:pPr>
            <w:r>
              <w:rPr>
                <w:sz w:val="18"/>
                <w:szCs w:val="18"/>
              </w:rPr>
              <w:t>临时工程</w:t>
            </w:r>
          </w:p>
        </w:tc>
        <w:tc>
          <w:tcPr>
            <w:tcW w:w="816" w:type="pct"/>
            <w:vAlign w:val="center"/>
          </w:tcPr>
          <w:p w14:paraId="06EA65AC">
            <w:pPr>
              <w:tabs>
                <w:tab w:val="clear" w:pos="480"/>
              </w:tabs>
              <w:adjustRightInd w:val="0"/>
              <w:snapToGrid w:val="0"/>
              <w:spacing w:line="240" w:lineRule="auto"/>
              <w:ind w:firstLine="0" w:firstLineChars="0"/>
              <w:rPr>
                <w:sz w:val="18"/>
                <w:szCs w:val="18"/>
              </w:rPr>
            </w:pPr>
            <w:r>
              <w:rPr>
                <w:sz w:val="18"/>
                <w:szCs w:val="18"/>
              </w:rPr>
              <w:t>弃渣场</w:t>
            </w:r>
          </w:p>
        </w:tc>
        <w:tc>
          <w:tcPr>
            <w:tcW w:w="3757" w:type="pct"/>
            <w:vAlign w:val="center"/>
          </w:tcPr>
          <w:p w14:paraId="694B24BD">
            <w:pPr>
              <w:tabs>
                <w:tab w:val="clear" w:pos="480"/>
              </w:tabs>
              <w:adjustRightInd w:val="0"/>
              <w:snapToGrid w:val="0"/>
              <w:spacing w:line="240" w:lineRule="auto"/>
              <w:ind w:firstLine="0" w:firstLineChars="0"/>
              <w:rPr>
                <w:sz w:val="18"/>
                <w:szCs w:val="18"/>
              </w:rPr>
            </w:pPr>
            <w:r>
              <w:rPr>
                <w:sz w:val="18"/>
                <w:szCs w:val="18"/>
              </w:rPr>
              <w:t>设置</w:t>
            </w:r>
            <w:r>
              <w:rPr>
                <w:rFonts w:hint="eastAsia"/>
                <w:sz w:val="18"/>
                <w:szCs w:val="18"/>
              </w:rPr>
              <w:t>8个</w:t>
            </w:r>
            <w:r>
              <w:rPr>
                <w:sz w:val="18"/>
                <w:szCs w:val="18"/>
              </w:rPr>
              <w:t>弃渣场，总面积约为5.0hm</w:t>
            </w:r>
            <w:r>
              <w:rPr>
                <w:sz w:val="18"/>
                <w:szCs w:val="18"/>
                <w:vertAlign w:val="superscript"/>
              </w:rPr>
              <w:t>2</w:t>
            </w:r>
            <w:r>
              <w:rPr>
                <w:sz w:val="18"/>
                <w:szCs w:val="18"/>
              </w:rPr>
              <w:t>。工程弃渣来源主要为风机安装平台、风机基础、箱变基础及道路的土石方开挖，总弃渣量约为</w:t>
            </w:r>
            <w:r>
              <w:rPr>
                <w:rFonts w:hint="eastAsia"/>
                <w:sz w:val="18"/>
                <w:szCs w:val="18"/>
              </w:rPr>
              <w:t>16.45</w:t>
            </w:r>
            <w:r>
              <w:rPr>
                <w:sz w:val="18"/>
                <w:szCs w:val="18"/>
              </w:rPr>
              <w:t>万m</w:t>
            </w:r>
            <w:r>
              <w:rPr>
                <w:sz w:val="18"/>
                <w:szCs w:val="18"/>
                <w:vertAlign w:val="superscript"/>
              </w:rPr>
              <w:t>3</w:t>
            </w:r>
            <w:r>
              <w:rPr>
                <w:sz w:val="18"/>
                <w:szCs w:val="18"/>
              </w:rPr>
              <w:t>。</w:t>
            </w:r>
          </w:p>
        </w:tc>
      </w:tr>
      <w:tr w14:paraId="3EFE29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1B46911A">
            <w:pPr>
              <w:tabs>
                <w:tab w:val="clear" w:pos="480"/>
              </w:tabs>
              <w:adjustRightInd w:val="0"/>
              <w:snapToGrid w:val="0"/>
              <w:spacing w:line="240" w:lineRule="auto"/>
              <w:ind w:firstLine="0" w:firstLineChars="0"/>
              <w:rPr>
                <w:sz w:val="18"/>
                <w:szCs w:val="18"/>
              </w:rPr>
            </w:pPr>
          </w:p>
        </w:tc>
        <w:tc>
          <w:tcPr>
            <w:tcW w:w="816" w:type="pct"/>
            <w:vAlign w:val="center"/>
          </w:tcPr>
          <w:p w14:paraId="7D394193">
            <w:pPr>
              <w:tabs>
                <w:tab w:val="clear" w:pos="480"/>
              </w:tabs>
              <w:adjustRightInd w:val="0"/>
              <w:snapToGrid w:val="0"/>
              <w:spacing w:line="240" w:lineRule="auto"/>
              <w:ind w:firstLine="0" w:firstLineChars="0"/>
              <w:rPr>
                <w:sz w:val="18"/>
                <w:szCs w:val="18"/>
              </w:rPr>
            </w:pPr>
            <w:r>
              <w:rPr>
                <w:sz w:val="18"/>
                <w:szCs w:val="18"/>
              </w:rPr>
              <w:t>吊装场地</w:t>
            </w:r>
          </w:p>
        </w:tc>
        <w:tc>
          <w:tcPr>
            <w:tcW w:w="3757" w:type="pct"/>
            <w:vAlign w:val="center"/>
          </w:tcPr>
          <w:p w14:paraId="18959EEA">
            <w:pPr>
              <w:tabs>
                <w:tab w:val="clear" w:pos="480"/>
              </w:tabs>
              <w:adjustRightInd w:val="0"/>
              <w:snapToGrid w:val="0"/>
              <w:spacing w:line="240" w:lineRule="auto"/>
              <w:ind w:firstLine="0" w:firstLineChars="0"/>
              <w:rPr>
                <w:sz w:val="18"/>
                <w:szCs w:val="18"/>
              </w:rPr>
            </w:pPr>
            <w:r>
              <w:rPr>
                <w:sz w:val="18"/>
                <w:szCs w:val="18"/>
              </w:rPr>
              <w:t>风机施工安装场地10个，单个施工场地用地0.3hm</w:t>
            </w:r>
            <w:r>
              <w:rPr>
                <w:sz w:val="18"/>
                <w:szCs w:val="18"/>
                <w:vertAlign w:val="superscript"/>
              </w:rPr>
              <w:t>2</w:t>
            </w:r>
            <w:r>
              <w:rPr>
                <w:sz w:val="18"/>
                <w:szCs w:val="18"/>
              </w:rPr>
              <w:t>，共用地3.0hm</w:t>
            </w:r>
            <w:r>
              <w:rPr>
                <w:sz w:val="18"/>
                <w:szCs w:val="18"/>
                <w:vertAlign w:val="superscript"/>
              </w:rPr>
              <w:t>2</w:t>
            </w:r>
            <w:r>
              <w:rPr>
                <w:sz w:val="18"/>
                <w:szCs w:val="18"/>
              </w:rPr>
              <w:t>，为临时占地，施工结束后进行植被恢复</w:t>
            </w:r>
          </w:p>
        </w:tc>
      </w:tr>
      <w:tr w14:paraId="49662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3799A9C1">
            <w:pPr>
              <w:tabs>
                <w:tab w:val="clear" w:pos="480"/>
              </w:tabs>
              <w:adjustRightInd w:val="0"/>
              <w:snapToGrid w:val="0"/>
              <w:spacing w:line="240" w:lineRule="auto"/>
              <w:ind w:firstLine="0" w:firstLineChars="0"/>
              <w:rPr>
                <w:sz w:val="18"/>
                <w:szCs w:val="18"/>
              </w:rPr>
            </w:pPr>
          </w:p>
        </w:tc>
        <w:tc>
          <w:tcPr>
            <w:tcW w:w="816" w:type="pct"/>
            <w:vAlign w:val="center"/>
          </w:tcPr>
          <w:p w14:paraId="1D12251C">
            <w:pPr>
              <w:tabs>
                <w:tab w:val="clear" w:pos="480"/>
              </w:tabs>
              <w:adjustRightInd w:val="0"/>
              <w:snapToGrid w:val="0"/>
              <w:spacing w:line="240" w:lineRule="auto"/>
              <w:ind w:firstLine="0" w:firstLineChars="0"/>
              <w:rPr>
                <w:sz w:val="18"/>
                <w:szCs w:val="18"/>
              </w:rPr>
            </w:pPr>
            <w:r>
              <w:rPr>
                <w:sz w:val="18"/>
                <w:szCs w:val="18"/>
              </w:rPr>
              <w:t>施工生产生活区</w:t>
            </w:r>
          </w:p>
        </w:tc>
        <w:tc>
          <w:tcPr>
            <w:tcW w:w="3757" w:type="pct"/>
            <w:vAlign w:val="center"/>
          </w:tcPr>
          <w:p w14:paraId="5C266E66">
            <w:pPr>
              <w:tabs>
                <w:tab w:val="clear" w:pos="480"/>
              </w:tabs>
              <w:adjustRightInd w:val="0"/>
              <w:snapToGrid w:val="0"/>
              <w:spacing w:line="240" w:lineRule="auto"/>
              <w:ind w:firstLine="0" w:firstLineChars="0"/>
              <w:rPr>
                <w:sz w:val="18"/>
                <w:szCs w:val="18"/>
              </w:rPr>
            </w:pPr>
            <w:r>
              <w:rPr>
                <w:sz w:val="18"/>
                <w:szCs w:val="18"/>
              </w:rPr>
              <w:t>占地0.4m</w:t>
            </w:r>
            <w:r>
              <w:rPr>
                <w:sz w:val="18"/>
                <w:szCs w:val="18"/>
                <w:vertAlign w:val="superscript"/>
              </w:rPr>
              <w:t>2</w:t>
            </w:r>
            <w:r>
              <w:rPr>
                <w:sz w:val="18"/>
                <w:szCs w:val="18"/>
              </w:rPr>
              <w:t>，包括施工生产区、施工仓库。</w:t>
            </w:r>
          </w:p>
        </w:tc>
      </w:tr>
      <w:tr w14:paraId="05F3CD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restart"/>
            <w:vAlign w:val="center"/>
          </w:tcPr>
          <w:p w14:paraId="6EF2428C">
            <w:pPr>
              <w:tabs>
                <w:tab w:val="clear" w:pos="480"/>
              </w:tabs>
              <w:adjustRightInd w:val="0"/>
              <w:snapToGrid w:val="0"/>
              <w:spacing w:line="240" w:lineRule="auto"/>
              <w:ind w:firstLine="0" w:firstLineChars="0"/>
              <w:rPr>
                <w:sz w:val="18"/>
                <w:szCs w:val="18"/>
              </w:rPr>
            </w:pPr>
            <w:r>
              <w:rPr>
                <w:sz w:val="18"/>
                <w:szCs w:val="18"/>
              </w:rPr>
              <w:t>环保工程</w:t>
            </w:r>
          </w:p>
        </w:tc>
        <w:tc>
          <w:tcPr>
            <w:tcW w:w="816" w:type="pct"/>
            <w:vAlign w:val="center"/>
          </w:tcPr>
          <w:p w14:paraId="5EEFED1E">
            <w:pPr>
              <w:tabs>
                <w:tab w:val="clear" w:pos="480"/>
              </w:tabs>
              <w:adjustRightInd w:val="0"/>
              <w:snapToGrid w:val="0"/>
              <w:spacing w:line="240" w:lineRule="auto"/>
              <w:ind w:firstLine="0" w:firstLineChars="0"/>
              <w:rPr>
                <w:sz w:val="18"/>
                <w:szCs w:val="18"/>
              </w:rPr>
            </w:pPr>
            <w:r>
              <w:rPr>
                <w:sz w:val="18"/>
                <w:szCs w:val="18"/>
              </w:rPr>
              <w:t>生活污水处理</w:t>
            </w:r>
          </w:p>
        </w:tc>
        <w:tc>
          <w:tcPr>
            <w:tcW w:w="3757" w:type="pct"/>
            <w:vAlign w:val="center"/>
          </w:tcPr>
          <w:p w14:paraId="35688645">
            <w:pPr>
              <w:tabs>
                <w:tab w:val="clear" w:pos="480"/>
              </w:tabs>
              <w:adjustRightInd w:val="0"/>
              <w:snapToGrid w:val="0"/>
              <w:spacing w:line="240" w:lineRule="auto"/>
              <w:ind w:firstLine="0" w:firstLineChars="0"/>
              <w:rPr>
                <w:sz w:val="18"/>
                <w:szCs w:val="18"/>
              </w:rPr>
            </w:pPr>
            <w:r>
              <w:rPr>
                <w:sz w:val="18"/>
                <w:szCs w:val="18"/>
              </w:rPr>
              <w:t>升压站内设置生活污水处理设施1套，生活污水经污水处理设施（地埋式）处理后用于</w:t>
            </w:r>
            <w:r>
              <w:rPr>
                <w:rFonts w:hint="eastAsia"/>
                <w:sz w:val="18"/>
                <w:szCs w:val="18"/>
              </w:rPr>
              <w:t>升压站周边</w:t>
            </w:r>
            <w:r>
              <w:rPr>
                <w:sz w:val="18"/>
                <w:szCs w:val="18"/>
              </w:rPr>
              <w:t>绿化，不外排</w:t>
            </w:r>
          </w:p>
        </w:tc>
      </w:tr>
      <w:tr w14:paraId="4B8369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752EB94F">
            <w:pPr>
              <w:tabs>
                <w:tab w:val="clear" w:pos="480"/>
              </w:tabs>
              <w:adjustRightInd w:val="0"/>
              <w:snapToGrid w:val="0"/>
              <w:spacing w:line="240" w:lineRule="auto"/>
              <w:ind w:firstLine="0" w:firstLineChars="0"/>
              <w:rPr>
                <w:sz w:val="18"/>
                <w:szCs w:val="18"/>
              </w:rPr>
            </w:pPr>
          </w:p>
        </w:tc>
        <w:tc>
          <w:tcPr>
            <w:tcW w:w="816" w:type="pct"/>
            <w:vAlign w:val="center"/>
          </w:tcPr>
          <w:p w14:paraId="1C87F3DA">
            <w:pPr>
              <w:tabs>
                <w:tab w:val="clear" w:pos="480"/>
              </w:tabs>
              <w:adjustRightInd w:val="0"/>
              <w:snapToGrid w:val="0"/>
              <w:spacing w:line="240" w:lineRule="auto"/>
              <w:ind w:firstLine="0" w:firstLineChars="0"/>
              <w:rPr>
                <w:sz w:val="18"/>
                <w:szCs w:val="18"/>
              </w:rPr>
            </w:pPr>
            <w:r>
              <w:rPr>
                <w:sz w:val="18"/>
                <w:szCs w:val="18"/>
              </w:rPr>
              <w:t>食堂油烟</w:t>
            </w:r>
          </w:p>
        </w:tc>
        <w:tc>
          <w:tcPr>
            <w:tcW w:w="3757" w:type="pct"/>
            <w:vAlign w:val="center"/>
          </w:tcPr>
          <w:p w14:paraId="26A2B841">
            <w:pPr>
              <w:tabs>
                <w:tab w:val="clear" w:pos="480"/>
              </w:tabs>
              <w:adjustRightInd w:val="0"/>
              <w:snapToGrid w:val="0"/>
              <w:spacing w:line="240" w:lineRule="auto"/>
              <w:ind w:firstLine="0" w:firstLineChars="0"/>
              <w:rPr>
                <w:sz w:val="18"/>
                <w:szCs w:val="18"/>
              </w:rPr>
            </w:pPr>
            <w:r>
              <w:rPr>
                <w:sz w:val="18"/>
                <w:szCs w:val="18"/>
              </w:rPr>
              <w:t>高效油烟处理装置处理后引至</w:t>
            </w:r>
            <w:r>
              <w:rPr>
                <w:rFonts w:hint="eastAsia"/>
                <w:sz w:val="18"/>
                <w:szCs w:val="18"/>
              </w:rPr>
              <w:t>高空</w:t>
            </w:r>
            <w:r>
              <w:rPr>
                <w:sz w:val="18"/>
                <w:szCs w:val="18"/>
              </w:rPr>
              <w:t>排放</w:t>
            </w:r>
          </w:p>
        </w:tc>
      </w:tr>
      <w:tr w14:paraId="7D9276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0B6331CF">
            <w:pPr>
              <w:tabs>
                <w:tab w:val="clear" w:pos="480"/>
              </w:tabs>
              <w:adjustRightInd w:val="0"/>
              <w:snapToGrid w:val="0"/>
              <w:spacing w:line="240" w:lineRule="auto"/>
              <w:ind w:firstLine="0" w:firstLineChars="0"/>
              <w:rPr>
                <w:sz w:val="18"/>
                <w:szCs w:val="18"/>
              </w:rPr>
            </w:pPr>
          </w:p>
        </w:tc>
        <w:tc>
          <w:tcPr>
            <w:tcW w:w="816" w:type="pct"/>
            <w:vMerge w:val="restart"/>
            <w:vAlign w:val="center"/>
          </w:tcPr>
          <w:p w14:paraId="777A8A3E">
            <w:pPr>
              <w:tabs>
                <w:tab w:val="clear" w:pos="480"/>
              </w:tabs>
              <w:adjustRightInd w:val="0"/>
              <w:snapToGrid w:val="0"/>
              <w:spacing w:line="240" w:lineRule="auto"/>
              <w:ind w:firstLine="0" w:firstLineChars="0"/>
              <w:rPr>
                <w:sz w:val="18"/>
                <w:szCs w:val="18"/>
              </w:rPr>
            </w:pPr>
            <w:r>
              <w:rPr>
                <w:sz w:val="18"/>
                <w:szCs w:val="18"/>
              </w:rPr>
              <w:t>固体废物</w:t>
            </w:r>
          </w:p>
        </w:tc>
        <w:tc>
          <w:tcPr>
            <w:tcW w:w="3757" w:type="pct"/>
            <w:vAlign w:val="center"/>
          </w:tcPr>
          <w:p w14:paraId="331667A2">
            <w:pPr>
              <w:tabs>
                <w:tab w:val="clear" w:pos="480"/>
              </w:tabs>
              <w:adjustRightInd w:val="0"/>
              <w:snapToGrid w:val="0"/>
              <w:spacing w:line="240" w:lineRule="auto"/>
              <w:ind w:firstLine="0" w:firstLineChars="0"/>
              <w:rPr>
                <w:sz w:val="18"/>
                <w:szCs w:val="18"/>
              </w:rPr>
            </w:pPr>
            <w:r>
              <w:rPr>
                <w:sz w:val="18"/>
                <w:szCs w:val="18"/>
              </w:rPr>
              <w:t>升压站设置垃圾收集桶，生活垃圾定期送往当地垃圾中转站处置</w:t>
            </w:r>
          </w:p>
        </w:tc>
      </w:tr>
      <w:tr w14:paraId="6969F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76C9FC37">
            <w:pPr>
              <w:tabs>
                <w:tab w:val="clear" w:pos="480"/>
              </w:tabs>
              <w:adjustRightInd w:val="0"/>
              <w:snapToGrid w:val="0"/>
              <w:spacing w:line="240" w:lineRule="auto"/>
              <w:ind w:firstLine="0" w:firstLineChars="0"/>
              <w:rPr>
                <w:sz w:val="18"/>
                <w:szCs w:val="18"/>
              </w:rPr>
            </w:pPr>
          </w:p>
        </w:tc>
        <w:tc>
          <w:tcPr>
            <w:tcW w:w="816" w:type="pct"/>
            <w:vMerge w:val="continue"/>
            <w:vAlign w:val="center"/>
          </w:tcPr>
          <w:p w14:paraId="3DDDC77C">
            <w:pPr>
              <w:tabs>
                <w:tab w:val="clear" w:pos="480"/>
              </w:tabs>
              <w:adjustRightInd w:val="0"/>
              <w:snapToGrid w:val="0"/>
              <w:spacing w:line="240" w:lineRule="auto"/>
              <w:ind w:firstLine="0" w:firstLineChars="0"/>
              <w:rPr>
                <w:sz w:val="18"/>
                <w:szCs w:val="18"/>
              </w:rPr>
            </w:pPr>
          </w:p>
        </w:tc>
        <w:tc>
          <w:tcPr>
            <w:tcW w:w="3757" w:type="pct"/>
            <w:vAlign w:val="center"/>
          </w:tcPr>
          <w:p w14:paraId="003AC37B">
            <w:pPr>
              <w:tabs>
                <w:tab w:val="clear" w:pos="480"/>
              </w:tabs>
              <w:adjustRightInd w:val="0"/>
              <w:snapToGrid w:val="0"/>
              <w:spacing w:line="240" w:lineRule="auto"/>
              <w:ind w:firstLine="0" w:firstLineChars="0"/>
              <w:rPr>
                <w:sz w:val="18"/>
                <w:szCs w:val="18"/>
              </w:rPr>
            </w:pPr>
            <w:r>
              <w:rPr>
                <w:sz w:val="18"/>
                <w:szCs w:val="18"/>
              </w:rPr>
              <w:t>在升压站内设置1处占地10m</w:t>
            </w:r>
            <w:r>
              <w:rPr>
                <w:sz w:val="18"/>
                <w:szCs w:val="18"/>
                <w:vertAlign w:val="superscript"/>
              </w:rPr>
              <w:t>2</w:t>
            </w:r>
            <w:r>
              <w:rPr>
                <w:sz w:val="18"/>
                <w:szCs w:val="18"/>
              </w:rPr>
              <w:t>的危废暂存间，暂存运营过程更换的废旧电池、废油等危废</w:t>
            </w:r>
          </w:p>
        </w:tc>
      </w:tr>
      <w:tr w14:paraId="17779F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21BF091D">
            <w:pPr>
              <w:tabs>
                <w:tab w:val="clear" w:pos="480"/>
              </w:tabs>
              <w:adjustRightInd w:val="0"/>
              <w:snapToGrid w:val="0"/>
              <w:spacing w:line="240" w:lineRule="auto"/>
              <w:ind w:firstLine="0" w:firstLineChars="0"/>
              <w:rPr>
                <w:sz w:val="18"/>
                <w:szCs w:val="18"/>
              </w:rPr>
            </w:pPr>
          </w:p>
        </w:tc>
        <w:tc>
          <w:tcPr>
            <w:tcW w:w="816" w:type="pct"/>
            <w:vAlign w:val="center"/>
          </w:tcPr>
          <w:p w14:paraId="38CD5D60">
            <w:pPr>
              <w:tabs>
                <w:tab w:val="clear" w:pos="480"/>
              </w:tabs>
              <w:adjustRightInd w:val="0"/>
              <w:snapToGrid w:val="0"/>
              <w:spacing w:line="240" w:lineRule="auto"/>
              <w:ind w:firstLine="0" w:firstLineChars="0"/>
              <w:rPr>
                <w:sz w:val="18"/>
                <w:szCs w:val="18"/>
              </w:rPr>
            </w:pPr>
            <w:r>
              <w:rPr>
                <w:sz w:val="18"/>
                <w:szCs w:val="18"/>
              </w:rPr>
              <w:t>噪声治理</w:t>
            </w:r>
          </w:p>
        </w:tc>
        <w:tc>
          <w:tcPr>
            <w:tcW w:w="3757" w:type="pct"/>
            <w:vAlign w:val="center"/>
          </w:tcPr>
          <w:p w14:paraId="3983FC6C">
            <w:pPr>
              <w:tabs>
                <w:tab w:val="clear" w:pos="480"/>
              </w:tabs>
              <w:adjustRightInd w:val="0"/>
              <w:snapToGrid w:val="0"/>
              <w:spacing w:line="240" w:lineRule="auto"/>
              <w:ind w:firstLine="0" w:firstLineChars="0"/>
              <w:rPr>
                <w:sz w:val="18"/>
                <w:szCs w:val="18"/>
              </w:rPr>
            </w:pPr>
            <w:r>
              <w:rPr>
                <w:sz w:val="18"/>
                <w:szCs w:val="18"/>
              </w:rPr>
              <w:t>选用低噪声设备，定期检查风机机械系统；针对项目周边居民较近的敏感点采取跟踪监测等措施</w:t>
            </w:r>
          </w:p>
        </w:tc>
      </w:tr>
      <w:tr w14:paraId="58A13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6322DA1D">
            <w:pPr>
              <w:tabs>
                <w:tab w:val="clear" w:pos="480"/>
              </w:tabs>
              <w:adjustRightInd w:val="0"/>
              <w:snapToGrid w:val="0"/>
              <w:spacing w:line="240" w:lineRule="auto"/>
              <w:ind w:firstLine="0" w:firstLineChars="0"/>
              <w:rPr>
                <w:sz w:val="18"/>
                <w:szCs w:val="18"/>
              </w:rPr>
            </w:pPr>
          </w:p>
        </w:tc>
        <w:tc>
          <w:tcPr>
            <w:tcW w:w="816" w:type="pct"/>
            <w:vAlign w:val="center"/>
          </w:tcPr>
          <w:p w14:paraId="4B167708">
            <w:pPr>
              <w:tabs>
                <w:tab w:val="clear" w:pos="480"/>
              </w:tabs>
              <w:adjustRightInd w:val="0"/>
              <w:snapToGrid w:val="0"/>
              <w:spacing w:line="240" w:lineRule="auto"/>
              <w:ind w:firstLine="0" w:firstLineChars="0"/>
              <w:rPr>
                <w:sz w:val="18"/>
                <w:szCs w:val="18"/>
              </w:rPr>
            </w:pPr>
            <w:r>
              <w:rPr>
                <w:sz w:val="18"/>
                <w:szCs w:val="18"/>
              </w:rPr>
              <w:t>事故池</w:t>
            </w:r>
          </w:p>
        </w:tc>
        <w:tc>
          <w:tcPr>
            <w:tcW w:w="3757" w:type="pct"/>
            <w:vAlign w:val="center"/>
          </w:tcPr>
          <w:p w14:paraId="37E14858">
            <w:pPr>
              <w:tabs>
                <w:tab w:val="clear" w:pos="480"/>
              </w:tabs>
              <w:adjustRightInd w:val="0"/>
              <w:snapToGrid w:val="0"/>
              <w:spacing w:line="240" w:lineRule="auto"/>
              <w:ind w:firstLine="0" w:firstLineChars="0"/>
              <w:rPr>
                <w:sz w:val="18"/>
                <w:szCs w:val="18"/>
              </w:rPr>
            </w:pPr>
            <w:r>
              <w:rPr>
                <w:sz w:val="18"/>
                <w:szCs w:val="18"/>
              </w:rPr>
              <w:t>升压站设事故油池1座（30m</w:t>
            </w:r>
            <w:r>
              <w:rPr>
                <w:sz w:val="18"/>
                <w:szCs w:val="18"/>
                <w:vertAlign w:val="superscript"/>
              </w:rPr>
              <w:t>3</w:t>
            </w:r>
            <w:r>
              <w:rPr>
                <w:sz w:val="18"/>
                <w:szCs w:val="18"/>
              </w:rPr>
              <w:t>），收集主变压器事故油。事故油池采取铺设2mm厚且渗透系数小于等于10</w:t>
            </w:r>
            <w:r>
              <w:rPr>
                <w:sz w:val="18"/>
                <w:szCs w:val="18"/>
                <w:vertAlign w:val="superscript"/>
              </w:rPr>
              <w:t>-10</w:t>
            </w:r>
            <w:r>
              <w:rPr>
                <w:sz w:val="18"/>
                <w:szCs w:val="18"/>
              </w:rPr>
              <w:t>cm/s的高密度聚乙烯防渗膜防渗。本项目箱式变压器采用油浸式变压器。</w:t>
            </w:r>
          </w:p>
        </w:tc>
      </w:tr>
      <w:tr w14:paraId="7DFF3B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pct"/>
            <w:vMerge w:val="continue"/>
            <w:vAlign w:val="center"/>
          </w:tcPr>
          <w:p w14:paraId="3C6233F7">
            <w:pPr>
              <w:tabs>
                <w:tab w:val="clear" w:pos="480"/>
              </w:tabs>
              <w:adjustRightInd w:val="0"/>
              <w:snapToGrid w:val="0"/>
              <w:spacing w:line="240" w:lineRule="auto"/>
              <w:ind w:firstLine="0" w:firstLineChars="0"/>
              <w:rPr>
                <w:sz w:val="18"/>
                <w:szCs w:val="18"/>
              </w:rPr>
            </w:pPr>
          </w:p>
        </w:tc>
        <w:tc>
          <w:tcPr>
            <w:tcW w:w="816" w:type="pct"/>
            <w:vAlign w:val="center"/>
          </w:tcPr>
          <w:p w14:paraId="1E705BF5">
            <w:pPr>
              <w:tabs>
                <w:tab w:val="clear" w:pos="480"/>
              </w:tabs>
              <w:adjustRightInd w:val="0"/>
              <w:snapToGrid w:val="0"/>
              <w:spacing w:line="240" w:lineRule="auto"/>
              <w:ind w:firstLine="0" w:firstLineChars="0"/>
              <w:rPr>
                <w:sz w:val="18"/>
                <w:szCs w:val="18"/>
              </w:rPr>
            </w:pPr>
            <w:r>
              <w:rPr>
                <w:sz w:val="18"/>
                <w:szCs w:val="18"/>
              </w:rPr>
              <w:t>生态保护和水土流失治理</w:t>
            </w:r>
          </w:p>
        </w:tc>
        <w:tc>
          <w:tcPr>
            <w:tcW w:w="3757" w:type="pct"/>
            <w:vAlign w:val="center"/>
          </w:tcPr>
          <w:p w14:paraId="57847595">
            <w:pPr>
              <w:tabs>
                <w:tab w:val="clear" w:pos="480"/>
              </w:tabs>
              <w:adjustRightInd w:val="0"/>
              <w:snapToGrid w:val="0"/>
              <w:spacing w:line="240" w:lineRule="auto"/>
              <w:ind w:firstLine="0" w:firstLineChars="0"/>
              <w:rPr>
                <w:sz w:val="18"/>
                <w:szCs w:val="18"/>
              </w:rPr>
            </w:pPr>
            <w:r>
              <w:rPr>
                <w:sz w:val="18"/>
                <w:szCs w:val="18"/>
              </w:rPr>
              <w:t>生态保护：优化风电机组位置，减少对植物的破坏；减少施工临时占地，避免对植被的破坏；对临时占地及时采取植树种草、合理绿化，对永久性占地进行生态补偿</w:t>
            </w:r>
          </w:p>
          <w:p w14:paraId="0F9FBC15">
            <w:pPr>
              <w:tabs>
                <w:tab w:val="clear" w:pos="480"/>
              </w:tabs>
              <w:adjustRightInd w:val="0"/>
              <w:snapToGrid w:val="0"/>
              <w:spacing w:line="240" w:lineRule="auto"/>
              <w:ind w:firstLine="0" w:firstLineChars="0"/>
              <w:rPr>
                <w:sz w:val="18"/>
                <w:szCs w:val="18"/>
              </w:rPr>
            </w:pPr>
            <w:r>
              <w:rPr>
                <w:sz w:val="18"/>
                <w:szCs w:val="18"/>
              </w:rPr>
              <w:t>水土流失治理：编制水土保持方案，制定水土保持控制目标，采取工程措施、植物措施相结合的措施控制水土流失</w:t>
            </w:r>
          </w:p>
        </w:tc>
      </w:tr>
      <w:bookmarkEnd w:id="80"/>
    </w:tbl>
    <w:p w14:paraId="438C6875">
      <w:pPr>
        <w:pStyle w:val="4"/>
        <w:tabs>
          <w:tab w:val="clear" w:pos="480"/>
          <w:tab w:val="clear" w:pos="630"/>
        </w:tabs>
        <w:adjustRightInd w:val="0"/>
        <w:snapToGrid w:val="0"/>
        <w:spacing w:before="0" w:after="0"/>
        <w:rPr>
          <w:sz w:val="30"/>
          <w:szCs w:val="30"/>
          <w:lang w:val="en-US"/>
        </w:rPr>
      </w:pPr>
      <w:bookmarkStart w:id="81" w:name="_Toc116977985"/>
      <w:bookmarkStart w:id="82" w:name="_Toc143799368"/>
      <w:r>
        <w:rPr>
          <w:sz w:val="30"/>
          <w:szCs w:val="30"/>
          <w:lang w:val="en-US"/>
        </w:rPr>
        <w:t>3.5</w:t>
      </w:r>
      <w:r>
        <w:rPr>
          <w:rFonts w:hint="eastAsia"/>
          <w:sz w:val="30"/>
          <w:szCs w:val="30"/>
          <w:lang w:val="en-US"/>
        </w:rPr>
        <w:t>工程布置</w:t>
      </w:r>
      <w:bookmarkEnd w:id="81"/>
      <w:bookmarkEnd w:id="82"/>
    </w:p>
    <w:p w14:paraId="7C9039ED">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3.5.1</w:t>
      </w:r>
      <w:r>
        <w:rPr>
          <w:rFonts w:hint="eastAsia" w:ascii="Times New Roman" w:eastAsia="宋体"/>
          <w:sz w:val="28"/>
          <w:szCs w:val="28"/>
          <w:lang w:val="en-US"/>
        </w:rPr>
        <w:t>风机及箱变布置</w:t>
      </w:r>
    </w:p>
    <w:p w14:paraId="440B28BE">
      <w:pPr>
        <w:adjustRightInd w:val="0"/>
        <w:snapToGrid w:val="0"/>
        <w:ind w:firstLine="480"/>
      </w:pPr>
      <w:r>
        <w:t>（1）风力发电机选型</w:t>
      </w:r>
    </w:p>
    <w:p w14:paraId="7B26CD5F">
      <w:pPr>
        <w:adjustRightInd w:val="0"/>
        <w:snapToGrid w:val="0"/>
        <w:ind w:firstLine="480"/>
      </w:pPr>
      <w:r>
        <w:t>衡阳县杉桥风电场</w:t>
      </w:r>
      <w:r>
        <w:rPr>
          <w:rFonts w:hint="eastAsia"/>
        </w:rPr>
        <w:t>工程</w:t>
      </w:r>
      <w:r>
        <w:t>拟安装10台单机容量为5.0MW的风力发电机组，规划总装机容量50MW。项目机型特性见下表。</w:t>
      </w:r>
    </w:p>
    <w:p w14:paraId="1AA1B93D">
      <w:pPr>
        <w:tabs>
          <w:tab w:val="clear" w:pos="480"/>
        </w:tabs>
        <w:spacing w:line="240" w:lineRule="auto"/>
        <w:ind w:firstLine="0" w:firstLineChars="0"/>
        <w:jc w:val="center"/>
        <w:rPr>
          <w:b/>
          <w:bCs/>
        </w:rPr>
      </w:pPr>
      <w:r>
        <w:rPr>
          <w:rFonts w:hint="eastAsia"/>
          <w:b/>
          <w:bCs/>
        </w:rPr>
        <w:t>表</w:t>
      </w:r>
      <w:r>
        <w:rPr>
          <w:b/>
          <w:bCs/>
        </w:rPr>
        <w:t xml:space="preserve">3.5-1 </w:t>
      </w:r>
      <w:r>
        <w:rPr>
          <w:rFonts w:hint="eastAsia"/>
          <w:b/>
          <w:bCs/>
        </w:rPr>
        <w:t>本项目风机设备选型</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87"/>
        <w:gridCol w:w="2160"/>
        <w:gridCol w:w="1978"/>
        <w:gridCol w:w="2516"/>
      </w:tblGrid>
      <w:tr w14:paraId="66F674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6" w:type="pct"/>
            <w:gridSpan w:val="2"/>
            <w:vAlign w:val="center"/>
          </w:tcPr>
          <w:p w14:paraId="494C1939">
            <w:pPr>
              <w:tabs>
                <w:tab w:val="clear" w:pos="480"/>
              </w:tabs>
              <w:adjustRightInd w:val="0"/>
              <w:snapToGrid w:val="0"/>
              <w:spacing w:line="240" w:lineRule="auto"/>
              <w:ind w:firstLine="0" w:firstLineChars="0"/>
              <w:jc w:val="center"/>
              <w:rPr>
                <w:sz w:val="21"/>
                <w:szCs w:val="21"/>
              </w:rPr>
            </w:pPr>
            <w:r>
              <w:rPr>
                <w:sz w:val="21"/>
                <w:szCs w:val="21"/>
              </w:rPr>
              <w:t>机型</w:t>
            </w:r>
          </w:p>
        </w:tc>
        <w:tc>
          <w:tcPr>
            <w:tcW w:w="1186" w:type="pct"/>
            <w:vAlign w:val="center"/>
          </w:tcPr>
          <w:p w14:paraId="0770852A">
            <w:pPr>
              <w:tabs>
                <w:tab w:val="clear" w:pos="480"/>
              </w:tabs>
              <w:adjustRightInd w:val="0"/>
              <w:snapToGrid w:val="0"/>
              <w:spacing w:line="240" w:lineRule="auto"/>
              <w:ind w:firstLine="0" w:firstLineChars="0"/>
              <w:jc w:val="center"/>
              <w:rPr>
                <w:sz w:val="21"/>
                <w:szCs w:val="21"/>
              </w:rPr>
            </w:pPr>
            <w:r>
              <w:rPr>
                <w:sz w:val="21"/>
                <w:szCs w:val="21"/>
              </w:rPr>
              <w:t>单位</w:t>
            </w:r>
          </w:p>
        </w:tc>
        <w:tc>
          <w:tcPr>
            <w:tcW w:w="1508" w:type="pct"/>
            <w:vAlign w:val="center"/>
          </w:tcPr>
          <w:p w14:paraId="02B14D7D">
            <w:pPr>
              <w:tabs>
                <w:tab w:val="clear" w:pos="480"/>
              </w:tabs>
              <w:adjustRightInd w:val="0"/>
              <w:snapToGrid w:val="0"/>
              <w:spacing w:line="240" w:lineRule="auto"/>
              <w:ind w:firstLine="0" w:firstLineChars="0"/>
              <w:jc w:val="center"/>
              <w:rPr>
                <w:sz w:val="21"/>
                <w:szCs w:val="21"/>
              </w:rPr>
            </w:pPr>
            <w:r>
              <w:rPr>
                <w:sz w:val="21"/>
                <w:szCs w:val="21"/>
              </w:rPr>
              <w:t>SI-200455A</w:t>
            </w:r>
          </w:p>
        </w:tc>
      </w:tr>
      <w:tr w14:paraId="424DFB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6" w:type="pct"/>
            <w:gridSpan w:val="2"/>
            <w:vAlign w:val="center"/>
          </w:tcPr>
          <w:p w14:paraId="17ED8AC5">
            <w:pPr>
              <w:tabs>
                <w:tab w:val="clear" w:pos="480"/>
              </w:tabs>
              <w:adjustRightInd w:val="0"/>
              <w:snapToGrid w:val="0"/>
              <w:spacing w:line="240" w:lineRule="auto"/>
              <w:ind w:firstLine="0" w:firstLineChars="0"/>
              <w:jc w:val="center"/>
              <w:rPr>
                <w:sz w:val="21"/>
                <w:szCs w:val="21"/>
              </w:rPr>
            </w:pPr>
            <w:r>
              <w:rPr>
                <w:sz w:val="21"/>
                <w:szCs w:val="21"/>
              </w:rPr>
              <w:t>单机容量</w:t>
            </w:r>
          </w:p>
        </w:tc>
        <w:tc>
          <w:tcPr>
            <w:tcW w:w="1186" w:type="pct"/>
            <w:vAlign w:val="center"/>
          </w:tcPr>
          <w:p w14:paraId="0EF15B32">
            <w:pPr>
              <w:tabs>
                <w:tab w:val="clear" w:pos="480"/>
              </w:tabs>
              <w:adjustRightInd w:val="0"/>
              <w:snapToGrid w:val="0"/>
              <w:spacing w:line="240" w:lineRule="auto"/>
              <w:ind w:firstLine="0" w:firstLineChars="0"/>
              <w:jc w:val="center"/>
              <w:rPr>
                <w:sz w:val="21"/>
                <w:szCs w:val="21"/>
              </w:rPr>
            </w:pPr>
            <w:r>
              <w:rPr>
                <w:sz w:val="21"/>
                <w:szCs w:val="21"/>
              </w:rPr>
              <w:t>kW</w:t>
            </w:r>
          </w:p>
        </w:tc>
        <w:tc>
          <w:tcPr>
            <w:tcW w:w="1508" w:type="pct"/>
            <w:vAlign w:val="center"/>
          </w:tcPr>
          <w:p w14:paraId="5C444668">
            <w:pPr>
              <w:tabs>
                <w:tab w:val="clear" w:pos="480"/>
              </w:tabs>
              <w:adjustRightInd w:val="0"/>
              <w:snapToGrid w:val="0"/>
              <w:spacing w:line="240" w:lineRule="auto"/>
              <w:ind w:firstLine="0" w:firstLineChars="0"/>
              <w:jc w:val="center"/>
              <w:rPr>
                <w:sz w:val="21"/>
                <w:szCs w:val="21"/>
              </w:rPr>
            </w:pPr>
            <w:r>
              <w:rPr>
                <w:sz w:val="21"/>
                <w:szCs w:val="21"/>
              </w:rPr>
              <w:t>4550</w:t>
            </w:r>
          </w:p>
        </w:tc>
      </w:tr>
      <w:tr w14:paraId="6D7464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restart"/>
            <w:vAlign w:val="center"/>
          </w:tcPr>
          <w:p w14:paraId="44AE3B38">
            <w:pPr>
              <w:tabs>
                <w:tab w:val="clear" w:pos="480"/>
              </w:tabs>
              <w:adjustRightInd w:val="0"/>
              <w:snapToGrid w:val="0"/>
              <w:spacing w:line="240" w:lineRule="auto"/>
              <w:ind w:firstLine="0" w:firstLineChars="0"/>
              <w:jc w:val="center"/>
              <w:rPr>
                <w:sz w:val="21"/>
                <w:szCs w:val="21"/>
              </w:rPr>
            </w:pPr>
            <w:r>
              <w:rPr>
                <w:sz w:val="21"/>
                <w:szCs w:val="21"/>
              </w:rPr>
              <w:t>叶轮</w:t>
            </w:r>
          </w:p>
        </w:tc>
        <w:tc>
          <w:tcPr>
            <w:tcW w:w="1295" w:type="pct"/>
            <w:vAlign w:val="center"/>
          </w:tcPr>
          <w:p w14:paraId="6B22BE6A">
            <w:pPr>
              <w:tabs>
                <w:tab w:val="clear" w:pos="480"/>
              </w:tabs>
              <w:adjustRightInd w:val="0"/>
              <w:snapToGrid w:val="0"/>
              <w:spacing w:line="240" w:lineRule="auto"/>
              <w:ind w:firstLine="0" w:firstLineChars="0"/>
              <w:jc w:val="center"/>
              <w:rPr>
                <w:sz w:val="21"/>
                <w:szCs w:val="21"/>
              </w:rPr>
            </w:pPr>
            <w:r>
              <w:rPr>
                <w:sz w:val="21"/>
                <w:szCs w:val="21"/>
              </w:rPr>
              <w:t>叶片数</w:t>
            </w:r>
          </w:p>
        </w:tc>
        <w:tc>
          <w:tcPr>
            <w:tcW w:w="1186" w:type="pct"/>
            <w:vAlign w:val="center"/>
          </w:tcPr>
          <w:p w14:paraId="2EEFD801">
            <w:pPr>
              <w:tabs>
                <w:tab w:val="clear" w:pos="480"/>
              </w:tabs>
              <w:adjustRightInd w:val="0"/>
              <w:snapToGrid w:val="0"/>
              <w:spacing w:line="240" w:lineRule="auto"/>
              <w:ind w:firstLine="0" w:firstLineChars="0"/>
              <w:jc w:val="center"/>
              <w:rPr>
                <w:sz w:val="21"/>
                <w:szCs w:val="21"/>
              </w:rPr>
            </w:pPr>
            <w:r>
              <w:rPr>
                <w:sz w:val="21"/>
                <w:szCs w:val="21"/>
              </w:rPr>
              <w:t>个</w:t>
            </w:r>
          </w:p>
        </w:tc>
        <w:tc>
          <w:tcPr>
            <w:tcW w:w="1508" w:type="pct"/>
            <w:vAlign w:val="center"/>
          </w:tcPr>
          <w:p w14:paraId="423E5CA1">
            <w:pPr>
              <w:tabs>
                <w:tab w:val="clear" w:pos="480"/>
              </w:tabs>
              <w:adjustRightInd w:val="0"/>
              <w:snapToGrid w:val="0"/>
              <w:spacing w:line="240" w:lineRule="auto"/>
              <w:ind w:firstLine="0" w:firstLineChars="0"/>
              <w:jc w:val="center"/>
              <w:rPr>
                <w:sz w:val="21"/>
                <w:szCs w:val="21"/>
              </w:rPr>
            </w:pPr>
            <w:r>
              <w:rPr>
                <w:sz w:val="21"/>
                <w:szCs w:val="21"/>
              </w:rPr>
              <w:t>3</w:t>
            </w:r>
          </w:p>
        </w:tc>
      </w:tr>
      <w:tr w14:paraId="5E131C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253319F1">
            <w:pPr>
              <w:tabs>
                <w:tab w:val="clear" w:pos="480"/>
              </w:tabs>
              <w:adjustRightInd w:val="0"/>
              <w:snapToGrid w:val="0"/>
              <w:spacing w:line="240" w:lineRule="auto"/>
              <w:ind w:firstLine="0" w:firstLineChars="0"/>
              <w:jc w:val="center"/>
              <w:rPr>
                <w:sz w:val="21"/>
                <w:szCs w:val="21"/>
              </w:rPr>
            </w:pPr>
          </w:p>
        </w:tc>
        <w:tc>
          <w:tcPr>
            <w:tcW w:w="1295" w:type="pct"/>
            <w:vAlign w:val="center"/>
          </w:tcPr>
          <w:p w14:paraId="3476EA13">
            <w:pPr>
              <w:tabs>
                <w:tab w:val="clear" w:pos="480"/>
              </w:tabs>
              <w:adjustRightInd w:val="0"/>
              <w:snapToGrid w:val="0"/>
              <w:spacing w:line="240" w:lineRule="auto"/>
              <w:ind w:firstLine="0" w:firstLineChars="0"/>
              <w:jc w:val="center"/>
              <w:rPr>
                <w:sz w:val="21"/>
                <w:szCs w:val="21"/>
              </w:rPr>
            </w:pPr>
            <w:r>
              <w:rPr>
                <w:sz w:val="21"/>
                <w:szCs w:val="21"/>
              </w:rPr>
              <w:t>叶轮直径</w:t>
            </w:r>
          </w:p>
        </w:tc>
        <w:tc>
          <w:tcPr>
            <w:tcW w:w="1186" w:type="pct"/>
            <w:vAlign w:val="center"/>
          </w:tcPr>
          <w:p w14:paraId="50FEA53B">
            <w:pPr>
              <w:tabs>
                <w:tab w:val="clear" w:pos="480"/>
              </w:tabs>
              <w:adjustRightInd w:val="0"/>
              <w:snapToGrid w:val="0"/>
              <w:spacing w:line="240" w:lineRule="auto"/>
              <w:ind w:firstLine="0" w:firstLineChars="0"/>
              <w:jc w:val="center"/>
              <w:rPr>
                <w:sz w:val="21"/>
                <w:szCs w:val="21"/>
              </w:rPr>
            </w:pPr>
            <w:r>
              <w:rPr>
                <w:sz w:val="21"/>
                <w:szCs w:val="21"/>
              </w:rPr>
              <w:t>m</w:t>
            </w:r>
          </w:p>
        </w:tc>
        <w:tc>
          <w:tcPr>
            <w:tcW w:w="1508" w:type="pct"/>
            <w:vAlign w:val="center"/>
          </w:tcPr>
          <w:p w14:paraId="5415A977">
            <w:pPr>
              <w:tabs>
                <w:tab w:val="clear" w:pos="480"/>
              </w:tabs>
              <w:adjustRightInd w:val="0"/>
              <w:snapToGrid w:val="0"/>
              <w:spacing w:line="240" w:lineRule="auto"/>
              <w:ind w:firstLine="0" w:firstLineChars="0"/>
              <w:jc w:val="center"/>
              <w:rPr>
                <w:sz w:val="21"/>
                <w:szCs w:val="21"/>
              </w:rPr>
            </w:pPr>
            <w:r>
              <w:rPr>
                <w:sz w:val="21"/>
                <w:szCs w:val="21"/>
              </w:rPr>
              <w:t>200</w:t>
            </w:r>
          </w:p>
        </w:tc>
      </w:tr>
      <w:tr w14:paraId="33EED0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1E405957">
            <w:pPr>
              <w:tabs>
                <w:tab w:val="clear" w:pos="480"/>
              </w:tabs>
              <w:adjustRightInd w:val="0"/>
              <w:snapToGrid w:val="0"/>
              <w:spacing w:line="240" w:lineRule="auto"/>
              <w:ind w:firstLine="0" w:firstLineChars="0"/>
              <w:jc w:val="center"/>
              <w:rPr>
                <w:sz w:val="21"/>
                <w:szCs w:val="21"/>
              </w:rPr>
            </w:pPr>
          </w:p>
        </w:tc>
        <w:tc>
          <w:tcPr>
            <w:tcW w:w="1295" w:type="pct"/>
            <w:vAlign w:val="center"/>
          </w:tcPr>
          <w:p w14:paraId="25B02A6F">
            <w:pPr>
              <w:tabs>
                <w:tab w:val="clear" w:pos="480"/>
              </w:tabs>
              <w:adjustRightInd w:val="0"/>
              <w:snapToGrid w:val="0"/>
              <w:spacing w:line="240" w:lineRule="auto"/>
              <w:ind w:firstLine="0" w:firstLineChars="0"/>
              <w:jc w:val="center"/>
              <w:rPr>
                <w:sz w:val="21"/>
                <w:szCs w:val="21"/>
              </w:rPr>
            </w:pPr>
            <w:r>
              <w:rPr>
                <w:sz w:val="21"/>
                <w:szCs w:val="21"/>
              </w:rPr>
              <w:t>扫风面积</w:t>
            </w:r>
          </w:p>
        </w:tc>
        <w:tc>
          <w:tcPr>
            <w:tcW w:w="1186" w:type="pct"/>
            <w:vAlign w:val="center"/>
          </w:tcPr>
          <w:p w14:paraId="7258B744">
            <w:pPr>
              <w:tabs>
                <w:tab w:val="clear" w:pos="480"/>
              </w:tabs>
              <w:adjustRightInd w:val="0"/>
              <w:snapToGrid w:val="0"/>
              <w:spacing w:line="240" w:lineRule="auto"/>
              <w:ind w:firstLine="0" w:firstLineChars="0"/>
              <w:jc w:val="center"/>
              <w:rPr>
                <w:sz w:val="21"/>
                <w:szCs w:val="21"/>
              </w:rPr>
            </w:pPr>
            <w:r>
              <w:rPr>
                <w:sz w:val="21"/>
                <w:szCs w:val="21"/>
              </w:rPr>
              <w:t>m</w:t>
            </w:r>
            <w:r>
              <w:rPr>
                <w:sz w:val="21"/>
                <w:szCs w:val="21"/>
                <w:vertAlign w:val="superscript"/>
              </w:rPr>
              <w:t>2</w:t>
            </w:r>
          </w:p>
        </w:tc>
        <w:tc>
          <w:tcPr>
            <w:tcW w:w="1508" w:type="pct"/>
            <w:vAlign w:val="center"/>
          </w:tcPr>
          <w:p w14:paraId="507BAED4">
            <w:pPr>
              <w:tabs>
                <w:tab w:val="clear" w:pos="480"/>
              </w:tabs>
              <w:adjustRightInd w:val="0"/>
              <w:snapToGrid w:val="0"/>
              <w:spacing w:line="240" w:lineRule="auto"/>
              <w:ind w:firstLine="0" w:firstLineChars="0"/>
              <w:jc w:val="center"/>
              <w:rPr>
                <w:sz w:val="21"/>
                <w:szCs w:val="21"/>
              </w:rPr>
            </w:pPr>
            <w:r>
              <w:rPr>
                <w:sz w:val="21"/>
                <w:szCs w:val="21"/>
              </w:rPr>
              <w:t>31416</w:t>
            </w:r>
          </w:p>
        </w:tc>
      </w:tr>
      <w:tr w14:paraId="725A67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6BB0AF81">
            <w:pPr>
              <w:tabs>
                <w:tab w:val="clear" w:pos="480"/>
              </w:tabs>
              <w:adjustRightInd w:val="0"/>
              <w:snapToGrid w:val="0"/>
              <w:spacing w:line="240" w:lineRule="auto"/>
              <w:ind w:firstLine="0" w:firstLineChars="0"/>
              <w:jc w:val="center"/>
              <w:rPr>
                <w:sz w:val="21"/>
                <w:szCs w:val="21"/>
              </w:rPr>
            </w:pPr>
          </w:p>
        </w:tc>
        <w:tc>
          <w:tcPr>
            <w:tcW w:w="1295" w:type="pct"/>
            <w:vAlign w:val="center"/>
          </w:tcPr>
          <w:p w14:paraId="7449E2D1">
            <w:pPr>
              <w:tabs>
                <w:tab w:val="clear" w:pos="480"/>
              </w:tabs>
              <w:adjustRightInd w:val="0"/>
              <w:snapToGrid w:val="0"/>
              <w:spacing w:line="240" w:lineRule="auto"/>
              <w:ind w:firstLine="0" w:firstLineChars="0"/>
              <w:jc w:val="center"/>
              <w:rPr>
                <w:sz w:val="21"/>
                <w:szCs w:val="21"/>
              </w:rPr>
            </w:pPr>
            <w:r>
              <w:rPr>
                <w:sz w:val="21"/>
                <w:szCs w:val="21"/>
              </w:rPr>
              <w:t>轮毂高度</w:t>
            </w:r>
          </w:p>
        </w:tc>
        <w:tc>
          <w:tcPr>
            <w:tcW w:w="1186" w:type="pct"/>
            <w:vAlign w:val="center"/>
          </w:tcPr>
          <w:p w14:paraId="518F6EFA">
            <w:pPr>
              <w:tabs>
                <w:tab w:val="clear" w:pos="480"/>
              </w:tabs>
              <w:adjustRightInd w:val="0"/>
              <w:snapToGrid w:val="0"/>
              <w:spacing w:line="240" w:lineRule="auto"/>
              <w:ind w:firstLine="0" w:firstLineChars="0"/>
              <w:jc w:val="center"/>
              <w:rPr>
                <w:sz w:val="21"/>
                <w:szCs w:val="21"/>
              </w:rPr>
            </w:pPr>
            <w:r>
              <w:rPr>
                <w:sz w:val="21"/>
                <w:szCs w:val="21"/>
              </w:rPr>
              <w:t>m</w:t>
            </w:r>
          </w:p>
        </w:tc>
        <w:tc>
          <w:tcPr>
            <w:tcW w:w="1508" w:type="pct"/>
            <w:vAlign w:val="center"/>
          </w:tcPr>
          <w:p w14:paraId="06A13AD3">
            <w:pPr>
              <w:tabs>
                <w:tab w:val="clear" w:pos="480"/>
              </w:tabs>
              <w:adjustRightInd w:val="0"/>
              <w:snapToGrid w:val="0"/>
              <w:spacing w:line="240" w:lineRule="auto"/>
              <w:ind w:firstLine="0" w:firstLineChars="0"/>
              <w:jc w:val="center"/>
              <w:rPr>
                <w:sz w:val="21"/>
                <w:szCs w:val="21"/>
              </w:rPr>
            </w:pPr>
            <w:r>
              <w:rPr>
                <w:sz w:val="21"/>
                <w:szCs w:val="21"/>
              </w:rPr>
              <w:t>115</w:t>
            </w:r>
          </w:p>
        </w:tc>
      </w:tr>
      <w:tr w14:paraId="4946F6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114171D8">
            <w:pPr>
              <w:tabs>
                <w:tab w:val="clear" w:pos="480"/>
              </w:tabs>
              <w:adjustRightInd w:val="0"/>
              <w:snapToGrid w:val="0"/>
              <w:spacing w:line="240" w:lineRule="auto"/>
              <w:ind w:firstLine="0" w:firstLineChars="0"/>
              <w:jc w:val="center"/>
              <w:rPr>
                <w:sz w:val="21"/>
                <w:szCs w:val="21"/>
              </w:rPr>
            </w:pPr>
          </w:p>
        </w:tc>
        <w:tc>
          <w:tcPr>
            <w:tcW w:w="1295" w:type="pct"/>
            <w:vAlign w:val="center"/>
          </w:tcPr>
          <w:p w14:paraId="16B924F1">
            <w:pPr>
              <w:tabs>
                <w:tab w:val="clear" w:pos="480"/>
              </w:tabs>
              <w:adjustRightInd w:val="0"/>
              <w:snapToGrid w:val="0"/>
              <w:spacing w:line="240" w:lineRule="auto"/>
              <w:ind w:firstLine="0" w:firstLineChars="0"/>
              <w:jc w:val="center"/>
              <w:rPr>
                <w:sz w:val="21"/>
                <w:szCs w:val="21"/>
              </w:rPr>
            </w:pPr>
            <w:r>
              <w:rPr>
                <w:sz w:val="21"/>
                <w:szCs w:val="21"/>
              </w:rPr>
              <w:t>功率调节</w:t>
            </w:r>
          </w:p>
        </w:tc>
        <w:tc>
          <w:tcPr>
            <w:tcW w:w="1186" w:type="pct"/>
            <w:vAlign w:val="center"/>
          </w:tcPr>
          <w:p w14:paraId="57CAF13D">
            <w:pPr>
              <w:tabs>
                <w:tab w:val="clear" w:pos="480"/>
              </w:tabs>
              <w:adjustRightInd w:val="0"/>
              <w:snapToGrid w:val="0"/>
              <w:spacing w:line="240" w:lineRule="auto"/>
              <w:ind w:firstLine="0" w:firstLineChars="0"/>
              <w:jc w:val="center"/>
              <w:rPr>
                <w:sz w:val="21"/>
                <w:szCs w:val="21"/>
              </w:rPr>
            </w:pPr>
            <w:r>
              <w:rPr>
                <w:sz w:val="21"/>
                <w:szCs w:val="21"/>
              </w:rPr>
              <w:t>-</w:t>
            </w:r>
          </w:p>
        </w:tc>
        <w:tc>
          <w:tcPr>
            <w:tcW w:w="1508" w:type="pct"/>
            <w:vAlign w:val="center"/>
          </w:tcPr>
          <w:p w14:paraId="1F959A23">
            <w:pPr>
              <w:tabs>
                <w:tab w:val="clear" w:pos="480"/>
              </w:tabs>
              <w:adjustRightInd w:val="0"/>
              <w:snapToGrid w:val="0"/>
              <w:spacing w:line="240" w:lineRule="auto"/>
              <w:ind w:firstLine="0" w:firstLineChars="0"/>
              <w:jc w:val="center"/>
              <w:rPr>
                <w:sz w:val="21"/>
                <w:szCs w:val="21"/>
              </w:rPr>
            </w:pPr>
            <w:r>
              <w:rPr>
                <w:sz w:val="21"/>
                <w:szCs w:val="21"/>
              </w:rPr>
              <w:t>变桨变速</w:t>
            </w:r>
          </w:p>
        </w:tc>
      </w:tr>
      <w:tr w14:paraId="17C01A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426D3DCA">
            <w:pPr>
              <w:tabs>
                <w:tab w:val="clear" w:pos="480"/>
              </w:tabs>
              <w:adjustRightInd w:val="0"/>
              <w:snapToGrid w:val="0"/>
              <w:spacing w:line="240" w:lineRule="auto"/>
              <w:ind w:firstLine="0" w:firstLineChars="0"/>
              <w:jc w:val="center"/>
              <w:rPr>
                <w:sz w:val="21"/>
                <w:szCs w:val="21"/>
              </w:rPr>
            </w:pPr>
          </w:p>
        </w:tc>
        <w:tc>
          <w:tcPr>
            <w:tcW w:w="1295" w:type="pct"/>
            <w:vAlign w:val="center"/>
          </w:tcPr>
          <w:p w14:paraId="73E83B8E">
            <w:pPr>
              <w:tabs>
                <w:tab w:val="clear" w:pos="480"/>
              </w:tabs>
              <w:adjustRightInd w:val="0"/>
              <w:snapToGrid w:val="0"/>
              <w:spacing w:line="240" w:lineRule="auto"/>
              <w:ind w:firstLine="0" w:firstLineChars="0"/>
              <w:jc w:val="center"/>
              <w:rPr>
                <w:sz w:val="21"/>
                <w:szCs w:val="21"/>
              </w:rPr>
            </w:pPr>
            <w:r>
              <w:rPr>
                <w:sz w:val="21"/>
                <w:szCs w:val="21"/>
              </w:rPr>
              <w:t>切入风速</w:t>
            </w:r>
          </w:p>
        </w:tc>
        <w:tc>
          <w:tcPr>
            <w:tcW w:w="1186" w:type="pct"/>
            <w:vAlign w:val="center"/>
          </w:tcPr>
          <w:p w14:paraId="2F41BA3C">
            <w:pPr>
              <w:tabs>
                <w:tab w:val="clear" w:pos="480"/>
              </w:tabs>
              <w:adjustRightInd w:val="0"/>
              <w:snapToGrid w:val="0"/>
              <w:spacing w:line="240" w:lineRule="auto"/>
              <w:ind w:firstLine="0" w:firstLineChars="0"/>
              <w:jc w:val="center"/>
              <w:rPr>
                <w:sz w:val="21"/>
                <w:szCs w:val="21"/>
              </w:rPr>
            </w:pPr>
            <w:r>
              <w:rPr>
                <w:sz w:val="21"/>
                <w:szCs w:val="21"/>
              </w:rPr>
              <w:t>m/s</w:t>
            </w:r>
          </w:p>
        </w:tc>
        <w:tc>
          <w:tcPr>
            <w:tcW w:w="1508" w:type="pct"/>
            <w:vAlign w:val="center"/>
          </w:tcPr>
          <w:p w14:paraId="07926F2F">
            <w:pPr>
              <w:tabs>
                <w:tab w:val="clear" w:pos="480"/>
              </w:tabs>
              <w:adjustRightInd w:val="0"/>
              <w:snapToGrid w:val="0"/>
              <w:spacing w:line="240" w:lineRule="auto"/>
              <w:ind w:firstLine="0" w:firstLineChars="0"/>
              <w:jc w:val="center"/>
              <w:rPr>
                <w:sz w:val="21"/>
                <w:szCs w:val="21"/>
              </w:rPr>
            </w:pPr>
            <w:r>
              <w:rPr>
                <w:sz w:val="21"/>
                <w:szCs w:val="21"/>
              </w:rPr>
              <w:t>2.5</w:t>
            </w:r>
          </w:p>
        </w:tc>
      </w:tr>
      <w:tr w14:paraId="38A254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3FBE70C4">
            <w:pPr>
              <w:tabs>
                <w:tab w:val="clear" w:pos="480"/>
              </w:tabs>
              <w:adjustRightInd w:val="0"/>
              <w:snapToGrid w:val="0"/>
              <w:spacing w:line="240" w:lineRule="auto"/>
              <w:ind w:firstLine="0" w:firstLineChars="0"/>
              <w:jc w:val="center"/>
              <w:rPr>
                <w:sz w:val="21"/>
                <w:szCs w:val="21"/>
              </w:rPr>
            </w:pPr>
          </w:p>
        </w:tc>
        <w:tc>
          <w:tcPr>
            <w:tcW w:w="1295" w:type="pct"/>
            <w:vAlign w:val="center"/>
          </w:tcPr>
          <w:p w14:paraId="07F8D2CB">
            <w:pPr>
              <w:tabs>
                <w:tab w:val="clear" w:pos="480"/>
              </w:tabs>
              <w:adjustRightInd w:val="0"/>
              <w:snapToGrid w:val="0"/>
              <w:spacing w:line="240" w:lineRule="auto"/>
              <w:ind w:firstLine="0" w:firstLineChars="0"/>
              <w:jc w:val="center"/>
              <w:rPr>
                <w:sz w:val="21"/>
                <w:szCs w:val="21"/>
              </w:rPr>
            </w:pPr>
            <w:r>
              <w:rPr>
                <w:sz w:val="21"/>
                <w:szCs w:val="21"/>
              </w:rPr>
              <w:t>切出风速</w:t>
            </w:r>
          </w:p>
        </w:tc>
        <w:tc>
          <w:tcPr>
            <w:tcW w:w="1186" w:type="pct"/>
            <w:vAlign w:val="center"/>
          </w:tcPr>
          <w:p w14:paraId="6FBB6313">
            <w:pPr>
              <w:tabs>
                <w:tab w:val="clear" w:pos="480"/>
              </w:tabs>
              <w:adjustRightInd w:val="0"/>
              <w:snapToGrid w:val="0"/>
              <w:spacing w:line="240" w:lineRule="auto"/>
              <w:ind w:firstLine="0" w:firstLineChars="0"/>
              <w:jc w:val="center"/>
              <w:rPr>
                <w:sz w:val="21"/>
                <w:szCs w:val="21"/>
              </w:rPr>
            </w:pPr>
            <w:r>
              <w:rPr>
                <w:sz w:val="21"/>
                <w:szCs w:val="21"/>
              </w:rPr>
              <w:t>m/s</w:t>
            </w:r>
          </w:p>
        </w:tc>
        <w:tc>
          <w:tcPr>
            <w:tcW w:w="1508" w:type="pct"/>
            <w:vAlign w:val="center"/>
          </w:tcPr>
          <w:p w14:paraId="02D4CBFD">
            <w:pPr>
              <w:tabs>
                <w:tab w:val="clear" w:pos="480"/>
              </w:tabs>
              <w:adjustRightInd w:val="0"/>
              <w:snapToGrid w:val="0"/>
              <w:spacing w:line="240" w:lineRule="auto"/>
              <w:ind w:firstLine="0" w:firstLineChars="0"/>
              <w:jc w:val="center"/>
              <w:rPr>
                <w:sz w:val="21"/>
                <w:szCs w:val="21"/>
              </w:rPr>
            </w:pPr>
            <w:r>
              <w:rPr>
                <w:sz w:val="21"/>
                <w:szCs w:val="21"/>
              </w:rPr>
              <w:t>20</w:t>
            </w:r>
          </w:p>
        </w:tc>
      </w:tr>
      <w:tr w14:paraId="00C730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46942117">
            <w:pPr>
              <w:tabs>
                <w:tab w:val="clear" w:pos="480"/>
              </w:tabs>
              <w:adjustRightInd w:val="0"/>
              <w:snapToGrid w:val="0"/>
              <w:spacing w:line="240" w:lineRule="auto"/>
              <w:ind w:firstLine="0" w:firstLineChars="0"/>
              <w:jc w:val="center"/>
              <w:rPr>
                <w:sz w:val="21"/>
                <w:szCs w:val="21"/>
              </w:rPr>
            </w:pPr>
          </w:p>
        </w:tc>
        <w:tc>
          <w:tcPr>
            <w:tcW w:w="1295" w:type="pct"/>
            <w:vAlign w:val="center"/>
          </w:tcPr>
          <w:p w14:paraId="3BC63FFB">
            <w:pPr>
              <w:tabs>
                <w:tab w:val="clear" w:pos="480"/>
              </w:tabs>
              <w:adjustRightInd w:val="0"/>
              <w:snapToGrid w:val="0"/>
              <w:spacing w:line="240" w:lineRule="auto"/>
              <w:ind w:firstLine="0" w:firstLineChars="0"/>
              <w:jc w:val="center"/>
              <w:rPr>
                <w:sz w:val="21"/>
                <w:szCs w:val="21"/>
              </w:rPr>
            </w:pPr>
            <w:r>
              <w:rPr>
                <w:sz w:val="21"/>
                <w:szCs w:val="21"/>
              </w:rPr>
              <w:t>额定风速</w:t>
            </w:r>
          </w:p>
        </w:tc>
        <w:tc>
          <w:tcPr>
            <w:tcW w:w="1186" w:type="pct"/>
            <w:vAlign w:val="center"/>
          </w:tcPr>
          <w:p w14:paraId="3F9144BE">
            <w:pPr>
              <w:tabs>
                <w:tab w:val="clear" w:pos="480"/>
              </w:tabs>
              <w:adjustRightInd w:val="0"/>
              <w:snapToGrid w:val="0"/>
              <w:spacing w:line="240" w:lineRule="auto"/>
              <w:ind w:firstLine="0" w:firstLineChars="0"/>
              <w:jc w:val="center"/>
              <w:rPr>
                <w:sz w:val="21"/>
                <w:szCs w:val="21"/>
              </w:rPr>
            </w:pPr>
            <w:r>
              <w:rPr>
                <w:sz w:val="21"/>
                <w:szCs w:val="21"/>
              </w:rPr>
              <w:t>m/s</w:t>
            </w:r>
          </w:p>
        </w:tc>
        <w:tc>
          <w:tcPr>
            <w:tcW w:w="1508" w:type="pct"/>
            <w:vAlign w:val="center"/>
          </w:tcPr>
          <w:p w14:paraId="43070E95">
            <w:pPr>
              <w:tabs>
                <w:tab w:val="clear" w:pos="480"/>
              </w:tabs>
              <w:adjustRightInd w:val="0"/>
              <w:snapToGrid w:val="0"/>
              <w:spacing w:line="240" w:lineRule="auto"/>
              <w:ind w:firstLine="0" w:firstLineChars="0"/>
              <w:jc w:val="center"/>
              <w:rPr>
                <w:sz w:val="21"/>
                <w:szCs w:val="21"/>
              </w:rPr>
            </w:pPr>
            <w:r>
              <w:rPr>
                <w:sz w:val="21"/>
                <w:szCs w:val="21"/>
              </w:rPr>
              <w:t>10.5（静态）</w:t>
            </w:r>
          </w:p>
        </w:tc>
      </w:tr>
      <w:tr w14:paraId="63E590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restart"/>
            <w:vAlign w:val="center"/>
          </w:tcPr>
          <w:p w14:paraId="74A1B421">
            <w:pPr>
              <w:tabs>
                <w:tab w:val="clear" w:pos="480"/>
              </w:tabs>
              <w:adjustRightInd w:val="0"/>
              <w:snapToGrid w:val="0"/>
              <w:spacing w:line="240" w:lineRule="auto"/>
              <w:ind w:firstLine="0" w:firstLineChars="0"/>
              <w:jc w:val="center"/>
              <w:rPr>
                <w:sz w:val="21"/>
                <w:szCs w:val="21"/>
              </w:rPr>
            </w:pPr>
            <w:r>
              <w:rPr>
                <w:sz w:val="21"/>
                <w:szCs w:val="21"/>
              </w:rPr>
              <w:t>发电机</w:t>
            </w:r>
          </w:p>
        </w:tc>
        <w:tc>
          <w:tcPr>
            <w:tcW w:w="1295" w:type="pct"/>
            <w:vAlign w:val="center"/>
          </w:tcPr>
          <w:p w14:paraId="7A884ACD">
            <w:pPr>
              <w:tabs>
                <w:tab w:val="clear" w:pos="480"/>
              </w:tabs>
              <w:adjustRightInd w:val="0"/>
              <w:snapToGrid w:val="0"/>
              <w:spacing w:line="240" w:lineRule="auto"/>
              <w:ind w:firstLine="0" w:firstLineChars="0"/>
              <w:jc w:val="center"/>
              <w:rPr>
                <w:sz w:val="21"/>
                <w:szCs w:val="21"/>
              </w:rPr>
            </w:pPr>
            <w:r>
              <w:rPr>
                <w:sz w:val="21"/>
                <w:szCs w:val="21"/>
              </w:rPr>
              <w:t>型式</w:t>
            </w:r>
          </w:p>
        </w:tc>
        <w:tc>
          <w:tcPr>
            <w:tcW w:w="1186" w:type="pct"/>
            <w:vAlign w:val="center"/>
          </w:tcPr>
          <w:p w14:paraId="59AA86BE">
            <w:pPr>
              <w:tabs>
                <w:tab w:val="clear" w:pos="480"/>
              </w:tabs>
              <w:adjustRightInd w:val="0"/>
              <w:snapToGrid w:val="0"/>
              <w:spacing w:line="240" w:lineRule="auto"/>
              <w:ind w:firstLine="0" w:firstLineChars="0"/>
              <w:jc w:val="center"/>
              <w:rPr>
                <w:sz w:val="21"/>
                <w:szCs w:val="21"/>
              </w:rPr>
            </w:pPr>
            <w:r>
              <w:rPr>
                <w:sz w:val="21"/>
                <w:szCs w:val="21"/>
              </w:rPr>
              <w:t>-</w:t>
            </w:r>
          </w:p>
        </w:tc>
        <w:tc>
          <w:tcPr>
            <w:tcW w:w="1508" w:type="pct"/>
            <w:vAlign w:val="center"/>
          </w:tcPr>
          <w:p w14:paraId="7E0012FE">
            <w:pPr>
              <w:tabs>
                <w:tab w:val="clear" w:pos="480"/>
              </w:tabs>
              <w:adjustRightInd w:val="0"/>
              <w:snapToGrid w:val="0"/>
              <w:spacing w:line="240" w:lineRule="auto"/>
              <w:ind w:firstLine="0" w:firstLineChars="0"/>
              <w:jc w:val="center"/>
              <w:rPr>
                <w:sz w:val="21"/>
                <w:szCs w:val="21"/>
              </w:rPr>
            </w:pPr>
            <w:r>
              <w:rPr>
                <w:sz w:val="21"/>
                <w:szCs w:val="21"/>
              </w:rPr>
              <w:t>双馈异步</w:t>
            </w:r>
          </w:p>
        </w:tc>
      </w:tr>
      <w:tr w14:paraId="3F8506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78EB7CEE">
            <w:pPr>
              <w:tabs>
                <w:tab w:val="clear" w:pos="480"/>
              </w:tabs>
              <w:adjustRightInd w:val="0"/>
              <w:snapToGrid w:val="0"/>
              <w:spacing w:line="240" w:lineRule="auto"/>
              <w:ind w:firstLine="0" w:firstLineChars="0"/>
              <w:jc w:val="center"/>
              <w:rPr>
                <w:sz w:val="21"/>
                <w:szCs w:val="21"/>
              </w:rPr>
            </w:pPr>
          </w:p>
        </w:tc>
        <w:tc>
          <w:tcPr>
            <w:tcW w:w="1295" w:type="pct"/>
            <w:vAlign w:val="center"/>
          </w:tcPr>
          <w:p w14:paraId="7D24B8FC">
            <w:pPr>
              <w:tabs>
                <w:tab w:val="clear" w:pos="480"/>
              </w:tabs>
              <w:adjustRightInd w:val="0"/>
              <w:snapToGrid w:val="0"/>
              <w:spacing w:line="240" w:lineRule="auto"/>
              <w:ind w:firstLine="0" w:firstLineChars="0"/>
              <w:jc w:val="center"/>
              <w:rPr>
                <w:sz w:val="21"/>
                <w:szCs w:val="21"/>
              </w:rPr>
            </w:pPr>
            <w:r>
              <w:rPr>
                <w:sz w:val="21"/>
                <w:szCs w:val="21"/>
              </w:rPr>
              <w:t>额定功率</w:t>
            </w:r>
          </w:p>
        </w:tc>
        <w:tc>
          <w:tcPr>
            <w:tcW w:w="1186" w:type="pct"/>
            <w:vAlign w:val="center"/>
          </w:tcPr>
          <w:p w14:paraId="04D98593">
            <w:pPr>
              <w:tabs>
                <w:tab w:val="clear" w:pos="480"/>
              </w:tabs>
              <w:adjustRightInd w:val="0"/>
              <w:snapToGrid w:val="0"/>
              <w:spacing w:line="240" w:lineRule="auto"/>
              <w:ind w:firstLine="0" w:firstLineChars="0"/>
              <w:jc w:val="center"/>
              <w:rPr>
                <w:sz w:val="21"/>
                <w:szCs w:val="21"/>
              </w:rPr>
            </w:pPr>
            <w:r>
              <w:rPr>
                <w:sz w:val="21"/>
                <w:szCs w:val="21"/>
              </w:rPr>
              <w:t>kW</w:t>
            </w:r>
          </w:p>
        </w:tc>
        <w:tc>
          <w:tcPr>
            <w:tcW w:w="1508" w:type="pct"/>
            <w:vAlign w:val="center"/>
          </w:tcPr>
          <w:p w14:paraId="27E60CC7">
            <w:pPr>
              <w:tabs>
                <w:tab w:val="clear" w:pos="480"/>
              </w:tabs>
              <w:adjustRightInd w:val="0"/>
              <w:snapToGrid w:val="0"/>
              <w:spacing w:line="240" w:lineRule="auto"/>
              <w:ind w:firstLine="0" w:firstLineChars="0"/>
              <w:jc w:val="center"/>
              <w:rPr>
                <w:sz w:val="21"/>
                <w:szCs w:val="21"/>
              </w:rPr>
            </w:pPr>
            <w:r>
              <w:rPr>
                <w:sz w:val="21"/>
                <w:szCs w:val="21"/>
              </w:rPr>
              <w:t>5000</w:t>
            </w:r>
          </w:p>
        </w:tc>
      </w:tr>
      <w:tr w14:paraId="37CF03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6D64F438">
            <w:pPr>
              <w:tabs>
                <w:tab w:val="clear" w:pos="480"/>
              </w:tabs>
              <w:adjustRightInd w:val="0"/>
              <w:snapToGrid w:val="0"/>
              <w:spacing w:line="240" w:lineRule="auto"/>
              <w:ind w:firstLine="0" w:firstLineChars="0"/>
              <w:jc w:val="center"/>
              <w:rPr>
                <w:sz w:val="21"/>
                <w:szCs w:val="21"/>
              </w:rPr>
            </w:pPr>
          </w:p>
        </w:tc>
        <w:tc>
          <w:tcPr>
            <w:tcW w:w="1295" w:type="pct"/>
            <w:vAlign w:val="center"/>
          </w:tcPr>
          <w:p w14:paraId="54FA016D">
            <w:pPr>
              <w:tabs>
                <w:tab w:val="clear" w:pos="480"/>
              </w:tabs>
              <w:adjustRightInd w:val="0"/>
              <w:snapToGrid w:val="0"/>
              <w:spacing w:line="240" w:lineRule="auto"/>
              <w:ind w:firstLine="0" w:firstLineChars="0"/>
              <w:jc w:val="center"/>
              <w:rPr>
                <w:sz w:val="21"/>
                <w:szCs w:val="21"/>
              </w:rPr>
            </w:pPr>
            <w:r>
              <w:rPr>
                <w:sz w:val="21"/>
                <w:szCs w:val="21"/>
              </w:rPr>
              <w:t>电压</w:t>
            </w:r>
          </w:p>
        </w:tc>
        <w:tc>
          <w:tcPr>
            <w:tcW w:w="1186" w:type="pct"/>
            <w:vAlign w:val="center"/>
          </w:tcPr>
          <w:p w14:paraId="1615A0D2">
            <w:pPr>
              <w:tabs>
                <w:tab w:val="clear" w:pos="480"/>
              </w:tabs>
              <w:adjustRightInd w:val="0"/>
              <w:snapToGrid w:val="0"/>
              <w:spacing w:line="240" w:lineRule="auto"/>
              <w:ind w:firstLine="0" w:firstLineChars="0"/>
              <w:jc w:val="center"/>
              <w:rPr>
                <w:sz w:val="21"/>
                <w:szCs w:val="21"/>
              </w:rPr>
            </w:pPr>
            <w:r>
              <w:rPr>
                <w:sz w:val="21"/>
                <w:szCs w:val="21"/>
              </w:rPr>
              <w:t>V</w:t>
            </w:r>
          </w:p>
        </w:tc>
        <w:tc>
          <w:tcPr>
            <w:tcW w:w="1508" w:type="pct"/>
            <w:vAlign w:val="center"/>
          </w:tcPr>
          <w:p w14:paraId="56C7532E">
            <w:pPr>
              <w:tabs>
                <w:tab w:val="clear" w:pos="480"/>
              </w:tabs>
              <w:adjustRightInd w:val="0"/>
              <w:snapToGrid w:val="0"/>
              <w:spacing w:line="240" w:lineRule="auto"/>
              <w:ind w:firstLine="0" w:firstLineChars="0"/>
              <w:jc w:val="center"/>
              <w:rPr>
                <w:sz w:val="21"/>
                <w:szCs w:val="21"/>
              </w:rPr>
            </w:pPr>
            <w:r>
              <w:rPr>
                <w:sz w:val="21"/>
                <w:szCs w:val="21"/>
              </w:rPr>
              <w:t>1140</w:t>
            </w:r>
          </w:p>
        </w:tc>
      </w:tr>
      <w:tr w14:paraId="38B2FD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11" w:type="pct"/>
            <w:vMerge w:val="continue"/>
            <w:vAlign w:val="center"/>
          </w:tcPr>
          <w:p w14:paraId="1BB5B0F1">
            <w:pPr>
              <w:tabs>
                <w:tab w:val="clear" w:pos="480"/>
              </w:tabs>
              <w:adjustRightInd w:val="0"/>
              <w:snapToGrid w:val="0"/>
              <w:spacing w:line="240" w:lineRule="auto"/>
              <w:ind w:firstLine="0" w:firstLineChars="0"/>
              <w:jc w:val="center"/>
              <w:rPr>
                <w:sz w:val="21"/>
                <w:szCs w:val="21"/>
              </w:rPr>
            </w:pPr>
          </w:p>
        </w:tc>
        <w:tc>
          <w:tcPr>
            <w:tcW w:w="1295" w:type="pct"/>
            <w:vAlign w:val="center"/>
          </w:tcPr>
          <w:p w14:paraId="2451DA81">
            <w:pPr>
              <w:tabs>
                <w:tab w:val="clear" w:pos="480"/>
              </w:tabs>
              <w:adjustRightInd w:val="0"/>
              <w:snapToGrid w:val="0"/>
              <w:spacing w:line="240" w:lineRule="auto"/>
              <w:ind w:firstLine="0" w:firstLineChars="0"/>
              <w:jc w:val="center"/>
              <w:rPr>
                <w:sz w:val="21"/>
                <w:szCs w:val="21"/>
              </w:rPr>
            </w:pPr>
            <w:r>
              <w:rPr>
                <w:sz w:val="21"/>
                <w:szCs w:val="21"/>
              </w:rPr>
              <w:t>频率</w:t>
            </w:r>
          </w:p>
        </w:tc>
        <w:tc>
          <w:tcPr>
            <w:tcW w:w="1186" w:type="pct"/>
            <w:vAlign w:val="center"/>
          </w:tcPr>
          <w:p w14:paraId="73384F3E">
            <w:pPr>
              <w:tabs>
                <w:tab w:val="clear" w:pos="480"/>
              </w:tabs>
              <w:adjustRightInd w:val="0"/>
              <w:snapToGrid w:val="0"/>
              <w:spacing w:line="240" w:lineRule="auto"/>
              <w:ind w:firstLine="0" w:firstLineChars="0"/>
              <w:jc w:val="center"/>
              <w:rPr>
                <w:sz w:val="21"/>
                <w:szCs w:val="21"/>
              </w:rPr>
            </w:pPr>
            <w:r>
              <w:rPr>
                <w:sz w:val="21"/>
                <w:szCs w:val="21"/>
              </w:rPr>
              <w:t>Hz</w:t>
            </w:r>
          </w:p>
        </w:tc>
        <w:tc>
          <w:tcPr>
            <w:tcW w:w="1508" w:type="pct"/>
            <w:vAlign w:val="center"/>
          </w:tcPr>
          <w:p w14:paraId="5244E932">
            <w:pPr>
              <w:tabs>
                <w:tab w:val="clear" w:pos="480"/>
              </w:tabs>
              <w:adjustRightInd w:val="0"/>
              <w:snapToGrid w:val="0"/>
              <w:spacing w:line="240" w:lineRule="auto"/>
              <w:ind w:firstLine="0" w:firstLineChars="0"/>
              <w:jc w:val="center"/>
              <w:rPr>
                <w:sz w:val="21"/>
                <w:szCs w:val="21"/>
              </w:rPr>
            </w:pPr>
            <w:r>
              <w:rPr>
                <w:sz w:val="21"/>
                <w:szCs w:val="21"/>
              </w:rPr>
              <w:t>50</w:t>
            </w:r>
          </w:p>
        </w:tc>
      </w:tr>
      <w:tr w14:paraId="6928AD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6" w:type="pct"/>
            <w:gridSpan w:val="2"/>
            <w:vAlign w:val="center"/>
          </w:tcPr>
          <w:p w14:paraId="45BD9FBE">
            <w:pPr>
              <w:tabs>
                <w:tab w:val="clear" w:pos="480"/>
              </w:tabs>
              <w:adjustRightInd w:val="0"/>
              <w:snapToGrid w:val="0"/>
              <w:spacing w:line="240" w:lineRule="auto"/>
              <w:ind w:firstLine="0" w:firstLineChars="0"/>
              <w:jc w:val="center"/>
              <w:rPr>
                <w:sz w:val="21"/>
                <w:szCs w:val="21"/>
              </w:rPr>
            </w:pPr>
            <w:r>
              <w:rPr>
                <w:sz w:val="21"/>
                <w:szCs w:val="21"/>
              </w:rPr>
              <w:t>塔架型式</w:t>
            </w:r>
          </w:p>
        </w:tc>
        <w:tc>
          <w:tcPr>
            <w:tcW w:w="1186" w:type="pct"/>
            <w:vAlign w:val="center"/>
          </w:tcPr>
          <w:p w14:paraId="16A61292">
            <w:pPr>
              <w:tabs>
                <w:tab w:val="clear" w:pos="480"/>
              </w:tabs>
              <w:adjustRightInd w:val="0"/>
              <w:snapToGrid w:val="0"/>
              <w:spacing w:line="240" w:lineRule="auto"/>
              <w:ind w:firstLine="0" w:firstLineChars="0"/>
              <w:jc w:val="center"/>
              <w:rPr>
                <w:sz w:val="21"/>
                <w:szCs w:val="21"/>
              </w:rPr>
            </w:pPr>
            <w:r>
              <w:rPr>
                <w:sz w:val="21"/>
                <w:szCs w:val="21"/>
              </w:rPr>
              <w:t>-</w:t>
            </w:r>
          </w:p>
        </w:tc>
        <w:tc>
          <w:tcPr>
            <w:tcW w:w="1508" w:type="pct"/>
            <w:vAlign w:val="center"/>
          </w:tcPr>
          <w:p w14:paraId="7C2316A5">
            <w:pPr>
              <w:tabs>
                <w:tab w:val="clear" w:pos="480"/>
              </w:tabs>
              <w:adjustRightInd w:val="0"/>
              <w:snapToGrid w:val="0"/>
              <w:spacing w:line="240" w:lineRule="auto"/>
              <w:ind w:firstLine="0" w:firstLineChars="0"/>
              <w:jc w:val="center"/>
              <w:rPr>
                <w:sz w:val="21"/>
                <w:szCs w:val="21"/>
              </w:rPr>
            </w:pPr>
            <w:r>
              <w:rPr>
                <w:sz w:val="21"/>
                <w:szCs w:val="21"/>
              </w:rPr>
              <w:t>锥管式</w:t>
            </w:r>
          </w:p>
        </w:tc>
      </w:tr>
      <w:tr w14:paraId="275B04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6" w:type="pct"/>
            <w:gridSpan w:val="2"/>
            <w:vAlign w:val="center"/>
          </w:tcPr>
          <w:p w14:paraId="58898812">
            <w:pPr>
              <w:tabs>
                <w:tab w:val="clear" w:pos="480"/>
              </w:tabs>
              <w:adjustRightInd w:val="0"/>
              <w:snapToGrid w:val="0"/>
              <w:spacing w:line="240" w:lineRule="auto"/>
              <w:ind w:firstLine="0" w:firstLineChars="0"/>
              <w:jc w:val="center"/>
              <w:rPr>
                <w:sz w:val="21"/>
                <w:szCs w:val="21"/>
              </w:rPr>
            </w:pPr>
            <w:r>
              <w:rPr>
                <w:sz w:val="21"/>
                <w:szCs w:val="21"/>
              </w:rPr>
              <w:t>安全等级</w:t>
            </w:r>
          </w:p>
        </w:tc>
        <w:tc>
          <w:tcPr>
            <w:tcW w:w="1186" w:type="pct"/>
            <w:vAlign w:val="center"/>
          </w:tcPr>
          <w:p w14:paraId="2F35EEC3">
            <w:pPr>
              <w:tabs>
                <w:tab w:val="clear" w:pos="480"/>
              </w:tabs>
              <w:adjustRightInd w:val="0"/>
              <w:snapToGrid w:val="0"/>
              <w:spacing w:line="240" w:lineRule="auto"/>
              <w:ind w:firstLine="0" w:firstLineChars="0"/>
              <w:jc w:val="center"/>
              <w:rPr>
                <w:sz w:val="21"/>
                <w:szCs w:val="21"/>
              </w:rPr>
            </w:pPr>
            <w:r>
              <w:rPr>
                <w:sz w:val="21"/>
                <w:szCs w:val="21"/>
              </w:rPr>
              <w:t>-</w:t>
            </w:r>
          </w:p>
        </w:tc>
        <w:tc>
          <w:tcPr>
            <w:tcW w:w="1508" w:type="pct"/>
            <w:vAlign w:val="center"/>
          </w:tcPr>
          <w:p w14:paraId="4315689C">
            <w:pPr>
              <w:tabs>
                <w:tab w:val="clear" w:pos="480"/>
              </w:tabs>
              <w:adjustRightInd w:val="0"/>
              <w:snapToGrid w:val="0"/>
              <w:spacing w:line="240" w:lineRule="auto"/>
              <w:ind w:firstLine="0" w:firstLineChars="0"/>
              <w:jc w:val="center"/>
              <w:rPr>
                <w:sz w:val="21"/>
                <w:szCs w:val="21"/>
              </w:rPr>
            </w:pPr>
            <w:r>
              <w:rPr>
                <w:sz w:val="21"/>
                <w:szCs w:val="21"/>
              </w:rPr>
              <w:t>IEC S</w:t>
            </w:r>
          </w:p>
        </w:tc>
      </w:tr>
    </w:tbl>
    <w:p w14:paraId="69BE4A49">
      <w:pPr>
        <w:adjustRightInd w:val="0"/>
        <w:snapToGrid w:val="0"/>
        <w:ind w:firstLine="480"/>
      </w:pPr>
      <w:r>
        <w:rPr>
          <w:rFonts w:hint="eastAsia"/>
        </w:rPr>
        <w:t>（</w:t>
      </w:r>
      <w:r>
        <w:t>2</w:t>
      </w:r>
      <w:r>
        <w:rPr>
          <w:rFonts w:hint="eastAsia"/>
        </w:rPr>
        <w:t>）风机机位布置</w:t>
      </w:r>
    </w:p>
    <w:p w14:paraId="4434C037">
      <w:pPr>
        <w:adjustRightInd w:val="0"/>
        <w:snapToGrid w:val="0"/>
        <w:ind w:firstLine="480"/>
      </w:pPr>
      <w:r>
        <w:t>本项目装机容量50MW，共布置10台单机容量为5.0W风</w:t>
      </w:r>
      <w:r>
        <w:rPr>
          <w:rFonts w:hint="eastAsia"/>
        </w:rPr>
        <w:t>力发电</w:t>
      </w:r>
      <w:r>
        <w:t xml:space="preserve">机组。项目设置2台备用机位。 </w:t>
      </w:r>
    </w:p>
    <w:p w14:paraId="36BED4D3">
      <w:pPr>
        <w:adjustRightInd w:val="0"/>
        <w:snapToGrid w:val="0"/>
        <w:ind w:firstLine="480"/>
      </w:pPr>
      <w:r>
        <w:t>风电场区地貌类型属低山、丘陵区，地壳间歇性上升，同时遭受长期剥蚀和侵蚀切割作用而形成的地貌单元，主要表现为构造侵蚀低山陡坡地形及丘陵缓坡地形。山顶（脊）呈南～北向展布，山坡地形坡度一般为14.6°～20.8°。</w:t>
      </w:r>
    </w:p>
    <w:p w14:paraId="51F76A22">
      <w:pPr>
        <w:adjustRightInd w:val="0"/>
        <w:snapToGrid w:val="0"/>
        <w:ind w:firstLine="480"/>
      </w:pPr>
      <w:r>
        <w:t>项目各风机点位坐标见表3.5-2。</w:t>
      </w:r>
    </w:p>
    <w:p w14:paraId="1BAF7F22">
      <w:pPr>
        <w:tabs>
          <w:tab w:val="clear" w:pos="480"/>
        </w:tabs>
        <w:spacing w:line="240" w:lineRule="auto"/>
        <w:ind w:firstLine="0" w:firstLineChars="0"/>
        <w:jc w:val="center"/>
        <w:rPr>
          <w:b/>
          <w:bCs/>
        </w:rPr>
      </w:pPr>
      <w:r>
        <w:rPr>
          <w:rFonts w:hint="eastAsia"/>
          <w:b/>
          <w:bCs/>
        </w:rPr>
        <w:t>表</w:t>
      </w:r>
      <w:r>
        <w:rPr>
          <w:b/>
          <w:bCs/>
        </w:rPr>
        <w:t xml:space="preserve">3.5-2  </w:t>
      </w:r>
      <w:r>
        <w:rPr>
          <w:rFonts w:hint="eastAsia"/>
          <w:b/>
          <w:bCs/>
        </w:rPr>
        <w:t>风电场机位坐标</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81"/>
        <w:gridCol w:w="1510"/>
        <w:gridCol w:w="1358"/>
        <w:gridCol w:w="1360"/>
        <w:gridCol w:w="1056"/>
        <w:gridCol w:w="1576"/>
      </w:tblGrid>
      <w:tr w14:paraId="04A073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36ACFA98">
            <w:pPr>
              <w:tabs>
                <w:tab w:val="clear" w:pos="480"/>
              </w:tabs>
              <w:adjustRightInd w:val="0"/>
              <w:snapToGrid w:val="0"/>
              <w:spacing w:line="240" w:lineRule="auto"/>
              <w:ind w:firstLine="0" w:firstLineChars="0"/>
              <w:jc w:val="center"/>
              <w:rPr>
                <w:sz w:val="18"/>
                <w:szCs w:val="18"/>
              </w:rPr>
            </w:pPr>
            <w:bookmarkStart w:id="83" w:name="_Hlk142921101"/>
            <w:r>
              <w:rPr>
                <w:sz w:val="18"/>
                <w:szCs w:val="18"/>
              </w:rPr>
              <w:t>标签</w:t>
            </w:r>
          </w:p>
        </w:tc>
        <w:tc>
          <w:tcPr>
            <w:tcW w:w="905" w:type="pct"/>
            <w:vAlign w:val="center"/>
          </w:tcPr>
          <w:p w14:paraId="25165863">
            <w:pPr>
              <w:tabs>
                <w:tab w:val="clear" w:pos="480"/>
              </w:tabs>
              <w:adjustRightInd w:val="0"/>
              <w:snapToGrid w:val="0"/>
              <w:spacing w:line="240" w:lineRule="auto"/>
              <w:ind w:firstLine="0" w:firstLineChars="0"/>
              <w:jc w:val="center"/>
              <w:rPr>
                <w:sz w:val="18"/>
                <w:szCs w:val="18"/>
              </w:rPr>
            </w:pPr>
            <w:r>
              <w:rPr>
                <w:sz w:val="18"/>
                <w:szCs w:val="18"/>
              </w:rPr>
              <w:t>机型</w:t>
            </w:r>
          </w:p>
        </w:tc>
        <w:tc>
          <w:tcPr>
            <w:tcW w:w="814" w:type="pct"/>
            <w:vAlign w:val="center"/>
          </w:tcPr>
          <w:p w14:paraId="65498629">
            <w:pPr>
              <w:tabs>
                <w:tab w:val="clear" w:pos="480"/>
              </w:tabs>
              <w:adjustRightInd w:val="0"/>
              <w:snapToGrid w:val="0"/>
              <w:spacing w:line="240" w:lineRule="auto"/>
              <w:ind w:firstLine="0" w:firstLineChars="0"/>
              <w:jc w:val="center"/>
              <w:rPr>
                <w:sz w:val="18"/>
                <w:szCs w:val="18"/>
              </w:rPr>
            </w:pPr>
            <w:r>
              <w:rPr>
                <w:sz w:val="18"/>
                <w:szCs w:val="18"/>
              </w:rPr>
              <w:t>X（m）</w:t>
            </w:r>
          </w:p>
        </w:tc>
        <w:tc>
          <w:tcPr>
            <w:tcW w:w="815" w:type="pct"/>
            <w:vAlign w:val="center"/>
          </w:tcPr>
          <w:p w14:paraId="50ACB593">
            <w:pPr>
              <w:tabs>
                <w:tab w:val="clear" w:pos="480"/>
              </w:tabs>
              <w:adjustRightInd w:val="0"/>
              <w:snapToGrid w:val="0"/>
              <w:spacing w:line="240" w:lineRule="auto"/>
              <w:ind w:firstLine="0" w:firstLineChars="0"/>
              <w:jc w:val="center"/>
              <w:rPr>
                <w:sz w:val="18"/>
                <w:szCs w:val="18"/>
              </w:rPr>
            </w:pPr>
            <w:r>
              <w:rPr>
                <w:sz w:val="18"/>
                <w:szCs w:val="18"/>
              </w:rPr>
              <w:t>Y（m）</w:t>
            </w:r>
          </w:p>
        </w:tc>
        <w:tc>
          <w:tcPr>
            <w:tcW w:w="633" w:type="pct"/>
            <w:vAlign w:val="center"/>
          </w:tcPr>
          <w:p w14:paraId="0CBEAAB6">
            <w:pPr>
              <w:tabs>
                <w:tab w:val="clear" w:pos="480"/>
              </w:tabs>
              <w:adjustRightInd w:val="0"/>
              <w:snapToGrid w:val="0"/>
              <w:spacing w:line="240" w:lineRule="auto"/>
              <w:ind w:firstLine="0" w:firstLineChars="0"/>
              <w:jc w:val="center"/>
              <w:rPr>
                <w:sz w:val="18"/>
                <w:szCs w:val="18"/>
              </w:rPr>
            </w:pPr>
            <w:r>
              <w:rPr>
                <w:rFonts w:hint="eastAsia"/>
                <w:sz w:val="18"/>
                <w:szCs w:val="18"/>
              </w:rPr>
              <w:t>Z（m）</w:t>
            </w:r>
          </w:p>
        </w:tc>
        <w:tc>
          <w:tcPr>
            <w:tcW w:w="945" w:type="pct"/>
            <w:vAlign w:val="center"/>
          </w:tcPr>
          <w:p w14:paraId="09A7C796">
            <w:pPr>
              <w:tabs>
                <w:tab w:val="clear" w:pos="480"/>
              </w:tabs>
              <w:adjustRightInd w:val="0"/>
              <w:snapToGrid w:val="0"/>
              <w:spacing w:line="240" w:lineRule="auto"/>
              <w:ind w:firstLine="0" w:firstLineChars="0"/>
              <w:jc w:val="center"/>
              <w:rPr>
                <w:sz w:val="18"/>
                <w:szCs w:val="18"/>
              </w:rPr>
            </w:pPr>
            <w:r>
              <w:rPr>
                <w:sz w:val="18"/>
                <w:szCs w:val="18"/>
              </w:rPr>
              <w:t>坡度（°）</w:t>
            </w:r>
          </w:p>
        </w:tc>
      </w:tr>
      <w:tr w14:paraId="60B79E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1A703DBA">
            <w:pPr>
              <w:tabs>
                <w:tab w:val="clear" w:pos="480"/>
              </w:tabs>
              <w:adjustRightInd w:val="0"/>
              <w:snapToGrid w:val="0"/>
              <w:spacing w:line="240" w:lineRule="auto"/>
              <w:ind w:firstLine="0" w:firstLineChars="0"/>
              <w:jc w:val="center"/>
              <w:rPr>
                <w:sz w:val="18"/>
                <w:szCs w:val="18"/>
              </w:rPr>
            </w:pPr>
            <w:r>
              <w:rPr>
                <w:sz w:val="18"/>
                <w:szCs w:val="18"/>
              </w:rPr>
              <w:t>1#</w:t>
            </w:r>
          </w:p>
        </w:tc>
        <w:tc>
          <w:tcPr>
            <w:tcW w:w="905" w:type="pct"/>
            <w:vAlign w:val="center"/>
          </w:tcPr>
          <w:p w14:paraId="5EFCC603">
            <w:pPr>
              <w:tabs>
                <w:tab w:val="clear" w:pos="480"/>
              </w:tabs>
              <w:adjustRightInd w:val="0"/>
              <w:snapToGrid w:val="0"/>
              <w:spacing w:line="240" w:lineRule="auto"/>
              <w:ind w:firstLine="0" w:firstLineChars="0"/>
              <w:jc w:val="center"/>
              <w:rPr>
                <w:sz w:val="18"/>
                <w:szCs w:val="18"/>
              </w:rPr>
            </w:pPr>
            <w:r>
              <w:rPr>
                <w:sz w:val="18"/>
                <w:szCs w:val="18"/>
              </w:rPr>
              <w:t>WTG5.0-200</w:t>
            </w:r>
          </w:p>
        </w:tc>
        <w:tc>
          <w:tcPr>
            <w:tcW w:w="814" w:type="pct"/>
            <w:vAlign w:val="center"/>
          </w:tcPr>
          <w:p w14:paraId="224538D5">
            <w:pPr>
              <w:tabs>
                <w:tab w:val="clear" w:pos="480"/>
              </w:tabs>
              <w:adjustRightInd w:val="0"/>
              <w:snapToGrid w:val="0"/>
              <w:spacing w:line="240" w:lineRule="auto"/>
              <w:ind w:firstLine="0" w:firstLineChars="0"/>
              <w:jc w:val="center"/>
              <w:rPr>
                <w:sz w:val="18"/>
                <w:szCs w:val="18"/>
              </w:rPr>
            </w:pPr>
            <w:r>
              <w:rPr>
                <w:rFonts w:hint="eastAsia"/>
                <w:sz w:val="18"/>
                <w:szCs w:val="18"/>
              </w:rPr>
              <w:t>353010.422</w:t>
            </w:r>
          </w:p>
        </w:tc>
        <w:tc>
          <w:tcPr>
            <w:tcW w:w="815" w:type="pct"/>
            <w:vAlign w:val="center"/>
          </w:tcPr>
          <w:p w14:paraId="54A211C1">
            <w:pPr>
              <w:tabs>
                <w:tab w:val="clear" w:pos="480"/>
              </w:tabs>
              <w:adjustRightInd w:val="0"/>
              <w:snapToGrid w:val="0"/>
              <w:spacing w:line="240" w:lineRule="auto"/>
              <w:ind w:firstLine="0" w:firstLineChars="0"/>
              <w:jc w:val="center"/>
              <w:rPr>
                <w:sz w:val="18"/>
                <w:szCs w:val="18"/>
              </w:rPr>
            </w:pPr>
            <w:r>
              <w:rPr>
                <w:rFonts w:hint="eastAsia"/>
                <w:sz w:val="18"/>
                <w:szCs w:val="18"/>
              </w:rPr>
              <w:t>3005984.921</w:t>
            </w:r>
          </w:p>
        </w:tc>
        <w:tc>
          <w:tcPr>
            <w:tcW w:w="633" w:type="pct"/>
            <w:vAlign w:val="center"/>
          </w:tcPr>
          <w:p w14:paraId="688FF2CD">
            <w:pPr>
              <w:tabs>
                <w:tab w:val="clear" w:pos="480"/>
              </w:tabs>
              <w:adjustRightInd w:val="0"/>
              <w:snapToGrid w:val="0"/>
              <w:spacing w:line="240" w:lineRule="auto"/>
              <w:ind w:firstLine="0" w:firstLineChars="0"/>
              <w:jc w:val="center"/>
              <w:rPr>
                <w:sz w:val="18"/>
                <w:szCs w:val="18"/>
              </w:rPr>
            </w:pPr>
            <w:r>
              <w:rPr>
                <w:rFonts w:hint="eastAsia"/>
                <w:sz w:val="18"/>
                <w:szCs w:val="18"/>
              </w:rPr>
              <w:t>384</w:t>
            </w:r>
          </w:p>
        </w:tc>
        <w:tc>
          <w:tcPr>
            <w:tcW w:w="945" w:type="pct"/>
            <w:vAlign w:val="center"/>
          </w:tcPr>
          <w:p w14:paraId="75628C91">
            <w:pPr>
              <w:tabs>
                <w:tab w:val="clear" w:pos="480"/>
              </w:tabs>
              <w:adjustRightInd w:val="0"/>
              <w:snapToGrid w:val="0"/>
              <w:spacing w:line="240" w:lineRule="auto"/>
              <w:ind w:firstLine="0" w:firstLineChars="0"/>
              <w:jc w:val="center"/>
              <w:rPr>
                <w:sz w:val="18"/>
                <w:szCs w:val="18"/>
              </w:rPr>
            </w:pPr>
            <w:r>
              <w:rPr>
                <w:sz w:val="18"/>
                <w:szCs w:val="18"/>
              </w:rPr>
              <w:t>15.2</w:t>
            </w:r>
          </w:p>
        </w:tc>
      </w:tr>
      <w:tr w14:paraId="70C3AB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7F4EFA08">
            <w:pPr>
              <w:tabs>
                <w:tab w:val="clear" w:pos="480"/>
              </w:tabs>
              <w:adjustRightInd w:val="0"/>
              <w:snapToGrid w:val="0"/>
              <w:spacing w:line="240" w:lineRule="auto"/>
              <w:ind w:firstLine="0" w:firstLineChars="0"/>
              <w:jc w:val="center"/>
              <w:rPr>
                <w:sz w:val="18"/>
                <w:szCs w:val="18"/>
              </w:rPr>
            </w:pPr>
            <w:r>
              <w:rPr>
                <w:sz w:val="18"/>
                <w:szCs w:val="18"/>
              </w:rPr>
              <w:t>2#</w:t>
            </w:r>
          </w:p>
        </w:tc>
        <w:tc>
          <w:tcPr>
            <w:tcW w:w="905" w:type="pct"/>
            <w:vAlign w:val="center"/>
          </w:tcPr>
          <w:p w14:paraId="13DB0509">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545CF51F">
            <w:pPr>
              <w:tabs>
                <w:tab w:val="clear" w:pos="480"/>
              </w:tabs>
              <w:adjustRightInd w:val="0"/>
              <w:snapToGrid w:val="0"/>
              <w:spacing w:line="240" w:lineRule="auto"/>
              <w:ind w:firstLine="0" w:firstLineChars="0"/>
              <w:jc w:val="center"/>
              <w:rPr>
                <w:sz w:val="18"/>
                <w:szCs w:val="18"/>
              </w:rPr>
            </w:pPr>
            <w:r>
              <w:rPr>
                <w:rFonts w:hint="eastAsia"/>
                <w:sz w:val="18"/>
                <w:szCs w:val="18"/>
              </w:rPr>
              <w:t>352840.7617</w:t>
            </w:r>
          </w:p>
        </w:tc>
        <w:tc>
          <w:tcPr>
            <w:tcW w:w="815" w:type="pct"/>
            <w:vAlign w:val="center"/>
          </w:tcPr>
          <w:p w14:paraId="0D3491B6">
            <w:pPr>
              <w:tabs>
                <w:tab w:val="clear" w:pos="480"/>
              </w:tabs>
              <w:adjustRightInd w:val="0"/>
              <w:snapToGrid w:val="0"/>
              <w:spacing w:line="240" w:lineRule="auto"/>
              <w:ind w:firstLine="0" w:firstLineChars="0"/>
              <w:jc w:val="center"/>
              <w:rPr>
                <w:sz w:val="18"/>
                <w:szCs w:val="18"/>
              </w:rPr>
            </w:pPr>
            <w:r>
              <w:rPr>
                <w:rFonts w:hint="eastAsia"/>
                <w:sz w:val="18"/>
                <w:szCs w:val="18"/>
              </w:rPr>
              <w:t>3004312.09</w:t>
            </w:r>
          </w:p>
        </w:tc>
        <w:tc>
          <w:tcPr>
            <w:tcW w:w="633" w:type="pct"/>
            <w:vAlign w:val="center"/>
          </w:tcPr>
          <w:p w14:paraId="34C6B8BA">
            <w:pPr>
              <w:tabs>
                <w:tab w:val="clear" w:pos="480"/>
              </w:tabs>
              <w:adjustRightInd w:val="0"/>
              <w:snapToGrid w:val="0"/>
              <w:spacing w:line="240" w:lineRule="auto"/>
              <w:ind w:firstLine="0" w:firstLineChars="0"/>
              <w:jc w:val="center"/>
              <w:rPr>
                <w:sz w:val="18"/>
                <w:szCs w:val="18"/>
              </w:rPr>
            </w:pPr>
            <w:r>
              <w:rPr>
                <w:rFonts w:hint="eastAsia"/>
                <w:sz w:val="18"/>
                <w:szCs w:val="18"/>
              </w:rPr>
              <w:t>460</w:t>
            </w:r>
          </w:p>
        </w:tc>
        <w:tc>
          <w:tcPr>
            <w:tcW w:w="945" w:type="pct"/>
            <w:vAlign w:val="center"/>
          </w:tcPr>
          <w:p w14:paraId="46A98798">
            <w:pPr>
              <w:tabs>
                <w:tab w:val="clear" w:pos="480"/>
              </w:tabs>
              <w:adjustRightInd w:val="0"/>
              <w:snapToGrid w:val="0"/>
              <w:spacing w:line="240" w:lineRule="auto"/>
              <w:ind w:firstLine="0" w:firstLineChars="0"/>
              <w:jc w:val="center"/>
              <w:rPr>
                <w:sz w:val="18"/>
                <w:szCs w:val="18"/>
              </w:rPr>
            </w:pPr>
            <w:r>
              <w:rPr>
                <w:sz w:val="18"/>
                <w:szCs w:val="18"/>
              </w:rPr>
              <w:t>16.8</w:t>
            </w:r>
          </w:p>
        </w:tc>
      </w:tr>
      <w:tr w14:paraId="4F23BD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1DA10DA4">
            <w:pPr>
              <w:tabs>
                <w:tab w:val="clear" w:pos="480"/>
              </w:tabs>
              <w:adjustRightInd w:val="0"/>
              <w:snapToGrid w:val="0"/>
              <w:spacing w:line="240" w:lineRule="auto"/>
              <w:ind w:firstLine="0" w:firstLineChars="0"/>
              <w:jc w:val="center"/>
              <w:rPr>
                <w:sz w:val="18"/>
                <w:szCs w:val="18"/>
              </w:rPr>
            </w:pPr>
            <w:r>
              <w:rPr>
                <w:sz w:val="18"/>
                <w:szCs w:val="18"/>
              </w:rPr>
              <w:t>3#</w:t>
            </w:r>
          </w:p>
        </w:tc>
        <w:tc>
          <w:tcPr>
            <w:tcW w:w="905" w:type="pct"/>
            <w:vAlign w:val="center"/>
          </w:tcPr>
          <w:p w14:paraId="4695103D">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5F9CCED2">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352861.398</w:t>
            </w:r>
          </w:p>
        </w:tc>
        <w:tc>
          <w:tcPr>
            <w:tcW w:w="815" w:type="pct"/>
            <w:vAlign w:val="center"/>
          </w:tcPr>
          <w:p w14:paraId="1DB74640">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3003653.252</w:t>
            </w:r>
          </w:p>
        </w:tc>
        <w:tc>
          <w:tcPr>
            <w:tcW w:w="633" w:type="pct"/>
            <w:vAlign w:val="center"/>
          </w:tcPr>
          <w:p w14:paraId="1B0ED7AC">
            <w:pPr>
              <w:tabs>
                <w:tab w:val="clear" w:pos="480"/>
              </w:tabs>
              <w:adjustRightInd w:val="0"/>
              <w:snapToGrid w:val="0"/>
              <w:spacing w:line="240" w:lineRule="auto"/>
              <w:ind w:firstLine="0" w:firstLineChars="0"/>
              <w:jc w:val="center"/>
              <w:rPr>
                <w:sz w:val="18"/>
                <w:szCs w:val="18"/>
              </w:rPr>
            </w:pPr>
            <w:r>
              <w:rPr>
                <w:rFonts w:hint="eastAsia"/>
                <w:sz w:val="18"/>
                <w:szCs w:val="18"/>
              </w:rPr>
              <w:t>456</w:t>
            </w:r>
          </w:p>
        </w:tc>
        <w:tc>
          <w:tcPr>
            <w:tcW w:w="945" w:type="pct"/>
            <w:vAlign w:val="center"/>
          </w:tcPr>
          <w:p w14:paraId="2374B3D5">
            <w:pPr>
              <w:tabs>
                <w:tab w:val="clear" w:pos="480"/>
              </w:tabs>
              <w:adjustRightInd w:val="0"/>
              <w:snapToGrid w:val="0"/>
              <w:spacing w:line="240" w:lineRule="auto"/>
              <w:ind w:firstLine="0" w:firstLineChars="0"/>
              <w:jc w:val="center"/>
              <w:rPr>
                <w:sz w:val="18"/>
                <w:szCs w:val="18"/>
              </w:rPr>
            </w:pPr>
            <w:r>
              <w:rPr>
                <w:sz w:val="18"/>
                <w:szCs w:val="18"/>
              </w:rPr>
              <w:t>14.6</w:t>
            </w:r>
          </w:p>
        </w:tc>
      </w:tr>
      <w:tr w14:paraId="6113D7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29338AFA">
            <w:pPr>
              <w:tabs>
                <w:tab w:val="clear" w:pos="480"/>
              </w:tabs>
              <w:adjustRightInd w:val="0"/>
              <w:snapToGrid w:val="0"/>
              <w:spacing w:line="240" w:lineRule="auto"/>
              <w:ind w:firstLine="0" w:firstLineChars="0"/>
              <w:jc w:val="center"/>
              <w:rPr>
                <w:sz w:val="18"/>
                <w:szCs w:val="18"/>
              </w:rPr>
            </w:pPr>
            <w:r>
              <w:rPr>
                <w:sz w:val="18"/>
                <w:szCs w:val="18"/>
              </w:rPr>
              <w:t>4#</w:t>
            </w:r>
          </w:p>
        </w:tc>
        <w:tc>
          <w:tcPr>
            <w:tcW w:w="905" w:type="pct"/>
            <w:vAlign w:val="center"/>
          </w:tcPr>
          <w:p w14:paraId="396767F2">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4F0B818F">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353075.3951</w:t>
            </w:r>
          </w:p>
        </w:tc>
        <w:tc>
          <w:tcPr>
            <w:tcW w:w="815" w:type="pct"/>
            <w:vAlign w:val="center"/>
          </w:tcPr>
          <w:p w14:paraId="07763234">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3002762.876</w:t>
            </w:r>
          </w:p>
        </w:tc>
        <w:tc>
          <w:tcPr>
            <w:tcW w:w="633" w:type="pct"/>
            <w:vAlign w:val="center"/>
          </w:tcPr>
          <w:p w14:paraId="5C70B3E7">
            <w:pPr>
              <w:tabs>
                <w:tab w:val="clear" w:pos="480"/>
              </w:tabs>
              <w:adjustRightInd w:val="0"/>
              <w:snapToGrid w:val="0"/>
              <w:spacing w:line="240" w:lineRule="auto"/>
              <w:ind w:firstLine="0" w:firstLineChars="0"/>
              <w:jc w:val="center"/>
              <w:rPr>
                <w:sz w:val="18"/>
                <w:szCs w:val="18"/>
              </w:rPr>
            </w:pPr>
            <w:r>
              <w:rPr>
                <w:rFonts w:hint="eastAsia"/>
                <w:sz w:val="18"/>
                <w:szCs w:val="18"/>
              </w:rPr>
              <w:t>466</w:t>
            </w:r>
          </w:p>
        </w:tc>
        <w:tc>
          <w:tcPr>
            <w:tcW w:w="945" w:type="pct"/>
            <w:vAlign w:val="center"/>
          </w:tcPr>
          <w:p w14:paraId="6AB29BE7">
            <w:pPr>
              <w:tabs>
                <w:tab w:val="clear" w:pos="480"/>
              </w:tabs>
              <w:adjustRightInd w:val="0"/>
              <w:snapToGrid w:val="0"/>
              <w:spacing w:line="240" w:lineRule="auto"/>
              <w:ind w:firstLine="0" w:firstLineChars="0"/>
              <w:jc w:val="center"/>
              <w:rPr>
                <w:sz w:val="18"/>
                <w:szCs w:val="18"/>
              </w:rPr>
            </w:pPr>
            <w:r>
              <w:rPr>
                <w:sz w:val="18"/>
                <w:szCs w:val="18"/>
              </w:rPr>
              <w:t>20.8</w:t>
            </w:r>
          </w:p>
        </w:tc>
      </w:tr>
      <w:tr w14:paraId="37DB5B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514C34A9">
            <w:pPr>
              <w:tabs>
                <w:tab w:val="clear" w:pos="480"/>
              </w:tabs>
              <w:adjustRightInd w:val="0"/>
              <w:snapToGrid w:val="0"/>
              <w:spacing w:line="240" w:lineRule="auto"/>
              <w:ind w:firstLine="0" w:firstLineChars="0"/>
              <w:jc w:val="center"/>
              <w:rPr>
                <w:sz w:val="18"/>
                <w:szCs w:val="18"/>
              </w:rPr>
            </w:pPr>
            <w:r>
              <w:rPr>
                <w:sz w:val="18"/>
                <w:szCs w:val="18"/>
              </w:rPr>
              <w:t>5#</w:t>
            </w:r>
          </w:p>
        </w:tc>
        <w:tc>
          <w:tcPr>
            <w:tcW w:w="905" w:type="pct"/>
            <w:vAlign w:val="center"/>
          </w:tcPr>
          <w:p w14:paraId="738D2443">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08B51BA0">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352333.0552</w:t>
            </w:r>
          </w:p>
        </w:tc>
        <w:tc>
          <w:tcPr>
            <w:tcW w:w="815" w:type="pct"/>
            <w:vAlign w:val="center"/>
          </w:tcPr>
          <w:p w14:paraId="26F17137">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3001407.669</w:t>
            </w:r>
          </w:p>
        </w:tc>
        <w:tc>
          <w:tcPr>
            <w:tcW w:w="633" w:type="pct"/>
            <w:vAlign w:val="center"/>
          </w:tcPr>
          <w:p w14:paraId="17910547">
            <w:pPr>
              <w:tabs>
                <w:tab w:val="clear" w:pos="480"/>
              </w:tabs>
              <w:adjustRightInd w:val="0"/>
              <w:snapToGrid w:val="0"/>
              <w:spacing w:line="240" w:lineRule="auto"/>
              <w:ind w:firstLine="0" w:firstLineChars="0"/>
              <w:jc w:val="center"/>
              <w:rPr>
                <w:sz w:val="18"/>
                <w:szCs w:val="18"/>
              </w:rPr>
            </w:pPr>
            <w:r>
              <w:rPr>
                <w:rFonts w:hint="eastAsia"/>
                <w:sz w:val="18"/>
                <w:szCs w:val="18"/>
              </w:rPr>
              <w:t>444</w:t>
            </w:r>
          </w:p>
        </w:tc>
        <w:tc>
          <w:tcPr>
            <w:tcW w:w="945" w:type="pct"/>
            <w:vAlign w:val="center"/>
          </w:tcPr>
          <w:p w14:paraId="31843469">
            <w:pPr>
              <w:tabs>
                <w:tab w:val="clear" w:pos="480"/>
              </w:tabs>
              <w:adjustRightInd w:val="0"/>
              <w:snapToGrid w:val="0"/>
              <w:spacing w:line="240" w:lineRule="auto"/>
              <w:ind w:firstLine="0" w:firstLineChars="0"/>
              <w:jc w:val="center"/>
              <w:rPr>
                <w:sz w:val="18"/>
                <w:szCs w:val="18"/>
              </w:rPr>
            </w:pPr>
            <w:r>
              <w:rPr>
                <w:sz w:val="18"/>
                <w:szCs w:val="18"/>
              </w:rPr>
              <w:t>18.5</w:t>
            </w:r>
          </w:p>
        </w:tc>
      </w:tr>
      <w:tr w14:paraId="672D49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755D1E56">
            <w:pPr>
              <w:tabs>
                <w:tab w:val="clear" w:pos="480"/>
              </w:tabs>
              <w:adjustRightInd w:val="0"/>
              <w:snapToGrid w:val="0"/>
              <w:spacing w:line="240" w:lineRule="auto"/>
              <w:ind w:firstLine="0" w:firstLineChars="0"/>
              <w:jc w:val="center"/>
              <w:rPr>
                <w:sz w:val="18"/>
                <w:szCs w:val="18"/>
              </w:rPr>
            </w:pPr>
            <w:r>
              <w:rPr>
                <w:sz w:val="18"/>
                <w:szCs w:val="18"/>
              </w:rPr>
              <w:t>6#</w:t>
            </w:r>
          </w:p>
        </w:tc>
        <w:tc>
          <w:tcPr>
            <w:tcW w:w="905" w:type="pct"/>
            <w:vAlign w:val="center"/>
          </w:tcPr>
          <w:p w14:paraId="1061ADCD">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0E553BF6">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351819.272</w:t>
            </w:r>
          </w:p>
        </w:tc>
        <w:tc>
          <w:tcPr>
            <w:tcW w:w="815" w:type="pct"/>
            <w:vAlign w:val="center"/>
          </w:tcPr>
          <w:p w14:paraId="76E9FF77">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3001676.759</w:t>
            </w:r>
          </w:p>
        </w:tc>
        <w:tc>
          <w:tcPr>
            <w:tcW w:w="633" w:type="pct"/>
            <w:vAlign w:val="center"/>
          </w:tcPr>
          <w:p w14:paraId="09FA73CA">
            <w:pPr>
              <w:tabs>
                <w:tab w:val="clear" w:pos="480"/>
              </w:tabs>
              <w:adjustRightInd w:val="0"/>
              <w:snapToGrid w:val="0"/>
              <w:spacing w:line="240" w:lineRule="auto"/>
              <w:ind w:firstLine="0" w:firstLineChars="0"/>
              <w:jc w:val="center"/>
              <w:rPr>
                <w:sz w:val="18"/>
                <w:szCs w:val="18"/>
              </w:rPr>
            </w:pPr>
            <w:r>
              <w:rPr>
                <w:rFonts w:hint="eastAsia"/>
                <w:sz w:val="18"/>
                <w:szCs w:val="18"/>
              </w:rPr>
              <w:t>398</w:t>
            </w:r>
          </w:p>
        </w:tc>
        <w:tc>
          <w:tcPr>
            <w:tcW w:w="945" w:type="pct"/>
            <w:vAlign w:val="center"/>
          </w:tcPr>
          <w:p w14:paraId="6838D416">
            <w:pPr>
              <w:tabs>
                <w:tab w:val="clear" w:pos="480"/>
              </w:tabs>
              <w:adjustRightInd w:val="0"/>
              <w:snapToGrid w:val="0"/>
              <w:spacing w:line="240" w:lineRule="auto"/>
              <w:ind w:firstLine="0" w:firstLineChars="0"/>
              <w:jc w:val="center"/>
              <w:rPr>
                <w:sz w:val="18"/>
                <w:szCs w:val="18"/>
              </w:rPr>
            </w:pPr>
            <w:r>
              <w:rPr>
                <w:sz w:val="18"/>
                <w:szCs w:val="18"/>
              </w:rPr>
              <w:t>17.6</w:t>
            </w:r>
          </w:p>
        </w:tc>
      </w:tr>
      <w:tr w14:paraId="65136B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4F704B16">
            <w:pPr>
              <w:tabs>
                <w:tab w:val="clear" w:pos="480"/>
              </w:tabs>
              <w:adjustRightInd w:val="0"/>
              <w:snapToGrid w:val="0"/>
              <w:spacing w:line="240" w:lineRule="auto"/>
              <w:ind w:firstLine="0" w:firstLineChars="0"/>
              <w:jc w:val="center"/>
              <w:rPr>
                <w:sz w:val="18"/>
                <w:szCs w:val="18"/>
              </w:rPr>
            </w:pPr>
            <w:r>
              <w:rPr>
                <w:sz w:val="18"/>
                <w:szCs w:val="18"/>
              </w:rPr>
              <w:t>7#</w:t>
            </w:r>
          </w:p>
        </w:tc>
        <w:tc>
          <w:tcPr>
            <w:tcW w:w="905" w:type="pct"/>
            <w:vAlign w:val="center"/>
          </w:tcPr>
          <w:p w14:paraId="21FD71A5">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12FD9AF0">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354106.3687</w:t>
            </w:r>
          </w:p>
        </w:tc>
        <w:tc>
          <w:tcPr>
            <w:tcW w:w="815" w:type="pct"/>
            <w:vAlign w:val="center"/>
          </w:tcPr>
          <w:p w14:paraId="262DB46B">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3005065.112</w:t>
            </w:r>
          </w:p>
        </w:tc>
        <w:tc>
          <w:tcPr>
            <w:tcW w:w="633" w:type="pct"/>
            <w:vAlign w:val="center"/>
          </w:tcPr>
          <w:p w14:paraId="426F2E6F">
            <w:pPr>
              <w:tabs>
                <w:tab w:val="clear" w:pos="480"/>
              </w:tabs>
              <w:adjustRightInd w:val="0"/>
              <w:snapToGrid w:val="0"/>
              <w:spacing w:line="240" w:lineRule="auto"/>
              <w:ind w:firstLine="0" w:firstLineChars="0"/>
              <w:jc w:val="center"/>
              <w:rPr>
                <w:sz w:val="18"/>
                <w:szCs w:val="18"/>
              </w:rPr>
            </w:pPr>
            <w:r>
              <w:rPr>
                <w:rFonts w:hint="eastAsia"/>
                <w:sz w:val="18"/>
                <w:szCs w:val="18"/>
              </w:rPr>
              <w:t>392</w:t>
            </w:r>
          </w:p>
        </w:tc>
        <w:tc>
          <w:tcPr>
            <w:tcW w:w="945" w:type="pct"/>
            <w:vAlign w:val="center"/>
          </w:tcPr>
          <w:p w14:paraId="3E552FB1">
            <w:pPr>
              <w:tabs>
                <w:tab w:val="clear" w:pos="480"/>
              </w:tabs>
              <w:adjustRightInd w:val="0"/>
              <w:snapToGrid w:val="0"/>
              <w:spacing w:line="240" w:lineRule="auto"/>
              <w:ind w:firstLine="0" w:firstLineChars="0"/>
              <w:jc w:val="center"/>
              <w:rPr>
                <w:sz w:val="18"/>
                <w:szCs w:val="18"/>
              </w:rPr>
            </w:pPr>
            <w:r>
              <w:rPr>
                <w:sz w:val="18"/>
                <w:szCs w:val="18"/>
              </w:rPr>
              <w:t>19.5</w:t>
            </w:r>
          </w:p>
        </w:tc>
      </w:tr>
      <w:tr w14:paraId="4EA86A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35044B76">
            <w:pPr>
              <w:tabs>
                <w:tab w:val="clear" w:pos="480"/>
              </w:tabs>
              <w:adjustRightInd w:val="0"/>
              <w:snapToGrid w:val="0"/>
              <w:spacing w:line="240" w:lineRule="auto"/>
              <w:ind w:firstLine="0" w:firstLineChars="0"/>
              <w:jc w:val="center"/>
              <w:rPr>
                <w:sz w:val="18"/>
                <w:szCs w:val="18"/>
              </w:rPr>
            </w:pPr>
            <w:r>
              <w:rPr>
                <w:sz w:val="18"/>
                <w:szCs w:val="18"/>
              </w:rPr>
              <w:t>8#</w:t>
            </w:r>
          </w:p>
        </w:tc>
        <w:tc>
          <w:tcPr>
            <w:tcW w:w="905" w:type="pct"/>
            <w:vAlign w:val="center"/>
          </w:tcPr>
          <w:p w14:paraId="00CFAFBC">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3A9565D0">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354022.5194</w:t>
            </w:r>
          </w:p>
        </w:tc>
        <w:tc>
          <w:tcPr>
            <w:tcW w:w="815" w:type="pct"/>
            <w:vAlign w:val="center"/>
          </w:tcPr>
          <w:p w14:paraId="106F9DFB">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3000700.988</w:t>
            </w:r>
          </w:p>
        </w:tc>
        <w:tc>
          <w:tcPr>
            <w:tcW w:w="633" w:type="pct"/>
            <w:vAlign w:val="center"/>
          </w:tcPr>
          <w:p w14:paraId="250C54B7">
            <w:pPr>
              <w:tabs>
                <w:tab w:val="clear" w:pos="480"/>
              </w:tabs>
              <w:adjustRightInd w:val="0"/>
              <w:snapToGrid w:val="0"/>
              <w:spacing w:line="240" w:lineRule="auto"/>
              <w:ind w:firstLine="0" w:firstLineChars="0"/>
              <w:jc w:val="center"/>
              <w:rPr>
                <w:sz w:val="18"/>
                <w:szCs w:val="18"/>
              </w:rPr>
            </w:pPr>
            <w:r>
              <w:rPr>
                <w:rFonts w:hint="eastAsia"/>
                <w:sz w:val="18"/>
                <w:szCs w:val="18"/>
              </w:rPr>
              <w:t>396</w:t>
            </w:r>
          </w:p>
        </w:tc>
        <w:tc>
          <w:tcPr>
            <w:tcW w:w="945" w:type="pct"/>
            <w:vAlign w:val="center"/>
          </w:tcPr>
          <w:p w14:paraId="651AC29A">
            <w:pPr>
              <w:tabs>
                <w:tab w:val="clear" w:pos="480"/>
              </w:tabs>
              <w:adjustRightInd w:val="0"/>
              <w:snapToGrid w:val="0"/>
              <w:spacing w:line="240" w:lineRule="auto"/>
              <w:ind w:firstLine="0" w:firstLineChars="0"/>
              <w:jc w:val="center"/>
              <w:rPr>
                <w:sz w:val="18"/>
                <w:szCs w:val="18"/>
              </w:rPr>
            </w:pPr>
            <w:r>
              <w:rPr>
                <w:sz w:val="18"/>
                <w:szCs w:val="18"/>
              </w:rPr>
              <w:t>17.8</w:t>
            </w:r>
          </w:p>
        </w:tc>
      </w:tr>
      <w:tr w14:paraId="040126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2E155685">
            <w:pPr>
              <w:tabs>
                <w:tab w:val="clear" w:pos="480"/>
              </w:tabs>
              <w:adjustRightInd w:val="0"/>
              <w:snapToGrid w:val="0"/>
              <w:spacing w:line="240" w:lineRule="auto"/>
              <w:ind w:firstLine="0" w:firstLineChars="0"/>
              <w:jc w:val="center"/>
              <w:rPr>
                <w:sz w:val="18"/>
                <w:szCs w:val="18"/>
              </w:rPr>
            </w:pPr>
            <w:r>
              <w:rPr>
                <w:sz w:val="18"/>
                <w:szCs w:val="18"/>
              </w:rPr>
              <w:t>9#</w:t>
            </w:r>
          </w:p>
        </w:tc>
        <w:tc>
          <w:tcPr>
            <w:tcW w:w="905" w:type="pct"/>
            <w:vAlign w:val="center"/>
          </w:tcPr>
          <w:p w14:paraId="03A4FA52">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6B23D2A2">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354622.3432</w:t>
            </w:r>
          </w:p>
        </w:tc>
        <w:tc>
          <w:tcPr>
            <w:tcW w:w="815" w:type="pct"/>
            <w:vAlign w:val="center"/>
          </w:tcPr>
          <w:p w14:paraId="58548F8E">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3000598.201</w:t>
            </w:r>
          </w:p>
        </w:tc>
        <w:tc>
          <w:tcPr>
            <w:tcW w:w="633" w:type="pct"/>
            <w:vAlign w:val="center"/>
          </w:tcPr>
          <w:p w14:paraId="3F141A6B">
            <w:pPr>
              <w:tabs>
                <w:tab w:val="clear" w:pos="480"/>
              </w:tabs>
              <w:adjustRightInd w:val="0"/>
              <w:snapToGrid w:val="0"/>
              <w:spacing w:line="240" w:lineRule="auto"/>
              <w:ind w:firstLine="0" w:firstLineChars="0"/>
              <w:jc w:val="center"/>
              <w:rPr>
                <w:sz w:val="18"/>
                <w:szCs w:val="18"/>
              </w:rPr>
            </w:pPr>
            <w:r>
              <w:rPr>
                <w:rFonts w:hint="eastAsia"/>
                <w:sz w:val="18"/>
                <w:szCs w:val="18"/>
              </w:rPr>
              <w:t>400</w:t>
            </w:r>
          </w:p>
        </w:tc>
        <w:tc>
          <w:tcPr>
            <w:tcW w:w="945" w:type="pct"/>
            <w:vAlign w:val="center"/>
          </w:tcPr>
          <w:p w14:paraId="014660ED">
            <w:pPr>
              <w:tabs>
                <w:tab w:val="clear" w:pos="480"/>
              </w:tabs>
              <w:adjustRightInd w:val="0"/>
              <w:snapToGrid w:val="0"/>
              <w:spacing w:line="240" w:lineRule="auto"/>
              <w:ind w:firstLine="0" w:firstLineChars="0"/>
              <w:jc w:val="center"/>
              <w:rPr>
                <w:sz w:val="18"/>
                <w:szCs w:val="18"/>
              </w:rPr>
            </w:pPr>
            <w:r>
              <w:rPr>
                <w:sz w:val="18"/>
                <w:szCs w:val="18"/>
              </w:rPr>
              <w:t>16.5</w:t>
            </w:r>
          </w:p>
        </w:tc>
      </w:tr>
      <w:tr w14:paraId="1A08E9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3B36D9F4">
            <w:pPr>
              <w:tabs>
                <w:tab w:val="clear" w:pos="480"/>
              </w:tabs>
              <w:adjustRightInd w:val="0"/>
              <w:snapToGrid w:val="0"/>
              <w:spacing w:line="240" w:lineRule="auto"/>
              <w:ind w:firstLine="0" w:firstLineChars="0"/>
              <w:jc w:val="center"/>
              <w:rPr>
                <w:sz w:val="18"/>
                <w:szCs w:val="18"/>
              </w:rPr>
            </w:pPr>
            <w:r>
              <w:rPr>
                <w:sz w:val="18"/>
                <w:szCs w:val="18"/>
              </w:rPr>
              <w:t>10#</w:t>
            </w:r>
          </w:p>
        </w:tc>
        <w:tc>
          <w:tcPr>
            <w:tcW w:w="905" w:type="pct"/>
            <w:vAlign w:val="center"/>
          </w:tcPr>
          <w:p w14:paraId="42542FB4">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32B6E09C">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354640.6561</w:t>
            </w:r>
          </w:p>
        </w:tc>
        <w:tc>
          <w:tcPr>
            <w:tcW w:w="815" w:type="pct"/>
            <w:vAlign w:val="center"/>
          </w:tcPr>
          <w:p w14:paraId="2CD3A0CE">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3000017.049</w:t>
            </w:r>
          </w:p>
        </w:tc>
        <w:tc>
          <w:tcPr>
            <w:tcW w:w="633" w:type="pct"/>
            <w:vAlign w:val="center"/>
          </w:tcPr>
          <w:p w14:paraId="4DCCDA66">
            <w:pPr>
              <w:tabs>
                <w:tab w:val="clear" w:pos="480"/>
              </w:tabs>
              <w:adjustRightInd w:val="0"/>
              <w:snapToGrid w:val="0"/>
              <w:spacing w:line="240" w:lineRule="auto"/>
              <w:ind w:firstLine="0" w:firstLineChars="0"/>
              <w:jc w:val="center"/>
              <w:rPr>
                <w:sz w:val="18"/>
                <w:szCs w:val="18"/>
              </w:rPr>
            </w:pPr>
            <w:r>
              <w:rPr>
                <w:rFonts w:hint="eastAsia"/>
                <w:sz w:val="18"/>
                <w:szCs w:val="18"/>
              </w:rPr>
              <w:t>382</w:t>
            </w:r>
          </w:p>
        </w:tc>
        <w:tc>
          <w:tcPr>
            <w:tcW w:w="945" w:type="pct"/>
            <w:vAlign w:val="center"/>
          </w:tcPr>
          <w:p w14:paraId="46E3538B">
            <w:pPr>
              <w:tabs>
                <w:tab w:val="clear" w:pos="480"/>
              </w:tabs>
              <w:adjustRightInd w:val="0"/>
              <w:snapToGrid w:val="0"/>
              <w:spacing w:line="240" w:lineRule="auto"/>
              <w:ind w:firstLine="0" w:firstLineChars="0"/>
              <w:jc w:val="center"/>
              <w:rPr>
                <w:sz w:val="18"/>
                <w:szCs w:val="18"/>
              </w:rPr>
            </w:pPr>
            <w:r>
              <w:rPr>
                <w:sz w:val="18"/>
                <w:szCs w:val="18"/>
              </w:rPr>
              <w:t>18.4</w:t>
            </w:r>
          </w:p>
        </w:tc>
      </w:tr>
      <w:tr w14:paraId="5AB938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62E6D3A4">
            <w:pPr>
              <w:tabs>
                <w:tab w:val="clear" w:pos="480"/>
              </w:tabs>
              <w:adjustRightInd w:val="0"/>
              <w:snapToGrid w:val="0"/>
              <w:spacing w:line="240" w:lineRule="auto"/>
              <w:ind w:firstLine="0" w:firstLineChars="0"/>
              <w:jc w:val="center"/>
              <w:rPr>
                <w:sz w:val="18"/>
                <w:szCs w:val="18"/>
              </w:rPr>
            </w:pPr>
            <w:r>
              <w:rPr>
                <w:sz w:val="18"/>
                <w:szCs w:val="18"/>
              </w:rPr>
              <w:t>16#（备选）</w:t>
            </w:r>
          </w:p>
        </w:tc>
        <w:tc>
          <w:tcPr>
            <w:tcW w:w="905" w:type="pct"/>
            <w:vAlign w:val="center"/>
          </w:tcPr>
          <w:p w14:paraId="4C52286C">
            <w:pPr>
              <w:tabs>
                <w:tab w:val="clear" w:pos="480"/>
              </w:tabs>
              <w:adjustRightInd w:val="0"/>
              <w:snapToGrid w:val="0"/>
              <w:spacing w:line="240" w:lineRule="auto"/>
              <w:ind w:firstLine="0" w:firstLineChars="0"/>
              <w:jc w:val="center"/>
              <w:rPr>
                <w:sz w:val="18"/>
                <w:szCs w:val="18"/>
              </w:rPr>
            </w:pPr>
            <w:r>
              <w:rPr>
                <w:sz w:val="18"/>
                <w:szCs w:val="18"/>
              </w:rPr>
              <w:t>WTG5.0-200</w:t>
            </w:r>
          </w:p>
        </w:tc>
        <w:tc>
          <w:tcPr>
            <w:tcW w:w="814" w:type="pct"/>
            <w:vAlign w:val="center"/>
          </w:tcPr>
          <w:p w14:paraId="06E59C04">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354868.3197</w:t>
            </w:r>
          </w:p>
        </w:tc>
        <w:tc>
          <w:tcPr>
            <w:tcW w:w="815" w:type="pct"/>
            <w:vAlign w:val="center"/>
          </w:tcPr>
          <w:p w14:paraId="319F04B2">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3005757.368</w:t>
            </w:r>
          </w:p>
        </w:tc>
        <w:tc>
          <w:tcPr>
            <w:tcW w:w="633" w:type="pct"/>
            <w:vAlign w:val="center"/>
          </w:tcPr>
          <w:p w14:paraId="3C83DFD4">
            <w:pPr>
              <w:tabs>
                <w:tab w:val="clear" w:pos="480"/>
              </w:tabs>
              <w:adjustRightInd w:val="0"/>
              <w:snapToGrid w:val="0"/>
              <w:spacing w:line="240" w:lineRule="auto"/>
              <w:ind w:firstLine="0" w:firstLineChars="0"/>
              <w:jc w:val="center"/>
              <w:rPr>
                <w:sz w:val="18"/>
                <w:szCs w:val="18"/>
              </w:rPr>
            </w:pPr>
            <w:r>
              <w:rPr>
                <w:rFonts w:hint="eastAsia"/>
                <w:sz w:val="18"/>
                <w:szCs w:val="18"/>
              </w:rPr>
              <w:t>410</w:t>
            </w:r>
          </w:p>
        </w:tc>
        <w:tc>
          <w:tcPr>
            <w:tcW w:w="945" w:type="pct"/>
            <w:vAlign w:val="center"/>
          </w:tcPr>
          <w:p w14:paraId="2A2EA694">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7.8</w:t>
            </w:r>
          </w:p>
        </w:tc>
      </w:tr>
      <w:tr w14:paraId="16EEE4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88" w:type="pct"/>
            <w:vAlign w:val="center"/>
          </w:tcPr>
          <w:p w14:paraId="0EA95FF0">
            <w:pPr>
              <w:tabs>
                <w:tab w:val="clear" w:pos="480"/>
              </w:tabs>
              <w:adjustRightInd w:val="0"/>
              <w:snapToGrid w:val="0"/>
              <w:spacing w:line="240" w:lineRule="auto"/>
              <w:ind w:firstLine="0" w:firstLineChars="0"/>
              <w:jc w:val="center"/>
              <w:rPr>
                <w:sz w:val="18"/>
                <w:szCs w:val="18"/>
              </w:rPr>
            </w:pPr>
            <w:r>
              <w:rPr>
                <w:sz w:val="18"/>
                <w:szCs w:val="18"/>
              </w:rPr>
              <w:t>18#（备选）</w:t>
            </w:r>
          </w:p>
        </w:tc>
        <w:tc>
          <w:tcPr>
            <w:tcW w:w="905" w:type="pct"/>
            <w:vAlign w:val="center"/>
          </w:tcPr>
          <w:p w14:paraId="12D239A8">
            <w:pPr>
              <w:tabs>
                <w:tab w:val="clear" w:pos="480"/>
              </w:tabs>
              <w:adjustRightInd w:val="0"/>
              <w:snapToGrid w:val="0"/>
              <w:spacing w:line="240" w:lineRule="auto"/>
              <w:ind w:firstLine="0" w:firstLineChars="0"/>
              <w:jc w:val="center"/>
              <w:rPr>
                <w:sz w:val="18"/>
                <w:szCs w:val="18"/>
              </w:rPr>
            </w:pPr>
            <w:r>
              <w:rPr>
                <w:sz w:val="18"/>
                <w:szCs w:val="18"/>
              </w:rPr>
              <w:t>WTG 5.0-200</w:t>
            </w:r>
          </w:p>
        </w:tc>
        <w:tc>
          <w:tcPr>
            <w:tcW w:w="814" w:type="pct"/>
            <w:vAlign w:val="center"/>
          </w:tcPr>
          <w:p w14:paraId="25FA8FBD">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353197.9548</w:t>
            </w:r>
          </w:p>
        </w:tc>
        <w:tc>
          <w:tcPr>
            <w:tcW w:w="815" w:type="pct"/>
            <w:vAlign w:val="center"/>
          </w:tcPr>
          <w:p w14:paraId="186917DC">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3002084.646</w:t>
            </w:r>
          </w:p>
        </w:tc>
        <w:tc>
          <w:tcPr>
            <w:tcW w:w="633" w:type="pct"/>
            <w:vAlign w:val="center"/>
          </w:tcPr>
          <w:p w14:paraId="12C5105E">
            <w:pPr>
              <w:tabs>
                <w:tab w:val="clear" w:pos="480"/>
              </w:tabs>
              <w:adjustRightInd w:val="0"/>
              <w:snapToGrid w:val="0"/>
              <w:spacing w:line="240" w:lineRule="auto"/>
              <w:ind w:firstLine="0" w:firstLineChars="0"/>
              <w:jc w:val="center"/>
              <w:rPr>
                <w:sz w:val="18"/>
                <w:szCs w:val="18"/>
              </w:rPr>
            </w:pPr>
            <w:r>
              <w:rPr>
                <w:rFonts w:hint="eastAsia"/>
                <w:sz w:val="18"/>
                <w:szCs w:val="18"/>
              </w:rPr>
              <w:t>450</w:t>
            </w:r>
          </w:p>
        </w:tc>
        <w:tc>
          <w:tcPr>
            <w:tcW w:w="945" w:type="pct"/>
            <w:vAlign w:val="center"/>
          </w:tcPr>
          <w:p w14:paraId="2D119787">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8.6</w:t>
            </w:r>
          </w:p>
        </w:tc>
      </w:tr>
      <w:tr w14:paraId="35133D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93" w:type="pct"/>
            <w:gridSpan w:val="2"/>
            <w:vMerge w:val="restart"/>
            <w:vAlign w:val="center"/>
          </w:tcPr>
          <w:p w14:paraId="65BDB68F">
            <w:pPr>
              <w:tabs>
                <w:tab w:val="clear" w:pos="480"/>
              </w:tabs>
              <w:adjustRightInd w:val="0"/>
              <w:snapToGrid w:val="0"/>
              <w:spacing w:line="240" w:lineRule="auto"/>
              <w:ind w:firstLine="0" w:firstLineChars="0"/>
              <w:jc w:val="center"/>
              <w:rPr>
                <w:sz w:val="18"/>
                <w:szCs w:val="18"/>
              </w:rPr>
            </w:pPr>
            <w:r>
              <w:rPr>
                <w:sz w:val="18"/>
                <w:szCs w:val="18"/>
              </w:rPr>
              <w:t>升压站拐点坐标</w:t>
            </w:r>
          </w:p>
        </w:tc>
        <w:tc>
          <w:tcPr>
            <w:tcW w:w="814" w:type="pct"/>
            <w:vAlign w:val="center"/>
          </w:tcPr>
          <w:p w14:paraId="3A11760C">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352913.5851</w:t>
            </w:r>
          </w:p>
        </w:tc>
        <w:tc>
          <w:tcPr>
            <w:tcW w:w="815" w:type="pct"/>
            <w:vAlign w:val="center"/>
          </w:tcPr>
          <w:p w14:paraId="4AEA8BFE">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3003341.375</w:t>
            </w:r>
          </w:p>
        </w:tc>
        <w:tc>
          <w:tcPr>
            <w:tcW w:w="633" w:type="pct"/>
            <w:vAlign w:val="center"/>
          </w:tcPr>
          <w:p w14:paraId="23095CC0">
            <w:pPr>
              <w:tabs>
                <w:tab w:val="clear" w:pos="480"/>
              </w:tabs>
              <w:adjustRightInd w:val="0"/>
              <w:snapToGrid w:val="0"/>
              <w:spacing w:line="240" w:lineRule="auto"/>
              <w:ind w:firstLine="0" w:firstLineChars="0"/>
              <w:jc w:val="center"/>
              <w:rPr>
                <w:sz w:val="18"/>
                <w:szCs w:val="18"/>
              </w:rPr>
            </w:pPr>
            <w:r>
              <w:rPr>
                <w:rFonts w:hint="eastAsia"/>
                <w:sz w:val="18"/>
                <w:szCs w:val="18"/>
              </w:rPr>
              <w:t>410</w:t>
            </w:r>
          </w:p>
        </w:tc>
        <w:tc>
          <w:tcPr>
            <w:tcW w:w="945" w:type="pct"/>
            <w:vAlign w:val="center"/>
          </w:tcPr>
          <w:p w14:paraId="3938048C">
            <w:pPr>
              <w:widowControl/>
              <w:tabs>
                <w:tab w:val="clear" w:pos="480"/>
              </w:tabs>
              <w:spacing w:before="100" w:beforeAutospacing="1" w:after="100" w:afterAutospacing="1" w:line="240" w:lineRule="auto"/>
              <w:ind w:firstLine="0" w:firstLineChars="0"/>
              <w:jc w:val="center"/>
              <w:rPr>
                <w:kern w:val="0"/>
                <w:sz w:val="18"/>
                <w:szCs w:val="18"/>
              </w:rPr>
            </w:pPr>
          </w:p>
        </w:tc>
      </w:tr>
      <w:tr w14:paraId="41DB3B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93" w:type="pct"/>
            <w:gridSpan w:val="2"/>
            <w:vMerge w:val="continue"/>
            <w:vAlign w:val="center"/>
          </w:tcPr>
          <w:p w14:paraId="3E323FB6">
            <w:pPr>
              <w:tabs>
                <w:tab w:val="clear" w:pos="480"/>
              </w:tabs>
              <w:adjustRightInd w:val="0"/>
              <w:snapToGrid w:val="0"/>
              <w:spacing w:line="240" w:lineRule="auto"/>
              <w:ind w:firstLine="0" w:firstLineChars="0"/>
              <w:jc w:val="center"/>
              <w:rPr>
                <w:sz w:val="18"/>
                <w:szCs w:val="18"/>
              </w:rPr>
            </w:pPr>
          </w:p>
        </w:tc>
        <w:tc>
          <w:tcPr>
            <w:tcW w:w="814" w:type="pct"/>
            <w:vAlign w:val="center"/>
          </w:tcPr>
          <w:p w14:paraId="28C2FA7E">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352905.6304</w:t>
            </w:r>
          </w:p>
        </w:tc>
        <w:tc>
          <w:tcPr>
            <w:tcW w:w="815" w:type="pct"/>
            <w:vAlign w:val="center"/>
          </w:tcPr>
          <w:p w14:paraId="5B10714A">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3003245.956</w:t>
            </w:r>
          </w:p>
        </w:tc>
        <w:tc>
          <w:tcPr>
            <w:tcW w:w="633" w:type="pct"/>
            <w:vAlign w:val="center"/>
          </w:tcPr>
          <w:p w14:paraId="20D70298">
            <w:pPr>
              <w:tabs>
                <w:tab w:val="clear" w:pos="480"/>
              </w:tabs>
              <w:adjustRightInd w:val="0"/>
              <w:snapToGrid w:val="0"/>
              <w:spacing w:line="240" w:lineRule="auto"/>
              <w:ind w:firstLine="0" w:firstLineChars="0"/>
              <w:jc w:val="center"/>
              <w:rPr>
                <w:sz w:val="18"/>
                <w:szCs w:val="18"/>
              </w:rPr>
            </w:pPr>
            <w:r>
              <w:rPr>
                <w:rFonts w:hint="eastAsia"/>
                <w:sz w:val="18"/>
                <w:szCs w:val="18"/>
              </w:rPr>
              <w:t>410</w:t>
            </w:r>
          </w:p>
        </w:tc>
        <w:tc>
          <w:tcPr>
            <w:tcW w:w="945" w:type="pct"/>
            <w:vAlign w:val="center"/>
          </w:tcPr>
          <w:p w14:paraId="738B4B78">
            <w:pPr>
              <w:widowControl/>
              <w:tabs>
                <w:tab w:val="clear" w:pos="480"/>
              </w:tabs>
              <w:spacing w:before="100" w:beforeAutospacing="1" w:after="100" w:afterAutospacing="1" w:line="240" w:lineRule="auto"/>
              <w:ind w:firstLine="0" w:firstLineChars="0"/>
              <w:jc w:val="center"/>
              <w:rPr>
                <w:kern w:val="0"/>
                <w:sz w:val="18"/>
                <w:szCs w:val="18"/>
              </w:rPr>
            </w:pPr>
          </w:p>
        </w:tc>
      </w:tr>
      <w:tr w14:paraId="58084C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93" w:type="pct"/>
            <w:gridSpan w:val="2"/>
            <w:vMerge w:val="continue"/>
            <w:vAlign w:val="center"/>
          </w:tcPr>
          <w:p w14:paraId="1274158C">
            <w:pPr>
              <w:tabs>
                <w:tab w:val="clear" w:pos="480"/>
              </w:tabs>
              <w:adjustRightInd w:val="0"/>
              <w:snapToGrid w:val="0"/>
              <w:spacing w:line="240" w:lineRule="auto"/>
              <w:ind w:firstLine="0" w:firstLineChars="0"/>
              <w:jc w:val="center"/>
              <w:rPr>
                <w:sz w:val="18"/>
                <w:szCs w:val="18"/>
              </w:rPr>
            </w:pPr>
          </w:p>
        </w:tc>
        <w:tc>
          <w:tcPr>
            <w:tcW w:w="814" w:type="pct"/>
            <w:vAlign w:val="center"/>
          </w:tcPr>
          <w:p w14:paraId="0A6B5076">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352974.5912</w:t>
            </w:r>
          </w:p>
        </w:tc>
        <w:tc>
          <w:tcPr>
            <w:tcW w:w="815" w:type="pct"/>
            <w:vAlign w:val="center"/>
          </w:tcPr>
          <w:p w14:paraId="51FA85F9">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3003240.207</w:t>
            </w:r>
          </w:p>
        </w:tc>
        <w:tc>
          <w:tcPr>
            <w:tcW w:w="633" w:type="pct"/>
            <w:vAlign w:val="center"/>
          </w:tcPr>
          <w:p w14:paraId="12F289C3">
            <w:pPr>
              <w:tabs>
                <w:tab w:val="clear" w:pos="480"/>
              </w:tabs>
              <w:adjustRightInd w:val="0"/>
              <w:snapToGrid w:val="0"/>
              <w:spacing w:line="240" w:lineRule="auto"/>
              <w:ind w:firstLine="0" w:firstLineChars="0"/>
              <w:jc w:val="center"/>
              <w:rPr>
                <w:sz w:val="18"/>
                <w:szCs w:val="18"/>
              </w:rPr>
            </w:pPr>
            <w:r>
              <w:rPr>
                <w:rFonts w:hint="eastAsia"/>
                <w:sz w:val="18"/>
                <w:szCs w:val="18"/>
              </w:rPr>
              <w:t>410</w:t>
            </w:r>
          </w:p>
        </w:tc>
        <w:tc>
          <w:tcPr>
            <w:tcW w:w="945" w:type="pct"/>
            <w:vAlign w:val="center"/>
          </w:tcPr>
          <w:p w14:paraId="7D9BAB51">
            <w:pPr>
              <w:widowControl/>
              <w:tabs>
                <w:tab w:val="clear" w:pos="480"/>
              </w:tabs>
              <w:spacing w:before="100" w:beforeAutospacing="1" w:after="100" w:afterAutospacing="1" w:line="240" w:lineRule="auto"/>
              <w:ind w:firstLine="0" w:firstLineChars="0"/>
              <w:jc w:val="center"/>
              <w:rPr>
                <w:kern w:val="0"/>
                <w:sz w:val="18"/>
                <w:szCs w:val="18"/>
              </w:rPr>
            </w:pPr>
          </w:p>
        </w:tc>
      </w:tr>
      <w:tr w14:paraId="70D434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93" w:type="pct"/>
            <w:gridSpan w:val="2"/>
            <w:vMerge w:val="continue"/>
            <w:vAlign w:val="center"/>
          </w:tcPr>
          <w:p w14:paraId="51697B5E">
            <w:pPr>
              <w:tabs>
                <w:tab w:val="clear" w:pos="480"/>
              </w:tabs>
              <w:adjustRightInd w:val="0"/>
              <w:snapToGrid w:val="0"/>
              <w:spacing w:line="240" w:lineRule="auto"/>
              <w:ind w:firstLine="0" w:firstLineChars="0"/>
              <w:jc w:val="center"/>
              <w:rPr>
                <w:sz w:val="18"/>
                <w:szCs w:val="18"/>
              </w:rPr>
            </w:pPr>
          </w:p>
        </w:tc>
        <w:tc>
          <w:tcPr>
            <w:tcW w:w="814" w:type="pct"/>
            <w:vAlign w:val="center"/>
          </w:tcPr>
          <w:p w14:paraId="56AEA9B3">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352982.5459</w:t>
            </w:r>
          </w:p>
        </w:tc>
        <w:tc>
          <w:tcPr>
            <w:tcW w:w="815" w:type="pct"/>
            <w:vAlign w:val="center"/>
          </w:tcPr>
          <w:p w14:paraId="05B12F18">
            <w:pPr>
              <w:widowControl/>
              <w:tabs>
                <w:tab w:val="clear" w:pos="480"/>
              </w:tabs>
              <w:spacing w:before="100" w:beforeAutospacing="1" w:after="100" w:afterAutospacing="1" w:line="240" w:lineRule="auto"/>
              <w:ind w:firstLine="0" w:firstLineChars="0"/>
              <w:jc w:val="center"/>
              <w:rPr>
                <w:sz w:val="18"/>
                <w:szCs w:val="18"/>
              </w:rPr>
            </w:pPr>
            <w:r>
              <w:rPr>
                <w:rFonts w:hint="eastAsia"/>
                <w:sz w:val="18"/>
                <w:szCs w:val="18"/>
              </w:rPr>
              <w:t>3003335.626</w:t>
            </w:r>
          </w:p>
        </w:tc>
        <w:tc>
          <w:tcPr>
            <w:tcW w:w="633" w:type="pct"/>
            <w:vAlign w:val="center"/>
          </w:tcPr>
          <w:p w14:paraId="796850E1">
            <w:pPr>
              <w:tabs>
                <w:tab w:val="clear" w:pos="480"/>
              </w:tabs>
              <w:adjustRightInd w:val="0"/>
              <w:snapToGrid w:val="0"/>
              <w:spacing w:line="240" w:lineRule="auto"/>
              <w:ind w:firstLine="0" w:firstLineChars="0"/>
              <w:jc w:val="center"/>
              <w:rPr>
                <w:sz w:val="18"/>
                <w:szCs w:val="18"/>
              </w:rPr>
            </w:pPr>
            <w:r>
              <w:rPr>
                <w:rFonts w:hint="eastAsia"/>
                <w:sz w:val="18"/>
                <w:szCs w:val="18"/>
              </w:rPr>
              <w:t>410</w:t>
            </w:r>
          </w:p>
        </w:tc>
        <w:tc>
          <w:tcPr>
            <w:tcW w:w="945" w:type="pct"/>
            <w:vAlign w:val="center"/>
          </w:tcPr>
          <w:p w14:paraId="31F3CB8A">
            <w:pPr>
              <w:widowControl/>
              <w:tabs>
                <w:tab w:val="clear" w:pos="480"/>
              </w:tabs>
              <w:spacing w:before="100" w:beforeAutospacing="1" w:after="100" w:afterAutospacing="1" w:line="240" w:lineRule="auto"/>
              <w:ind w:firstLine="0" w:firstLineChars="0"/>
              <w:jc w:val="center"/>
              <w:rPr>
                <w:kern w:val="0"/>
                <w:sz w:val="18"/>
                <w:szCs w:val="18"/>
              </w:rPr>
            </w:pPr>
          </w:p>
        </w:tc>
      </w:tr>
      <w:bookmarkEnd w:id="83"/>
    </w:tbl>
    <w:p w14:paraId="17DF30B9">
      <w:pPr>
        <w:tabs>
          <w:tab w:val="clear" w:pos="480"/>
        </w:tabs>
        <w:spacing w:after="120"/>
        <w:ind w:firstLine="0" w:firstLineChars="0"/>
        <w:rPr>
          <w:sz w:val="21"/>
        </w:rPr>
      </w:pPr>
      <w:r>
        <w:drawing>
          <wp:inline distT="0" distB="0" distL="0" distR="0">
            <wp:extent cx="5057775" cy="7582535"/>
            <wp:effectExtent l="0" t="0" r="9525" b="0"/>
            <wp:docPr id="12761724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72475"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057775" cy="7582535"/>
                    </a:xfrm>
                    <a:prstGeom prst="rect">
                      <a:avLst/>
                    </a:prstGeom>
                    <a:noFill/>
                    <a:ln>
                      <a:noFill/>
                    </a:ln>
                  </pic:spPr>
                </pic:pic>
              </a:graphicData>
            </a:graphic>
          </wp:inline>
        </w:drawing>
      </w:r>
    </w:p>
    <w:p w14:paraId="685CDF14">
      <w:pPr>
        <w:adjustRightInd w:val="0"/>
        <w:snapToGrid w:val="0"/>
        <w:ind w:firstLine="0" w:firstLineChars="0"/>
        <w:jc w:val="center"/>
        <w:rPr>
          <w:b/>
          <w:bCs/>
          <w:spacing w:val="-20"/>
        </w:rPr>
      </w:pPr>
      <w:r>
        <w:rPr>
          <w:rFonts w:hint="eastAsia"/>
          <w:b/>
          <w:bCs/>
          <w:spacing w:val="-20"/>
        </w:rPr>
        <w:t>图</w:t>
      </w:r>
      <w:r>
        <w:rPr>
          <w:b/>
          <w:bCs/>
          <w:spacing w:val="-20"/>
        </w:rPr>
        <w:t>3.5-1</w:t>
      </w:r>
      <w:r>
        <w:rPr>
          <w:rFonts w:hint="eastAsia"/>
          <w:b/>
          <w:bCs/>
          <w:spacing w:val="-20"/>
        </w:rPr>
        <w:t>机风机机位布置图</w:t>
      </w:r>
    </w:p>
    <w:p w14:paraId="4DE6F31B">
      <w:pPr>
        <w:adjustRightInd w:val="0"/>
        <w:snapToGrid w:val="0"/>
        <w:ind w:firstLine="480"/>
      </w:pPr>
      <w:r>
        <w:rPr>
          <w:rFonts w:hint="eastAsia"/>
        </w:rPr>
        <w:t>（</w:t>
      </w:r>
      <w:r>
        <w:t>3</w:t>
      </w:r>
      <w:r>
        <w:rPr>
          <w:rFonts w:hint="eastAsia"/>
        </w:rPr>
        <w:t>）风机基础</w:t>
      </w:r>
    </w:p>
    <w:p w14:paraId="300941C7">
      <w:pPr>
        <w:adjustRightInd w:val="0"/>
        <w:snapToGrid w:val="0"/>
        <w:ind w:firstLine="480"/>
      </w:pPr>
      <w:r>
        <w:t>本项目WTG5.0-200风电机组基础为圆形扩展式承台，基础分上、下两部分，上部为圆形柱体，高1.30m，直径为7.40m；下部为圆形台柱体，底面直径为21.40m，最大高度为3.00m，最小高度为1.0m，风机基础承台埋深为4.0m。</w:t>
      </w:r>
    </w:p>
    <w:p w14:paraId="6E2D4981">
      <w:pPr>
        <w:adjustRightInd w:val="0"/>
        <w:snapToGrid w:val="0"/>
        <w:ind w:firstLine="480"/>
      </w:pPr>
      <w:r>
        <w:rPr>
          <w:rFonts w:hint="eastAsia"/>
        </w:rPr>
        <w:t>单个基础混凝土方量为</w:t>
      </w:r>
      <w:r>
        <w:t>651.3m</w:t>
      </w:r>
      <w:r>
        <w:rPr>
          <w:vertAlign w:val="superscript"/>
        </w:rPr>
        <w:t>3</w:t>
      </w:r>
      <w:r>
        <w:rPr>
          <w:rFonts w:hint="eastAsia"/>
        </w:rPr>
        <w:t>。</w:t>
      </w:r>
    </w:p>
    <w:p w14:paraId="5A69CE60">
      <w:pPr>
        <w:pStyle w:val="2"/>
        <w:ind w:firstLine="199" w:firstLineChars="95"/>
      </w:pPr>
      <w:r>
        <w:drawing>
          <wp:inline distT="0" distB="0" distL="0" distR="0">
            <wp:extent cx="5277485" cy="2559050"/>
            <wp:effectExtent l="0" t="0" r="0" b="0"/>
            <wp:docPr id="142393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3050" name="图片 1"/>
                    <pic:cNvPicPr>
                      <a:picLocks noChangeAspect="1"/>
                    </pic:cNvPicPr>
                  </pic:nvPicPr>
                  <pic:blipFill>
                    <a:blip r:embed="rId18"/>
                    <a:stretch>
                      <a:fillRect/>
                    </a:stretch>
                  </pic:blipFill>
                  <pic:spPr>
                    <a:xfrm>
                      <a:off x="0" y="0"/>
                      <a:ext cx="5277485" cy="2559050"/>
                    </a:xfrm>
                    <a:prstGeom prst="rect">
                      <a:avLst/>
                    </a:prstGeom>
                  </pic:spPr>
                </pic:pic>
              </a:graphicData>
            </a:graphic>
          </wp:inline>
        </w:drawing>
      </w:r>
    </w:p>
    <w:p w14:paraId="281F2419">
      <w:pPr>
        <w:adjustRightInd w:val="0"/>
        <w:snapToGrid w:val="0"/>
        <w:ind w:firstLineChars="83"/>
        <w:jc w:val="center"/>
        <w:rPr>
          <w:b/>
          <w:bCs/>
        </w:rPr>
      </w:pPr>
      <w:r>
        <w:rPr>
          <w:rFonts w:hint="eastAsia"/>
          <w:b/>
          <w:bCs/>
        </w:rPr>
        <w:t>图3</w:t>
      </w:r>
      <w:r>
        <w:rPr>
          <w:b/>
          <w:bCs/>
        </w:rPr>
        <w:t xml:space="preserve">.5-2  </w:t>
      </w:r>
      <w:r>
        <w:rPr>
          <w:rFonts w:hint="eastAsia"/>
          <w:b/>
          <w:bCs/>
        </w:rPr>
        <w:t>风机基础尺寸图</w:t>
      </w:r>
    </w:p>
    <w:p w14:paraId="4DB8AA26">
      <w:pPr>
        <w:adjustRightInd w:val="0"/>
        <w:snapToGrid w:val="0"/>
        <w:ind w:firstLine="480"/>
      </w:pPr>
      <w:r>
        <w:rPr>
          <w:rFonts w:hint="eastAsia"/>
        </w:rPr>
        <w:t>（</w:t>
      </w:r>
      <w:r>
        <w:t>4</w:t>
      </w:r>
      <w:r>
        <w:rPr>
          <w:rFonts w:hint="eastAsia"/>
        </w:rPr>
        <w:t>）箱式变压器</w:t>
      </w:r>
    </w:p>
    <w:p w14:paraId="40645031">
      <w:pPr>
        <w:adjustRightInd w:val="0"/>
        <w:snapToGrid w:val="0"/>
        <w:ind w:firstLine="480"/>
      </w:pPr>
      <w:r>
        <w:rPr>
          <w:rFonts w:hint="eastAsia"/>
        </w:rPr>
        <w:t>本工程装机容量</w:t>
      </w:r>
      <w:r>
        <w:t>50MW</w:t>
      </w:r>
      <w:r>
        <w:rPr>
          <w:rFonts w:hint="eastAsia"/>
        </w:rPr>
        <w:t>，拟采用</w:t>
      </w:r>
      <w:r>
        <w:t xml:space="preserve">10 </w:t>
      </w:r>
      <w:r>
        <w:rPr>
          <w:rFonts w:hint="eastAsia"/>
        </w:rPr>
        <w:t>台</w:t>
      </w:r>
      <w:r>
        <w:t>5.0MW</w:t>
      </w:r>
      <w:r>
        <w:rPr>
          <w:rFonts w:hint="eastAsia"/>
        </w:rPr>
        <w:t>的风力发电机组。每台</w:t>
      </w:r>
      <w:r>
        <w:t xml:space="preserve">5.0MW </w:t>
      </w:r>
      <w:r>
        <w:rPr>
          <w:rFonts w:hint="eastAsia"/>
        </w:rPr>
        <w:t>风力发电机组机舱配置一台</w:t>
      </w:r>
      <w:r>
        <w:t xml:space="preserve">5300kVA </w:t>
      </w:r>
      <w:r>
        <w:rPr>
          <w:rFonts w:hint="eastAsia"/>
        </w:rPr>
        <w:t>油浸式箱式变压器。</w:t>
      </w:r>
    </w:p>
    <w:p w14:paraId="63654037">
      <w:pPr>
        <w:adjustRightInd w:val="0"/>
        <w:snapToGrid w:val="0"/>
        <w:ind w:firstLine="480"/>
      </w:pPr>
      <w:r>
        <w:rPr>
          <w:rFonts w:hint="eastAsia"/>
        </w:rPr>
        <w:t>箱式变压器采用天然地基，钢筋混凝土板式基础，基础平面尺寸</w:t>
      </w:r>
      <w:r>
        <w:t>6.5m</w:t>
      </w:r>
      <w:r>
        <w:rPr>
          <w:rFonts w:hint="eastAsia"/>
        </w:rPr>
        <w:t>×</w:t>
      </w:r>
      <w:r>
        <w:t>3m</w:t>
      </w:r>
      <w:r>
        <w:rPr>
          <w:rFonts w:hint="eastAsia"/>
        </w:rPr>
        <w:t>，基础底面铺设</w:t>
      </w:r>
      <w:r>
        <w:t xml:space="preserve">10cm </w:t>
      </w:r>
      <w:r>
        <w:rPr>
          <w:rFonts w:hint="eastAsia"/>
        </w:rPr>
        <w:t>厚的</w:t>
      </w:r>
      <w:r>
        <w:t xml:space="preserve">C15 </w:t>
      </w:r>
      <w:r>
        <w:rPr>
          <w:rFonts w:hint="eastAsia"/>
        </w:rPr>
        <w:t>素混凝土垫层，基础底板混凝土厚度</w:t>
      </w:r>
      <w:r>
        <w:t>20cm</w:t>
      </w:r>
      <w:r>
        <w:rPr>
          <w:rFonts w:hint="eastAsia"/>
        </w:rPr>
        <w:t>，强度等级为</w:t>
      </w:r>
      <w:r>
        <w:t>C25</w:t>
      </w:r>
      <w:r>
        <w:rPr>
          <w:rFonts w:hint="eastAsia"/>
        </w:rPr>
        <w:t>。</w:t>
      </w:r>
    </w:p>
    <w:p w14:paraId="3E5D64B5">
      <w:pPr>
        <w:adjustRightInd w:val="0"/>
        <w:snapToGrid w:val="0"/>
        <w:ind w:firstLine="480"/>
      </w:pPr>
      <w:r>
        <w:rPr>
          <w:rFonts w:hint="eastAsia"/>
        </w:rPr>
        <w:t>（5）风机安装场地</w:t>
      </w:r>
    </w:p>
    <w:p w14:paraId="1FED4EB8">
      <w:pPr>
        <w:adjustRightInd w:val="0"/>
        <w:snapToGrid w:val="0"/>
        <w:ind w:firstLine="480"/>
      </w:pPr>
      <w:r>
        <w:t>根据已建风电场风机吊装经验，单个风电机组安装均结合施工需要，配套一处平整的安装场地，尺寸需求为45</w:t>
      </w:r>
      <w:r>
        <w:rPr>
          <w:rFonts w:hint="eastAsia"/>
        </w:rPr>
        <w:t>m</w:t>
      </w:r>
      <w:r>
        <w:t>×55m。根据不同风机安装平台所处地形进行平场施工，地形较陡的风机安装平台以挖方为主，开挖石方用于道路铺设、浆砌石挡土墙砌筑等，提高土石方利用率，减少工程弃渣。地形坡度较平缓且地形较开阔的风机安装平台以半挖半填的方式进行平场，并尽量做到挖填平衡。</w:t>
      </w:r>
    </w:p>
    <w:p w14:paraId="6DF1AFF3">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3.5.2</w:t>
      </w:r>
      <w:r>
        <w:rPr>
          <w:rFonts w:hint="eastAsia" w:ascii="Times New Roman" w:eastAsia="宋体"/>
          <w:sz w:val="28"/>
          <w:szCs w:val="28"/>
          <w:lang w:val="en-US"/>
        </w:rPr>
        <w:t>升压站</w:t>
      </w:r>
    </w:p>
    <w:p w14:paraId="6BF7E593">
      <w:pPr>
        <w:adjustRightInd w:val="0"/>
        <w:snapToGrid w:val="0"/>
        <w:ind w:firstLine="480"/>
      </w:pPr>
      <w:r>
        <w:t>综合考虑风电场所在地形条件、机位布置、接入系统的方向、对外交通、运行生活环境等因素，初步将升压站站址选择在风电场中部一座山丘上，集电线路短捷，靠近地方道路布置，交通生活相对便利；所处地形较为平坦，场平方量较小；周边空旷无阻挡，电气出线便捷。</w:t>
      </w:r>
    </w:p>
    <w:p w14:paraId="202F329D">
      <w:pPr>
        <w:adjustRightInd w:val="0"/>
        <w:snapToGrid w:val="0"/>
        <w:ind w:firstLine="480"/>
      </w:pPr>
      <w:r>
        <w:t>（1）升压站总平面布置</w:t>
      </w:r>
    </w:p>
    <w:p w14:paraId="4DB56E67">
      <w:pPr>
        <w:adjustRightInd w:val="0"/>
        <w:snapToGrid w:val="0"/>
        <w:ind w:firstLine="480"/>
      </w:pPr>
      <w:r>
        <w:t>本项目升压站位于衡阳县渣江</w:t>
      </w:r>
      <w:r>
        <w:rPr>
          <w:rFonts w:hint="eastAsia"/>
        </w:rPr>
        <w:t>镇</w:t>
      </w:r>
      <w:r>
        <w:t>，中心坐标为</w:t>
      </w:r>
      <w:bookmarkStart w:id="84" w:name="_Hlk141448097"/>
      <w:r>
        <w:t>112°31′19.65″，27°7′48.35″</w:t>
      </w:r>
      <w:bookmarkEnd w:id="84"/>
      <w:r>
        <w:t>，110kV升压站布置在山顶平地，场地为91.1m×61.1m的矩形(围墙距离)。站区主要建构筑物有综合楼、一次舱、二次舱、主变压器、附属用房、事故油池、污水处理水装置、FC滤波器、SVG、避雷针、10</w:t>
      </w:r>
      <w:r>
        <w:rPr>
          <w:rFonts w:hint="eastAsia"/>
        </w:rPr>
        <w:t>k</w:t>
      </w:r>
      <w:r>
        <w:t>V箱式备用变等。</w:t>
      </w:r>
    </w:p>
    <w:p w14:paraId="44593631">
      <w:pPr>
        <w:adjustRightInd w:val="0"/>
        <w:snapToGrid w:val="0"/>
        <w:ind w:firstLine="480"/>
      </w:pPr>
      <w:r>
        <w:fldChar w:fldCharType="begin"/>
      </w:r>
      <w:r>
        <w:instrText xml:space="preserve"> = 1 \* GB3 </w:instrText>
      </w:r>
      <w:r>
        <w:fldChar w:fldCharType="separate"/>
      </w:r>
      <w:r>
        <w:rPr>
          <w:rFonts w:hint="eastAsia"/>
        </w:rPr>
        <w:t>①</w:t>
      </w:r>
      <w:r>
        <w:fldChar w:fldCharType="end"/>
      </w:r>
      <w:r>
        <w:t>升压站技术经济指标</w:t>
      </w:r>
    </w:p>
    <w:p w14:paraId="2D80C84C">
      <w:pPr>
        <w:adjustRightInd w:val="0"/>
        <w:snapToGrid w:val="0"/>
        <w:ind w:firstLine="480"/>
      </w:pPr>
      <w:r>
        <w:t>升压站技术经济指标见下表。</w:t>
      </w:r>
    </w:p>
    <w:p w14:paraId="4090E4ED">
      <w:pPr>
        <w:tabs>
          <w:tab w:val="clear" w:pos="480"/>
        </w:tabs>
        <w:spacing w:line="240" w:lineRule="auto"/>
        <w:ind w:firstLine="0" w:firstLineChars="0"/>
        <w:jc w:val="center"/>
        <w:rPr>
          <w:b/>
          <w:bCs/>
        </w:rPr>
      </w:pPr>
      <w:r>
        <w:rPr>
          <w:b/>
          <w:bCs/>
        </w:rPr>
        <w:t>表3.5-3  升压站技术经济指标表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28" w:type="dxa"/>
          <w:bottom w:w="0" w:type="dxa"/>
          <w:right w:w="28" w:type="dxa"/>
        </w:tblCellMar>
      </w:tblPr>
      <w:tblGrid>
        <w:gridCol w:w="1019"/>
        <w:gridCol w:w="4016"/>
        <w:gridCol w:w="1640"/>
        <w:gridCol w:w="1692"/>
      </w:tblGrid>
      <w:tr w14:paraId="1DDB09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tblHeader/>
          <w:jc w:val="center"/>
        </w:trPr>
        <w:tc>
          <w:tcPr>
            <w:tcW w:w="609" w:type="pct"/>
            <w:vAlign w:val="center"/>
          </w:tcPr>
          <w:p w14:paraId="11AB1F5C">
            <w:pPr>
              <w:tabs>
                <w:tab w:val="clear" w:pos="480"/>
              </w:tabs>
              <w:adjustRightInd w:val="0"/>
              <w:snapToGrid w:val="0"/>
              <w:spacing w:line="240" w:lineRule="auto"/>
              <w:ind w:firstLine="0" w:firstLineChars="0"/>
              <w:jc w:val="center"/>
              <w:rPr>
                <w:sz w:val="18"/>
                <w:szCs w:val="18"/>
              </w:rPr>
            </w:pPr>
            <w:r>
              <w:rPr>
                <w:sz w:val="18"/>
                <w:szCs w:val="18"/>
              </w:rPr>
              <w:t>序</w:t>
            </w:r>
          </w:p>
          <w:p w14:paraId="6CDEB5EE">
            <w:pPr>
              <w:tabs>
                <w:tab w:val="clear" w:pos="480"/>
              </w:tabs>
              <w:adjustRightInd w:val="0"/>
              <w:snapToGrid w:val="0"/>
              <w:spacing w:line="240" w:lineRule="auto"/>
              <w:ind w:firstLine="0" w:firstLineChars="0"/>
              <w:jc w:val="center"/>
              <w:rPr>
                <w:sz w:val="18"/>
                <w:szCs w:val="18"/>
              </w:rPr>
            </w:pPr>
            <w:r>
              <w:rPr>
                <w:sz w:val="18"/>
                <w:szCs w:val="18"/>
              </w:rPr>
              <w:t>号</w:t>
            </w:r>
          </w:p>
        </w:tc>
        <w:tc>
          <w:tcPr>
            <w:tcW w:w="2400" w:type="pct"/>
            <w:vAlign w:val="center"/>
          </w:tcPr>
          <w:p w14:paraId="36F65D6E">
            <w:pPr>
              <w:tabs>
                <w:tab w:val="clear" w:pos="480"/>
              </w:tabs>
              <w:adjustRightInd w:val="0"/>
              <w:snapToGrid w:val="0"/>
              <w:spacing w:line="240" w:lineRule="auto"/>
              <w:ind w:firstLine="0" w:firstLineChars="0"/>
              <w:jc w:val="center"/>
              <w:rPr>
                <w:sz w:val="18"/>
                <w:szCs w:val="18"/>
              </w:rPr>
            </w:pPr>
            <w:r>
              <w:rPr>
                <w:sz w:val="18"/>
                <w:szCs w:val="18"/>
              </w:rPr>
              <w:t>项  目  名  称</w:t>
            </w:r>
          </w:p>
        </w:tc>
        <w:tc>
          <w:tcPr>
            <w:tcW w:w="980" w:type="pct"/>
            <w:vAlign w:val="center"/>
          </w:tcPr>
          <w:p w14:paraId="246B0314">
            <w:pPr>
              <w:tabs>
                <w:tab w:val="clear" w:pos="480"/>
              </w:tabs>
              <w:adjustRightInd w:val="0"/>
              <w:snapToGrid w:val="0"/>
              <w:spacing w:line="240" w:lineRule="auto"/>
              <w:ind w:firstLine="0" w:firstLineChars="0"/>
              <w:jc w:val="center"/>
              <w:rPr>
                <w:sz w:val="18"/>
                <w:szCs w:val="18"/>
              </w:rPr>
            </w:pPr>
            <w:r>
              <w:rPr>
                <w:sz w:val="18"/>
                <w:szCs w:val="18"/>
              </w:rPr>
              <w:t>单  位</w:t>
            </w:r>
          </w:p>
        </w:tc>
        <w:tc>
          <w:tcPr>
            <w:tcW w:w="1011" w:type="pct"/>
            <w:vAlign w:val="center"/>
          </w:tcPr>
          <w:p w14:paraId="3861DFFF">
            <w:pPr>
              <w:tabs>
                <w:tab w:val="clear" w:pos="480"/>
              </w:tabs>
              <w:adjustRightInd w:val="0"/>
              <w:snapToGrid w:val="0"/>
              <w:spacing w:line="240" w:lineRule="auto"/>
              <w:ind w:firstLine="0" w:firstLineChars="0"/>
              <w:jc w:val="center"/>
              <w:rPr>
                <w:sz w:val="18"/>
                <w:szCs w:val="18"/>
              </w:rPr>
            </w:pPr>
            <w:r>
              <w:rPr>
                <w:sz w:val="18"/>
                <w:szCs w:val="18"/>
              </w:rPr>
              <w:t>数  量</w:t>
            </w:r>
          </w:p>
        </w:tc>
      </w:tr>
      <w:tr w14:paraId="1259739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77001294">
            <w:pPr>
              <w:tabs>
                <w:tab w:val="clear" w:pos="480"/>
              </w:tabs>
              <w:adjustRightInd w:val="0"/>
              <w:snapToGrid w:val="0"/>
              <w:spacing w:line="240" w:lineRule="auto"/>
              <w:ind w:firstLine="0" w:firstLineChars="0"/>
              <w:jc w:val="center"/>
              <w:rPr>
                <w:sz w:val="18"/>
                <w:szCs w:val="18"/>
              </w:rPr>
            </w:pPr>
            <w:r>
              <w:rPr>
                <w:sz w:val="18"/>
                <w:szCs w:val="18"/>
              </w:rPr>
              <w:t>1</w:t>
            </w:r>
          </w:p>
        </w:tc>
        <w:tc>
          <w:tcPr>
            <w:tcW w:w="2400" w:type="pct"/>
            <w:vAlign w:val="center"/>
          </w:tcPr>
          <w:p w14:paraId="58D5A888">
            <w:pPr>
              <w:tabs>
                <w:tab w:val="clear" w:pos="480"/>
              </w:tabs>
              <w:adjustRightInd w:val="0"/>
              <w:snapToGrid w:val="0"/>
              <w:spacing w:line="240" w:lineRule="auto"/>
              <w:ind w:firstLine="0" w:firstLineChars="0"/>
              <w:jc w:val="center"/>
              <w:rPr>
                <w:sz w:val="18"/>
                <w:szCs w:val="18"/>
              </w:rPr>
            </w:pPr>
            <w:r>
              <w:rPr>
                <w:sz w:val="18"/>
                <w:szCs w:val="18"/>
              </w:rPr>
              <w:t>升压站围墙内用地面积</w:t>
            </w:r>
          </w:p>
        </w:tc>
        <w:tc>
          <w:tcPr>
            <w:tcW w:w="980" w:type="pct"/>
            <w:vAlign w:val="center"/>
          </w:tcPr>
          <w:p w14:paraId="17AF517C">
            <w:pPr>
              <w:tabs>
                <w:tab w:val="clear" w:pos="480"/>
              </w:tabs>
              <w:adjustRightInd w:val="0"/>
              <w:snapToGrid w:val="0"/>
              <w:spacing w:line="240" w:lineRule="auto"/>
              <w:ind w:firstLine="0" w:firstLineChars="0"/>
              <w:jc w:val="center"/>
              <w:rPr>
                <w:sz w:val="18"/>
                <w:szCs w:val="18"/>
              </w:rPr>
            </w:pPr>
            <w:r>
              <w:rPr>
                <w:sz w:val="18"/>
                <w:szCs w:val="18"/>
              </w:rPr>
              <w:t>m</w:t>
            </w:r>
            <w:r>
              <w:rPr>
                <w:sz w:val="18"/>
                <w:szCs w:val="18"/>
                <w:vertAlign w:val="superscript"/>
              </w:rPr>
              <w:t>2</w:t>
            </w:r>
          </w:p>
        </w:tc>
        <w:tc>
          <w:tcPr>
            <w:tcW w:w="1011" w:type="pct"/>
            <w:vAlign w:val="center"/>
          </w:tcPr>
          <w:p w14:paraId="3BD5C0FD">
            <w:pPr>
              <w:tabs>
                <w:tab w:val="clear" w:pos="480"/>
              </w:tabs>
              <w:adjustRightInd w:val="0"/>
              <w:snapToGrid w:val="0"/>
              <w:spacing w:line="240" w:lineRule="auto"/>
              <w:ind w:firstLine="0" w:firstLineChars="0"/>
              <w:jc w:val="center"/>
              <w:rPr>
                <w:sz w:val="18"/>
                <w:szCs w:val="18"/>
              </w:rPr>
            </w:pPr>
            <w:r>
              <w:rPr>
                <w:sz w:val="18"/>
                <w:szCs w:val="18"/>
              </w:rPr>
              <w:t>5839.51</w:t>
            </w:r>
          </w:p>
        </w:tc>
      </w:tr>
      <w:tr w14:paraId="4D337A0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0CB34A5C">
            <w:pPr>
              <w:tabs>
                <w:tab w:val="clear" w:pos="480"/>
              </w:tabs>
              <w:adjustRightInd w:val="0"/>
              <w:snapToGrid w:val="0"/>
              <w:spacing w:line="240" w:lineRule="auto"/>
              <w:ind w:firstLine="0" w:firstLineChars="0"/>
              <w:jc w:val="center"/>
              <w:rPr>
                <w:sz w:val="18"/>
                <w:szCs w:val="18"/>
              </w:rPr>
            </w:pPr>
            <w:r>
              <w:rPr>
                <w:sz w:val="18"/>
                <w:szCs w:val="18"/>
              </w:rPr>
              <w:t>2</w:t>
            </w:r>
          </w:p>
        </w:tc>
        <w:tc>
          <w:tcPr>
            <w:tcW w:w="2400" w:type="pct"/>
            <w:vAlign w:val="center"/>
          </w:tcPr>
          <w:p w14:paraId="5538663D">
            <w:pPr>
              <w:tabs>
                <w:tab w:val="clear" w:pos="480"/>
              </w:tabs>
              <w:adjustRightInd w:val="0"/>
              <w:snapToGrid w:val="0"/>
              <w:spacing w:line="240" w:lineRule="auto"/>
              <w:ind w:firstLine="0" w:firstLineChars="0"/>
              <w:jc w:val="center"/>
              <w:rPr>
                <w:sz w:val="18"/>
                <w:szCs w:val="18"/>
              </w:rPr>
            </w:pPr>
            <w:r>
              <w:rPr>
                <w:sz w:val="18"/>
                <w:szCs w:val="18"/>
              </w:rPr>
              <w:t>建构筑物占地面积</w:t>
            </w:r>
          </w:p>
        </w:tc>
        <w:tc>
          <w:tcPr>
            <w:tcW w:w="980" w:type="pct"/>
            <w:vAlign w:val="center"/>
          </w:tcPr>
          <w:p w14:paraId="6FB7228D">
            <w:pPr>
              <w:tabs>
                <w:tab w:val="clear" w:pos="480"/>
              </w:tabs>
              <w:adjustRightInd w:val="0"/>
              <w:snapToGrid w:val="0"/>
              <w:spacing w:line="240" w:lineRule="auto"/>
              <w:ind w:firstLine="0" w:firstLineChars="0"/>
              <w:jc w:val="center"/>
              <w:rPr>
                <w:sz w:val="18"/>
                <w:szCs w:val="18"/>
              </w:rPr>
            </w:pPr>
            <w:r>
              <w:rPr>
                <w:sz w:val="18"/>
                <w:szCs w:val="18"/>
              </w:rPr>
              <w:t>m</w:t>
            </w:r>
            <w:r>
              <w:rPr>
                <w:sz w:val="18"/>
                <w:szCs w:val="18"/>
                <w:vertAlign w:val="superscript"/>
              </w:rPr>
              <w:t>2</w:t>
            </w:r>
          </w:p>
        </w:tc>
        <w:tc>
          <w:tcPr>
            <w:tcW w:w="1011" w:type="pct"/>
            <w:vAlign w:val="center"/>
          </w:tcPr>
          <w:p w14:paraId="5FB566BE">
            <w:pPr>
              <w:tabs>
                <w:tab w:val="clear" w:pos="480"/>
              </w:tabs>
              <w:adjustRightInd w:val="0"/>
              <w:snapToGrid w:val="0"/>
              <w:spacing w:line="240" w:lineRule="auto"/>
              <w:ind w:firstLine="0" w:firstLineChars="0"/>
              <w:jc w:val="center"/>
              <w:rPr>
                <w:sz w:val="18"/>
                <w:szCs w:val="18"/>
              </w:rPr>
            </w:pPr>
            <w:r>
              <w:rPr>
                <w:sz w:val="18"/>
                <w:szCs w:val="18"/>
              </w:rPr>
              <w:t>1427.66</w:t>
            </w:r>
          </w:p>
        </w:tc>
      </w:tr>
      <w:tr w14:paraId="0A7CBE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4ADDA481">
            <w:pPr>
              <w:tabs>
                <w:tab w:val="clear" w:pos="480"/>
              </w:tabs>
              <w:adjustRightInd w:val="0"/>
              <w:snapToGrid w:val="0"/>
              <w:spacing w:line="240" w:lineRule="auto"/>
              <w:ind w:firstLine="0" w:firstLineChars="0"/>
              <w:jc w:val="center"/>
              <w:rPr>
                <w:sz w:val="18"/>
                <w:szCs w:val="18"/>
              </w:rPr>
            </w:pPr>
            <w:r>
              <w:rPr>
                <w:sz w:val="18"/>
                <w:szCs w:val="18"/>
              </w:rPr>
              <w:t>3</w:t>
            </w:r>
          </w:p>
        </w:tc>
        <w:tc>
          <w:tcPr>
            <w:tcW w:w="2400" w:type="pct"/>
            <w:vAlign w:val="center"/>
          </w:tcPr>
          <w:p w14:paraId="33FCBEA8">
            <w:pPr>
              <w:tabs>
                <w:tab w:val="clear" w:pos="480"/>
              </w:tabs>
              <w:adjustRightInd w:val="0"/>
              <w:snapToGrid w:val="0"/>
              <w:spacing w:line="240" w:lineRule="auto"/>
              <w:ind w:firstLine="0" w:firstLineChars="0"/>
              <w:jc w:val="center"/>
              <w:rPr>
                <w:sz w:val="18"/>
                <w:szCs w:val="18"/>
              </w:rPr>
            </w:pPr>
            <w:r>
              <w:rPr>
                <w:sz w:val="18"/>
                <w:szCs w:val="18"/>
              </w:rPr>
              <w:t>建筑系数</w:t>
            </w:r>
          </w:p>
        </w:tc>
        <w:tc>
          <w:tcPr>
            <w:tcW w:w="980" w:type="pct"/>
            <w:vAlign w:val="center"/>
          </w:tcPr>
          <w:p w14:paraId="022B0C0D">
            <w:pPr>
              <w:tabs>
                <w:tab w:val="clear" w:pos="480"/>
              </w:tabs>
              <w:adjustRightInd w:val="0"/>
              <w:snapToGrid w:val="0"/>
              <w:spacing w:line="240" w:lineRule="auto"/>
              <w:ind w:firstLine="0" w:firstLineChars="0"/>
              <w:jc w:val="center"/>
              <w:rPr>
                <w:sz w:val="18"/>
                <w:szCs w:val="18"/>
              </w:rPr>
            </w:pPr>
            <w:r>
              <w:rPr>
                <w:sz w:val="18"/>
                <w:szCs w:val="18"/>
              </w:rPr>
              <w:t>%</w:t>
            </w:r>
          </w:p>
        </w:tc>
        <w:tc>
          <w:tcPr>
            <w:tcW w:w="1011" w:type="pct"/>
            <w:vAlign w:val="center"/>
          </w:tcPr>
          <w:p w14:paraId="4879FA1B">
            <w:pPr>
              <w:tabs>
                <w:tab w:val="clear" w:pos="480"/>
              </w:tabs>
              <w:adjustRightInd w:val="0"/>
              <w:snapToGrid w:val="0"/>
              <w:spacing w:line="240" w:lineRule="auto"/>
              <w:ind w:firstLine="0" w:firstLineChars="0"/>
              <w:jc w:val="center"/>
              <w:rPr>
                <w:sz w:val="18"/>
                <w:szCs w:val="18"/>
              </w:rPr>
            </w:pPr>
            <w:r>
              <w:rPr>
                <w:sz w:val="18"/>
                <w:szCs w:val="18"/>
              </w:rPr>
              <w:t>24.45</w:t>
            </w:r>
          </w:p>
        </w:tc>
      </w:tr>
      <w:tr w14:paraId="1E6D4E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6E9858BA">
            <w:pPr>
              <w:tabs>
                <w:tab w:val="clear" w:pos="480"/>
              </w:tabs>
              <w:adjustRightInd w:val="0"/>
              <w:snapToGrid w:val="0"/>
              <w:spacing w:line="240" w:lineRule="auto"/>
              <w:ind w:firstLine="0" w:firstLineChars="0"/>
              <w:jc w:val="center"/>
              <w:rPr>
                <w:sz w:val="18"/>
                <w:szCs w:val="18"/>
              </w:rPr>
            </w:pPr>
            <w:r>
              <w:rPr>
                <w:rFonts w:hint="eastAsia"/>
                <w:sz w:val="18"/>
                <w:szCs w:val="18"/>
              </w:rPr>
              <w:t>4</w:t>
            </w:r>
          </w:p>
        </w:tc>
        <w:tc>
          <w:tcPr>
            <w:tcW w:w="2400" w:type="pct"/>
            <w:vAlign w:val="center"/>
          </w:tcPr>
          <w:p w14:paraId="6590C0FE">
            <w:pPr>
              <w:tabs>
                <w:tab w:val="clear" w:pos="480"/>
              </w:tabs>
              <w:adjustRightInd w:val="0"/>
              <w:snapToGrid w:val="0"/>
              <w:spacing w:line="240" w:lineRule="auto"/>
              <w:ind w:firstLine="0" w:firstLineChars="0"/>
              <w:jc w:val="center"/>
              <w:rPr>
                <w:sz w:val="18"/>
                <w:szCs w:val="18"/>
              </w:rPr>
            </w:pPr>
            <w:r>
              <w:rPr>
                <w:rFonts w:hint="eastAsia"/>
                <w:sz w:val="18"/>
                <w:szCs w:val="18"/>
              </w:rPr>
              <w:t>道路及地坪用地面积</w:t>
            </w:r>
          </w:p>
        </w:tc>
        <w:tc>
          <w:tcPr>
            <w:tcW w:w="980" w:type="pct"/>
            <w:vAlign w:val="center"/>
          </w:tcPr>
          <w:p w14:paraId="7D48BFFD">
            <w:pPr>
              <w:tabs>
                <w:tab w:val="clear" w:pos="480"/>
              </w:tabs>
              <w:adjustRightInd w:val="0"/>
              <w:snapToGrid w:val="0"/>
              <w:spacing w:line="240" w:lineRule="auto"/>
              <w:ind w:firstLine="0" w:firstLineChars="0"/>
              <w:jc w:val="center"/>
              <w:rPr>
                <w:sz w:val="18"/>
                <w:szCs w:val="18"/>
              </w:rPr>
            </w:pPr>
            <w:r>
              <w:rPr>
                <w:sz w:val="18"/>
                <w:szCs w:val="18"/>
              </w:rPr>
              <w:t>m</w:t>
            </w:r>
            <w:r>
              <w:rPr>
                <w:sz w:val="18"/>
                <w:szCs w:val="18"/>
                <w:vertAlign w:val="superscript"/>
              </w:rPr>
              <w:t>2</w:t>
            </w:r>
          </w:p>
        </w:tc>
        <w:tc>
          <w:tcPr>
            <w:tcW w:w="1011" w:type="pct"/>
            <w:vAlign w:val="center"/>
          </w:tcPr>
          <w:p w14:paraId="6AFA4671">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450</w:t>
            </w:r>
          </w:p>
        </w:tc>
      </w:tr>
      <w:tr w14:paraId="7633AF8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62777130">
            <w:pPr>
              <w:tabs>
                <w:tab w:val="clear" w:pos="480"/>
              </w:tabs>
              <w:adjustRightInd w:val="0"/>
              <w:snapToGrid w:val="0"/>
              <w:spacing w:line="240" w:lineRule="auto"/>
              <w:ind w:firstLine="0" w:firstLineChars="0"/>
              <w:jc w:val="center"/>
              <w:rPr>
                <w:sz w:val="18"/>
                <w:szCs w:val="18"/>
              </w:rPr>
            </w:pPr>
            <w:r>
              <w:rPr>
                <w:rFonts w:hint="eastAsia"/>
                <w:sz w:val="18"/>
                <w:szCs w:val="18"/>
              </w:rPr>
              <w:t>5</w:t>
            </w:r>
          </w:p>
        </w:tc>
        <w:tc>
          <w:tcPr>
            <w:tcW w:w="2400" w:type="pct"/>
            <w:vAlign w:val="center"/>
          </w:tcPr>
          <w:p w14:paraId="1B3E36C6">
            <w:pPr>
              <w:tabs>
                <w:tab w:val="clear" w:pos="480"/>
              </w:tabs>
              <w:adjustRightInd w:val="0"/>
              <w:snapToGrid w:val="0"/>
              <w:spacing w:line="240" w:lineRule="auto"/>
              <w:ind w:firstLine="0" w:firstLineChars="0"/>
              <w:jc w:val="center"/>
              <w:rPr>
                <w:sz w:val="18"/>
                <w:szCs w:val="18"/>
              </w:rPr>
            </w:pPr>
            <w:r>
              <w:rPr>
                <w:sz w:val="18"/>
                <w:szCs w:val="18"/>
              </w:rPr>
              <w:t>场地用地面积</w:t>
            </w:r>
          </w:p>
        </w:tc>
        <w:tc>
          <w:tcPr>
            <w:tcW w:w="980" w:type="pct"/>
            <w:vAlign w:val="center"/>
          </w:tcPr>
          <w:p w14:paraId="3CC818D4">
            <w:pPr>
              <w:tabs>
                <w:tab w:val="clear" w:pos="480"/>
              </w:tabs>
              <w:adjustRightInd w:val="0"/>
              <w:snapToGrid w:val="0"/>
              <w:spacing w:line="240" w:lineRule="auto"/>
              <w:ind w:firstLine="0" w:firstLineChars="0"/>
              <w:jc w:val="center"/>
              <w:rPr>
                <w:sz w:val="18"/>
                <w:szCs w:val="18"/>
              </w:rPr>
            </w:pPr>
            <w:r>
              <w:rPr>
                <w:sz w:val="18"/>
                <w:szCs w:val="18"/>
              </w:rPr>
              <w:t>m</w:t>
            </w:r>
            <w:r>
              <w:rPr>
                <w:sz w:val="18"/>
                <w:szCs w:val="18"/>
                <w:vertAlign w:val="superscript"/>
              </w:rPr>
              <w:t>2</w:t>
            </w:r>
          </w:p>
        </w:tc>
        <w:tc>
          <w:tcPr>
            <w:tcW w:w="1011" w:type="pct"/>
            <w:vAlign w:val="center"/>
          </w:tcPr>
          <w:p w14:paraId="636D611E">
            <w:pPr>
              <w:tabs>
                <w:tab w:val="clear" w:pos="480"/>
              </w:tabs>
              <w:adjustRightInd w:val="0"/>
              <w:snapToGrid w:val="0"/>
              <w:spacing w:line="240" w:lineRule="auto"/>
              <w:ind w:firstLine="0" w:firstLineChars="0"/>
              <w:jc w:val="center"/>
              <w:rPr>
                <w:sz w:val="18"/>
                <w:szCs w:val="18"/>
              </w:rPr>
            </w:pPr>
            <w:r>
              <w:rPr>
                <w:sz w:val="18"/>
                <w:szCs w:val="18"/>
              </w:rPr>
              <w:t>3400.00</w:t>
            </w:r>
          </w:p>
        </w:tc>
      </w:tr>
      <w:tr w14:paraId="408CE9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37E118D8">
            <w:pPr>
              <w:tabs>
                <w:tab w:val="clear" w:pos="480"/>
              </w:tabs>
              <w:adjustRightInd w:val="0"/>
              <w:snapToGrid w:val="0"/>
              <w:spacing w:line="240" w:lineRule="auto"/>
              <w:ind w:firstLine="0" w:firstLineChars="0"/>
              <w:jc w:val="center"/>
              <w:rPr>
                <w:sz w:val="18"/>
                <w:szCs w:val="18"/>
              </w:rPr>
            </w:pPr>
            <w:r>
              <w:rPr>
                <w:rFonts w:hint="eastAsia"/>
                <w:sz w:val="18"/>
                <w:szCs w:val="18"/>
              </w:rPr>
              <w:t>6</w:t>
            </w:r>
          </w:p>
        </w:tc>
        <w:tc>
          <w:tcPr>
            <w:tcW w:w="2400" w:type="pct"/>
            <w:vAlign w:val="center"/>
          </w:tcPr>
          <w:p w14:paraId="5182F1CE">
            <w:pPr>
              <w:tabs>
                <w:tab w:val="clear" w:pos="480"/>
              </w:tabs>
              <w:adjustRightInd w:val="0"/>
              <w:snapToGrid w:val="0"/>
              <w:spacing w:line="240" w:lineRule="auto"/>
              <w:ind w:firstLine="0" w:firstLineChars="0"/>
              <w:jc w:val="center"/>
              <w:rPr>
                <w:sz w:val="18"/>
                <w:szCs w:val="18"/>
              </w:rPr>
            </w:pPr>
            <w:r>
              <w:rPr>
                <w:sz w:val="18"/>
                <w:szCs w:val="18"/>
              </w:rPr>
              <w:t>场地利用系数</w:t>
            </w:r>
          </w:p>
        </w:tc>
        <w:tc>
          <w:tcPr>
            <w:tcW w:w="980" w:type="pct"/>
            <w:vAlign w:val="center"/>
          </w:tcPr>
          <w:p w14:paraId="278355C9">
            <w:pPr>
              <w:tabs>
                <w:tab w:val="clear" w:pos="480"/>
              </w:tabs>
              <w:adjustRightInd w:val="0"/>
              <w:snapToGrid w:val="0"/>
              <w:spacing w:line="240" w:lineRule="auto"/>
              <w:ind w:firstLine="0" w:firstLineChars="0"/>
              <w:jc w:val="center"/>
              <w:rPr>
                <w:sz w:val="18"/>
                <w:szCs w:val="18"/>
              </w:rPr>
            </w:pPr>
            <w:r>
              <w:rPr>
                <w:sz w:val="18"/>
                <w:szCs w:val="18"/>
              </w:rPr>
              <w:t>%</w:t>
            </w:r>
          </w:p>
        </w:tc>
        <w:tc>
          <w:tcPr>
            <w:tcW w:w="1011" w:type="pct"/>
            <w:vAlign w:val="center"/>
          </w:tcPr>
          <w:p w14:paraId="747ED3B6">
            <w:pPr>
              <w:tabs>
                <w:tab w:val="clear" w:pos="480"/>
              </w:tabs>
              <w:adjustRightInd w:val="0"/>
              <w:snapToGrid w:val="0"/>
              <w:spacing w:line="240" w:lineRule="auto"/>
              <w:ind w:firstLine="0" w:firstLineChars="0"/>
              <w:jc w:val="center"/>
              <w:rPr>
                <w:sz w:val="18"/>
                <w:szCs w:val="18"/>
              </w:rPr>
            </w:pPr>
            <w:r>
              <w:rPr>
                <w:sz w:val="18"/>
                <w:szCs w:val="18"/>
              </w:rPr>
              <w:t>58.22</w:t>
            </w:r>
          </w:p>
        </w:tc>
      </w:tr>
      <w:tr w14:paraId="0C6C56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78DB1B92">
            <w:pPr>
              <w:tabs>
                <w:tab w:val="clear" w:pos="480"/>
              </w:tabs>
              <w:adjustRightInd w:val="0"/>
              <w:snapToGrid w:val="0"/>
              <w:spacing w:line="240" w:lineRule="auto"/>
              <w:ind w:firstLine="0" w:firstLineChars="0"/>
              <w:jc w:val="center"/>
              <w:rPr>
                <w:sz w:val="18"/>
                <w:szCs w:val="18"/>
              </w:rPr>
            </w:pPr>
            <w:r>
              <w:rPr>
                <w:rFonts w:hint="eastAsia"/>
                <w:sz w:val="18"/>
                <w:szCs w:val="18"/>
              </w:rPr>
              <w:t>7</w:t>
            </w:r>
          </w:p>
        </w:tc>
        <w:tc>
          <w:tcPr>
            <w:tcW w:w="2400" w:type="pct"/>
            <w:vAlign w:val="center"/>
          </w:tcPr>
          <w:p w14:paraId="08BDAC46">
            <w:pPr>
              <w:tabs>
                <w:tab w:val="clear" w:pos="480"/>
              </w:tabs>
              <w:adjustRightInd w:val="0"/>
              <w:snapToGrid w:val="0"/>
              <w:spacing w:line="240" w:lineRule="auto"/>
              <w:ind w:firstLine="0" w:firstLineChars="0"/>
              <w:jc w:val="center"/>
              <w:rPr>
                <w:sz w:val="18"/>
                <w:szCs w:val="18"/>
              </w:rPr>
            </w:pPr>
            <w:r>
              <w:rPr>
                <w:sz w:val="18"/>
                <w:szCs w:val="18"/>
              </w:rPr>
              <w:t>围墙长度</w:t>
            </w:r>
          </w:p>
        </w:tc>
        <w:tc>
          <w:tcPr>
            <w:tcW w:w="980" w:type="pct"/>
            <w:vAlign w:val="center"/>
          </w:tcPr>
          <w:p w14:paraId="6F86B332">
            <w:pPr>
              <w:tabs>
                <w:tab w:val="clear" w:pos="480"/>
              </w:tabs>
              <w:adjustRightInd w:val="0"/>
              <w:snapToGrid w:val="0"/>
              <w:spacing w:line="240" w:lineRule="auto"/>
              <w:ind w:firstLine="0" w:firstLineChars="0"/>
              <w:jc w:val="center"/>
              <w:rPr>
                <w:sz w:val="18"/>
                <w:szCs w:val="18"/>
              </w:rPr>
            </w:pPr>
            <w:r>
              <w:rPr>
                <w:sz w:val="18"/>
                <w:szCs w:val="18"/>
              </w:rPr>
              <w:t>m</w:t>
            </w:r>
          </w:p>
        </w:tc>
        <w:tc>
          <w:tcPr>
            <w:tcW w:w="1011" w:type="pct"/>
            <w:vAlign w:val="center"/>
          </w:tcPr>
          <w:p w14:paraId="1D958718">
            <w:pPr>
              <w:tabs>
                <w:tab w:val="clear" w:pos="480"/>
              </w:tabs>
              <w:adjustRightInd w:val="0"/>
              <w:snapToGrid w:val="0"/>
              <w:spacing w:line="240" w:lineRule="auto"/>
              <w:ind w:firstLine="0" w:firstLineChars="0"/>
              <w:jc w:val="center"/>
              <w:rPr>
                <w:sz w:val="18"/>
                <w:szCs w:val="18"/>
              </w:rPr>
            </w:pPr>
            <w:r>
              <w:rPr>
                <w:sz w:val="18"/>
                <w:szCs w:val="18"/>
              </w:rPr>
              <w:t>300.00</w:t>
            </w:r>
          </w:p>
        </w:tc>
      </w:tr>
      <w:tr w14:paraId="5D4937C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332BECE8">
            <w:pPr>
              <w:tabs>
                <w:tab w:val="clear" w:pos="480"/>
              </w:tabs>
              <w:adjustRightInd w:val="0"/>
              <w:snapToGrid w:val="0"/>
              <w:spacing w:line="240" w:lineRule="auto"/>
              <w:ind w:firstLine="0" w:firstLineChars="0"/>
              <w:jc w:val="center"/>
              <w:rPr>
                <w:sz w:val="18"/>
                <w:szCs w:val="18"/>
              </w:rPr>
            </w:pPr>
            <w:r>
              <w:rPr>
                <w:rFonts w:hint="eastAsia"/>
                <w:sz w:val="18"/>
                <w:szCs w:val="18"/>
              </w:rPr>
              <w:t>8</w:t>
            </w:r>
          </w:p>
        </w:tc>
        <w:tc>
          <w:tcPr>
            <w:tcW w:w="2400" w:type="pct"/>
            <w:vAlign w:val="center"/>
          </w:tcPr>
          <w:p w14:paraId="372C4EE2">
            <w:pPr>
              <w:tabs>
                <w:tab w:val="clear" w:pos="480"/>
              </w:tabs>
              <w:adjustRightInd w:val="0"/>
              <w:snapToGrid w:val="0"/>
              <w:spacing w:line="240" w:lineRule="auto"/>
              <w:ind w:firstLine="0" w:firstLineChars="0"/>
              <w:jc w:val="center"/>
              <w:rPr>
                <w:sz w:val="18"/>
                <w:szCs w:val="18"/>
              </w:rPr>
            </w:pPr>
            <w:r>
              <w:rPr>
                <w:sz w:val="18"/>
                <w:szCs w:val="18"/>
              </w:rPr>
              <w:t>绿化面积</w:t>
            </w:r>
          </w:p>
        </w:tc>
        <w:tc>
          <w:tcPr>
            <w:tcW w:w="980" w:type="pct"/>
            <w:vAlign w:val="center"/>
          </w:tcPr>
          <w:p w14:paraId="39DAFC55">
            <w:pPr>
              <w:tabs>
                <w:tab w:val="clear" w:pos="480"/>
              </w:tabs>
              <w:adjustRightInd w:val="0"/>
              <w:snapToGrid w:val="0"/>
              <w:spacing w:line="240" w:lineRule="auto"/>
              <w:ind w:firstLine="0" w:firstLineChars="0"/>
              <w:jc w:val="center"/>
              <w:rPr>
                <w:sz w:val="18"/>
                <w:szCs w:val="18"/>
              </w:rPr>
            </w:pPr>
            <w:r>
              <w:rPr>
                <w:sz w:val="18"/>
                <w:szCs w:val="18"/>
              </w:rPr>
              <w:t>m</w:t>
            </w:r>
            <w:r>
              <w:rPr>
                <w:sz w:val="18"/>
                <w:szCs w:val="18"/>
                <w:vertAlign w:val="superscript"/>
              </w:rPr>
              <w:t>2</w:t>
            </w:r>
          </w:p>
        </w:tc>
        <w:tc>
          <w:tcPr>
            <w:tcW w:w="1011" w:type="pct"/>
            <w:vAlign w:val="center"/>
          </w:tcPr>
          <w:p w14:paraId="210F269E">
            <w:pPr>
              <w:tabs>
                <w:tab w:val="clear" w:pos="480"/>
              </w:tabs>
              <w:adjustRightInd w:val="0"/>
              <w:snapToGrid w:val="0"/>
              <w:spacing w:line="240" w:lineRule="auto"/>
              <w:ind w:firstLine="0" w:firstLineChars="0"/>
              <w:jc w:val="center"/>
              <w:rPr>
                <w:sz w:val="18"/>
                <w:szCs w:val="18"/>
              </w:rPr>
            </w:pPr>
            <w:r>
              <w:rPr>
                <w:sz w:val="18"/>
                <w:szCs w:val="18"/>
              </w:rPr>
              <w:t>650</w:t>
            </w:r>
          </w:p>
        </w:tc>
      </w:tr>
      <w:tr w14:paraId="5C51F43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cantSplit/>
          <w:trHeight w:val="340" w:hRule="atLeast"/>
          <w:jc w:val="center"/>
        </w:trPr>
        <w:tc>
          <w:tcPr>
            <w:tcW w:w="609" w:type="pct"/>
            <w:vAlign w:val="center"/>
          </w:tcPr>
          <w:p w14:paraId="5CEE29A8">
            <w:pPr>
              <w:tabs>
                <w:tab w:val="clear" w:pos="480"/>
              </w:tabs>
              <w:adjustRightInd w:val="0"/>
              <w:snapToGrid w:val="0"/>
              <w:spacing w:line="240" w:lineRule="auto"/>
              <w:ind w:firstLine="0" w:firstLineChars="0"/>
              <w:jc w:val="center"/>
              <w:rPr>
                <w:sz w:val="18"/>
                <w:szCs w:val="18"/>
              </w:rPr>
            </w:pPr>
            <w:r>
              <w:rPr>
                <w:rFonts w:hint="eastAsia"/>
                <w:sz w:val="18"/>
                <w:szCs w:val="18"/>
              </w:rPr>
              <w:t>9</w:t>
            </w:r>
          </w:p>
        </w:tc>
        <w:tc>
          <w:tcPr>
            <w:tcW w:w="2400" w:type="pct"/>
            <w:vAlign w:val="center"/>
          </w:tcPr>
          <w:p w14:paraId="37C0F3BD">
            <w:pPr>
              <w:tabs>
                <w:tab w:val="clear" w:pos="480"/>
              </w:tabs>
              <w:adjustRightInd w:val="0"/>
              <w:snapToGrid w:val="0"/>
              <w:spacing w:line="240" w:lineRule="auto"/>
              <w:ind w:firstLine="0" w:firstLineChars="0"/>
              <w:jc w:val="center"/>
              <w:rPr>
                <w:sz w:val="18"/>
                <w:szCs w:val="18"/>
              </w:rPr>
            </w:pPr>
            <w:r>
              <w:rPr>
                <w:sz w:val="18"/>
                <w:szCs w:val="18"/>
              </w:rPr>
              <w:t>绿地率</w:t>
            </w:r>
          </w:p>
        </w:tc>
        <w:tc>
          <w:tcPr>
            <w:tcW w:w="980" w:type="pct"/>
            <w:vAlign w:val="center"/>
          </w:tcPr>
          <w:p w14:paraId="00536E1C">
            <w:pPr>
              <w:tabs>
                <w:tab w:val="clear" w:pos="480"/>
              </w:tabs>
              <w:adjustRightInd w:val="0"/>
              <w:snapToGrid w:val="0"/>
              <w:spacing w:line="240" w:lineRule="auto"/>
              <w:ind w:firstLine="0" w:firstLineChars="0"/>
              <w:jc w:val="center"/>
              <w:rPr>
                <w:sz w:val="18"/>
                <w:szCs w:val="18"/>
              </w:rPr>
            </w:pPr>
            <w:r>
              <w:rPr>
                <w:sz w:val="18"/>
                <w:szCs w:val="18"/>
              </w:rPr>
              <w:t>%</w:t>
            </w:r>
          </w:p>
        </w:tc>
        <w:tc>
          <w:tcPr>
            <w:tcW w:w="1011" w:type="pct"/>
            <w:vAlign w:val="center"/>
          </w:tcPr>
          <w:p w14:paraId="1BB3D07C">
            <w:pPr>
              <w:tabs>
                <w:tab w:val="clear" w:pos="480"/>
              </w:tabs>
              <w:adjustRightInd w:val="0"/>
              <w:snapToGrid w:val="0"/>
              <w:spacing w:line="240" w:lineRule="auto"/>
              <w:ind w:firstLine="0" w:firstLineChars="0"/>
              <w:jc w:val="center"/>
              <w:rPr>
                <w:sz w:val="18"/>
                <w:szCs w:val="18"/>
              </w:rPr>
            </w:pPr>
            <w:r>
              <w:rPr>
                <w:sz w:val="18"/>
                <w:szCs w:val="18"/>
              </w:rPr>
              <w:t>11.13</w:t>
            </w:r>
          </w:p>
        </w:tc>
      </w:tr>
    </w:tbl>
    <w:p w14:paraId="4F13FCE3">
      <w:pPr>
        <w:adjustRightInd w:val="0"/>
        <w:snapToGrid w:val="0"/>
        <w:ind w:firstLine="480"/>
      </w:pPr>
      <w:r>
        <w:fldChar w:fldCharType="begin"/>
      </w:r>
      <w:r>
        <w:instrText xml:space="preserve"> = 2 \* GB3 </w:instrText>
      </w:r>
      <w:r>
        <w:fldChar w:fldCharType="separate"/>
      </w:r>
      <w:r>
        <w:rPr>
          <w:rFonts w:hint="eastAsia"/>
        </w:rPr>
        <w:t>②</w:t>
      </w:r>
      <w:r>
        <w:fldChar w:fldCharType="end"/>
      </w:r>
      <w:r>
        <w:t>综合控制楼</w:t>
      </w:r>
    </w:p>
    <w:p w14:paraId="4CD96ECD">
      <w:pPr>
        <w:adjustRightInd w:val="0"/>
        <w:snapToGrid w:val="0"/>
        <w:ind w:firstLine="480"/>
      </w:pPr>
      <w:r>
        <w:t>升压站为风力发电的配套工程，以便于生产、便于管理、适应当地环境为原则，其划分为生产区和办公生活区两部分。办公生活区主要建筑为综合控制楼。</w:t>
      </w:r>
    </w:p>
    <w:p w14:paraId="4C7C7C3F">
      <w:pPr>
        <w:adjustRightInd w:val="0"/>
        <w:snapToGrid w:val="0"/>
        <w:ind w:firstLine="480"/>
      </w:pPr>
      <w:r>
        <w:t>综合楼建筑面积1190m</w:t>
      </w:r>
      <w:r>
        <w:rPr>
          <w:vertAlign w:val="superscript"/>
        </w:rPr>
        <w:t>2</w:t>
      </w:r>
      <w:r>
        <w:t>，建筑高度9.60m（室外地坪至屋面）</w:t>
      </w:r>
      <w:r>
        <w:rPr>
          <w:rFonts w:hint="eastAsia"/>
        </w:rPr>
        <w:t>。一层层高</w:t>
      </w:r>
      <w:r>
        <w:t>3.9m</w:t>
      </w:r>
      <w:r>
        <w:rPr>
          <w:rFonts w:hint="eastAsia"/>
        </w:rPr>
        <w:t>，布置有门厅、办公室、会议室、中控室、备餐间、餐厅、卫生间、楼梯间等；二层层高</w:t>
      </w:r>
      <w:r>
        <w:t>3.9m</w:t>
      </w:r>
      <w:r>
        <w:rPr>
          <w:rFonts w:hint="eastAsia"/>
        </w:rPr>
        <w:t>，布置有值班室、资料室、活动室、阅览室、楼梯间等；屋面为上人平屋面。</w:t>
      </w:r>
    </w:p>
    <w:p w14:paraId="5EB76B8E">
      <w:pPr>
        <w:adjustRightInd w:val="0"/>
        <w:snapToGrid w:val="0"/>
        <w:ind w:firstLine="480"/>
      </w:pPr>
      <w:r>
        <w:fldChar w:fldCharType="begin"/>
      </w:r>
      <w:r>
        <w:instrText xml:space="preserve"> = 3 \* GB3 </w:instrText>
      </w:r>
      <w:r>
        <w:fldChar w:fldCharType="separate"/>
      </w:r>
      <w:r>
        <w:rPr>
          <w:rFonts w:hint="eastAsia"/>
        </w:rPr>
        <w:t>③</w:t>
      </w:r>
      <w:r>
        <w:fldChar w:fldCharType="end"/>
      </w:r>
      <w:r>
        <w:t>附属房</w:t>
      </w:r>
    </w:p>
    <w:p w14:paraId="3DA60B4A">
      <w:pPr>
        <w:adjustRightInd w:val="0"/>
        <w:snapToGrid w:val="0"/>
        <w:ind w:firstLine="480"/>
      </w:pPr>
      <w:r>
        <w:rPr>
          <w:rFonts w:hint="eastAsia"/>
        </w:rPr>
        <w:t>附属房为地上一层钢筋混凝土框架结构，消防水泵房下部为消防水池，建筑面积</w:t>
      </w:r>
      <w:r>
        <w:t>185m</w:t>
      </w:r>
      <w:r>
        <w:rPr>
          <w:vertAlign w:val="superscript"/>
        </w:rPr>
        <w:t>2</w:t>
      </w:r>
      <w:r>
        <w:rPr>
          <w:rFonts w:hint="eastAsia"/>
        </w:rPr>
        <w:t>，建筑高度为</w:t>
      </w:r>
      <w:r>
        <w:t>5.40m</w:t>
      </w:r>
      <w:r>
        <w:rPr>
          <w:rFonts w:hint="eastAsia"/>
        </w:rPr>
        <w:t>，一层层高为</w:t>
      </w:r>
      <w:r>
        <w:t>4.2m</w:t>
      </w:r>
      <w:r>
        <w:rPr>
          <w:rFonts w:hint="eastAsia"/>
        </w:rPr>
        <w:t>，布置有消防水泵房（戊类）、备品备件库（丁类及以下）及危废品暂存间（丙类及以下）；危废品暂存间设立危险品标示，设置专门管理规程。</w:t>
      </w:r>
    </w:p>
    <w:p w14:paraId="260BF485">
      <w:pPr>
        <w:adjustRightInd w:val="0"/>
        <w:snapToGrid w:val="0"/>
        <w:ind w:firstLine="480"/>
      </w:pPr>
      <w:r>
        <w:t>（2）给排水</w:t>
      </w:r>
    </w:p>
    <w:p w14:paraId="33B0559A">
      <w:pPr>
        <w:adjustRightInd w:val="0"/>
        <w:snapToGrid w:val="0"/>
        <w:ind w:firstLine="480"/>
      </w:pPr>
      <w:r>
        <w:fldChar w:fldCharType="begin"/>
      </w:r>
      <w:r>
        <w:instrText xml:space="preserve"> = 1 \* GB3 </w:instrText>
      </w:r>
      <w:r>
        <w:fldChar w:fldCharType="separate"/>
      </w:r>
      <w:r>
        <w:rPr>
          <w:rFonts w:hint="eastAsia"/>
        </w:rPr>
        <w:t>①</w:t>
      </w:r>
      <w:r>
        <w:fldChar w:fldCharType="end"/>
      </w:r>
      <w:r>
        <w:t>水源</w:t>
      </w:r>
    </w:p>
    <w:p w14:paraId="0ED0D322">
      <w:pPr>
        <w:adjustRightInd w:val="0"/>
        <w:snapToGrid w:val="0"/>
        <w:ind w:firstLine="480"/>
      </w:pPr>
      <w:r>
        <w:t>升压站用水水源采用地下水，升压站附近打一口深井，地下水通过潜水泵加压经给水管道送至升压站生活水箱。</w:t>
      </w:r>
    </w:p>
    <w:p w14:paraId="7C407F30">
      <w:pPr>
        <w:adjustRightInd w:val="0"/>
        <w:snapToGrid w:val="0"/>
        <w:ind w:firstLine="480"/>
      </w:pPr>
      <w:r>
        <w:fldChar w:fldCharType="begin"/>
      </w:r>
      <w:r>
        <w:instrText xml:space="preserve"> = 2 \* GB3 </w:instrText>
      </w:r>
      <w:r>
        <w:fldChar w:fldCharType="separate"/>
      </w:r>
      <w:r>
        <w:rPr>
          <w:rFonts w:hint="eastAsia"/>
        </w:rPr>
        <w:t>②</w:t>
      </w:r>
      <w:r>
        <w:fldChar w:fldCharType="end"/>
      </w:r>
      <w:r>
        <w:t>给水系统</w:t>
      </w:r>
    </w:p>
    <w:p w14:paraId="515C4B59">
      <w:pPr>
        <w:adjustRightInd w:val="0"/>
        <w:snapToGrid w:val="0"/>
        <w:ind w:firstLine="480"/>
      </w:pPr>
      <w:r>
        <w:t>在站内设置一套水处理及一体化生活消毒给水机组。该给水设备是由水箱、水泵机组、消毒设备、曝气装置及滤池组成为一体的给水设备，采用变频调速控制，可以向站内的各用水点提供水质达标且可靠稳定的水量和水压，水泵为2台，其性能为Q=6m</w:t>
      </w:r>
      <w:r>
        <w:rPr>
          <w:vertAlign w:val="superscript"/>
        </w:rPr>
        <w:t>3</w:t>
      </w:r>
      <w:r>
        <w:t>/h  H=0.32MPa；1个水箱V=6m</w:t>
      </w:r>
      <w:r>
        <w:rPr>
          <w:vertAlign w:val="superscript"/>
        </w:rPr>
        <w:t>3</w:t>
      </w:r>
      <w:r>
        <w:t>。水处理能力为2t/h。</w:t>
      </w:r>
    </w:p>
    <w:p w14:paraId="5CC3795C">
      <w:pPr>
        <w:adjustRightInd w:val="0"/>
        <w:snapToGrid w:val="0"/>
        <w:ind w:firstLine="480"/>
      </w:pPr>
      <w:r>
        <w:fldChar w:fldCharType="begin"/>
      </w:r>
      <w:r>
        <w:instrText xml:space="preserve"> = 3 \* GB3 </w:instrText>
      </w:r>
      <w:r>
        <w:fldChar w:fldCharType="separate"/>
      </w:r>
      <w:r>
        <w:rPr>
          <w:rFonts w:hint="eastAsia"/>
        </w:rPr>
        <w:t>③</w:t>
      </w:r>
      <w:r>
        <w:fldChar w:fldCharType="end"/>
      </w:r>
      <w:r>
        <w:t>升压站排水系统</w:t>
      </w:r>
    </w:p>
    <w:p w14:paraId="5213AB11">
      <w:pPr>
        <w:adjustRightInd w:val="0"/>
        <w:snapToGrid w:val="0"/>
        <w:ind w:firstLine="480"/>
      </w:pPr>
      <w:r>
        <w:t>升压站排水系统采用雨污分流制，主要包括：雨水、生活污水排放。</w:t>
      </w:r>
    </w:p>
    <w:p w14:paraId="5796938D">
      <w:pPr>
        <w:adjustRightInd w:val="0"/>
        <w:snapToGrid w:val="0"/>
        <w:ind w:firstLine="480"/>
      </w:pPr>
      <w:r>
        <w:t>a.雨水排放</w:t>
      </w:r>
    </w:p>
    <w:p w14:paraId="46A76309">
      <w:pPr>
        <w:adjustRightInd w:val="0"/>
        <w:snapToGrid w:val="0"/>
        <w:ind w:firstLine="480"/>
      </w:pPr>
      <w:r>
        <w:t>雨水排水包括屋面雨水排水、站区场地雨水排水、电缆沟的雨水排水。</w:t>
      </w:r>
    </w:p>
    <w:p w14:paraId="1E8F2FCE">
      <w:pPr>
        <w:adjustRightInd w:val="0"/>
        <w:snapToGrid w:val="0"/>
        <w:ind w:firstLine="480"/>
      </w:pPr>
      <w:r>
        <w:t>建筑物屋面雨水通过雨水斗收集，通过雨水立管引至地面雨水沟，站区场地雨水通过雨水口收集，通过室外埋地雨水管道排至站外。</w:t>
      </w:r>
    </w:p>
    <w:p w14:paraId="7629BC03">
      <w:pPr>
        <w:adjustRightInd w:val="0"/>
        <w:snapToGrid w:val="0"/>
        <w:ind w:firstLine="480"/>
      </w:pPr>
      <w:r>
        <w:t>电缆沟的雨水通过管道排至站内雨水排水系统。</w:t>
      </w:r>
    </w:p>
    <w:p w14:paraId="3A1EB88D">
      <w:pPr>
        <w:adjustRightInd w:val="0"/>
        <w:snapToGrid w:val="0"/>
        <w:ind w:firstLine="480"/>
      </w:pPr>
      <w:r>
        <w:t>b.生活污水排放</w:t>
      </w:r>
    </w:p>
    <w:p w14:paraId="479ABDA2">
      <w:pPr>
        <w:adjustRightInd w:val="0"/>
        <w:snapToGrid w:val="0"/>
        <w:ind w:firstLine="480"/>
      </w:pPr>
      <w:r>
        <w:t>升压站生活污水系统由污水管道、生活污水调节池、一体化污水处理设备(处理能力0.5m</w:t>
      </w:r>
      <w:r>
        <w:rPr>
          <w:vertAlign w:val="superscript"/>
        </w:rPr>
        <w:t>3</w:t>
      </w:r>
      <w:r>
        <w:t>/h)组成。升压站内各用水点的生活污水通过污水管道汇集至调节池，经一体化污水处理设备处理后用于升压站</w:t>
      </w:r>
      <w:r>
        <w:rPr>
          <w:rFonts w:hint="eastAsia"/>
        </w:rPr>
        <w:t>周边</w:t>
      </w:r>
      <w:r>
        <w:t>绿化，不外排。</w:t>
      </w:r>
    </w:p>
    <w:p w14:paraId="1669C379">
      <w:pPr>
        <w:adjustRightInd w:val="0"/>
        <w:snapToGrid w:val="0"/>
        <w:ind w:firstLine="480"/>
      </w:pPr>
      <w:r>
        <w:t>c.事故油池废水排放</w:t>
      </w:r>
    </w:p>
    <w:p w14:paraId="727CC7B4">
      <w:pPr>
        <w:adjustRightInd w:val="0"/>
        <w:snapToGrid w:val="0"/>
        <w:ind w:firstLine="480"/>
      </w:pPr>
      <w:r>
        <w:t>当变压器发生事故时，事故油通过主变基础下的事故油坑经管道排入事故油池，事故油经收集后定期送有资质的单位处理。</w:t>
      </w:r>
    </w:p>
    <w:p w14:paraId="380640EC">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3.5.3</w:t>
      </w:r>
      <w:r>
        <w:rPr>
          <w:rFonts w:hint="eastAsia" w:ascii="Times New Roman" w:eastAsia="宋体"/>
          <w:sz w:val="28"/>
          <w:szCs w:val="28"/>
          <w:lang w:val="en-US"/>
        </w:rPr>
        <w:t>集电线路</w:t>
      </w:r>
    </w:p>
    <w:p w14:paraId="62F57360">
      <w:pPr>
        <w:adjustRightInd w:val="0"/>
        <w:snapToGrid w:val="0"/>
        <w:ind w:firstLine="480"/>
      </w:pPr>
      <w:bookmarkStart w:id="85" w:name="_Hlk142921139"/>
      <w:r>
        <w:t>本工程拟定总装机容量为50MW，拟安装10台单机容量5.0MW 的WTG5.0-200型风力发电机组。10台风力发电机组分4 回35kV 集电线路接入升压站，主要采用“直埋+架空”相结合的敷设。各风机之间由于有道路连接，因此采用直埋的方式沿着道路进行敷设；风机至升压站之间由于无道路连接因此采用架空线路辐射。项目集电线路直埋电缆长13.50km，架空线路长9.0km。1回集电线路连接风机台数如下。</w:t>
      </w:r>
    </w:p>
    <w:p w14:paraId="7D581B50">
      <w:pPr>
        <w:adjustRightInd w:val="0"/>
        <w:snapToGrid w:val="0"/>
        <w:ind w:firstLine="480"/>
      </w:pPr>
      <w:r>
        <w:t>（1）汇集Ⅰ线连接1台风机：1#；</w:t>
      </w:r>
    </w:p>
    <w:p w14:paraId="381CCC6A">
      <w:pPr>
        <w:adjustRightInd w:val="0"/>
        <w:snapToGrid w:val="0"/>
        <w:ind w:firstLine="480"/>
      </w:pPr>
      <w:r>
        <w:t>（2）汇集Ⅱ线连接3台风机：7#</w:t>
      </w:r>
      <w:r>
        <w:rPr>
          <w:rFonts w:hint="eastAsia"/>
        </w:rPr>
        <w:t>、2</w:t>
      </w:r>
      <w:r>
        <w:t>#</w:t>
      </w:r>
      <w:r>
        <w:rPr>
          <w:rFonts w:hint="eastAsia"/>
        </w:rPr>
        <w:t>、3</w:t>
      </w:r>
      <w:r>
        <w:t>#；</w:t>
      </w:r>
    </w:p>
    <w:p w14:paraId="43DADE31">
      <w:pPr>
        <w:adjustRightInd w:val="0"/>
        <w:snapToGrid w:val="0"/>
        <w:ind w:firstLine="480"/>
      </w:pPr>
      <w:r>
        <w:rPr>
          <w:rFonts w:hint="eastAsia"/>
        </w:rPr>
        <w:t>（3）</w:t>
      </w:r>
      <w:r>
        <w:t>汇集Ⅱ线连接3台风机：5#</w:t>
      </w:r>
      <w:r>
        <w:rPr>
          <w:rFonts w:hint="eastAsia"/>
        </w:rPr>
        <w:t>、</w:t>
      </w:r>
      <w:r>
        <w:t>5#</w:t>
      </w:r>
      <w:r>
        <w:rPr>
          <w:rFonts w:hint="eastAsia"/>
        </w:rPr>
        <w:t>、</w:t>
      </w:r>
      <w:r>
        <w:t>6#；</w:t>
      </w:r>
    </w:p>
    <w:p w14:paraId="3E8AD5EB">
      <w:pPr>
        <w:adjustRightInd w:val="0"/>
        <w:snapToGrid w:val="0"/>
        <w:ind w:firstLine="480"/>
      </w:pPr>
      <w:r>
        <w:rPr>
          <w:rFonts w:hint="eastAsia"/>
        </w:rPr>
        <w:t>（4）</w:t>
      </w:r>
      <w:r>
        <w:t>汇集Ⅱ线连接3台风机：8#</w:t>
      </w:r>
      <w:r>
        <w:rPr>
          <w:rFonts w:hint="eastAsia"/>
        </w:rPr>
        <w:t>、</w:t>
      </w:r>
      <w:r>
        <w:t>9#</w:t>
      </w:r>
      <w:r>
        <w:rPr>
          <w:rFonts w:hint="eastAsia"/>
        </w:rPr>
        <w:t>、</w:t>
      </w:r>
      <w:r>
        <w:t>10#；</w:t>
      </w:r>
    </w:p>
    <w:bookmarkEnd w:id="85"/>
    <w:p w14:paraId="6F3D6339">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3.5.4</w:t>
      </w:r>
      <w:r>
        <w:rPr>
          <w:rFonts w:hint="eastAsia" w:ascii="Times New Roman" w:eastAsia="宋体"/>
          <w:sz w:val="28"/>
          <w:szCs w:val="28"/>
          <w:lang w:val="en-US"/>
        </w:rPr>
        <w:t>道路工程</w:t>
      </w:r>
    </w:p>
    <w:p w14:paraId="21146D28">
      <w:pPr>
        <w:adjustRightInd w:val="0"/>
        <w:snapToGrid w:val="0"/>
        <w:ind w:firstLine="480"/>
      </w:pPr>
      <w:bookmarkStart w:id="86" w:name="_Toc116977986"/>
      <w:r>
        <w:t>（1）交通概况</w:t>
      </w:r>
    </w:p>
    <w:p w14:paraId="27AC5D4B">
      <w:pPr>
        <w:adjustRightInd w:val="0"/>
        <w:snapToGrid w:val="0"/>
        <w:ind w:firstLine="480"/>
      </w:pPr>
      <w:bookmarkStart w:id="87" w:name="_Hlk142920981"/>
      <w:r>
        <w:t>衡阳县杉桥风电场</w:t>
      </w:r>
      <w:r>
        <w:rPr>
          <w:rFonts w:hint="eastAsia"/>
        </w:rPr>
        <w:t>工程</w:t>
      </w:r>
      <w:r>
        <w:t>位于湖南省衡阳市衡阳县</w:t>
      </w:r>
      <w:r>
        <w:rPr>
          <w:rFonts w:hint="eastAsia"/>
        </w:rPr>
        <w:t>渣江镇、岣嵝乡、集兵镇、界牌镇一带</w:t>
      </w:r>
      <w:r>
        <w:t>。属于山地风电场，海拔高度约100m～500m。G0421许广高速、高速S80、县道X045、县道X043从风电场附近经过，交通便利。</w:t>
      </w:r>
    </w:p>
    <w:p w14:paraId="1A83BDD8">
      <w:pPr>
        <w:adjustRightInd w:val="0"/>
        <w:snapToGrid w:val="0"/>
        <w:ind w:firstLine="480"/>
      </w:pPr>
      <w:r>
        <w:t>村村通道路需进行弯道改造及加宽才能满足大件运输要求。</w:t>
      </w:r>
    </w:p>
    <w:bookmarkEnd w:id="87"/>
    <w:p w14:paraId="4B16D8C4">
      <w:pPr>
        <w:adjustRightInd w:val="0"/>
        <w:snapToGrid w:val="0"/>
        <w:ind w:firstLine="480"/>
      </w:pPr>
      <w:r>
        <w:t>（2）进场道路</w:t>
      </w:r>
    </w:p>
    <w:p w14:paraId="4686B41D">
      <w:pPr>
        <w:adjustRightInd w:val="0"/>
        <w:snapToGrid w:val="0"/>
        <w:ind w:firstLine="480"/>
      </w:pPr>
      <w:bookmarkStart w:id="88" w:name="_Hlk142921001"/>
      <w:r>
        <w:t>1#~6#风机：风机经G0421许广高速至石市收费站出口→创业大道→X045县道→</w:t>
      </w:r>
      <w:r>
        <w:rPr>
          <w:rFonts w:hint="eastAsia"/>
        </w:rPr>
        <w:t>村村通道路至桃圫→</w:t>
      </w:r>
      <w:r>
        <w:t>改建村村通道路至白石坳→改建山林道路</w:t>
      </w:r>
      <w:r>
        <w:rPr>
          <w:rFonts w:hint="eastAsia"/>
        </w:rPr>
        <w:t>至1</w:t>
      </w:r>
      <w:r>
        <w:t>#</w:t>
      </w:r>
      <w:r>
        <w:rPr>
          <w:rFonts w:hint="eastAsia"/>
        </w:rPr>
        <w:t>风机机位</w:t>
      </w:r>
      <w:r>
        <w:t>→新建风电场场内道路</w:t>
      </w:r>
      <w:r>
        <w:rPr>
          <w:rFonts w:hint="eastAsia"/>
        </w:rPr>
        <w:t>从1</w:t>
      </w:r>
      <w:r>
        <w:t>#</w:t>
      </w:r>
      <w:r>
        <w:rPr>
          <w:rFonts w:hint="eastAsia"/>
        </w:rPr>
        <w:t>风机机位至2</w:t>
      </w:r>
      <w:r>
        <w:t>~6#</w:t>
      </w:r>
      <w:r>
        <w:rPr>
          <w:rFonts w:hint="eastAsia"/>
        </w:rPr>
        <w:t>风机机位（其中备用1</w:t>
      </w:r>
      <w:r>
        <w:t>8#</w:t>
      </w:r>
      <w:r>
        <w:rPr>
          <w:rFonts w:hint="eastAsia"/>
        </w:rPr>
        <w:t>风机机位布置在4</w:t>
      </w:r>
      <w:r>
        <w:t>#~5#</w:t>
      </w:r>
      <w:r>
        <w:rPr>
          <w:rFonts w:hint="eastAsia"/>
        </w:rPr>
        <w:t>风机机位之间，此外，1</w:t>
      </w:r>
      <w:r>
        <w:t>#~2#</w:t>
      </w:r>
      <w:r>
        <w:rPr>
          <w:rFonts w:hint="eastAsia"/>
        </w:rPr>
        <w:t>风机机位之间包含约1</w:t>
      </w:r>
      <w:r>
        <w:t>.05</w:t>
      </w:r>
      <w:r>
        <w:rPr>
          <w:rFonts w:hint="eastAsia"/>
        </w:rPr>
        <w:t>km的改建场内道路）</w:t>
      </w:r>
      <w:r>
        <w:t>。</w:t>
      </w:r>
    </w:p>
    <w:p w14:paraId="38B89F5E">
      <w:pPr>
        <w:adjustRightInd w:val="0"/>
        <w:snapToGrid w:val="0"/>
        <w:ind w:firstLine="480"/>
      </w:pPr>
      <w:r>
        <w:rPr>
          <w:rFonts w:hint="eastAsia"/>
        </w:rPr>
        <w:t>7</w:t>
      </w:r>
      <w:r>
        <w:t>#</w:t>
      </w:r>
      <w:r>
        <w:rPr>
          <w:rFonts w:hint="eastAsia"/>
        </w:rPr>
        <w:t>风机机位：</w:t>
      </w:r>
      <w:r>
        <w:t>风机经G0421许广高速至石市收费站出口→创业大道→X045县道→</w:t>
      </w:r>
      <w:r>
        <w:rPr>
          <w:rFonts w:hint="eastAsia"/>
        </w:rPr>
        <w:t>村村通道路至桃圫→</w:t>
      </w:r>
      <w:r>
        <w:t>改建村村通道路至白石坳→改建山林道路→新建风电场场内道路</w:t>
      </w:r>
      <w:r>
        <w:rPr>
          <w:rFonts w:hint="eastAsia"/>
        </w:rPr>
        <w:t>至7</w:t>
      </w:r>
      <w:r>
        <w:t>#</w:t>
      </w:r>
      <w:r>
        <w:rPr>
          <w:rFonts w:hint="eastAsia"/>
        </w:rPr>
        <w:t>、1</w:t>
      </w:r>
      <w:r>
        <w:t>6#</w:t>
      </w:r>
      <w:r>
        <w:rPr>
          <w:rFonts w:hint="eastAsia"/>
        </w:rPr>
        <w:t>（备用）风机机位（从1</w:t>
      </w:r>
      <w:r>
        <w:t>#</w:t>
      </w:r>
      <w:r>
        <w:rPr>
          <w:rFonts w:hint="eastAsia"/>
        </w:rPr>
        <w:t>风机机位的场内道路处接引）</w:t>
      </w:r>
      <w:r>
        <w:t>。</w:t>
      </w:r>
    </w:p>
    <w:p w14:paraId="1DC6A308">
      <w:pPr>
        <w:adjustRightInd w:val="0"/>
        <w:snapToGrid w:val="0"/>
        <w:ind w:firstLine="480"/>
      </w:pPr>
      <w:r>
        <w:t>8#~10#风机：</w:t>
      </w:r>
      <w:r>
        <w:rPr>
          <w:rFonts w:hint="eastAsia"/>
        </w:rPr>
        <w:t>风机经1</w:t>
      </w:r>
      <w:r>
        <w:t>#~6#</w:t>
      </w:r>
      <w:r>
        <w:rPr>
          <w:rFonts w:hint="eastAsia"/>
        </w:rPr>
        <w:t>场内道路接引，然后新建场内道路至村村通道路处，经改建村村通道路至城前村，然后至大湾，接着通过新建场内道路至8</w:t>
      </w:r>
      <w:r>
        <w:t>#~10#</w:t>
      </w:r>
      <w:r>
        <w:rPr>
          <w:rFonts w:hint="eastAsia"/>
        </w:rPr>
        <w:t>风机机位</w:t>
      </w:r>
      <w:r>
        <w:t>。</w:t>
      </w:r>
    </w:p>
    <w:p w14:paraId="68692120">
      <w:pPr>
        <w:adjustRightInd w:val="0"/>
        <w:snapToGrid w:val="0"/>
        <w:ind w:firstLine="480"/>
      </w:pPr>
      <w:r>
        <w:rPr>
          <w:rFonts w:hint="eastAsia"/>
        </w:rPr>
        <w:t>部分</w:t>
      </w:r>
      <w:r>
        <w:t>村村通道路需进行弯道改造及加宽才能满足大件运输要求。本项目风电场改建进场道路总长约10km。</w:t>
      </w:r>
    </w:p>
    <w:bookmarkEnd w:id="88"/>
    <w:p w14:paraId="2428C3CF">
      <w:pPr>
        <w:adjustRightInd w:val="0"/>
        <w:snapToGrid w:val="0"/>
        <w:ind w:firstLine="480"/>
      </w:pPr>
      <w:r>
        <w:t>（3）场内临时施工检修道路</w:t>
      </w:r>
    </w:p>
    <w:p w14:paraId="4AECA75A">
      <w:pPr>
        <w:adjustRightInd w:val="0"/>
        <w:snapToGrid w:val="0"/>
        <w:ind w:firstLine="480"/>
      </w:pPr>
      <w:bookmarkStart w:id="89" w:name="_Hlk142921023"/>
      <w:r>
        <w:t>衡阳县杉桥风电场</w:t>
      </w:r>
      <w:r>
        <w:rPr>
          <w:rFonts w:hint="eastAsia"/>
        </w:rPr>
        <w:t>工程</w:t>
      </w:r>
      <w:r>
        <w:t>风机布置较为分散，风机分布于各山顶或山脊上，场内主干道路及至各风机分支道路布置条件一般。</w:t>
      </w:r>
    </w:p>
    <w:p w14:paraId="73DD08A6">
      <w:pPr>
        <w:adjustRightInd w:val="0"/>
        <w:snapToGrid w:val="0"/>
        <w:ind w:firstLine="480"/>
      </w:pPr>
      <w:r>
        <w:t>改建的村村通道路接新建的场内道路至各风机机位处，场内道路设计考虑永临结合，主要考虑施工期间满足施工及设备运输的要求，后期用作检修道路。本项目施工检修道路长20.5km，</w:t>
      </w:r>
      <w:r>
        <w:rPr>
          <w:rFonts w:hint="eastAsia"/>
        </w:rPr>
        <w:t>其中新建场内道路1</w:t>
      </w:r>
      <w:r>
        <w:t>6.4</w:t>
      </w:r>
      <w:r>
        <w:rPr>
          <w:rFonts w:hint="eastAsia"/>
        </w:rPr>
        <w:t>km，改造场内道路4</w:t>
      </w:r>
      <w:r>
        <w:t>.1</w:t>
      </w:r>
      <w:r>
        <w:rPr>
          <w:rFonts w:hint="eastAsia"/>
        </w:rPr>
        <w:t>km</w:t>
      </w:r>
      <w:r>
        <w:t>。</w:t>
      </w:r>
    </w:p>
    <w:bookmarkEnd w:id="89"/>
    <w:p w14:paraId="01A1CA29">
      <w:pPr>
        <w:adjustRightInd w:val="0"/>
        <w:snapToGrid w:val="0"/>
        <w:ind w:firstLine="480"/>
      </w:pPr>
      <w:r>
        <w:t>场内道路设计考虑永临结合，施工期间为满足施工及设备运输要求，运输方式采用特种车辆运输，运行期满足检修维护的需要。场内道路设计标准：道路路面宽4.5m，路基宽5.5m，采用180mm厚泥结碎石层，最小转弯半径为25m，对应宽度为9.0m；压实度达到93%。主干道纵坡最大控制在14%以内，风机支路纵坡最大控制在18%以内。最小竖曲线半径为200m。场内道路施工要求做好道路两侧的排水设施及挡墙、护坡工程，防止山体滑坡等地质灾害。</w:t>
      </w:r>
    </w:p>
    <w:p w14:paraId="36D53221">
      <w:pPr>
        <w:adjustRightInd w:val="0"/>
        <w:snapToGrid w:val="0"/>
        <w:ind w:firstLine="480"/>
      </w:pPr>
      <w:r>
        <w:t>（4）进站道路</w:t>
      </w:r>
    </w:p>
    <w:p w14:paraId="2BF0EE6A">
      <w:pPr>
        <w:adjustRightInd w:val="0"/>
        <w:snapToGrid w:val="0"/>
        <w:ind w:firstLine="480"/>
      </w:pPr>
      <w:r>
        <w:t>本风电场新建一座110kV升压站，该升压站布置在本工程规划区域场地中部偏北位置，升压站进站道路可从站址南面的临时施工检修道路上引接，长约0.2km，路面宽度4.0m，路基宽度5.0m，公路型混凝土道路。</w:t>
      </w:r>
    </w:p>
    <w:p w14:paraId="54F70FF4">
      <w:pPr>
        <w:pStyle w:val="4"/>
        <w:tabs>
          <w:tab w:val="clear" w:pos="480"/>
          <w:tab w:val="clear" w:pos="630"/>
        </w:tabs>
        <w:adjustRightInd w:val="0"/>
        <w:snapToGrid w:val="0"/>
        <w:spacing w:before="0" w:after="0"/>
        <w:rPr>
          <w:sz w:val="30"/>
          <w:szCs w:val="30"/>
          <w:lang w:val="en-US"/>
        </w:rPr>
      </w:pPr>
      <w:bookmarkStart w:id="90" w:name="_Toc143799369"/>
      <w:r>
        <w:rPr>
          <w:sz w:val="30"/>
          <w:szCs w:val="30"/>
          <w:lang w:val="en-US"/>
        </w:rPr>
        <w:t>3.6</w:t>
      </w:r>
      <w:r>
        <w:rPr>
          <w:rFonts w:hint="eastAsia"/>
          <w:sz w:val="30"/>
          <w:szCs w:val="30"/>
          <w:lang w:val="en-US"/>
        </w:rPr>
        <w:t>工程占地和拆迁</w:t>
      </w:r>
      <w:bookmarkEnd w:id="86"/>
      <w:bookmarkEnd w:id="90"/>
    </w:p>
    <w:p w14:paraId="252BED5E">
      <w:pPr>
        <w:adjustRightInd w:val="0"/>
        <w:snapToGrid w:val="0"/>
        <w:ind w:firstLine="480"/>
      </w:pPr>
      <w:r>
        <w:rPr>
          <w:rFonts w:hint="eastAsia"/>
        </w:rPr>
        <w:t>（</w:t>
      </w:r>
      <w:r>
        <w:t>1</w:t>
      </w:r>
      <w:r>
        <w:rPr>
          <w:rFonts w:hint="eastAsia"/>
        </w:rPr>
        <w:t>）工程占地</w:t>
      </w:r>
    </w:p>
    <w:p w14:paraId="213DEDF1">
      <w:pPr>
        <w:adjustRightInd w:val="0"/>
        <w:snapToGrid w:val="0"/>
        <w:ind w:firstLine="480"/>
      </w:pPr>
      <w:r>
        <w:rPr>
          <w:rFonts w:hint="eastAsia"/>
        </w:rPr>
        <w:t>根据《衡阳县杉桥风电场项目水土保持方案报告书》可知，本项目总用地面积</w:t>
      </w:r>
      <w:r>
        <w:t>43.163</w:t>
      </w:r>
      <w:r>
        <w:rPr>
          <w:rFonts w:hint="eastAsia"/>
        </w:rPr>
        <w:t>hm</w:t>
      </w:r>
      <w:r>
        <w:rPr>
          <w:vertAlign w:val="superscript"/>
        </w:rPr>
        <w:t>2</w:t>
      </w:r>
      <w:r>
        <w:rPr>
          <w:rFonts w:hint="eastAsia"/>
        </w:rPr>
        <w:t>，其中永久用地</w:t>
      </w:r>
      <w:r>
        <w:t>1.163</w:t>
      </w:r>
      <w:r>
        <w:rPr>
          <w:rFonts w:hint="eastAsia"/>
        </w:rPr>
        <w:t>hm</w:t>
      </w:r>
      <w:r>
        <w:rPr>
          <w:vertAlign w:val="superscript"/>
        </w:rPr>
        <w:t>2</w:t>
      </w:r>
      <w:r>
        <w:rPr>
          <w:rFonts w:hint="eastAsia"/>
        </w:rPr>
        <w:t>，临时用地4</w:t>
      </w:r>
      <w:r>
        <w:t>2.0</w:t>
      </w:r>
      <w:r>
        <w:rPr>
          <w:rFonts w:hint="eastAsia"/>
        </w:rPr>
        <w:t>hm</w:t>
      </w:r>
      <w:r>
        <w:rPr>
          <w:vertAlign w:val="superscript"/>
        </w:rPr>
        <w:t>2</w:t>
      </w:r>
      <w:r>
        <w:rPr>
          <w:rFonts w:hint="eastAsia"/>
        </w:rPr>
        <w:t>。具体见下表及说明。</w:t>
      </w:r>
    </w:p>
    <w:p w14:paraId="5FDDF244">
      <w:pPr>
        <w:tabs>
          <w:tab w:val="clear" w:pos="480"/>
        </w:tabs>
        <w:spacing w:line="240" w:lineRule="auto"/>
        <w:ind w:firstLine="0" w:firstLineChars="0"/>
        <w:jc w:val="center"/>
        <w:rPr>
          <w:b/>
          <w:bCs/>
        </w:rPr>
      </w:pPr>
      <w:r>
        <w:rPr>
          <w:rFonts w:hint="eastAsia"/>
          <w:b/>
          <w:bCs/>
        </w:rPr>
        <w:t>表</w:t>
      </w:r>
      <w:r>
        <w:rPr>
          <w:b/>
          <w:bCs/>
        </w:rPr>
        <w:t>3.6-1</w:t>
      </w:r>
      <w:r>
        <w:rPr>
          <w:rFonts w:hint="eastAsia"/>
          <w:b/>
          <w:bCs/>
        </w:rPr>
        <w:t>项目占地情况一览表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973"/>
        <w:gridCol w:w="1871"/>
        <w:gridCol w:w="1018"/>
        <w:gridCol w:w="848"/>
        <w:gridCol w:w="848"/>
        <w:gridCol w:w="1018"/>
        <w:gridCol w:w="1022"/>
        <w:gridCol w:w="929"/>
      </w:tblGrid>
      <w:tr w14:paraId="095D81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Merge w:val="restart"/>
            <w:vAlign w:val="center"/>
          </w:tcPr>
          <w:p w14:paraId="60A411FD">
            <w:pPr>
              <w:tabs>
                <w:tab w:val="clear" w:pos="480"/>
              </w:tabs>
              <w:adjustRightInd w:val="0"/>
              <w:snapToGrid w:val="0"/>
              <w:spacing w:line="240" w:lineRule="auto"/>
              <w:ind w:firstLine="0" w:firstLineChars="0"/>
              <w:jc w:val="center"/>
              <w:rPr>
                <w:kern w:val="0"/>
                <w:sz w:val="18"/>
                <w:szCs w:val="18"/>
              </w:rPr>
            </w:pPr>
            <w:r>
              <w:rPr>
                <w:kern w:val="0"/>
                <w:sz w:val="18"/>
                <w:szCs w:val="18"/>
              </w:rPr>
              <w:t>项 目</w:t>
            </w:r>
          </w:p>
        </w:tc>
        <w:tc>
          <w:tcPr>
            <w:tcW w:w="597" w:type="pct"/>
            <w:vMerge w:val="restart"/>
            <w:vAlign w:val="center"/>
          </w:tcPr>
          <w:p w14:paraId="1152F759">
            <w:pPr>
              <w:tabs>
                <w:tab w:val="clear" w:pos="480"/>
              </w:tabs>
              <w:adjustRightInd w:val="0"/>
              <w:snapToGrid w:val="0"/>
              <w:spacing w:line="240" w:lineRule="auto"/>
              <w:ind w:firstLine="0" w:firstLineChars="0"/>
              <w:jc w:val="center"/>
              <w:rPr>
                <w:kern w:val="0"/>
                <w:sz w:val="18"/>
                <w:szCs w:val="18"/>
              </w:rPr>
            </w:pPr>
            <w:r>
              <w:rPr>
                <w:kern w:val="0"/>
                <w:sz w:val="18"/>
                <w:szCs w:val="18"/>
              </w:rPr>
              <w:t>总面积(hm</w:t>
            </w:r>
            <w:r>
              <w:rPr>
                <w:kern w:val="0"/>
                <w:sz w:val="18"/>
                <w:szCs w:val="18"/>
                <w:vertAlign w:val="superscript"/>
              </w:rPr>
              <w:t>2</w:t>
            </w:r>
            <w:r>
              <w:rPr>
                <w:kern w:val="0"/>
                <w:sz w:val="18"/>
                <w:szCs w:val="18"/>
              </w:rPr>
              <w:t>)</w:t>
            </w:r>
          </w:p>
        </w:tc>
        <w:tc>
          <w:tcPr>
            <w:tcW w:w="1591" w:type="pct"/>
            <w:gridSpan w:val="3"/>
            <w:vAlign w:val="center"/>
          </w:tcPr>
          <w:p w14:paraId="36E7BC0B">
            <w:pPr>
              <w:tabs>
                <w:tab w:val="clear" w:pos="480"/>
              </w:tabs>
              <w:adjustRightInd w:val="0"/>
              <w:snapToGrid w:val="0"/>
              <w:spacing w:line="240" w:lineRule="auto"/>
              <w:ind w:firstLine="0" w:firstLineChars="0"/>
              <w:jc w:val="center"/>
              <w:rPr>
                <w:kern w:val="0"/>
                <w:sz w:val="18"/>
                <w:szCs w:val="18"/>
              </w:rPr>
            </w:pPr>
            <w:r>
              <w:rPr>
                <w:kern w:val="0"/>
                <w:sz w:val="18"/>
                <w:szCs w:val="18"/>
              </w:rPr>
              <w:t>用地类型及面积(hm</w:t>
            </w:r>
            <w:r>
              <w:rPr>
                <w:kern w:val="0"/>
                <w:sz w:val="18"/>
                <w:szCs w:val="18"/>
                <w:vertAlign w:val="superscript"/>
              </w:rPr>
              <w:t>2</w:t>
            </w:r>
            <w:r>
              <w:rPr>
                <w:kern w:val="0"/>
                <w:sz w:val="18"/>
                <w:szCs w:val="18"/>
              </w:rPr>
              <w:t>)</w:t>
            </w:r>
          </w:p>
        </w:tc>
        <w:tc>
          <w:tcPr>
            <w:tcW w:w="1144" w:type="pct"/>
            <w:gridSpan w:val="2"/>
            <w:vAlign w:val="center"/>
          </w:tcPr>
          <w:p w14:paraId="7325BA00">
            <w:pPr>
              <w:tabs>
                <w:tab w:val="clear" w:pos="480"/>
              </w:tabs>
              <w:adjustRightInd w:val="0"/>
              <w:snapToGrid w:val="0"/>
              <w:spacing w:line="240" w:lineRule="auto"/>
              <w:ind w:firstLine="0" w:firstLineChars="0"/>
              <w:jc w:val="center"/>
              <w:rPr>
                <w:kern w:val="0"/>
                <w:sz w:val="18"/>
                <w:szCs w:val="18"/>
              </w:rPr>
            </w:pPr>
            <w:r>
              <w:rPr>
                <w:kern w:val="0"/>
                <w:sz w:val="18"/>
                <w:szCs w:val="18"/>
              </w:rPr>
              <w:t>占地性质(hm</w:t>
            </w:r>
            <w:r>
              <w:rPr>
                <w:kern w:val="0"/>
                <w:sz w:val="18"/>
                <w:szCs w:val="18"/>
                <w:vertAlign w:val="superscript"/>
              </w:rPr>
              <w:t>2</w:t>
            </w:r>
            <w:r>
              <w:rPr>
                <w:kern w:val="0"/>
                <w:sz w:val="18"/>
                <w:szCs w:val="18"/>
              </w:rPr>
              <w:t>)</w:t>
            </w:r>
          </w:p>
        </w:tc>
      </w:tr>
      <w:tr w14:paraId="4AF3D3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Merge w:val="continue"/>
            <w:vAlign w:val="center"/>
          </w:tcPr>
          <w:p w14:paraId="633223EB">
            <w:pPr>
              <w:tabs>
                <w:tab w:val="clear" w:pos="480"/>
              </w:tabs>
              <w:adjustRightInd w:val="0"/>
              <w:snapToGrid w:val="0"/>
              <w:spacing w:line="240" w:lineRule="auto"/>
              <w:ind w:firstLine="0" w:firstLineChars="0"/>
              <w:jc w:val="center"/>
              <w:rPr>
                <w:kern w:val="0"/>
                <w:sz w:val="18"/>
                <w:szCs w:val="18"/>
              </w:rPr>
            </w:pPr>
          </w:p>
        </w:tc>
        <w:tc>
          <w:tcPr>
            <w:tcW w:w="597" w:type="pct"/>
            <w:vMerge w:val="continue"/>
            <w:vAlign w:val="center"/>
          </w:tcPr>
          <w:p w14:paraId="1598D686">
            <w:pPr>
              <w:tabs>
                <w:tab w:val="clear" w:pos="480"/>
              </w:tabs>
              <w:adjustRightInd w:val="0"/>
              <w:snapToGrid w:val="0"/>
              <w:spacing w:line="240" w:lineRule="auto"/>
              <w:ind w:firstLine="0" w:firstLineChars="0"/>
              <w:jc w:val="center"/>
              <w:rPr>
                <w:kern w:val="0"/>
                <w:sz w:val="18"/>
                <w:szCs w:val="18"/>
              </w:rPr>
            </w:pPr>
          </w:p>
        </w:tc>
        <w:tc>
          <w:tcPr>
            <w:tcW w:w="497" w:type="pct"/>
            <w:vAlign w:val="center"/>
          </w:tcPr>
          <w:p w14:paraId="236A9897">
            <w:pPr>
              <w:tabs>
                <w:tab w:val="clear" w:pos="480"/>
              </w:tabs>
              <w:adjustRightInd w:val="0"/>
              <w:snapToGrid w:val="0"/>
              <w:spacing w:line="240" w:lineRule="auto"/>
              <w:ind w:firstLine="0" w:firstLineChars="0"/>
              <w:jc w:val="center"/>
              <w:rPr>
                <w:kern w:val="0"/>
                <w:sz w:val="18"/>
                <w:szCs w:val="18"/>
              </w:rPr>
            </w:pPr>
            <w:r>
              <w:rPr>
                <w:kern w:val="0"/>
                <w:sz w:val="18"/>
                <w:szCs w:val="18"/>
              </w:rPr>
              <w:t>草地</w:t>
            </w:r>
          </w:p>
        </w:tc>
        <w:tc>
          <w:tcPr>
            <w:tcW w:w="497" w:type="pct"/>
            <w:vAlign w:val="center"/>
          </w:tcPr>
          <w:p w14:paraId="4B6C9E63">
            <w:pPr>
              <w:tabs>
                <w:tab w:val="clear" w:pos="480"/>
              </w:tabs>
              <w:adjustRightInd w:val="0"/>
              <w:snapToGrid w:val="0"/>
              <w:spacing w:line="240" w:lineRule="auto"/>
              <w:ind w:firstLine="0" w:firstLineChars="0"/>
              <w:jc w:val="center"/>
              <w:rPr>
                <w:kern w:val="0"/>
                <w:sz w:val="18"/>
                <w:szCs w:val="18"/>
              </w:rPr>
            </w:pPr>
            <w:r>
              <w:rPr>
                <w:kern w:val="0"/>
                <w:sz w:val="18"/>
                <w:szCs w:val="18"/>
              </w:rPr>
              <w:t>林地</w:t>
            </w:r>
          </w:p>
        </w:tc>
        <w:tc>
          <w:tcPr>
            <w:tcW w:w="597" w:type="pct"/>
            <w:vAlign w:val="center"/>
          </w:tcPr>
          <w:p w14:paraId="21052B63">
            <w:pPr>
              <w:tabs>
                <w:tab w:val="clear" w:pos="480"/>
              </w:tabs>
              <w:adjustRightInd w:val="0"/>
              <w:snapToGrid w:val="0"/>
              <w:spacing w:line="240" w:lineRule="auto"/>
              <w:ind w:firstLine="0" w:firstLineChars="0"/>
              <w:jc w:val="center"/>
              <w:rPr>
                <w:kern w:val="0"/>
                <w:sz w:val="18"/>
                <w:szCs w:val="18"/>
              </w:rPr>
            </w:pPr>
            <w:r>
              <w:rPr>
                <w:kern w:val="0"/>
                <w:sz w:val="18"/>
                <w:szCs w:val="18"/>
              </w:rPr>
              <w:t>公路用地</w:t>
            </w:r>
          </w:p>
        </w:tc>
        <w:tc>
          <w:tcPr>
            <w:tcW w:w="599" w:type="pct"/>
            <w:vAlign w:val="center"/>
          </w:tcPr>
          <w:p w14:paraId="5E5E2C43">
            <w:pPr>
              <w:tabs>
                <w:tab w:val="clear" w:pos="480"/>
              </w:tabs>
              <w:adjustRightInd w:val="0"/>
              <w:snapToGrid w:val="0"/>
              <w:spacing w:line="240" w:lineRule="auto"/>
              <w:ind w:firstLine="0" w:firstLineChars="0"/>
              <w:jc w:val="center"/>
              <w:rPr>
                <w:kern w:val="0"/>
                <w:sz w:val="18"/>
                <w:szCs w:val="18"/>
              </w:rPr>
            </w:pPr>
            <w:r>
              <w:rPr>
                <w:kern w:val="0"/>
                <w:sz w:val="18"/>
                <w:szCs w:val="18"/>
              </w:rPr>
              <w:t>永久用地</w:t>
            </w:r>
          </w:p>
        </w:tc>
        <w:tc>
          <w:tcPr>
            <w:tcW w:w="545" w:type="pct"/>
            <w:vAlign w:val="center"/>
          </w:tcPr>
          <w:p w14:paraId="5DD4E220">
            <w:pPr>
              <w:tabs>
                <w:tab w:val="clear" w:pos="480"/>
              </w:tabs>
              <w:adjustRightInd w:val="0"/>
              <w:snapToGrid w:val="0"/>
              <w:spacing w:line="240" w:lineRule="auto"/>
              <w:ind w:firstLine="0" w:firstLineChars="0"/>
              <w:jc w:val="center"/>
              <w:rPr>
                <w:kern w:val="0"/>
                <w:sz w:val="18"/>
                <w:szCs w:val="18"/>
              </w:rPr>
            </w:pPr>
            <w:r>
              <w:rPr>
                <w:kern w:val="0"/>
                <w:sz w:val="18"/>
                <w:szCs w:val="18"/>
              </w:rPr>
              <w:t>临时用地</w:t>
            </w:r>
          </w:p>
        </w:tc>
      </w:tr>
      <w:tr w14:paraId="53D8ABF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571" w:type="pct"/>
            <w:vMerge w:val="restart"/>
            <w:vAlign w:val="center"/>
          </w:tcPr>
          <w:p w14:paraId="06F34827">
            <w:pPr>
              <w:tabs>
                <w:tab w:val="clear" w:pos="480"/>
              </w:tabs>
              <w:adjustRightInd w:val="0"/>
              <w:snapToGrid w:val="0"/>
              <w:spacing w:line="240" w:lineRule="auto"/>
              <w:ind w:firstLine="0" w:firstLineChars="0"/>
              <w:jc w:val="center"/>
              <w:rPr>
                <w:kern w:val="0"/>
                <w:sz w:val="18"/>
                <w:szCs w:val="18"/>
              </w:rPr>
            </w:pPr>
            <w:r>
              <w:rPr>
                <w:kern w:val="0"/>
                <w:sz w:val="18"/>
                <w:szCs w:val="18"/>
              </w:rPr>
              <w:t>风机平台区</w:t>
            </w:r>
          </w:p>
        </w:tc>
        <w:tc>
          <w:tcPr>
            <w:tcW w:w="1097" w:type="pct"/>
            <w:vAlign w:val="center"/>
          </w:tcPr>
          <w:p w14:paraId="3E23B1C5">
            <w:pPr>
              <w:tabs>
                <w:tab w:val="clear" w:pos="480"/>
              </w:tabs>
              <w:adjustRightInd w:val="0"/>
              <w:snapToGrid w:val="0"/>
              <w:spacing w:line="240" w:lineRule="auto"/>
              <w:ind w:firstLine="0" w:firstLineChars="0"/>
              <w:jc w:val="center"/>
              <w:rPr>
                <w:kern w:val="0"/>
                <w:sz w:val="18"/>
                <w:szCs w:val="18"/>
              </w:rPr>
            </w:pPr>
            <w:r>
              <w:rPr>
                <w:kern w:val="0"/>
                <w:sz w:val="18"/>
                <w:szCs w:val="18"/>
              </w:rPr>
              <w:t>风机及箱变基础</w:t>
            </w:r>
          </w:p>
        </w:tc>
        <w:tc>
          <w:tcPr>
            <w:tcW w:w="597" w:type="pct"/>
            <w:vAlign w:val="center"/>
          </w:tcPr>
          <w:p w14:paraId="7A67B5D8">
            <w:pPr>
              <w:tabs>
                <w:tab w:val="clear" w:pos="480"/>
              </w:tabs>
              <w:adjustRightInd w:val="0"/>
              <w:snapToGrid w:val="0"/>
              <w:spacing w:line="240" w:lineRule="auto"/>
              <w:ind w:firstLine="0" w:firstLineChars="0"/>
              <w:jc w:val="center"/>
              <w:rPr>
                <w:kern w:val="0"/>
                <w:sz w:val="18"/>
                <w:szCs w:val="18"/>
              </w:rPr>
            </w:pPr>
            <w:r>
              <w:rPr>
                <w:kern w:val="0"/>
                <w:sz w:val="18"/>
                <w:szCs w:val="18"/>
              </w:rPr>
              <w:t>0.45</w:t>
            </w:r>
          </w:p>
        </w:tc>
        <w:tc>
          <w:tcPr>
            <w:tcW w:w="497" w:type="pct"/>
            <w:vAlign w:val="center"/>
          </w:tcPr>
          <w:p w14:paraId="77B81328">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497" w:type="pct"/>
            <w:vAlign w:val="center"/>
          </w:tcPr>
          <w:p w14:paraId="6BC3D0C0">
            <w:pPr>
              <w:tabs>
                <w:tab w:val="clear" w:pos="480"/>
              </w:tabs>
              <w:adjustRightInd w:val="0"/>
              <w:snapToGrid w:val="0"/>
              <w:spacing w:line="240" w:lineRule="auto"/>
              <w:ind w:firstLine="0" w:firstLineChars="0"/>
              <w:jc w:val="center"/>
              <w:rPr>
                <w:kern w:val="0"/>
                <w:sz w:val="18"/>
                <w:szCs w:val="18"/>
              </w:rPr>
            </w:pPr>
            <w:r>
              <w:rPr>
                <w:kern w:val="0"/>
                <w:sz w:val="18"/>
                <w:szCs w:val="18"/>
              </w:rPr>
              <w:t>0.45</w:t>
            </w:r>
          </w:p>
        </w:tc>
        <w:tc>
          <w:tcPr>
            <w:tcW w:w="597" w:type="pct"/>
            <w:vAlign w:val="center"/>
          </w:tcPr>
          <w:p w14:paraId="522C5341">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99" w:type="pct"/>
            <w:vAlign w:val="center"/>
          </w:tcPr>
          <w:p w14:paraId="0982C80C">
            <w:pPr>
              <w:tabs>
                <w:tab w:val="clear" w:pos="480"/>
              </w:tabs>
              <w:adjustRightInd w:val="0"/>
              <w:snapToGrid w:val="0"/>
              <w:spacing w:line="240" w:lineRule="auto"/>
              <w:ind w:firstLine="0" w:firstLineChars="0"/>
              <w:jc w:val="center"/>
              <w:rPr>
                <w:kern w:val="0"/>
                <w:sz w:val="18"/>
                <w:szCs w:val="18"/>
              </w:rPr>
            </w:pPr>
            <w:r>
              <w:rPr>
                <w:kern w:val="0"/>
                <w:sz w:val="18"/>
                <w:szCs w:val="18"/>
              </w:rPr>
              <w:t>0.45</w:t>
            </w:r>
          </w:p>
        </w:tc>
        <w:tc>
          <w:tcPr>
            <w:tcW w:w="545" w:type="pct"/>
            <w:vAlign w:val="center"/>
          </w:tcPr>
          <w:p w14:paraId="79412941">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r>
      <w:tr w14:paraId="136C24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571" w:type="pct"/>
            <w:vMerge w:val="continue"/>
            <w:vAlign w:val="center"/>
          </w:tcPr>
          <w:p w14:paraId="3A49ADE5">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37A10681">
            <w:pPr>
              <w:tabs>
                <w:tab w:val="clear" w:pos="480"/>
              </w:tabs>
              <w:adjustRightInd w:val="0"/>
              <w:snapToGrid w:val="0"/>
              <w:spacing w:line="240" w:lineRule="auto"/>
              <w:ind w:firstLine="0" w:firstLineChars="0"/>
              <w:jc w:val="center"/>
              <w:rPr>
                <w:kern w:val="0"/>
                <w:sz w:val="18"/>
                <w:szCs w:val="18"/>
              </w:rPr>
            </w:pPr>
            <w:r>
              <w:rPr>
                <w:kern w:val="0"/>
                <w:sz w:val="18"/>
                <w:szCs w:val="18"/>
              </w:rPr>
              <w:t>风机安装场地</w:t>
            </w:r>
          </w:p>
        </w:tc>
        <w:tc>
          <w:tcPr>
            <w:tcW w:w="597" w:type="pct"/>
            <w:vAlign w:val="center"/>
          </w:tcPr>
          <w:p w14:paraId="37835450">
            <w:pPr>
              <w:tabs>
                <w:tab w:val="clear" w:pos="480"/>
              </w:tabs>
              <w:adjustRightInd w:val="0"/>
              <w:snapToGrid w:val="0"/>
              <w:spacing w:line="240" w:lineRule="auto"/>
              <w:ind w:firstLine="0" w:firstLineChars="0"/>
              <w:jc w:val="center"/>
              <w:rPr>
                <w:kern w:val="0"/>
                <w:sz w:val="18"/>
                <w:szCs w:val="18"/>
              </w:rPr>
            </w:pPr>
            <w:r>
              <w:rPr>
                <w:kern w:val="0"/>
                <w:sz w:val="18"/>
                <w:szCs w:val="18"/>
              </w:rPr>
              <w:t>3.0</w:t>
            </w:r>
          </w:p>
        </w:tc>
        <w:tc>
          <w:tcPr>
            <w:tcW w:w="497" w:type="pct"/>
            <w:vAlign w:val="center"/>
          </w:tcPr>
          <w:p w14:paraId="4446458C">
            <w:pPr>
              <w:tabs>
                <w:tab w:val="clear" w:pos="480"/>
              </w:tabs>
              <w:adjustRightInd w:val="0"/>
              <w:snapToGrid w:val="0"/>
              <w:spacing w:line="240" w:lineRule="auto"/>
              <w:ind w:firstLine="0" w:firstLineChars="0"/>
              <w:jc w:val="center"/>
              <w:rPr>
                <w:kern w:val="0"/>
                <w:sz w:val="18"/>
                <w:szCs w:val="18"/>
              </w:rPr>
            </w:pPr>
            <w:r>
              <w:rPr>
                <w:kern w:val="0"/>
                <w:sz w:val="18"/>
                <w:szCs w:val="18"/>
              </w:rPr>
              <w:t>0.42</w:t>
            </w:r>
          </w:p>
        </w:tc>
        <w:tc>
          <w:tcPr>
            <w:tcW w:w="497" w:type="pct"/>
            <w:vAlign w:val="center"/>
          </w:tcPr>
          <w:p w14:paraId="56E6E672">
            <w:pPr>
              <w:tabs>
                <w:tab w:val="clear" w:pos="480"/>
              </w:tabs>
              <w:adjustRightInd w:val="0"/>
              <w:snapToGrid w:val="0"/>
              <w:spacing w:line="240" w:lineRule="auto"/>
              <w:ind w:firstLine="0" w:firstLineChars="0"/>
              <w:jc w:val="center"/>
              <w:rPr>
                <w:kern w:val="0"/>
                <w:sz w:val="18"/>
                <w:szCs w:val="18"/>
              </w:rPr>
            </w:pPr>
            <w:r>
              <w:rPr>
                <w:kern w:val="0"/>
                <w:sz w:val="18"/>
                <w:szCs w:val="18"/>
              </w:rPr>
              <w:t>2.58</w:t>
            </w:r>
          </w:p>
        </w:tc>
        <w:tc>
          <w:tcPr>
            <w:tcW w:w="597" w:type="pct"/>
            <w:vAlign w:val="center"/>
          </w:tcPr>
          <w:p w14:paraId="73239467">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99" w:type="pct"/>
            <w:vAlign w:val="center"/>
          </w:tcPr>
          <w:p w14:paraId="37013053">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45" w:type="pct"/>
            <w:vAlign w:val="center"/>
          </w:tcPr>
          <w:p w14:paraId="43A7B233">
            <w:pPr>
              <w:tabs>
                <w:tab w:val="clear" w:pos="480"/>
              </w:tabs>
              <w:adjustRightInd w:val="0"/>
              <w:snapToGrid w:val="0"/>
              <w:spacing w:line="240" w:lineRule="auto"/>
              <w:ind w:firstLine="0" w:firstLineChars="0"/>
              <w:jc w:val="center"/>
              <w:rPr>
                <w:kern w:val="0"/>
                <w:sz w:val="18"/>
                <w:szCs w:val="18"/>
              </w:rPr>
            </w:pPr>
            <w:r>
              <w:rPr>
                <w:kern w:val="0"/>
                <w:sz w:val="18"/>
                <w:szCs w:val="18"/>
              </w:rPr>
              <w:t>3.0</w:t>
            </w:r>
          </w:p>
        </w:tc>
      </w:tr>
      <w:tr w14:paraId="4691E4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36BD16AD">
            <w:pPr>
              <w:tabs>
                <w:tab w:val="clear" w:pos="480"/>
              </w:tabs>
              <w:adjustRightInd w:val="0"/>
              <w:snapToGrid w:val="0"/>
              <w:spacing w:line="240" w:lineRule="auto"/>
              <w:ind w:firstLine="0" w:firstLineChars="0"/>
              <w:jc w:val="center"/>
              <w:rPr>
                <w:kern w:val="0"/>
                <w:sz w:val="18"/>
                <w:szCs w:val="18"/>
              </w:rPr>
            </w:pPr>
            <w:r>
              <w:rPr>
                <w:kern w:val="0"/>
                <w:sz w:val="18"/>
                <w:szCs w:val="18"/>
              </w:rPr>
              <w:t>小计</w:t>
            </w:r>
          </w:p>
        </w:tc>
        <w:tc>
          <w:tcPr>
            <w:tcW w:w="597" w:type="pct"/>
            <w:vAlign w:val="center"/>
          </w:tcPr>
          <w:p w14:paraId="0F1BB87A">
            <w:pPr>
              <w:widowControl/>
              <w:tabs>
                <w:tab w:val="clear" w:pos="480"/>
              </w:tabs>
              <w:adjustRightInd w:val="0"/>
              <w:snapToGrid w:val="0"/>
              <w:spacing w:line="240" w:lineRule="auto"/>
              <w:ind w:firstLine="0" w:firstLineChars="0"/>
              <w:jc w:val="center"/>
              <w:rPr>
                <w:kern w:val="0"/>
                <w:sz w:val="18"/>
                <w:szCs w:val="18"/>
              </w:rPr>
            </w:pPr>
            <w:r>
              <w:rPr>
                <w:kern w:val="0"/>
                <w:sz w:val="18"/>
                <w:szCs w:val="18"/>
              </w:rPr>
              <w:t>3.45</w:t>
            </w:r>
          </w:p>
        </w:tc>
        <w:tc>
          <w:tcPr>
            <w:tcW w:w="497" w:type="pct"/>
            <w:vAlign w:val="center"/>
          </w:tcPr>
          <w:p w14:paraId="3580DAB1">
            <w:pPr>
              <w:tabs>
                <w:tab w:val="clear" w:pos="480"/>
              </w:tabs>
              <w:adjustRightInd w:val="0"/>
              <w:snapToGrid w:val="0"/>
              <w:spacing w:line="240" w:lineRule="auto"/>
              <w:ind w:firstLine="0" w:firstLineChars="0"/>
              <w:jc w:val="center"/>
              <w:rPr>
                <w:kern w:val="0"/>
                <w:sz w:val="18"/>
                <w:szCs w:val="18"/>
              </w:rPr>
            </w:pPr>
            <w:r>
              <w:rPr>
                <w:kern w:val="0"/>
                <w:sz w:val="18"/>
                <w:szCs w:val="18"/>
              </w:rPr>
              <w:t>0.42</w:t>
            </w:r>
          </w:p>
        </w:tc>
        <w:tc>
          <w:tcPr>
            <w:tcW w:w="497" w:type="pct"/>
            <w:vAlign w:val="center"/>
          </w:tcPr>
          <w:p w14:paraId="2B527EE3">
            <w:pPr>
              <w:tabs>
                <w:tab w:val="clear" w:pos="480"/>
              </w:tabs>
              <w:adjustRightInd w:val="0"/>
              <w:snapToGrid w:val="0"/>
              <w:spacing w:line="240" w:lineRule="auto"/>
              <w:ind w:firstLine="0" w:firstLineChars="0"/>
              <w:jc w:val="center"/>
              <w:rPr>
                <w:kern w:val="0"/>
                <w:sz w:val="18"/>
                <w:szCs w:val="18"/>
              </w:rPr>
            </w:pPr>
            <w:r>
              <w:rPr>
                <w:kern w:val="0"/>
                <w:sz w:val="18"/>
                <w:szCs w:val="18"/>
              </w:rPr>
              <w:t>3.03</w:t>
            </w:r>
          </w:p>
        </w:tc>
        <w:tc>
          <w:tcPr>
            <w:tcW w:w="597" w:type="pct"/>
            <w:vAlign w:val="center"/>
          </w:tcPr>
          <w:p w14:paraId="16DA81FD">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99" w:type="pct"/>
            <w:vAlign w:val="center"/>
          </w:tcPr>
          <w:p w14:paraId="57B9913D">
            <w:pPr>
              <w:tabs>
                <w:tab w:val="clear" w:pos="480"/>
              </w:tabs>
              <w:adjustRightInd w:val="0"/>
              <w:snapToGrid w:val="0"/>
              <w:spacing w:line="240" w:lineRule="auto"/>
              <w:ind w:firstLine="0" w:firstLineChars="0"/>
              <w:jc w:val="center"/>
              <w:rPr>
                <w:kern w:val="0"/>
                <w:sz w:val="18"/>
                <w:szCs w:val="18"/>
              </w:rPr>
            </w:pPr>
            <w:r>
              <w:rPr>
                <w:kern w:val="0"/>
                <w:sz w:val="18"/>
                <w:szCs w:val="18"/>
              </w:rPr>
              <w:t>0.45</w:t>
            </w:r>
          </w:p>
        </w:tc>
        <w:tc>
          <w:tcPr>
            <w:tcW w:w="545" w:type="pct"/>
            <w:vAlign w:val="center"/>
          </w:tcPr>
          <w:p w14:paraId="0505B232">
            <w:pPr>
              <w:tabs>
                <w:tab w:val="clear" w:pos="480"/>
              </w:tabs>
              <w:adjustRightInd w:val="0"/>
              <w:snapToGrid w:val="0"/>
              <w:spacing w:line="240" w:lineRule="auto"/>
              <w:ind w:firstLine="0" w:firstLineChars="0"/>
              <w:jc w:val="center"/>
              <w:rPr>
                <w:kern w:val="0"/>
                <w:sz w:val="18"/>
                <w:szCs w:val="18"/>
              </w:rPr>
            </w:pPr>
            <w:r>
              <w:rPr>
                <w:kern w:val="0"/>
                <w:sz w:val="18"/>
                <w:szCs w:val="18"/>
              </w:rPr>
              <w:t>3.0</w:t>
            </w:r>
          </w:p>
        </w:tc>
      </w:tr>
      <w:tr w14:paraId="0888CE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571" w:type="pct"/>
            <w:vMerge w:val="restart"/>
            <w:vAlign w:val="center"/>
          </w:tcPr>
          <w:p w14:paraId="65EE8560">
            <w:pPr>
              <w:tabs>
                <w:tab w:val="clear" w:pos="480"/>
              </w:tabs>
              <w:adjustRightInd w:val="0"/>
              <w:snapToGrid w:val="0"/>
              <w:spacing w:line="240" w:lineRule="auto"/>
              <w:ind w:firstLine="0" w:firstLineChars="0"/>
              <w:jc w:val="center"/>
              <w:rPr>
                <w:kern w:val="0"/>
                <w:sz w:val="18"/>
                <w:szCs w:val="18"/>
              </w:rPr>
            </w:pPr>
            <w:r>
              <w:rPr>
                <w:kern w:val="0"/>
                <w:sz w:val="18"/>
                <w:szCs w:val="18"/>
              </w:rPr>
              <w:t>道路工程区</w:t>
            </w:r>
          </w:p>
        </w:tc>
        <w:tc>
          <w:tcPr>
            <w:tcW w:w="1097" w:type="pct"/>
            <w:vAlign w:val="center"/>
          </w:tcPr>
          <w:p w14:paraId="0A7FA612">
            <w:pPr>
              <w:tabs>
                <w:tab w:val="clear" w:pos="480"/>
              </w:tabs>
              <w:adjustRightInd w:val="0"/>
              <w:snapToGrid w:val="0"/>
              <w:spacing w:line="240" w:lineRule="auto"/>
              <w:ind w:firstLine="0" w:firstLineChars="0"/>
              <w:jc w:val="center"/>
              <w:rPr>
                <w:kern w:val="0"/>
                <w:sz w:val="18"/>
                <w:szCs w:val="18"/>
              </w:rPr>
            </w:pPr>
            <w:r>
              <w:rPr>
                <w:kern w:val="0"/>
                <w:sz w:val="18"/>
                <w:szCs w:val="18"/>
              </w:rPr>
              <w:t>进场道路</w:t>
            </w:r>
          </w:p>
        </w:tc>
        <w:tc>
          <w:tcPr>
            <w:tcW w:w="597" w:type="pct"/>
            <w:vAlign w:val="center"/>
          </w:tcPr>
          <w:p w14:paraId="5E12AD1F">
            <w:pPr>
              <w:tabs>
                <w:tab w:val="clear" w:pos="480"/>
              </w:tabs>
              <w:adjustRightInd w:val="0"/>
              <w:snapToGrid w:val="0"/>
              <w:spacing w:line="240" w:lineRule="auto"/>
              <w:ind w:firstLine="0" w:firstLineChars="0"/>
              <w:jc w:val="center"/>
              <w:rPr>
                <w:kern w:val="0"/>
                <w:sz w:val="18"/>
                <w:szCs w:val="18"/>
              </w:rPr>
            </w:pPr>
            <w:r>
              <w:rPr>
                <w:kern w:val="0"/>
                <w:sz w:val="18"/>
                <w:szCs w:val="18"/>
              </w:rPr>
              <w:t>2.90</w:t>
            </w:r>
          </w:p>
        </w:tc>
        <w:tc>
          <w:tcPr>
            <w:tcW w:w="497" w:type="pct"/>
            <w:vAlign w:val="center"/>
          </w:tcPr>
          <w:p w14:paraId="0D885B07">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.36</w:t>
            </w:r>
          </w:p>
        </w:tc>
        <w:tc>
          <w:tcPr>
            <w:tcW w:w="497" w:type="pct"/>
            <w:vAlign w:val="center"/>
          </w:tcPr>
          <w:p w14:paraId="4318CA1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.86</w:t>
            </w:r>
          </w:p>
        </w:tc>
        <w:tc>
          <w:tcPr>
            <w:tcW w:w="597" w:type="pct"/>
            <w:vAlign w:val="center"/>
          </w:tcPr>
          <w:p w14:paraId="290D0D07">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.68</w:t>
            </w:r>
          </w:p>
        </w:tc>
        <w:tc>
          <w:tcPr>
            <w:tcW w:w="599" w:type="pct"/>
            <w:vAlign w:val="center"/>
          </w:tcPr>
          <w:p w14:paraId="74B97C0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45" w:type="pct"/>
            <w:vAlign w:val="center"/>
          </w:tcPr>
          <w:p w14:paraId="0AD78152">
            <w:pPr>
              <w:tabs>
                <w:tab w:val="clear" w:pos="480"/>
              </w:tabs>
              <w:adjustRightInd w:val="0"/>
              <w:snapToGrid w:val="0"/>
              <w:spacing w:line="240" w:lineRule="auto"/>
              <w:ind w:firstLine="0" w:firstLineChars="0"/>
              <w:jc w:val="center"/>
              <w:rPr>
                <w:kern w:val="0"/>
                <w:sz w:val="18"/>
                <w:szCs w:val="18"/>
              </w:rPr>
            </w:pPr>
            <w:r>
              <w:rPr>
                <w:kern w:val="0"/>
                <w:sz w:val="18"/>
                <w:szCs w:val="18"/>
              </w:rPr>
              <w:t>2.90</w:t>
            </w:r>
          </w:p>
        </w:tc>
      </w:tr>
      <w:tr w14:paraId="7F2585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571" w:type="pct"/>
            <w:vMerge w:val="continue"/>
            <w:vAlign w:val="center"/>
          </w:tcPr>
          <w:p w14:paraId="0369C88E">
            <w:pPr>
              <w:tabs>
                <w:tab w:val="clear" w:pos="480"/>
              </w:tabs>
              <w:adjustRightInd w:val="0"/>
              <w:snapToGrid w:val="0"/>
              <w:spacing w:line="240" w:lineRule="auto"/>
              <w:ind w:firstLine="0" w:firstLineChars="0"/>
              <w:jc w:val="center"/>
              <w:rPr>
                <w:kern w:val="0"/>
                <w:sz w:val="18"/>
                <w:szCs w:val="18"/>
              </w:rPr>
            </w:pPr>
          </w:p>
        </w:tc>
        <w:tc>
          <w:tcPr>
            <w:tcW w:w="1097" w:type="pct"/>
            <w:vAlign w:val="center"/>
          </w:tcPr>
          <w:p w14:paraId="0C3F9953">
            <w:pPr>
              <w:tabs>
                <w:tab w:val="clear" w:pos="480"/>
              </w:tabs>
              <w:adjustRightInd w:val="0"/>
              <w:snapToGrid w:val="0"/>
              <w:spacing w:line="240" w:lineRule="auto"/>
              <w:ind w:firstLine="0" w:firstLineChars="0"/>
              <w:jc w:val="center"/>
              <w:rPr>
                <w:kern w:val="0"/>
                <w:sz w:val="18"/>
                <w:szCs w:val="18"/>
              </w:rPr>
            </w:pPr>
            <w:r>
              <w:rPr>
                <w:kern w:val="0"/>
                <w:sz w:val="18"/>
                <w:szCs w:val="18"/>
              </w:rPr>
              <w:t>场内道路</w:t>
            </w:r>
          </w:p>
        </w:tc>
        <w:tc>
          <w:tcPr>
            <w:tcW w:w="597" w:type="pct"/>
            <w:vAlign w:val="center"/>
          </w:tcPr>
          <w:p w14:paraId="7EE9BF4B">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3</w:t>
            </w:r>
            <w:r>
              <w:rPr>
                <w:kern w:val="0"/>
                <w:sz w:val="18"/>
                <w:szCs w:val="18"/>
              </w:rPr>
              <w:t>0.62</w:t>
            </w:r>
          </w:p>
        </w:tc>
        <w:tc>
          <w:tcPr>
            <w:tcW w:w="497" w:type="pct"/>
            <w:vAlign w:val="center"/>
          </w:tcPr>
          <w:p w14:paraId="685C9EA6">
            <w:pPr>
              <w:tabs>
                <w:tab w:val="clear" w:pos="480"/>
              </w:tabs>
              <w:adjustRightInd w:val="0"/>
              <w:snapToGrid w:val="0"/>
              <w:spacing w:line="240" w:lineRule="auto"/>
              <w:ind w:firstLine="0" w:firstLineChars="0"/>
              <w:jc w:val="center"/>
              <w:rPr>
                <w:kern w:val="0"/>
                <w:sz w:val="18"/>
                <w:szCs w:val="18"/>
              </w:rPr>
            </w:pPr>
            <w:r>
              <w:rPr>
                <w:kern w:val="0"/>
                <w:sz w:val="18"/>
                <w:szCs w:val="18"/>
              </w:rPr>
              <w:t>8.64</w:t>
            </w:r>
          </w:p>
        </w:tc>
        <w:tc>
          <w:tcPr>
            <w:tcW w:w="497" w:type="pct"/>
            <w:vAlign w:val="center"/>
          </w:tcPr>
          <w:p w14:paraId="443F30A1">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2</w:t>
            </w:r>
            <w:r>
              <w:rPr>
                <w:kern w:val="0"/>
                <w:sz w:val="18"/>
                <w:szCs w:val="18"/>
              </w:rPr>
              <w:t>1.98</w:t>
            </w:r>
          </w:p>
        </w:tc>
        <w:tc>
          <w:tcPr>
            <w:tcW w:w="597" w:type="pct"/>
            <w:vAlign w:val="center"/>
          </w:tcPr>
          <w:p w14:paraId="473960A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99" w:type="pct"/>
            <w:vAlign w:val="center"/>
          </w:tcPr>
          <w:p w14:paraId="7F3E1ADE">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45" w:type="pct"/>
            <w:vAlign w:val="center"/>
          </w:tcPr>
          <w:p w14:paraId="0C99B0E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3</w:t>
            </w:r>
            <w:r>
              <w:rPr>
                <w:kern w:val="0"/>
                <w:sz w:val="18"/>
                <w:szCs w:val="18"/>
              </w:rPr>
              <w:t>0.62</w:t>
            </w:r>
          </w:p>
        </w:tc>
      </w:tr>
      <w:tr w14:paraId="0B3DC4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5D6F62AD">
            <w:pPr>
              <w:tabs>
                <w:tab w:val="clear" w:pos="480"/>
              </w:tabs>
              <w:adjustRightInd w:val="0"/>
              <w:snapToGrid w:val="0"/>
              <w:spacing w:line="240" w:lineRule="auto"/>
              <w:ind w:firstLine="0" w:firstLineChars="0"/>
              <w:jc w:val="center"/>
              <w:rPr>
                <w:kern w:val="0"/>
                <w:sz w:val="18"/>
                <w:szCs w:val="18"/>
              </w:rPr>
            </w:pPr>
            <w:r>
              <w:rPr>
                <w:kern w:val="0"/>
                <w:sz w:val="18"/>
                <w:szCs w:val="18"/>
              </w:rPr>
              <w:t>小计</w:t>
            </w:r>
          </w:p>
        </w:tc>
        <w:tc>
          <w:tcPr>
            <w:tcW w:w="597" w:type="pct"/>
            <w:vAlign w:val="center"/>
          </w:tcPr>
          <w:p w14:paraId="15295DFE">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33.52</w:t>
            </w:r>
          </w:p>
        </w:tc>
        <w:tc>
          <w:tcPr>
            <w:tcW w:w="497" w:type="pct"/>
            <w:vAlign w:val="center"/>
          </w:tcPr>
          <w:p w14:paraId="6F07964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9</w:t>
            </w:r>
          </w:p>
        </w:tc>
        <w:tc>
          <w:tcPr>
            <w:tcW w:w="497" w:type="pct"/>
            <w:vAlign w:val="center"/>
          </w:tcPr>
          <w:p w14:paraId="111C8300">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22.84</w:t>
            </w:r>
          </w:p>
        </w:tc>
        <w:tc>
          <w:tcPr>
            <w:tcW w:w="597" w:type="pct"/>
            <w:vAlign w:val="center"/>
          </w:tcPr>
          <w:p w14:paraId="0DDA57D1">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1.68</w:t>
            </w:r>
          </w:p>
        </w:tc>
        <w:tc>
          <w:tcPr>
            <w:tcW w:w="599" w:type="pct"/>
            <w:vAlign w:val="center"/>
          </w:tcPr>
          <w:p w14:paraId="0C67A4F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45" w:type="pct"/>
            <w:vAlign w:val="center"/>
          </w:tcPr>
          <w:p w14:paraId="7F30B93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33.52</w:t>
            </w:r>
          </w:p>
        </w:tc>
      </w:tr>
      <w:tr w14:paraId="228D208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5B97F221">
            <w:pPr>
              <w:tabs>
                <w:tab w:val="clear" w:pos="480"/>
              </w:tabs>
              <w:adjustRightInd w:val="0"/>
              <w:snapToGrid w:val="0"/>
              <w:spacing w:line="240" w:lineRule="auto"/>
              <w:ind w:firstLine="0" w:firstLineChars="0"/>
              <w:jc w:val="center"/>
              <w:rPr>
                <w:kern w:val="0"/>
                <w:sz w:val="18"/>
                <w:szCs w:val="18"/>
              </w:rPr>
            </w:pPr>
            <w:r>
              <w:rPr>
                <w:kern w:val="0"/>
                <w:sz w:val="18"/>
                <w:szCs w:val="18"/>
              </w:rPr>
              <w:t>升压站区</w:t>
            </w:r>
            <w:r>
              <w:rPr>
                <w:rFonts w:hint="eastAsia"/>
                <w:kern w:val="0"/>
                <w:sz w:val="18"/>
                <w:szCs w:val="18"/>
              </w:rPr>
              <w:t>及运行管理中心</w:t>
            </w:r>
          </w:p>
        </w:tc>
        <w:tc>
          <w:tcPr>
            <w:tcW w:w="597" w:type="pct"/>
            <w:vAlign w:val="center"/>
          </w:tcPr>
          <w:p w14:paraId="6F30C50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.663</w:t>
            </w:r>
          </w:p>
        </w:tc>
        <w:tc>
          <w:tcPr>
            <w:tcW w:w="497" w:type="pct"/>
            <w:vAlign w:val="center"/>
          </w:tcPr>
          <w:p w14:paraId="3D03DD6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.663</w:t>
            </w:r>
          </w:p>
        </w:tc>
        <w:tc>
          <w:tcPr>
            <w:tcW w:w="497" w:type="pct"/>
            <w:vAlign w:val="center"/>
          </w:tcPr>
          <w:p w14:paraId="5852CC35">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97" w:type="pct"/>
            <w:vAlign w:val="center"/>
          </w:tcPr>
          <w:p w14:paraId="7B70E1C5">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99" w:type="pct"/>
            <w:vAlign w:val="center"/>
          </w:tcPr>
          <w:p w14:paraId="34923E9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.663</w:t>
            </w:r>
          </w:p>
        </w:tc>
        <w:tc>
          <w:tcPr>
            <w:tcW w:w="545" w:type="pct"/>
            <w:vAlign w:val="center"/>
          </w:tcPr>
          <w:p w14:paraId="6977588E">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r>
      <w:tr w14:paraId="4A9A00D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1B264FFC">
            <w:pPr>
              <w:tabs>
                <w:tab w:val="clear" w:pos="480"/>
              </w:tabs>
              <w:adjustRightInd w:val="0"/>
              <w:snapToGrid w:val="0"/>
              <w:spacing w:line="240" w:lineRule="auto"/>
              <w:ind w:firstLine="0" w:firstLineChars="0"/>
              <w:jc w:val="center"/>
              <w:rPr>
                <w:kern w:val="0"/>
                <w:sz w:val="18"/>
                <w:szCs w:val="18"/>
              </w:rPr>
            </w:pPr>
            <w:r>
              <w:rPr>
                <w:kern w:val="0"/>
                <w:sz w:val="18"/>
                <w:szCs w:val="18"/>
              </w:rPr>
              <w:t>施工生产区</w:t>
            </w:r>
          </w:p>
        </w:tc>
        <w:tc>
          <w:tcPr>
            <w:tcW w:w="597" w:type="pct"/>
            <w:vAlign w:val="center"/>
          </w:tcPr>
          <w:p w14:paraId="27D74812">
            <w:pPr>
              <w:tabs>
                <w:tab w:val="clear" w:pos="480"/>
              </w:tabs>
              <w:adjustRightInd w:val="0"/>
              <w:snapToGrid w:val="0"/>
              <w:spacing w:line="240" w:lineRule="auto"/>
              <w:ind w:firstLine="0" w:firstLineChars="0"/>
              <w:jc w:val="center"/>
              <w:rPr>
                <w:kern w:val="0"/>
                <w:sz w:val="18"/>
                <w:szCs w:val="18"/>
              </w:rPr>
            </w:pPr>
            <w:r>
              <w:rPr>
                <w:kern w:val="0"/>
                <w:sz w:val="18"/>
                <w:szCs w:val="18"/>
              </w:rPr>
              <w:t>0.40</w:t>
            </w:r>
          </w:p>
        </w:tc>
        <w:tc>
          <w:tcPr>
            <w:tcW w:w="497" w:type="pct"/>
            <w:vAlign w:val="center"/>
          </w:tcPr>
          <w:p w14:paraId="08F4A5FF">
            <w:pPr>
              <w:tabs>
                <w:tab w:val="clear" w:pos="480"/>
              </w:tabs>
              <w:adjustRightInd w:val="0"/>
              <w:snapToGrid w:val="0"/>
              <w:spacing w:line="240" w:lineRule="auto"/>
              <w:ind w:firstLine="0" w:firstLineChars="0"/>
              <w:jc w:val="center"/>
              <w:rPr>
                <w:kern w:val="0"/>
                <w:sz w:val="18"/>
                <w:szCs w:val="18"/>
              </w:rPr>
            </w:pPr>
            <w:r>
              <w:rPr>
                <w:kern w:val="0"/>
                <w:sz w:val="18"/>
                <w:szCs w:val="18"/>
              </w:rPr>
              <w:t>0.40</w:t>
            </w:r>
          </w:p>
        </w:tc>
        <w:tc>
          <w:tcPr>
            <w:tcW w:w="497" w:type="pct"/>
            <w:vAlign w:val="center"/>
          </w:tcPr>
          <w:p w14:paraId="2C90D7BE">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97" w:type="pct"/>
            <w:vAlign w:val="center"/>
          </w:tcPr>
          <w:p w14:paraId="4BB15F07">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99" w:type="pct"/>
            <w:vAlign w:val="center"/>
          </w:tcPr>
          <w:p w14:paraId="6E976290">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45" w:type="pct"/>
            <w:vAlign w:val="center"/>
          </w:tcPr>
          <w:p w14:paraId="40AD120B">
            <w:pPr>
              <w:tabs>
                <w:tab w:val="clear" w:pos="480"/>
              </w:tabs>
              <w:adjustRightInd w:val="0"/>
              <w:snapToGrid w:val="0"/>
              <w:spacing w:line="240" w:lineRule="auto"/>
              <w:ind w:firstLine="0" w:firstLineChars="0"/>
              <w:jc w:val="center"/>
              <w:rPr>
                <w:kern w:val="0"/>
                <w:sz w:val="18"/>
                <w:szCs w:val="18"/>
              </w:rPr>
            </w:pPr>
            <w:r>
              <w:rPr>
                <w:kern w:val="0"/>
                <w:sz w:val="18"/>
                <w:szCs w:val="18"/>
              </w:rPr>
              <w:t>0.4</w:t>
            </w:r>
          </w:p>
        </w:tc>
      </w:tr>
      <w:tr w14:paraId="3B11CC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111F37F0">
            <w:pPr>
              <w:tabs>
                <w:tab w:val="clear" w:pos="480"/>
              </w:tabs>
              <w:adjustRightInd w:val="0"/>
              <w:snapToGrid w:val="0"/>
              <w:spacing w:line="240" w:lineRule="auto"/>
              <w:ind w:firstLine="0" w:firstLineChars="0"/>
              <w:jc w:val="center"/>
              <w:rPr>
                <w:kern w:val="0"/>
                <w:sz w:val="18"/>
                <w:szCs w:val="18"/>
              </w:rPr>
            </w:pPr>
            <w:r>
              <w:rPr>
                <w:kern w:val="0"/>
                <w:sz w:val="18"/>
                <w:szCs w:val="18"/>
              </w:rPr>
              <w:t>弃渣场</w:t>
            </w:r>
          </w:p>
        </w:tc>
        <w:tc>
          <w:tcPr>
            <w:tcW w:w="597" w:type="pct"/>
            <w:vAlign w:val="center"/>
          </w:tcPr>
          <w:p w14:paraId="75B1A104">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5</w:t>
            </w:r>
            <w:r>
              <w:rPr>
                <w:kern w:val="0"/>
                <w:sz w:val="18"/>
                <w:szCs w:val="18"/>
              </w:rPr>
              <w:t>.0</w:t>
            </w:r>
          </w:p>
        </w:tc>
        <w:tc>
          <w:tcPr>
            <w:tcW w:w="497" w:type="pct"/>
            <w:vAlign w:val="center"/>
          </w:tcPr>
          <w:p w14:paraId="3A7B047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3</w:t>
            </w:r>
            <w:r>
              <w:rPr>
                <w:kern w:val="0"/>
                <w:sz w:val="18"/>
                <w:szCs w:val="18"/>
              </w:rPr>
              <w:t>.18</w:t>
            </w:r>
          </w:p>
        </w:tc>
        <w:tc>
          <w:tcPr>
            <w:tcW w:w="497" w:type="pct"/>
            <w:vAlign w:val="center"/>
          </w:tcPr>
          <w:p w14:paraId="1C667C22">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.82</w:t>
            </w:r>
          </w:p>
        </w:tc>
        <w:tc>
          <w:tcPr>
            <w:tcW w:w="597" w:type="pct"/>
            <w:vAlign w:val="center"/>
          </w:tcPr>
          <w:p w14:paraId="22B4DB5A">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99" w:type="pct"/>
            <w:vAlign w:val="center"/>
          </w:tcPr>
          <w:p w14:paraId="0F4FCB9D">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545" w:type="pct"/>
            <w:vAlign w:val="center"/>
          </w:tcPr>
          <w:p w14:paraId="0342F731">
            <w:pPr>
              <w:tabs>
                <w:tab w:val="clear" w:pos="480"/>
              </w:tabs>
              <w:adjustRightInd w:val="0"/>
              <w:snapToGrid w:val="0"/>
              <w:spacing w:line="240" w:lineRule="auto"/>
              <w:ind w:firstLine="0" w:firstLineChars="0"/>
              <w:jc w:val="center"/>
              <w:rPr>
                <w:kern w:val="0"/>
                <w:sz w:val="18"/>
                <w:szCs w:val="18"/>
              </w:rPr>
            </w:pPr>
            <w:r>
              <w:rPr>
                <w:kern w:val="0"/>
                <w:sz w:val="18"/>
                <w:szCs w:val="18"/>
              </w:rPr>
              <w:t>5.0</w:t>
            </w:r>
          </w:p>
        </w:tc>
      </w:tr>
      <w:tr w14:paraId="521D9E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34D6591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集电线路</w:t>
            </w:r>
          </w:p>
        </w:tc>
        <w:tc>
          <w:tcPr>
            <w:tcW w:w="597" w:type="pct"/>
            <w:vAlign w:val="center"/>
          </w:tcPr>
          <w:p w14:paraId="1E25D3E1">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.13</w:t>
            </w:r>
          </w:p>
        </w:tc>
        <w:tc>
          <w:tcPr>
            <w:tcW w:w="497" w:type="pct"/>
            <w:vAlign w:val="center"/>
          </w:tcPr>
          <w:p w14:paraId="2C3E1B82">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497" w:type="pct"/>
            <w:vAlign w:val="center"/>
          </w:tcPr>
          <w:p w14:paraId="65B2099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.13</w:t>
            </w:r>
          </w:p>
        </w:tc>
        <w:tc>
          <w:tcPr>
            <w:tcW w:w="597" w:type="pct"/>
            <w:vAlign w:val="center"/>
          </w:tcPr>
          <w:p w14:paraId="7A27BF7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599" w:type="pct"/>
            <w:vAlign w:val="center"/>
          </w:tcPr>
          <w:p w14:paraId="61EA67D1">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.05</w:t>
            </w:r>
          </w:p>
        </w:tc>
        <w:tc>
          <w:tcPr>
            <w:tcW w:w="545" w:type="pct"/>
            <w:vAlign w:val="center"/>
          </w:tcPr>
          <w:p w14:paraId="789DA05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.08</w:t>
            </w:r>
          </w:p>
        </w:tc>
      </w:tr>
      <w:tr w14:paraId="5A06E9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1668" w:type="pct"/>
            <w:gridSpan w:val="2"/>
            <w:vAlign w:val="center"/>
          </w:tcPr>
          <w:p w14:paraId="554F92EB">
            <w:pPr>
              <w:tabs>
                <w:tab w:val="clear" w:pos="480"/>
              </w:tabs>
              <w:adjustRightInd w:val="0"/>
              <w:snapToGrid w:val="0"/>
              <w:spacing w:line="240" w:lineRule="auto"/>
              <w:ind w:firstLine="0" w:firstLineChars="0"/>
              <w:jc w:val="center"/>
              <w:rPr>
                <w:kern w:val="0"/>
                <w:sz w:val="18"/>
                <w:szCs w:val="18"/>
              </w:rPr>
            </w:pPr>
            <w:r>
              <w:rPr>
                <w:kern w:val="0"/>
                <w:sz w:val="18"/>
                <w:szCs w:val="18"/>
              </w:rPr>
              <w:t>合计</w:t>
            </w:r>
          </w:p>
        </w:tc>
        <w:tc>
          <w:tcPr>
            <w:tcW w:w="597" w:type="pct"/>
            <w:vAlign w:val="center"/>
          </w:tcPr>
          <w:p w14:paraId="68C4271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4</w:t>
            </w:r>
            <w:r>
              <w:rPr>
                <w:kern w:val="0"/>
                <w:sz w:val="18"/>
                <w:szCs w:val="18"/>
              </w:rPr>
              <w:t>3.168</w:t>
            </w:r>
          </w:p>
        </w:tc>
        <w:tc>
          <w:tcPr>
            <w:tcW w:w="497" w:type="pct"/>
            <w:vAlign w:val="center"/>
          </w:tcPr>
          <w:p w14:paraId="481DC3B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3.003</w:t>
            </w:r>
          </w:p>
        </w:tc>
        <w:tc>
          <w:tcPr>
            <w:tcW w:w="497" w:type="pct"/>
            <w:vAlign w:val="center"/>
          </w:tcPr>
          <w:p w14:paraId="38EA8CE3">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2</w:t>
            </w:r>
            <w:r>
              <w:rPr>
                <w:kern w:val="0"/>
                <w:sz w:val="18"/>
                <w:szCs w:val="18"/>
              </w:rPr>
              <w:t>8.9</w:t>
            </w:r>
          </w:p>
        </w:tc>
        <w:tc>
          <w:tcPr>
            <w:tcW w:w="597" w:type="pct"/>
            <w:vAlign w:val="center"/>
          </w:tcPr>
          <w:p w14:paraId="192BC3E6">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.26</w:t>
            </w:r>
          </w:p>
        </w:tc>
        <w:tc>
          <w:tcPr>
            <w:tcW w:w="599" w:type="pct"/>
            <w:vAlign w:val="center"/>
          </w:tcPr>
          <w:p w14:paraId="3F070374">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.163</w:t>
            </w:r>
          </w:p>
        </w:tc>
        <w:tc>
          <w:tcPr>
            <w:tcW w:w="545" w:type="pct"/>
            <w:vAlign w:val="center"/>
          </w:tcPr>
          <w:p w14:paraId="0B1C5C20">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4</w:t>
            </w:r>
            <w:r>
              <w:rPr>
                <w:kern w:val="0"/>
                <w:sz w:val="18"/>
                <w:szCs w:val="18"/>
              </w:rPr>
              <w:t>2.0</w:t>
            </w:r>
          </w:p>
        </w:tc>
      </w:tr>
    </w:tbl>
    <w:p w14:paraId="5628799C">
      <w:pPr>
        <w:spacing w:line="240" w:lineRule="auto"/>
        <w:ind w:firstLine="0" w:firstLineChars="0"/>
        <w:rPr>
          <w:b/>
          <w:bCs/>
          <w:sz w:val="18"/>
          <w:szCs w:val="18"/>
        </w:rPr>
      </w:pPr>
      <w:r>
        <w:rPr>
          <w:rFonts w:hint="eastAsia"/>
          <w:b/>
          <w:bCs/>
          <w:sz w:val="18"/>
          <w:szCs w:val="18"/>
        </w:rPr>
        <w:t>备注：本项目进场道路和场内道路，建设单位以长期租用的方式作为临时用地征用，因此本次评价针对进场道路和场内道路以临时用地的方式进行统计。</w:t>
      </w:r>
    </w:p>
    <w:p w14:paraId="69CE2B3D">
      <w:pPr>
        <w:adjustRightInd w:val="0"/>
        <w:snapToGrid w:val="0"/>
        <w:ind w:firstLine="480"/>
      </w:pPr>
      <w:r>
        <w:rPr>
          <w:rFonts w:hint="eastAsia"/>
        </w:rPr>
        <w:t>说明：</w:t>
      </w:r>
    </w:p>
    <w:p w14:paraId="255DADA3">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风机</w:t>
      </w:r>
      <w:r>
        <w:rPr>
          <w:rFonts w:hint="eastAsia"/>
        </w:rPr>
        <w:t>及箱变基础</w:t>
      </w:r>
    </w:p>
    <w:p w14:paraId="15DAFDF7">
      <w:pPr>
        <w:adjustRightInd w:val="0"/>
        <w:snapToGrid w:val="0"/>
        <w:ind w:firstLine="480"/>
      </w:pPr>
      <w:r>
        <w:t>共设置10个风机平台</w:t>
      </w:r>
      <w:r>
        <w:rPr>
          <w:rFonts w:hint="eastAsia"/>
        </w:rPr>
        <w:t>，单个</w:t>
      </w:r>
      <w:r>
        <w:t>风机基础用地450m</w:t>
      </w:r>
      <w:r>
        <w:rPr>
          <w:vertAlign w:val="superscript"/>
        </w:rPr>
        <w:t>2</w:t>
      </w:r>
      <w:r>
        <w:t>，均为永久占地。因此，风机平台区的永久占地为0.45hm</w:t>
      </w:r>
      <w:r>
        <w:rPr>
          <w:vertAlign w:val="superscript"/>
        </w:rPr>
        <w:t>2</w:t>
      </w:r>
      <w:r>
        <w:rPr>
          <w:rFonts w:hint="eastAsia"/>
        </w:rPr>
        <w:t>。</w:t>
      </w:r>
    </w:p>
    <w:p w14:paraId="0D4DA59B">
      <w:pPr>
        <w:adjustRightInd w:val="0"/>
        <w:snapToGrid w:val="0"/>
        <w:ind w:firstLine="480"/>
      </w:pPr>
      <w:r>
        <w:t>施工安装场地10个，单个施工场地用地3000m</w:t>
      </w:r>
      <w:r>
        <w:rPr>
          <w:vertAlign w:val="superscript"/>
        </w:rPr>
        <w:t>2</w:t>
      </w:r>
      <w:r>
        <w:t>，用地面积共计3.0</w:t>
      </w:r>
      <w:r>
        <w:rPr>
          <w:rFonts w:hint="eastAsia"/>
        </w:rPr>
        <w:t>h</w:t>
      </w:r>
      <w:r>
        <w:t>m</w:t>
      </w:r>
      <w:r>
        <w:rPr>
          <w:vertAlign w:val="superscript"/>
        </w:rPr>
        <w:t>2</w:t>
      </w:r>
      <w:r>
        <w:t>。</w:t>
      </w:r>
    </w:p>
    <w:p w14:paraId="76D6D99C">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道路工程区</w:t>
      </w:r>
    </w:p>
    <w:p w14:paraId="2B673F9E">
      <w:pPr>
        <w:adjustRightInd w:val="0"/>
        <w:snapToGrid w:val="0"/>
        <w:ind w:firstLine="480"/>
      </w:pPr>
      <w:r>
        <w:rPr>
          <w:rFonts w:hint="eastAsia"/>
        </w:rPr>
        <w:t>本项目进场道路全部利用现有的县道和村道，</w:t>
      </w:r>
      <w:r>
        <w:t>项目场内道路总长30.5km，</w:t>
      </w:r>
      <w:r>
        <w:rPr>
          <w:rFonts w:hint="eastAsia"/>
        </w:rPr>
        <w:t>其中改建进场道路总长约1</w:t>
      </w:r>
      <w:r>
        <w:t>0</w:t>
      </w:r>
      <w:r>
        <w:rPr>
          <w:rFonts w:hint="eastAsia"/>
        </w:rPr>
        <w:t>km，新建场内道路总长约1</w:t>
      </w:r>
      <w:r>
        <w:t>6.4</w:t>
      </w:r>
      <w:r>
        <w:rPr>
          <w:rFonts w:hint="eastAsia"/>
        </w:rPr>
        <w:t>km，改建场内道路总长约4</w:t>
      </w:r>
      <w:r>
        <w:t>.1</w:t>
      </w:r>
      <w:r>
        <w:rPr>
          <w:rFonts w:hint="eastAsia"/>
        </w:rPr>
        <w:t>km。道路工程临时占地约</w:t>
      </w:r>
      <w:r>
        <w:t>33.52hm</w:t>
      </w:r>
      <w:r>
        <w:rPr>
          <w:vertAlign w:val="superscript"/>
        </w:rPr>
        <w:t>2</w:t>
      </w:r>
      <w:r>
        <w:rPr>
          <w:rFonts w:hint="eastAsia"/>
        </w:rPr>
        <w:t>，道路占地以长期租用的方式作为临时用地征用。</w:t>
      </w:r>
    </w:p>
    <w:p w14:paraId="3300534F">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升压站区</w:t>
      </w:r>
    </w:p>
    <w:p w14:paraId="2E88DF68">
      <w:pPr>
        <w:adjustRightInd w:val="0"/>
        <w:snapToGrid w:val="0"/>
        <w:ind w:firstLine="480"/>
      </w:pPr>
      <w:r>
        <w:rPr>
          <w:rFonts w:hint="eastAsia"/>
        </w:rPr>
        <w:t>升压站及运行管理中心用地0</w:t>
      </w:r>
      <w:r>
        <w:t>.663</w:t>
      </w:r>
      <w:r>
        <w:rPr>
          <w:rFonts w:hint="eastAsia"/>
        </w:rPr>
        <w:t>。升压站和运行管理中心用地为永久用地。</w:t>
      </w:r>
    </w:p>
    <w:p w14:paraId="53EF6D39">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直埋电缆</w:t>
      </w:r>
    </w:p>
    <w:p w14:paraId="233E18BF">
      <w:pPr>
        <w:adjustRightInd w:val="0"/>
        <w:snapToGrid w:val="0"/>
        <w:ind w:firstLine="480"/>
      </w:pPr>
      <w:r>
        <w:t>项目集电线路直埋电缆长13.50km，架空线路长9.0km</w:t>
      </w:r>
      <w:r>
        <w:rPr>
          <w:rFonts w:hint="eastAsia"/>
        </w:rPr>
        <w:t>。项目直埋电缆沿道路敷设。项目直埋集电线路用地约0</w:t>
      </w:r>
      <w:r>
        <w:t>.08</w:t>
      </w:r>
      <w:r>
        <w:rPr>
          <w:rFonts w:hint="eastAsia"/>
        </w:rPr>
        <w:t>hm</w:t>
      </w:r>
      <w:r>
        <w:rPr>
          <w:vertAlign w:val="superscript"/>
        </w:rPr>
        <w:t>2</w:t>
      </w:r>
      <w:r>
        <w:rPr>
          <w:rFonts w:hint="eastAsia"/>
        </w:rPr>
        <w:t>，架空集电线路用地约0</w:t>
      </w:r>
      <w:r>
        <w:t>.05</w:t>
      </w:r>
      <w:r>
        <w:rPr>
          <w:rFonts w:hint="eastAsia"/>
        </w:rPr>
        <w:t>hm</w:t>
      </w:r>
      <w:r>
        <w:rPr>
          <w:vertAlign w:val="superscript"/>
        </w:rPr>
        <w:t>2</w:t>
      </w:r>
      <w:r>
        <w:rPr>
          <w:rFonts w:hint="eastAsia"/>
        </w:rPr>
        <w:t>。其中直埋电缆用地为临时用地，架空集电线路用地为永久用地。</w:t>
      </w:r>
    </w:p>
    <w:p w14:paraId="20482697">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施工生产区</w:t>
      </w:r>
    </w:p>
    <w:p w14:paraId="0AFD221C">
      <w:pPr>
        <w:adjustRightInd w:val="0"/>
        <w:snapToGrid w:val="0"/>
        <w:ind w:firstLine="480"/>
      </w:pPr>
      <w:r>
        <w:rPr>
          <w:rFonts w:hint="eastAsia"/>
        </w:rPr>
        <w:t>项目施工生产生活区位于升压站旁，施工生产生活区用地约0</w:t>
      </w:r>
      <w:r>
        <w:t>.4</w:t>
      </w:r>
      <w:r>
        <w:rPr>
          <w:rFonts w:hint="eastAsia"/>
        </w:rPr>
        <w:t>hm</w:t>
      </w:r>
      <w:r>
        <w:rPr>
          <w:vertAlign w:val="superscript"/>
        </w:rPr>
        <w:t>2</w:t>
      </w:r>
      <w:r>
        <w:rPr>
          <w:rFonts w:hint="eastAsia"/>
        </w:rPr>
        <w:t>，全部为临时用地</w:t>
      </w:r>
      <w:r>
        <w:t>。</w:t>
      </w:r>
    </w:p>
    <w:p w14:paraId="2C1248F1">
      <w:pPr>
        <w:adjustRightInd w:val="0"/>
        <w:snapToGrid w:val="0"/>
        <w:ind w:firstLine="480"/>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t>弃渣场</w:t>
      </w:r>
    </w:p>
    <w:p w14:paraId="548504F0">
      <w:pPr>
        <w:adjustRightInd w:val="0"/>
        <w:snapToGrid w:val="0"/>
        <w:ind w:firstLine="480"/>
      </w:pPr>
      <w:r>
        <w:t>本项目共布置</w:t>
      </w:r>
      <w:r>
        <w:rPr>
          <w:rFonts w:hint="eastAsia"/>
        </w:rPr>
        <w:t>8处</w:t>
      </w:r>
      <w:r>
        <w:t>弃渣场，总占地5.0hm</w:t>
      </w:r>
      <w:r>
        <w:rPr>
          <w:vertAlign w:val="superscript"/>
        </w:rPr>
        <w:t>2</w:t>
      </w:r>
      <w:r>
        <w:rPr>
          <w:rFonts w:hint="eastAsia"/>
        </w:rPr>
        <w:t>，全部为临时用地。</w:t>
      </w:r>
    </w:p>
    <w:p w14:paraId="0E1B5EA8">
      <w:pPr>
        <w:adjustRightInd w:val="0"/>
        <w:snapToGrid w:val="0"/>
        <w:ind w:firstLine="480"/>
      </w:pPr>
      <w:r>
        <w:t>（2）拆迁</w:t>
      </w:r>
    </w:p>
    <w:p w14:paraId="4B0B02FC">
      <w:pPr>
        <w:adjustRightInd w:val="0"/>
        <w:snapToGrid w:val="0"/>
        <w:ind w:firstLine="480"/>
      </w:pPr>
      <w:r>
        <w:t>本项目不涉及拆迁安置。</w:t>
      </w:r>
    </w:p>
    <w:p w14:paraId="007E60FB">
      <w:pPr>
        <w:pStyle w:val="4"/>
        <w:tabs>
          <w:tab w:val="clear" w:pos="480"/>
          <w:tab w:val="clear" w:pos="630"/>
        </w:tabs>
        <w:adjustRightInd w:val="0"/>
        <w:snapToGrid w:val="0"/>
        <w:spacing w:before="0" w:after="0"/>
        <w:rPr>
          <w:sz w:val="30"/>
          <w:szCs w:val="30"/>
          <w:lang w:val="en-US"/>
        </w:rPr>
      </w:pPr>
      <w:bookmarkStart w:id="91" w:name="_Toc116977987"/>
      <w:bookmarkStart w:id="92" w:name="_Toc143799370"/>
      <w:r>
        <w:rPr>
          <w:sz w:val="30"/>
          <w:szCs w:val="30"/>
          <w:lang w:val="en-US"/>
        </w:rPr>
        <w:t>3.7</w:t>
      </w:r>
      <w:r>
        <w:rPr>
          <w:rFonts w:hint="eastAsia"/>
          <w:sz w:val="30"/>
          <w:szCs w:val="30"/>
          <w:lang w:val="en-US"/>
        </w:rPr>
        <w:t>土石方工程</w:t>
      </w:r>
      <w:bookmarkEnd w:id="91"/>
      <w:bookmarkEnd w:id="92"/>
    </w:p>
    <w:p w14:paraId="0B5B3216">
      <w:pPr>
        <w:adjustRightInd w:val="0"/>
        <w:snapToGrid w:val="0"/>
        <w:ind w:firstLine="480"/>
      </w:pPr>
      <w:r>
        <w:t xml:space="preserve"> </w:t>
      </w:r>
      <w:r>
        <w:rPr>
          <w:rFonts w:hint="eastAsia"/>
        </w:rPr>
        <w:t>（</w:t>
      </w:r>
      <w:r>
        <w:t>1</w:t>
      </w:r>
      <w:r>
        <w:rPr>
          <w:rFonts w:hint="eastAsia"/>
        </w:rPr>
        <w:t>）土石方平衡</w:t>
      </w:r>
    </w:p>
    <w:p w14:paraId="3449B045">
      <w:pPr>
        <w:adjustRightInd w:val="0"/>
        <w:snapToGrid w:val="0"/>
        <w:ind w:firstLine="480"/>
        <w:sectPr>
          <w:pgSz w:w="11905" w:h="16838"/>
          <w:pgMar w:top="1440" w:right="1797" w:bottom="1440" w:left="1797" w:header="851" w:footer="992" w:gutter="0"/>
          <w:cols w:space="0" w:num="1"/>
          <w:docGrid w:type="lines" w:linePitch="333" w:charSpace="0"/>
        </w:sectPr>
      </w:pPr>
      <w:r>
        <w:t>根据《衡阳县杉桥风电场项目水土保持方案报告书》，本工程土石方开挖总量为87.68万 m</w:t>
      </w:r>
      <w:r>
        <w:rPr>
          <w:vertAlign w:val="superscript"/>
        </w:rPr>
        <w:t>3</w:t>
      </w:r>
      <w:r>
        <w:t>，回填总量71.23万 m</w:t>
      </w:r>
      <w:r>
        <w:rPr>
          <w:vertAlign w:val="superscript"/>
        </w:rPr>
        <w:t>3</w:t>
      </w:r>
      <w:r>
        <w:t>，弃渣总量16.45 万 m</w:t>
      </w:r>
      <w:r>
        <w:rPr>
          <w:vertAlign w:val="superscript"/>
        </w:rPr>
        <w:t>3</w:t>
      </w:r>
      <w:r>
        <w:t>。建设过程中需剥离、保存和利用表土共计5.44 万 m</w:t>
      </w:r>
      <w:r>
        <w:rPr>
          <w:vertAlign w:val="superscript"/>
        </w:rPr>
        <w:t>3</w:t>
      </w:r>
      <w:r>
        <w:t>，全部用于建设区内的植被恢复利用。项目土石方平衡见下表。</w:t>
      </w:r>
    </w:p>
    <w:p w14:paraId="638FF276">
      <w:pPr>
        <w:adjustRightInd w:val="0"/>
        <w:snapToGrid w:val="0"/>
        <w:spacing w:line="240" w:lineRule="auto"/>
        <w:ind w:firstLine="0" w:firstLineChars="0"/>
        <w:jc w:val="center"/>
        <w:rPr>
          <w:b/>
          <w:bCs/>
        </w:rPr>
      </w:pPr>
      <w:r>
        <w:rPr>
          <w:b/>
          <w:bCs/>
        </w:rPr>
        <w:t>表3.2.4-2土石方平衡表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852"/>
        <w:gridCol w:w="2867"/>
        <w:gridCol w:w="1330"/>
        <w:gridCol w:w="1330"/>
        <w:gridCol w:w="1341"/>
        <w:gridCol w:w="1330"/>
        <w:gridCol w:w="1330"/>
        <w:gridCol w:w="1338"/>
        <w:gridCol w:w="1330"/>
        <w:gridCol w:w="1126"/>
      </w:tblGrid>
      <w:tr w14:paraId="1AA4D5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24558E82">
            <w:pPr>
              <w:adjustRightInd w:val="0"/>
              <w:snapToGrid w:val="0"/>
              <w:spacing w:line="240" w:lineRule="auto"/>
              <w:ind w:firstLine="0" w:firstLineChars="0"/>
              <w:jc w:val="center"/>
              <w:rPr>
                <w:sz w:val="18"/>
                <w:szCs w:val="18"/>
              </w:rPr>
            </w:pPr>
            <w:r>
              <w:rPr>
                <w:sz w:val="18"/>
                <w:szCs w:val="18"/>
              </w:rPr>
              <w:t>序号</w:t>
            </w:r>
          </w:p>
        </w:tc>
        <w:tc>
          <w:tcPr>
            <w:tcW w:w="1011" w:type="pct"/>
            <w:vMerge w:val="restart"/>
            <w:shd w:val="clear" w:color="auto" w:fill="auto"/>
            <w:vAlign w:val="center"/>
          </w:tcPr>
          <w:p w14:paraId="0148CB73">
            <w:pPr>
              <w:adjustRightInd w:val="0"/>
              <w:snapToGrid w:val="0"/>
              <w:spacing w:line="240" w:lineRule="auto"/>
              <w:ind w:firstLine="0" w:firstLineChars="0"/>
              <w:jc w:val="center"/>
              <w:rPr>
                <w:sz w:val="18"/>
                <w:szCs w:val="18"/>
              </w:rPr>
            </w:pPr>
            <w:r>
              <w:rPr>
                <w:sz w:val="18"/>
                <w:szCs w:val="18"/>
              </w:rPr>
              <w:t>项目分段/分区</w:t>
            </w:r>
          </w:p>
        </w:tc>
        <w:tc>
          <w:tcPr>
            <w:tcW w:w="1411" w:type="pct"/>
            <w:gridSpan w:val="3"/>
            <w:shd w:val="clear" w:color="auto" w:fill="auto"/>
            <w:vAlign w:val="center"/>
          </w:tcPr>
          <w:p w14:paraId="60B1B36C">
            <w:pPr>
              <w:adjustRightInd w:val="0"/>
              <w:snapToGrid w:val="0"/>
              <w:spacing w:line="240" w:lineRule="auto"/>
              <w:ind w:firstLine="0" w:firstLineChars="0"/>
              <w:jc w:val="center"/>
              <w:rPr>
                <w:sz w:val="18"/>
                <w:szCs w:val="18"/>
              </w:rPr>
            </w:pPr>
            <w:r>
              <w:rPr>
                <w:sz w:val="18"/>
                <w:szCs w:val="18"/>
              </w:rPr>
              <w:t>挖方(万m</w:t>
            </w:r>
            <w:r>
              <w:rPr>
                <w:sz w:val="18"/>
                <w:szCs w:val="18"/>
                <w:vertAlign w:val="superscript"/>
              </w:rPr>
              <w:t>3</w:t>
            </w:r>
            <w:r>
              <w:rPr>
                <w:sz w:val="18"/>
                <w:szCs w:val="18"/>
              </w:rPr>
              <w:t>)</w:t>
            </w:r>
          </w:p>
        </w:tc>
        <w:tc>
          <w:tcPr>
            <w:tcW w:w="1410" w:type="pct"/>
            <w:gridSpan w:val="3"/>
            <w:shd w:val="clear" w:color="auto" w:fill="auto"/>
            <w:vAlign w:val="center"/>
          </w:tcPr>
          <w:p w14:paraId="1C3D1C5E">
            <w:pPr>
              <w:adjustRightInd w:val="0"/>
              <w:snapToGrid w:val="0"/>
              <w:spacing w:line="240" w:lineRule="auto"/>
              <w:ind w:firstLine="0" w:firstLineChars="0"/>
              <w:jc w:val="center"/>
              <w:rPr>
                <w:sz w:val="18"/>
                <w:szCs w:val="18"/>
              </w:rPr>
            </w:pPr>
            <w:r>
              <w:rPr>
                <w:sz w:val="18"/>
                <w:szCs w:val="18"/>
              </w:rPr>
              <w:t>填方(万m</w:t>
            </w:r>
            <w:r>
              <w:rPr>
                <w:sz w:val="18"/>
                <w:szCs w:val="18"/>
                <w:vertAlign w:val="superscript"/>
              </w:rPr>
              <w:t>3</w:t>
            </w:r>
            <w:r>
              <w:rPr>
                <w:sz w:val="18"/>
                <w:szCs w:val="18"/>
              </w:rPr>
              <w:t>)</w:t>
            </w:r>
          </w:p>
        </w:tc>
        <w:tc>
          <w:tcPr>
            <w:tcW w:w="866" w:type="pct"/>
            <w:gridSpan w:val="2"/>
            <w:shd w:val="clear" w:color="auto" w:fill="auto"/>
            <w:vAlign w:val="center"/>
          </w:tcPr>
          <w:p w14:paraId="6F75F0D4">
            <w:pPr>
              <w:adjustRightInd w:val="0"/>
              <w:snapToGrid w:val="0"/>
              <w:spacing w:line="240" w:lineRule="auto"/>
              <w:ind w:firstLine="0" w:firstLineChars="0"/>
              <w:jc w:val="center"/>
              <w:rPr>
                <w:sz w:val="18"/>
                <w:szCs w:val="18"/>
              </w:rPr>
            </w:pPr>
            <w:r>
              <w:rPr>
                <w:sz w:val="18"/>
                <w:szCs w:val="18"/>
              </w:rPr>
              <w:t>弃方(万m3)</w:t>
            </w:r>
          </w:p>
        </w:tc>
      </w:tr>
      <w:tr w14:paraId="483C19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408F0EA6">
            <w:pPr>
              <w:adjustRightInd w:val="0"/>
              <w:snapToGrid w:val="0"/>
              <w:spacing w:line="240" w:lineRule="auto"/>
              <w:ind w:firstLine="0" w:firstLineChars="0"/>
              <w:jc w:val="center"/>
              <w:rPr>
                <w:sz w:val="18"/>
                <w:szCs w:val="18"/>
              </w:rPr>
            </w:pPr>
          </w:p>
        </w:tc>
        <w:tc>
          <w:tcPr>
            <w:tcW w:w="1011" w:type="pct"/>
            <w:vMerge w:val="continue"/>
            <w:shd w:val="clear" w:color="auto" w:fill="auto"/>
            <w:vAlign w:val="center"/>
          </w:tcPr>
          <w:p w14:paraId="4B31BA7D">
            <w:pPr>
              <w:adjustRightInd w:val="0"/>
              <w:snapToGrid w:val="0"/>
              <w:spacing w:line="240" w:lineRule="auto"/>
              <w:ind w:firstLine="0" w:firstLineChars="0"/>
              <w:jc w:val="center"/>
              <w:rPr>
                <w:sz w:val="18"/>
                <w:szCs w:val="18"/>
              </w:rPr>
            </w:pPr>
          </w:p>
        </w:tc>
        <w:tc>
          <w:tcPr>
            <w:tcW w:w="469" w:type="pct"/>
            <w:shd w:val="clear" w:color="auto" w:fill="auto"/>
            <w:vAlign w:val="center"/>
          </w:tcPr>
          <w:p w14:paraId="4DCC327D">
            <w:pPr>
              <w:adjustRightInd w:val="0"/>
              <w:snapToGrid w:val="0"/>
              <w:spacing w:line="240" w:lineRule="auto"/>
              <w:ind w:firstLine="0" w:firstLineChars="0"/>
              <w:jc w:val="center"/>
              <w:rPr>
                <w:sz w:val="18"/>
                <w:szCs w:val="18"/>
              </w:rPr>
            </w:pPr>
            <w:r>
              <w:rPr>
                <w:sz w:val="18"/>
                <w:szCs w:val="18"/>
              </w:rPr>
              <w:t>总量</w:t>
            </w:r>
          </w:p>
        </w:tc>
        <w:tc>
          <w:tcPr>
            <w:tcW w:w="469" w:type="pct"/>
            <w:shd w:val="clear" w:color="auto" w:fill="auto"/>
            <w:vAlign w:val="center"/>
          </w:tcPr>
          <w:p w14:paraId="2DB9C086">
            <w:pPr>
              <w:adjustRightInd w:val="0"/>
              <w:snapToGrid w:val="0"/>
              <w:spacing w:line="240" w:lineRule="auto"/>
              <w:ind w:firstLine="0" w:firstLineChars="0"/>
              <w:jc w:val="center"/>
              <w:rPr>
                <w:sz w:val="18"/>
                <w:szCs w:val="18"/>
              </w:rPr>
            </w:pPr>
            <w:r>
              <w:rPr>
                <w:sz w:val="18"/>
                <w:szCs w:val="18"/>
              </w:rPr>
              <w:t>土石方</w:t>
            </w:r>
          </w:p>
        </w:tc>
        <w:tc>
          <w:tcPr>
            <w:tcW w:w="472" w:type="pct"/>
            <w:shd w:val="clear" w:color="auto" w:fill="auto"/>
            <w:vAlign w:val="center"/>
          </w:tcPr>
          <w:p w14:paraId="4A1BA9B9">
            <w:pPr>
              <w:adjustRightInd w:val="0"/>
              <w:snapToGrid w:val="0"/>
              <w:spacing w:line="240" w:lineRule="auto"/>
              <w:ind w:firstLine="0" w:firstLineChars="0"/>
              <w:jc w:val="center"/>
              <w:rPr>
                <w:sz w:val="18"/>
                <w:szCs w:val="18"/>
              </w:rPr>
            </w:pPr>
            <w:r>
              <w:rPr>
                <w:sz w:val="18"/>
                <w:szCs w:val="18"/>
              </w:rPr>
              <w:t>表土</w:t>
            </w:r>
          </w:p>
        </w:tc>
        <w:tc>
          <w:tcPr>
            <w:tcW w:w="469" w:type="pct"/>
            <w:shd w:val="clear" w:color="auto" w:fill="auto"/>
            <w:vAlign w:val="center"/>
          </w:tcPr>
          <w:p w14:paraId="224AFE44">
            <w:pPr>
              <w:adjustRightInd w:val="0"/>
              <w:snapToGrid w:val="0"/>
              <w:spacing w:line="240" w:lineRule="auto"/>
              <w:ind w:firstLine="0" w:firstLineChars="0"/>
              <w:jc w:val="center"/>
              <w:rPr>
                <w:sz w:val="18"/>
                <w:szCs w:val="18"/>
              </w:rPr>
            </w:pPr>
            <w:r>
              <w:rPr>
                <w:sz w:val="18"/>
                <w:szCs w:val="18"/>
              </w:rPr>
              <w:t>总量</w:t>
            </w:r>
          </w:p>
        </w:tc>
        <w:tc>
          <w:tcPr>
            <w:tcW w:w="469" w:type="pct"/>
            <w:shd w:val="clear" w:color="auto" w:fill="auto"/>
            <w:vAlign w:val="center"/>
          </w:tcPr>
          <w:p w14:paraId="32094B4C">
            <w:pPr>
              <w:adjustRightInd w:val="0"/>
              <w:snapToGrid w:val="0"/>
              <w:spacing w:line="240" w:lineRule="auto"/>
              <w:ind w:firstLine="0" w:firstLineChars="0"/>
              <w:jc w:val="center"/>
              <w:rPr>
                <w:sz w:val="18"/>
                <w:szCs w:val="18"/>
              </w:rPr>
            </w:pPr>
            <w:r>
              <w:rPr>
                <w:sz w:val="18"/>
                <w:szCs w:val="18"/>
              </w:rPr>
              <w:t>土石方</w:t>
            </w:r>
          </w:p>
        </w:tc>
        <w:tc>
          <w:tcPr>
            <w:tcW w:w="472" w:type="pct"/>
            <w:shd w:val="clear" w:color="auto" w:fill="auto"/>
            <w:vAlign w:val="center"/>
          </w:tcPr>
          <w:p w14:paraId="299A7F39">
            <w:pPr>
              <w:adjustRightInd w:val="0"/>
              <w:snapToGrid w:val="0"/>
              <w:spacing w:line="240" w:lineRule="auto"/>
              <w:ind w:firstLine="0" w:firstLineChars="0"/>
              <w:jc w:val="center"/>
              <w:rPr>
                <w:sz w:val="18"/>
                <w:szCs w:val="18"/>
              </w:rPr>
            </w:pPr>
            <w:r>
              <w:rPr>
                <w:sz w:val="18"/>
                <w:szCs w:val="18"/>
              </w:rPr>
              <w:t>表土</w:t>
            </w:r>
          </w:p>
        </w:tc>
        <w:tc>
          <w:tcPr>
            <w:tcW w:w="469" w:type="pct"/>
            <w:shd w:val="clear" w:color="auto" w:fill="auto"/>
            <w:vAlign w:val="center"/>
          </w:tcPr>
          <w:p w14:paraId="270F74AA">
            <w:pPr>
              <w:adjustRightInd w:val="0"/>
              <w:snapToGrid w:val="0"/>
              <w:spacing w:line="240" w:lineRule="auto"/>
              <w:ind w:firstLine="0" w:firstLineChars="0"/>
              <w:jc w:val="center"/>
              <w:rPr>
                <w:sz w:val="18"/>
                <w:szCs w:val="18"/>
              </w:rPr>
            </w:pPr>
            <w:r>
              <w:rPr>
                <w:sz w:val="18"/>
                <w:szCs w:val="18"/>
              </w:rPr>
              <w:t>数量</w:t>
            </w:r>
          </w:p>
        </w:tc>
        <w:tc>
          <w:tcPr>
            <w:tcW w:w="397" w:type="pct"/>
            <w:shd w:val="clear" w:color="auto" w:fill="auto"/>
            <w:vAlign w:val="center"/>
          </w:tcPr>
          <w:p w14:paraId="16FB7820">
            <w:pPr>
              <w:adjustRightInd w:val="0"/>
              <w:snapToGrid w:val="0"/>
              <w:spacing w:line="240" w:lineRule="auto"/>
              <w:ind w:firstLine="0" w:firstLineChars="0"/>
              <w:jc w:val="center"/>
              <w:rPr>
                <w:sz w:val="18"/>
                <w:szCs w:val="18"/>
              </w:rPr>
            </w:pPr>
            <w:r>
              <w:rPr>
                <w:sz w:val="18"/>
                <w:szCs w:val="18"/>
              </w:rPr>
              <w:t>去向</w:t>
            </w:r>
          </w:p>
        </w:tc>
      </w:tr>
      <w:tr w14:paraId="727A7FB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shd w:val="clear" w:color="auto" w:fill="auto"/>
            <w:vAlign w:val="center"/>
          </w:tcPr>
          <w:p w14:paraId="44A54E3D">
            <w:pPr>
              <w:adjustRightInd w:val="0"/>
              <w:snapToGrid w:val="0"/>
              <w:spacing w:line="240" w:lineRule="auto"/>
              <w:ind w:firstLine="0" w:firstLineChars="0"/>
              <w:jc w:val="center"/>
              <w:rPr>
                <w:sz w:val="18"/>
                <w:szCs w:val="18"/>
              </w:rPr>
            </w:pPr>
            <w:r>
              <w:rPr>
                <w:sz w:val="18"/>
                <w:szCs w:val="18"/>
              </w:rPr>
              <w:t>1</w:t>
            </w:r>
          </w:p>
        </w:tc>
        <w:tc>
          <w:tcPr>
            <w:tcW w:w="1011" w:type="pct"/>
            <w:shd w:val="clear" w:color="auto" w:fill="auto"/>
            <w:vAlign w:val="center"/>
          </w:tcPr>
          <w:p w14:paraId="14B74B03">
            <w:pPr>
              <w:adjustRightInd w:val="0"/>
              <w:snapToGrid w:val="0"/>
              <w:spacing w:line="240" w:lineRule="auto"/>
              <w:ind w:firstLine="0" w:firstLineChars="0"/>
              <w:jc w:val="center"/>
              <w:rPr>
                <w:sz w:val="18"/>
                <w:szCs w:val="18"/>
              </w:rPr>
            </w:pPr>
            <w:r>
              <w:rPr>
                <w:sz w:val="18"/>
                <w:szCs w:val="18"/>
              </w:rPr>
              <w:t>进场改建道路（4.71km）</w:t>
            </w:r>
          </w:p>
        </w:tc>
        <w:tc>
          <w:tcPr>
            <w:tcW w:w="469" w:type="pct"/>
            <w:shd w:val="clear" w:color="auto" w:fill="auto"/>
            <w:vAlign w:val="center"/>
          </w:tcPr>
          <w:p w14:paraId="56C56531">
            <w:pPr>
              <w:adjustRightInd w:val="0"/>
              <w:snapToGrid w:val="0"/>
              <w:spacing w:line="240" w:lineRule="auto"/>
              <w:ind w:firstLine="0" w:firstLineChars="0"/>
              <w:jc w:val="center"/>
              <w:rPr>
                <w:sz w:val="18"/>
                <w:szCs w:val="18"/>
              </w:rPr>
            </w:pPr>
            <w:r>
              <w:rPr>
                <w:sz w:val="18"/>
                <w:szCs w:val="18"/>
              </w:rPr>
              <w:t>1.77</w:t>
            </w:r>
          </w:p>
        </w:tc>
        <w:tc>
          <w:tcPr>
            <w:tcW w:w="469" w:type="pct"/>
            <w:shd w:val="clear" w:color="auto" w:fill="auto"/>
            <w:vAlign w:val="center"/>
          </w:tcPr>
          <w:p w14:paraId="6DC7DDFE">
            <w:pPr>
              <w:adjustRightInd w:val="0"/>
              <w:snapToGrid w:val="0"/>
              <w:spacing w:line="240" w:lineRule="auto"/>
              <w:ind w:firstLine="0" w:firstLineChars="0"/>
              <w:jc w:val="center"/>
              <w:rPr>
                <w:sz w:val="18"/>
                <w:szCs w:val="18"/>
              </w:rPr>
            </w:pPr>
            <w:r>
              <w:rPr>
                <w:sz w:val="18"/>
                <w:szCs w:val="18"/>
              </w:rPr>
              <w:t>0.87</w:t>
            </w:r>
          </w:p>
        </w:tc>
        <w:tc>
          <w:tcPr>
            <w:tcW w:w="472" w:type="pct"/>
            <w:shd w:val="clear" w:color="auto" w:fill="auto"/>
            <w:vAlign w:val="center"/>
          </w:tcPr>
          <w:p w14:paraId="279C4745">
            <w:pPr>
              <w:adjustRightInd w:val="0"/>
              <w:snapToGrid w:val="0"/>
              <w:spacing w:line="240" w:lineRule="auto"/>
              <w:ind w:firstLine="0" w:firstLineChars="0"/>
              <w:jc w:val="center"/>
              <w:rPr>
                <w:sz w:val="18"/>
                <w:szCs w:val="18"/>
              </w:rPr>
            </w:pPr>
            <w:r>
              <w:rPr>
                <w:sz w:val="18"/>
                <w:szCs w:val="18"/>
              </w:rPr>
              <w:t>0.90</w:t>
            </w:r>
          </w:p>
        </w:tc>
        <w:tc>
          <w:tcPr>
            <w:tcW w:w="469" w:type="pct"/>
            <w:shd w:val="clear" w:color="auto" w:fill="auto"/>
            <w:vAlign w:val="center"/>
          </w:tcPr>
          <w:p w14:paraId="3166EE6B">
            <w:pPr>
              <w:adjustRightInd w:val="0"/>
              <w:snapToGrid w:val="0"/>
              <w:spacing w:line="240" w:lineRule="auto"/>
              <w:ind w:firstLine="0" w:firstLineChars="0"/>
              <w:jc w:val="center"/>
              <w:rPr>
                <w:sz w:val="18"/>
                <w:szCs w:val="18"/>
              </w:rPr>
            </w:pPr>
            <w:r>
              <w:rPr>
                <w:sz w:val="18"/>
                <w:szCs w:val="18"/>
              </w:rPr>
              <w:t>1.50</w:t>
            </w:r>
          </w:p>
        </w:tc>
        <w:tc>
          <w:tcPr>
            <w:tcW w:w="469" w:type="pct"/>
            <w:shd w:val="clear" w:color="auto" w:fill="auto"/>
            <w:vAlign w:val="center"/>
          </w:tcPr>
          <w:p w14:paraId="54D55C3B">
            <w:pPr>
              <w:adjustRightInd w:val="0"/>
              <w:snapToGrid w:val="0"/>
              <w:spacing w:line="240" w:lineRule="auto"/>
              <w:ind w:firstLine="0" w:firstLineChars="0"/>
              <w:jc w:val="center"/>
              <w:rPr>
                <w:sz w:val="18"/>
                <w:szCs w:val="18"/>
              </w:rPr>
            </w:pPr>
            <w:r>
              <w:rPr>
                <w:sz w:val="18"/>
                <w:szCs w:val="18"/>
              </w:rPr>
              <w:t>0.60</w:t>
            </w:r>
          </w:p>
        </w:tc>
        <w:tc>
          <w:tcPr>
            <w:tcW w:w="472" w:type="pct"/>
            <w:shd w:val="clear" w:color="auto" w:fill="auto"/>
            <w:vAlign w:val="center"/>
          </w:tcPr>
          <w:p w14:paraId="184029B7">
            <w:pPr>
              <w:adjustRightInd w:val="0"/>
              <w:snapToGrid w:val="0"/>
              <w:spacing w:line="240" w:lineRule="auto"/>
              <w:ind w:firstLine="0" w:firstLineChars="0"/>
              <w:jc w:val="center"/>
              <w:rPr>
                <w:sz w:val="18"/>
                <w:szCs w:val="18"/>
              </w:rPr>
            </w:pPr>
            <w:r>
              <w:rPr>
                <w:sz w:val="18"/>
                <w:szCs w:val="18"/>
              </w:rPr>
              <w:t>0.90</w:t>
            </w:r>
          </w:p>
        </w:tc>
        <w:tc>
          <w:tcPr>
            <w:tcW w:w="469" w:type="pct"/>
            <w:shd w:val="clear" w:color="auto" w:fill="auto"/>
            <w:vAlign w:val="center"/>
          </w:tcPr>
          <w:p w14:paraId="708D02A1">
            <w:pPr>
              <w:adjustRightInd w:val="0"/>
              <w:snapToGrid w:val="0"/>
              <w:spacing w:line="240" w:lineRule="auto"/>
              <w:ind w:firstLine="0" w:firstLineChars="0"/>
              <w:jc w:val="center"/>
              <w:rPr>
                <w:sz w:val="18"/>
                <w:szCs w:val="18"/>
              </w:rPr>
            </w:pPr>
            <w:r>
              <w:rPr>
                <w:sz w:val="18"/>
                <w:szCs w:val="18"/>
              </w:rPr>
              <w:t>0.27</w:t>
            </w:r>
          </w:p>
        </w:tc>
        <w:tc>
          <w:tcPr>
            <w:tcW w:w="397" w:type="pct"/>
            <w:shd w:val="clear" w:color="auto" w:fill="auto"/>
            <w:vAlign w:val="center"/>
          </w:tcPr>
          <w:p w14:paraId="6CAAE0AF">
            <w:pPr>
              <w:adjustRightInd w:val="0"/>
              <w:snapToGrid w:val="0"/>
              <w:spacing w:line="240" w:lineRule="auto"/>
              <w:ind w:firstLine="0" w:firstLineChars="0"/>
              <w:jc w:val="center"/>
              <w:rPr>
                <w:sz w:val="18"/>
                <w:szCs w:val="18"/>
              </w:rPr>
            </w:pPr>
            <w:r>
              <w:rPr>
                <w:sz w:val="18"/>
                <w:szCs w:val="18"/>
              </w:rPr>
              <w:t>Z1</w:t>
            </w:r>
          </w:p>
        </w:tc>
      </w:tr>
      <w:tr w14:paraId="555B57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6081E60B">
            <w:pPr>
              <w:adjustRightInd w:val="0"/>
              <w:snapToGrid w:val="0"/>
              <w:spacing w:line="240" w:lineRule="auto"/>
              <w:ind w:firstLine="0" w:firstLineChars="0"/>
              <w:jc w:val="center"/>
              <w:rPr>
                <w:sz w:val="18"/>
                <w:szCs w:val="18"/>
              </w:rPr>
            </w:pPr>
            <w:r>
              <w:rPr>
                <w:sz w:val="18"/>
                <w:szCs w:val="18"/>
              </w:rPr>
              <w:t>2</w:t>
            </w:r>
          </w:p>
        </w:tc>
        <w:tc>
          <w:tcPr>
            <w:tcW w:w="1011" w:type="pct"/>
            <w:shd w:val="clear" w:color="auto" w:fill="auto"/>
            <w:vAlign w:val="center"/>
          </w:tcPr>
          <w:p w14:paraId="7263231D">
            <w:pPr>
              <w:adjustRightInd w:val="0"/>
              <w:snapToGrid w:val="0"/>
              <w:spacing w:line="240" w:lineRule="auto"/>
              <w:ind w:firstLine="0" w:firstLineChars="0"/>
              <w:jc w:val="center"/>
              <w:rPr>
                <w:sz w:val="18"/>
                <w:szCs w:val="18"/>
              </w:rPr>
            </w:pPr>
            <w:r>
              <w:rPr>
                <w:sz w:val="18"/>
                <w:szCs w:val="18"/>
              </w:rPr>
              <w:t>1#风机支路（1.04km）</w:t>
            </w:r>
          </w:p>
        </w:tc>
        <w:tc>
          <w:tcPr>
            <w:tcW w:w="469" w:type="pct"/>
            <w:shd w:val="clear" w:color="auto" w:fill="auto"/>
            <w:vAlign w:val="center"/>
          </w:tcPr>
          <w:p w14:paraId="6046F7AF">
            <w:pPr>
              <w:adjustRightInd w:val="0"/>
              <w:snapToGrid w:val="0"/>
              <w:spacing w:line="240" w:lineRule="auto"/>
              <w:ind w:firstLine="0" w:firstLineChars="0"/>
              <w:jc w:val="center"/>
              <w:rPr>
                <w:sz w:val="18"/>
                <w:szCs w:val="18"/>
              </w:rPr>
            </w:pPr>
            <w:r>
              <w:rPr>
                <w:sz w:val="18"/>
                <w:szCs w:val="18"/>
              </w:rPr>
              <w:t>3.64</w:t>
            </w:r>
          </w:p>
        </w:tc>
        <w:tc>
          <w:tcPr>
            <w:tcW w:w="469" w:type="pct"/>
            <w:shd w:val="clear" w:color="auto" w:fill="auto"/>
            <w:vAlign w:val="center"/>
          </w:tcPr>
          <w:p w14:paraId="1D98E0FF">
            <w:pPr>
              <w:adjustRightInd w:val="0"/>
              <w:snapToGrid w:val="0"/>
              <w:spacing w:line="240" w:lineRule="auto"/>
              <w:ind w:firstLine="0" w:firstLineChars="0"/>
              <w:jc w:val="center"/>
              <w:rPr>
                <w:sz w:val="18"/>
                <w:szCs w:val="18"/>
              </w:rPr>
            </w:pPr>
            <w:r>
              <w:rPr>
                <w:sz w:val="18"/>
                <w:szCs w:val="18"/>
              </w:rPr>
              <w:t>3.43</w:t>
            </w:r>
          </w:p>
        </w:tc>
        <w:tc>
          <w:tcPr>
            <w:tcW w:w="472" w:type="pct"/>
            <w:shd w:val="clear" w:color="auto" w:fill="auto"/>
            <w:vAlign w:val="center"/>
          </w:tcPr>
          <w:p w14:paraId="0CFC6A1C">
            <w:pPr>
              <w:adjustRightInd w:val="0"/>
              <w:snapToGrid w:val="0"/>
              <w:spacing w:line="240" w:lineRule="auto"/>
              <w:ind w:firstLine="0" w:firstLineChars="0"/>
              <w:jc w:val="center"/>
              <w:rPr>
                <w:sz w:val="18"/>
                <w:szCs w:val="18"/>
              </w:rPr>
            </w:pPr>
            <w:r>
              <w:rPr>
                <w:sz w:val="18"/>
                <w:szCs w:val="18"/>
              </w:rPr>
              <w:t>0.21</w:t>
            </w:r>
          </w:p>
        </w:tc>
        <w:tc>
          <w:tcPr>
            <w:tcW w:w="469" w:type="pct"/>
            <w:shd w:val="clear" w:color="auto" w:fill="auto"/>
            <w:vAlign w:val="center"/>
          </w:tcPr>
          <w:p w14:paraId="4A7F74FC">
            <w:pPr>
              <w:adjustRightInd w:val="0"/>
              <w:snapToGrid w:val="0"/>
              <w:spacing w:line="240" w:lineRule="auto"/>
              <w:ind w:firstLine="0" w:firstLineChars="0"/>
              <w:jc w:val="center"/>
              <w:rPr>
                <w:sz w:val="18"/>
                <w:szCs w:val="18"/>
              </w:rPr>
            </w:pPr>
            <w:r>
              <w:rPr>
                <w:sz w:val="18"/>
                <w:szCs w:val="18"/>
              </w:rPr>
              <w:t>2.91</w:t>
            </w:r>
          </w:p>
        </w:tc>
        <w:tc>
          <w:tcPr>
            <w:tcW w:w="469" w:type="pct"/>
            <w:shd w:val="clear" w:color="auto" w:fill="auto"/>
            <w:vAlign w:val="center"/>
          </w:tcPr>
          <w:p w14:paraId="16B7C5F6">
            <w:pPr>
              <w:adjustRightInd w:val="0"/>
              <w:snapToGrid w:val="0"/>
              <w:spacing w:line="240" w:lineRule="auto"/>
              <w:ind w:firstLine="0" w:firstLineChars="0"/>
              <w:jc w:val="center"/>
              <w:rPr>
                <w:sz w:val="18"/>
                <w:szCs w:val="18"/>
              </w:rPr>
            </w:pPr>
            <w:r>
              <w:rPr>
                <w:sz w:val="18"/>
                <w:szCs w:val="18"/>
              </w:rPr>
              <w:t>2.70</w:t>
            </w:r>
          </w:p>
        </w:tc>
        <w:tc>
          <w:tcPr>
            <w:tcW w:w="472" w:type="pct"/>
            <w:shd w:val="clear" w:color="auto" w:fill="auto"/>
            <w:vAlign w:val="center"/>
          </w:tcPr>
          <w:p w14:paraId="23321CC0">
            <w:pPr>
              <w:adjustRightInd w:val="0"/>
              <w:snapToGrid w:val="0"/>
              <w:spacing w:line="240" w:lineRule="auto"/>
              <w:ind w:firstLine="0" w:firstLineChars="0"/>
              <w:jc w:val="center"/>
              <w:rPr>
                <w:sz w:val="18"/>
                <w:szCs w:val="18"/>
              </w:rPr>
            </w:pPr>
            <w:r>
              <w:rPr>
                <w:sz w:val="18"/>
                <w:szCs w:val="18"/>
              </w:rPr>
              <w:t>0.21</w:t>
            </w:r>
          </w:p>
        </w:tc>
        <w:tc>
          <w:tcPr>
            <w:tcW w:w="469" w:type="pct"/>
            <w:shd w:val="clear" w:color="auto" w:fill="auto"/>
            <w:vAlign w:val="center"/>
          </w:tcPr>
          <w:p w14:paraId="5485B5EF">
            <w:pPr>
              <w:adjustRightInd w:val="0"/>
              <w:snapToGrid w:val="0"/>
              <w:spacing w:line="240" w:lineRule="auto"/>
              <w:ind w:firstLine="0" w:firstLineChars="0"/>
              <w:jc w:val="center"/>
              <w:rPr>
                <w:sz w:val="18"/>
                <w:szCs w:val="18"/>
              </w:rPr>
            </w:pPr>
            <w:r>
              <w:rPr>
                <w:sz w:val="18"/>
                <w:szCs w:val="18"/>
              </w:rPr>
              <w:t>0.73</w:t>
            </w:r>
          </w:p>
        </w:tc>
        <w:tc>
          <w:tcPr>
            <w:tcW w:w="397" w:type="pct"/>
            <w:vMerge w:val="restart"/>
            <w:shd w:val="clear" w:color="auto" w:fill="auto"/>
            <w:vAlign w:val="center"/>
          </w:tcPr>
          <w:p w14:paraId="28A176E7">
            <w:pPr>
              <w:adjustRightInd w:val="0"/>
              <w:snapToGrid w:val="0"/>
              <w:spacing w:line="240" w:lineRule="auto"/>
              <w:ind w:firstLine="0" w:firstLineChars="0"/>
              <w:jc w:val="center"/>
              <w:rPr>
                <w:sz w:val="18"/>
                <w:szCs w:val="18"/>
              </w:rPr>
            </w:pPr>
            <w:r>
              <w:rPr>
                <w:sz w:val="18"/>
                <w:szCs w:val="18"/>
              </w:rPr>
              <w:t>Z4</w:t>
            </w:r>
          </w:p>
        </w:tc>
      </w:tr>
      <w:tr w14:paraId="7F4A24C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2C26A2F4">
            <w:pPr>
              <w:adjustRightInd w:val="0"/>
              <w:snapToGrid w:val="0"/>
              <w:spacing w:line="240" w:lineRule="auto"/>
              <w:ind w:firstLine="0" w:firstLineChars="0"/>
              <w:jc w:val="center"/>
              <w:rPr>
                <w:sz w:val="18"/>
                <w:szCs w:val="18"/>
              </w:rPr>
            </w:pPr>
          </w:p>
        </w:tc>
        <w:tc>
          <w:tcPr>
            <w:tcW w:w="1011" w:type="pct"/>
            <w:shd w:val="clear" w:color="auto" w:fill="auto"/>
            <w:vAlign w:val="center"/>
          </w:tcPr>
          <w:p w14:paraId="61462455">
            <w:pPr>
              <w:adjustRightInd w:val="0"/>
              <w:snapToGrid w:val="0"/>
              <w:spacing w:line="240" w:lineRule="auto"/>
              <w:ind w:firstLine="0" w:firstLineChars="0"/>
              <w:jc w:val="center"/>
              <w:rPr>
                <w:sz w:val="18"/>
                <w:szCs w:val="18"/>
              </w:rPr>
            </w:pPr>
            <w:r>
              <w:rPr>
                <w:sz w:val="18"/>
                <w:szCs w:val="18"/>
              </w:rPr>
              <w:t>1#风机平台</w:t>
            </w:r>
          </w:p>
        </w:tc>
        <w:tc>
          <w:tcPr>
            <w:tcW w:w="469" w:type="pct"/>
            <w:shd w:val="clear" w:color="auto" w:fill="auto"/>
            <w:vAlign w:val="center"/>
          </w:tcPr>
          <w:p w14:paraId="5AECCBD6">
            <w:pPr>
              <w:adjustRightInd w:val="0"/>
              <w:snapToGrid w:val="0"/>
              <w:spacing w:line="240" w:lineRule="auto"/>
              <w:ind w:firstLine="0" w:firstLineChars="0"/>
              <w:jc w:val="center"/>
              <w:rPr>
                <w:sz w:val="18"/>
                <w:szCs w:val="18"/>
              </w:rPr>
            </w:pPr>
            <w:r>
              <w:rPr>
                <w:sz w:val="18"/>
                <w:szCs w:val="18"/>
              </w:rPr>
              <w:t>2.40</w:t>
            </w:r>
          </w:p>
        </w:tc>
        <w:tc>
          <w:tcPr>
            <w:tcW w:w="469" w:type="pct"/>
            <w:shd w:val="clear" w:color="auto" w:fill="auto"/>
            <w:vAlign w:val="center"/>
          </w:tcPr>
          <w:p w14:paraId="4954AD5A">
            <w:pPr>
              <w:adjustRightInd w:val="0"/>
              <w:snapToGrid w:val="0"/>
              <w:spacing w:line="240" w:lineRule="auto"/>
              <w:ind w:firstLine="0" w:firstLineChars="0"/>
              <w:jc w:val="center"/>
              <w:rPr>
                <w:sz w:val="18"/>
                <w:szCs w:val="18"/>
              </w:rPr>
            </w:pPr>
            <w:r>
              <w:rPr>
                <w:sz w:val="18"/>
                <w:szCs w:val="18"/>
              </w:rPr>
              <w:t>2.33</w:t>
            </w:r>
          </w:p>
        </w:tc>
        <w:tc>
          <w:tcPr>
            <w:tcW w:w="472" w:type="pct"/>
            <w:shd w:val="clear" w:color="auto" w:fill="auto"/>
            <w:vAlign w:val="center"/>
          </w:tcPr>
          <w:p w14:paraId="508B4304">
            <w:pPr>
              <w:adjustRightInd w:val="0"/>
              <w:snapToGrid w:val="0"/>
              <w:spacing w:line="240" w:lineRule="auto"/>
              <w:ind w:firstLine="0" w:firstLineChars="0"/>
              <w:jc w:val="center"/>
              <w:rPr>
                <w:sz w:val="18"/>
                <w:szCs w:val="18"/>
              </w:rPr>
            </w:pPr>
            <w:r>
              <w:rPr>
                <w:sz w:val="18"/>
                <w:szCs w:val="18"/>
              </w:rPr>
              <w:t>0.07</w:t>
            </w:r>
          </w:p>
        </w:tc>
        <w:tc>
          <w:tcPr>
            <w:tcW w:w="469" w:type="pct"/>
            <w:shd w:val="clear" w:color="auto" w:fill="auto"/>
            <w:vAlign w:val="center"/>
          </w:tcPr>
          <w:p w14:paraId="0996CAD2">
            <w:pPr>
              <w:adjustRightInd w:val="0"/>
              <w:snapToGrid w:val="0"/>
              <w:spacing w:line="240" w:lineRule="auto"/>
              <w:ind w:firstLine="0" w:firstLineChars="0"/>
              <w:jc w:val="center"/>
              <w:rPr>
                <w:sz w:val="18"/>
                <w:szCs w:val="18"/>
              </w:rPr>
            </w:pPr>
            <w:r>
              <w:rPr>
                <w:sz w:val="18"/>
                <w:szCs w:val="18"/>
              </w:rPr>
              <w:t>1.88</w:t>
            </w:r>
          </w:p>
        </w:tc>
        <w:tc>
          <w:tcPr>
            <w:tcW w:w="469" w:type="pct"/>
            <w:shd w:val="clear" w:color="auto" w:fill="auto"/>
            <w:vAlign w:val="center"/>
          </w:tcPr>
          <w:p w14:paraId="78EF9002">
            <w:pPr>
              <w:adjustRightInd w:val="0"/>
              <w:snapToGrid w:val="0"/>
              <w:spacing w:line="240" w:lineRule="auto"/>
              <w:ind w:firstLine="0" w:firstLineChars="0"/>
              <w:jc w:val="center"/>
              <w:rPr>
                <w:sz w:val="18"/>
                <w:szCs w:val="18"/>
              </w:rPr>
            </w:pPr>
            <w:r>
              <w:rPr>
                <w:sz w:val="18"/>
                <w:szCs w:val="18"/>
              </w:rPr>
              <w:t>1.81</w:t>
            </w:r>
          </w:p>
        </w:tc>
        <w:tc>
          <w:tcPr>
            <w:tcW w:w="472" w:type="pct"/>
            <w:shd w:val="clear" w:color="auto" w:fill="auto"/>
            <w:vAlign w:val="center"/>
          </w:tcPr>
          <w:p w14:paraId="1974A5FF">
            <w:pPr>
              <w:adjustRightInd w:val="0"/>
              <w:snapToGrid w:val="0"/>
              <w:spacing w:line="240" w:lineRule="auto"/>
              <w:ind w:firstLine="0" w:firstLineChars="0"/>
              <w:jc w:val="center"/>
              <w:rPr>
                <w:sz w:val="18"/>
                <w:szCs w:val="18"/>
              </w:rPr>
            </w:pPr>
            <w:r>
              <w:rPr>
                <w:sz w:val="18"/>
                <w:szCs w:val="18"/>
              </w:rPr>
              <w:t>0.07</w:t>
            </w:r>
          </w:p>
        </w:tc>
        <w:tc>
          <w:tcPr>
            <w:tcW w:w="469" w:type="pct"/>
            <w:shd w:val="clear" w:color="auto" w:fill="auto"/>
            <w:vAlign w:val="center"/>
          </w:tcPr>
          <w:p w14:paraId="2B10F87C">
            <w:pPr>
              <w:adjustRightInd w:val="0"/>
              <w:snapToGrid w:val="0"/>
              <w:spacing w:line="240" w:lineRule="auto"/>
              <w:ind w:firstLine="0" w:firstLineChars="0"/>
              <w:jc w:val="center"/>
              <w:rPr>
                <w:sz w:val="18"/>
                <w:szCs w:val="18"/>
              </w:rPr>
            </w:pPr>
            <w:r>
              <w:rPr>
                <w:sz w:val="18"/>
                <w:szCs w:val="18"/>
              </w:rPr>
              <w:t>0.52</w:t>
            </w:r>
          </w:p>
        </w:tc>
        <w:tc>
          <w:tcPr>
            <w:tcW w:w="397" w:type="pct"/>
            <w:vMerge w:val="continue"/>
            <w:shd w:val="clear" w:color="auto" w:fill="auto"/>
            <w:vAlign w:val="center"/>
          </w:tcPr>
          <w:p w14:paraId="45198683">
            <w:pPr>
              <w:adjustRightInd w:val="0"/>
              <w:snapToGrid w:val="0"/>
              <w:spacing w:line="240" w:lineRule="auto"/>
              <w:ind w:firstLine="0" w:firstLineChars="0"/>
              <w:jc w:val="center"/>
              <w:rPr>
                <w:sz w:val="18"/>
                <w:szCs w:val="18"/>
              </w:rPr>
            </w:pPr>
          </w:p>
        </w:tc>
      </w:tr>
      <w:tr w14:paraId="6881E8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5A71FAA6">
            <w:pPr>
              <w:adjustRightInd w:val="0"/>
              <w:snapToGrid w:val="0"/>
              <w:spacing w:line="240" w:lineRule="auto"/>
              <w:ind w:firstLine="0" w:firstLineChars="0"/>
              <w:jc w:val="center"/>
              <w:rPr>
                <w:sz w:val="18"/>
                <w:szCs w:val="18"/>
              </w:rPr>
            </w:pPr>
          </w:p>
        </w:tc>
        <w:tc>
          <w:tcPr>
            <w:tcW w:w="1011" w:type="pct"/>
            <w:shd w:val="clear" w:color="auto" w:fill="auto"/>
            <w:vAlign w:val="center"/>
          </w:tcPr>
          <w:p w14:paraId="61A9A505">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442C8E2D">
            <w:pPr>
              <w:adjustRightInd w:val="0"/>
              <w:snapToGrid w:val="0"/>
              <w:spacing w:line="240" w:lineRule="auto"/>
              <w:ind w:firstLine="0" w:firstLineChars="0"/>
              <w:jc w:val="center"/>
              <w:rPr>
                <w:sz w:val="18"/>
                <w:szCs w:val="18"/>
              </w:rPr>
            </w:pPr>
            <w:r>
              <w:rPr>
                <w:sz w:val="18"/>
                <w:szCs w:val="18"/>
              </w:rPr>
              <w:t>6.04</w:t>
            </w:r>
          </w:p>
        </w:tc>
        <w:tc>
          <w:tcPr>
            <w:tcW w:w="469" w:type="pct"/>
            <w:shd w:val="clear" w:color="auto" w:fill="auto"/>
            <w:vAlign w:val="center"/>
          </w:tcPr>
          <w:p w14:paraId="7C573A9F">
            <w:pPr>
              <w:adjustRightInd w:val="0"/>
              <w:snapToGrid w:val="0"/>
              <w:spacing w:line="240" w:lineRule="auto"/>
              <w:ind w:firstLine="0" w:firstLineChars="0"/>
              <w:jc w:val="center"/>
              <w:rPr>
                <w:sz w:val="18"/>
                <w:szCs w:val="18"/>
              </w:rPr>
            </w:pPr>
            <w:r>
              <w:rPr>
                <w:sz w:val="18"/>
                <w:szCs w:val="18"/>
              </w:rPr>
              <w:t>5.76</w:t>
            </w:r>
          </w:p>
        </w:tc>
        <w:tc>
          <w:tcPr>
            <w:tcW w:w="472" w:type="pct"/>
            <w:shd w:val="clear" w:color="auto" w:fill="auto"/>
            <w:vAlign w:val="center"/>
          </w:tcPr>
          <w:p w14:paraId="3970E3A4">
            <w:pPr>
              <w:adjustRightInd w:val="0"/>
              <w:snapToGrid w:val="0"/>
              <w:spacing w:line="240" w:lineRule="auto"/>
              <w:ind w:firstLine="0" w:firstLineChars="0"/>
              <w:jc w:val="center"/>
              <w:rPr>
                <w:sz w:val="18"/>
                <w:szCs w:val="18"/>
              </w:rPr>
            </w:pPr>
            <w:r>
              <w:rPr>
                <w:sz w:val="18"/>
                <w:szCs w:val="18"/>
              </w:rPr>
              <w:t>0.28</w:t>
            </w:r>
          </w:p>
        </w:tc>
        <w:tc>
          <w:tcPr>
            <w:tcW w:w="469" w:type="pct"/>
            <w:shd w:val="clear" w:color="auto" w:fill="auto"/>
            <w:vAlign w:val="center"/>
          </w:tcPr>
          <w:p w14:paraId="3AD9EA69">
            <w:pPr>
              <w:adjustRightInd w:val="0"/>
              <w:snapToGrid w:val="0"/>
              <w:spacing w:line="240" w:lineRule="auto"/>
              <w:ind w:firstLine="0" w:firstLineChars="0"/>
              <w:jc w:val="center"/>
              <w:rPr>
                <w:sz w:val="18"/>
                <w:szCs w:val="18"/>
              </w:rPr>
            </w:pPr>
            <w:r>
              <w:rPr>
                <w:sz w:val="18"/>
                <w:szCs w:val="18"/>
              </w:rPr>
              <w:t>4.79</w:t>
            </w:r>
          </w:p>
        </w:tc>
        <w:tc>
          <w:tcPr>
            <w:tcW w:w="469" w:type="pct"/>
            <w:shd w:val="clear" w:color="auto" w:fill="auto"/>
            <w:vAlign w:val="center"/>
          </w:tcPr>
          <w:p w14:paraId="5502A432">
            <w:pPr>
              <w:adjustRightInd w:val="0"/>
              <w:snapToGrid w:val="0"/>
              <w:spacing w:line="240" w:lineRule="auto"/>
              <w:ind w:firstLine="0" w:firstLineChars="0"/>
              <w:jc w:val="center"/>
              <w:rPr>
                <w:sz w:val="18"/>
                <w:szCs w:val="18"/>
              </w:rPr>
            </w:pPr>
            <w:r>
              <w:rPr>
                <w:sz w:val="18"/>
                <w:szCs w:val="18"/>
              </w:rPr>
              <w:t>4.51</w:t>
            </w:r>
          </w:p>
        </w:tc>
        <w:tc>
          <w:tcPr>
            <w:tcW w:w="472" w:type="pct"/>
            <w:shd w:val="clear" w:color="auto" w:fill="auto"/>
            <w:vAlign w:val="center"/>
          </w:tcPr>
          <w:p w14:paraId="6161FB23">
            <w:pPr>
              <w:adjustRightInd w:val="0"/>
              <w:snapToGrid w:val="0"/>
              <w:spacing w:line="240" w:lineRule="auto"/>
              <w:ind w:firstLine="0" w:firstLineChars="0"/>
              <w:jc w:val="center"/>
              <w:rPr>
                <w:sz w:val="18"/>
                <w:szCs w:val="18"/>
              </w:rPr>
            </w:pPr>
            <w:r>
              <w:rPr>
                <w:sz w:val="18"/>
                <w:szCs w:val="18"/>
              </w:rPr>
              <w:t>0.28</w:t>
            </w:r>
          </w:p>
        </w:tc>
        <w:tc>
          <w:tcPr>
            <w:tcW w:w="469" w:type="pct"/>
            <w:shd w:val="clear" w:color="auto" w:fill="auto"/>
            <w:vAlign w:val="center"/>
          </w:tcPr>
          <w:p w14:paraId="06EC59EA">
            <w:pPr>
              <w:adjustRightInd w:val="0"/>
              <w:snapToGrid w:val="0"/>
              <w:spacing w:line="240" w:lineRule="auto"/>
              <w:ind w:firstLine="0" w:firstLineChars="0"/>
              <w:jc w:val="center"/>
              <w:rPr>
                <w:sz w:val="18"/>
                <w:szCs w:val="18"/>
              </w:rPr>
            </w:pPr>
            <w:r>
              <w:rPr>
                <w:sz w:val="18"/>
                <w:szCs w:val="18"/>
              </w:rPr>
              <w:t>1.25</w:t>
            </w:r>
          </w:p>
        </w:tc>
        <w:tc>
          <w:tcPr>
            <w:tcW w:w="397" w:type="pct"/>
            <w:vMerge w:val="continue"/>
            <w:shd w:val="clear" w:color="auto" w:fill="auto"/>
            <w:vAlign w:val="center"/>
          </w:tcPr>
          <w:p w14:paraId="34422493">
            <w:pPr>
              <w:adjustRightInd w:val="0"/>
              <w:snapToGrid w:val="0"/>
              <w:spacing w:line="240" w:lineRule="auto"/>
              <w:ind w:firstLine="0" w:firstLineChars="0"/>
              <w:jc w:val="center"/>
              <w:rPr>
                <w:sz w:val="18"/>
                <w:szCs w:val="18"/>
              </w:rPr>
            </w:pPr>
          </w:p>
        </w:tc>
      </w:tr>
      <w:tr w14:paraId="536613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5AC4530D">
            <w:pPr>
              <w:adjustRightInd w:val="0"/>
              <w:snapToGrid w:val="0"/>
              <w:spacing w:line="240" w:lineRule="auto"/>
              <w:ind w:firstLine="0" w:firstLineChars="0"/>
              <w:jc w:val="center"/>
              <w:rPr>
                <w:sz w:val="18"/>
                <w:szCs w:val="18"/>
              </w:rPr>
            </w:pPr>
            <w:r>
              <w:rPr>
                <w:sz w:val="18"/>
                <w:szCs w:val="18"/>
              </w:rPr>
              <w:t>3</w:t>
            </w:r>
          </w:p>
        </w:tc>
        <w:tc>
          <w:tcPr>
            <w:tcW w:w="1011" w:type="pct"/>
            <w:shd w:val="clear" w:color="auto" w:fill="auto"/>
            <w:vAlign w:val="center"/>
          </w:tcPr>
          <w:p w14:paraId="38B2F908">
            <w:pPr>
              <w:adjustRightInd w:val="0"/>
              <w:snapToGrid w:val="0"/>
              <w:spacing w:line="240" w:lineRule="auto"/>
              <w:ind w:firstLine="0" w:firstLineChars="0"/>
              <w:jc w:val="center"/>
              <w:rPr>
                <w:sz w:val="18"/>
                <w:szCs w:val="18"/>
              </w:rPr>
            </w:pPr>
            <w:r>
              <w:rPr>
                <w:sz w:val="18"/>
                <w:szCs w:val="18"/>
              </w:rPr>
              <w:t>Z2-Z3弃渣场主干道（3.19km）</w:t>
            </w:r>
          </w:p>
        </w:tc>
        <w:tc>
          <w:tcPr>
            <w:tcW w:w="469" w:type="pct"/>
            <w:shd w:val="clear" w:color="auto" w:fill="auto"/>
            <w:vAlign w:val="center"/>
          </w:tcPr>
          <w:p w14:paraId="4508838B">
            <w:pPr>
              <w:adjustRightInd w:val="0"/>
              <w:snapToGrid w:val="0"/>
              <w:spacing w:line="240" w:lineRule="auto"/>
              <w:ind w:firstLine="0" w:firstLineChars="0"/>
              <w:jc w:val="center"/>
              <w:rPr>
                <w:sz w:val="18"/>
                <w:szCs w:val="18"/>
              </w:rPr>
            </w:pPr>
            <w:r>
              <w:rPr>
                <w:sz w:val="18"/>
                <w:szCs w:val="18"/>
              </w:rPr>
              <w:t>11.17</w:t>
            </w:r>
          </w:p>
        </w:tc>
        <w:tc>
          <w:tcPr>
            <w:tcW w:w="469" w:type="pct"/>
            <w:shd w:val="clear" w:color="auto" w:fill="auto"/>
            <w:vAlign w:val="center"/>
          </w:tcPr>
          <w:p w14:paraId="72AB4AF4">
            <w:pPr>
              <w:adjustRightInd w:val="0"/>
              <w:snapToGrid w:val="0"/>
              <w:spacing w:line="240" w:lineRule="auto"/>
              <w:ind w:firstLine="0" w:firstLineChars="0"/>
              <w:jc w:val="center"/>
              <w:rPr>
                <w:sz w:val="18"/>
                <w:szCs w:val="18"/>
              </w:rPr>
            </w:pPr>
            <w:r>
              <w:rPr>
                <w:sz w:val="18"/>
                <w:szCs w:val="18"/>
              </w:rPr>
              <w:t>10.53</w:t>
            </w:r>
          </w:p>
        </w:tc>
        <w:tc>
          <w:tcPr>
            <w:tcW w:w="472" w:type="pct"/>
            <w:shd w:val="clear" w:color="auto" w:fill="auto"/>
            <w:vAlign w:val="center"/>
          </w:tcPr>
          <w:p w14:paraId="30675C37">
            <w:pPr>
              <w:adjustRightInd w:val="0"/>
              <w:snapToGrid w:val="0"/>
              <w:spacing w:line="240" w:lineRule="auto"/>
              <w:ind w:firstLine="0" w:firstLineChars="0"/>
              <w:jc w:val="center"/>
              <w:rPr>
                <w:sz w:val="18"/>
                <w:szCs w:val="18"/>
              </w:rPr>
            </w:pPr>
            <w:r>
              <w:rPr>
                <w:sz w:val="18"/>
                <w:szCs w:val="18"/>
              </w:rPr>
              <w:t>0.64</w:t>
            </w:r>
          </w:p>
        </w:tc>
        <w:tc>
          <w:tcPr>
            <w:tcW w:w="469" w:type="pct"/>
            <w:shd w:val="clear" w:color="auto" w:fill="auto"/>
            <w:vAlign w:val="center"/>
          </w:tcPr>
          <w:p w14:paraId="08498147">
            <w:pPr>
              <w:adjustRightInd w:val="0"/>
              <w:snapToGrid w:val="0"/>
              <w:spacing w:line="240" w:lineRule="auto"/>
              <w:ind w:firstLine="0" w:firstLineChars="0"/>
              <w:jc w:val="center"/>
              <w:rPr>
                <w:sz w:val="18"/>
                <w:szCs w:val="18"/>
              </w:rPr>
            </w:pPr>
            <w:r>
              <w:rPr>
                <w:sz w:val="18"/>
                <w:szCs w:val="18"/>
              </w:rPr>
              <w:t>8.93</w:t>
            </w:r>
          </w:p>
        </w:tc>
        <w:tc>
          <w:tcPr>
            <w:tcW w:w="469" w:type="pct"/>
            <w:shd w:val="clear" w:color="auto" w:fill="auto"/>
            <w:vAlign w:val="center"/>
          </w:tcPr>
          <w:p w14:paraId="06F1255D">
            <w:pPr>
              <w:adjustRightInd w:val="0"/>
              <w:snapToGrid w:val="0"/>
              <w:spacing w:line="240" w:lineRule="auto"/>
              <w:ind w:firstLine="0" w:firstLineChars="0"/>
              <w:jc w:val="center"/>
              <w:rPr>
                <w:sz w:val="18"/>
                <w:szCs w:val="18"/>
              </w:rPr>
            </w:pPr>
            <w:r>
              <w:rPr>
                <w:sz w:val="18"/>
                <w:szCs w:val="18"/>
              </w:rPr>
              <w:t>8.29</w:t>
            </w:r>
          </w:p>
        </w:tc>
        <w:tc>
          <w:tcPr>
            <w:tcW w:w="472" w:type="pct"/>
            <w:shd w:val="clear" w:color="auto" w:fill="auto"/>
            <w:vAlign w:val="center"/>
          </w:tcPr>
          <w:p w14:paraId="6C330679">
            <w:pPr>
              <w:adjustRightInd w:val="0"/>
              <w:snapToGrid w:val="0"/>
              <w:spacing w:line="240" w:lineRule="auto"/>
              <w:ind w:firstLine="0" w:firstLineChars="0"/>
              <w:jc w:val="center"/>
              <w:rPr>
                <w:sz w:val="18"/>
                <w:szCs w:val="18"/>
              </w:rPr>
            </w:pPr>
            <w:r>
              <w:rPr>
                <w:sz w:val="18"/>
                <w:szCs w:val="18"/>
              </w:rPr>
              <w:t>0.64</w:t>
            </w:r>
          </w:p>
        </w:tc>
        <w:tc>
          <w:tcPr>
            <w:tcW w:w="469" w:type="pct"/>
            <w:shd w:val="clear" w:color="auto" w:fill="auto"/>
            <w:vAlign w:val="center"/>
          </w:tcPr>
          <w:p w14:paraId="7C8C37CE">
            <w:pPr>
              <w:adjustRightInd w:val="0"/>
              <w:snapToGrid w:val="0"/>
              <w:spacing w:line="240" w:lineRule="auto"/>
              <w:ind w:firstLine="0" w:firstLineChars="0"/>
              <w:jc w:val="center"/>
              <w:rPr>
                <w:sz w:val="18"/>
                <w:szCs w:val="18"/>
              </w:rPr>
            </w:pPr>
            <w:r>
              <w:rPr>
                <w:sz w:val="18"/>
                <w:szCs w:val="18"/>
              </w:rPr>
              <w:t>2.23</w:t>
            </w:r>
          </w:p>
        </w:tc>
        <w:tc>
          <w:tcPr>
            <w:tcW w:w="397" w:type="pct"/>
            <w:vMerge w:val="restart"/>
            <w:shd w:val="clear" w:color="auto" w:fill="auto"/>
            <w:noWrap/>
            <w:vAlign w:val="center"/>
          </w:tcPr>
          <w:p w14:paraId="2A45D0C0">
            <w:pPr>
              <w:adjustRightInd w:val="0"/>
              <w:snapToGrid w:val="0"/>
              <w:spacing w:line="240" w:lineRule="auto"/>
              <w:ind w:firstLine="0" w:firstLineChars="0"/>
              <w:jc w:val="center"/>
              <w:rPr>
                <w:sz w:val="18"/>
                <w:szCs w:val="18"/>
              </w:rPr>
            </w:pPr>
            <w:r>
              <w:rPr>
                <w:sz w:val="18"/>
                <w:szCs w:val="18"/>
              </w:rPr>
              <w:t>Z2、Z3</w:t>
            </w:r>
          </w:p>
        </w:tc>
      </w:tr>
      <w:tr w14:paraId="0F5951D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0E03B628">
            <w:pPr>
              <w:adjustRightInd w:val="0"/>
              <w:snapToGrid w:val="0"/>
              <w:spacing w:line="240" w:lineRule="auto"/>
              <w:ind w:firstLine="0" w:firstLineChars="0"/>
              <w:jc w:val="center"/>
              <w:rPr>
                <w:sz w:val="18"/>
                <w:szCs w:val="18"/>
              </w:rPr>
            </w:pPr>
          </w:p>
        </w:tc>
        <w:tc>
          <w:tcPr>
            <w:tcW w:w="1011" w:type="pct"/>
            <w:shd w:val="clear" w:color="auto" w:fill="auto"/>
            <w:vAlign w:val="center"/>
          </w:tcPr>
          <w:p w14:paraId="3F6FDE8B">
            <w:pPr>
              <w:adjustRightInd w:val="0"/>
              <w:snapToGrid w:val="0"/>
              <w:spacing w:line="240" w:lineRule="auto"/>
              <w:ind w:firstLine="0" w:firstLineChars="0"/>
              <w:jc w:val="center"/>
              <w:rPr>
                <w:sz w:val="18"/>
                <w:szCs w:val="18"/>
              </w:rPr>
            </w:pPr>
            <w:r>
              <w:rPr>
                <w:sz w:val="18"/>
                <w:szCs w:val="18"/>
              </w:rPr>
              <w:t>7#风机平台</w:t>
            </w:r>
          </w:p>
        </w:tc>
        <w:tc>
          <w:tcPr>
            <w:tcW w:w="469" w:type="pct"/>
            <w:shd w:val="clear" w:color="auto" w:fill="auto"/>
            <w:vAlign w:val="center"/>
          </w:tcPr>
          <w:p w14:paraId="41B9554F">
            <w:pPr>
              <w:adjustRightInd w:val="0"/>
              <w:snapToGrid w:val="0"/>
              <w:spacing w:line="240" w:lineRule="auto"/>
              <w:ind w:firstLine="0" w:firstLineChars="0"/>
              <w:jc w:val="center"/>
              <w:rPr>
                <w:sz w:val="18"/>
                <w:szCs w:val="18"/>
              </w:rPr>
            </w:pPr>
            <w:r>
              <w:rPr>
                <w:sz w:val="18"/>
                <w:szCs w:val="18"/>
              </w:rPr>
              <w:t>2.40</w:t>
            </w:r>
          </w:p>
        </w:tc>
        <w:tc>
          <w:tcPr>
            <w:tcW w:w="469" w:type="pct"/>
            <w:shd w:val="clear" w:color="auto" w:fill="auto"/>
            <w:vAlign w:val="center"/>
          </w:tcPr>
          <w:p w14:paraId="7E0A973B">
            <w:pPr>
              <w:adjustRightInd w:val="0"/>
              <w:snapToGrid w:val="0"/>
              <w:spacing w:line="240" w:lineRule="auto"/>
              <w:ind w:firstLine="0" w:firstLineChars="0"/>
              <w:jc w:val="center"/>
              <w:rPr>
                <w:sz w:val="18"/>
                <w:szCs w:val="18"/>
              </w:rPr>
            </w:pPr>
            <w:r>
              <w:rPr>
                <w:sz w:val="18"/>
                <w:szCs w:val="18"/>
              </w:rPr>
              <w:t>2.33</w:t>
            </w:r>
          </w:p>
        </w:tc>
        <w:tc>
          <w:tcPr>
            <w:tcW w:w="472" w:type="pct"/>
            <w:shd w:val="clear" w:color="auto" w:fill="auto"/>
            <w:vAlign w:val="center"/>
          </w:tcPr>
          <w:p w14:paraId="7758A2F9">
            <w:pPr>
              <w:adjustRightInd w:val="0"/>
              <w:snapToGrid w:val="0"/>
              <w:spacing w:line="240" w:lineRule="auto"/>
              <w:ind w:firstLine="0" w:firstLineChars="0"/>
              <w:jc w:val="center"/>
              <w:rPr>
                <w:sz w:val="18"/>
                <w:szCs w:val="18"/>
              </w:rPr>
            </w:pPr>
            <w:r>
              <w:rPr>
                <w:sz w:val="18"/>
                <w:szCs w:val="18"/>
              </w:rPr>
              <w:t>0.07</w:t>
            </w:r>
          </w:p>
        </w:tc>
        <w:tc>
          <w:tcPr>
            <w:tcW w:w="469" w:type="pct"/>
            <w:shd w:val="clear" w:color="auto" w:fill="auto"/>
            <w:vAlign w:val="center"/>
          </w:tcPr>
          <w:p w14:paraId="1E712411">
            <w:pPr>
              <w:adjustRightInd w:val="0"/>
              <w:snapToGrid w:val="0"/>
              <w:spacing w:line="240" w:lineRule="auto"/>
              <w:ind w:firstLine="0" w:firstLineChars="0"/>
              <w:jc w:val="center"/>
              <w:rPr>
                <w:sz w:val="18"/>
                <w:szCs w:val="18"/>
              </w:rPr>
            </w:pPr>
            <w:r>
              <w:rPr>
                <w:sz w:val="18"/>
                <w:szCs w:val="18"/>
              </w:rPr>
              <w:t>1.88</w:t>
            </w:r>
          </w:p>
        </w:tc>
        <w:tc>
          <w:tcPr>
            <w:tcW w:w="469" w:type="pct"/>
            <w:shd w:val="clear" w:color="auto" w:fill="auto"/>
            <w:vAlign w:val="center"/>
          </w:tcPr>
          <w:p w14:paraId="75817285">
            <w:pPr>
              <w:adjustRightInd w:val="0"/>
              <w:snapToGrid w:val="0"/>
              <w:spacing w:line="240" w:lineRule="auto"/>
              <w:ind w:firstLine="0" w:firstLineChars="0"/>
              <w:jc w:val="center"/>
              <w:rPr>
                <w:sz w:val="18"/>
                <w:szCs w:val="18"/>
              </w:rPr>
            </w:pPr>
            <w:r>
              <w:rPr>
                <w:sz w:val="18"/>
                <w:szCs w:val="18"/>
              </w:rPr>
              <w:t>1.81</w:t>
            </w:r>
          </w:p>
        </w:tc>
        <w:tc>
          <w:tcPr>
            <w:tcW w:w="472" w:type="pct"/>
            <w:shd w:val="clear" w:color="auto" w:fill="auto"/>
            <w:vAlign w:val="center"/>
          </w:tcPr>
          <w:p w14:paraId="02134A10">
            <w:pPr>
              <w:adjustRightInd w:val="0"/>
              <w:snapToGrid w:val="0"/>
              <w:spacing w:line="240" w:lineRule="auto"/>
              <w:ind w:firstLine="0" w:firstLineChars="0"/>
              <w:jc w:val="center"/>
              <w:rPr>
                <w:sz w:val="18"/>
                <w:szCs w:val="18"/>
              </w:rPr>
            </w:pPr>
            <w:r>
              <w:rPr>
                <w:sz w:val="18"/>
                <w:szCs w:val="18"/>
              </w:rPr>
              <w:t>0.07</w:t>
            </w:r>
          </w:p>
        </w:tc>
        <w:tc>
          <w:tcPr>
            <w:tcW w:w="469" w:type="pct"/>
            <w:shd w:val="clear" w:color="auto" w:fill="auto"/>
            <w:vAlign w:val="center"/>
          </w:tcPr>
          <w:p w14:paraId="390CF119">
            <w:pPr>
              <w:adjustRightInd w:val="0"/>
              <w:snapToGrid w:val="0"/>
              <w:spacing w:line="240" w:lineRule="auto"/>
              <w:ind w:firstLine="0" w:firstLineChars="0"/>
              <w:jc w:val="center"/>
              <w:rPr>
                <w:sz w:val="18"/>
                <w:szCs w:val="18"/>
              </w:rPr>
            </w:pPr>
            <w:r>
              <w:rPr>
                <w:sz w:val="18"/>
                <w:szCs w:val="18"/>
              </w:rPr>
              <w:t>0.52</w:t>
            </w:r>
          </w:p>
        </w:tc>
        <w:tc>
          <w:tcPr>
            <w:tcW w:w="397" w:type="pct"/>
            <w:vMerge w:val="continue"/>
            <w:shd w:val="clear" w:color="auto" w:fill="auto"/>
            <w:noWrap/>
            <w:vAlign w:val="center"/>
          </w:tcPr>
          <w:p w14:paraId="408A2925">
            <w:pPr>
              <w:adjustRightInd w:val="0"/>
              <w:snapToGrid w:val="0"/>
              <w:spacing w:line="240" w:lineRule="auto"/>
              <w:ind w:firstLine="0" w:firstLineChars="0"/>
              <w:jc w:val="center"/>
              <w:rPr>
                <w:sz w:val="18"/>
                <w:szCs w:val="18"/>
              </w:rPr>
            </w:pPr>
          </w:p>
        </w:tc>
      </w:tr>
      <w:tr w14:paraId="6F2EC4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70A5D0C3">
            <w:pPr>
              <w:adjustRightInd w:val="0"/>
              <w:snapToGrid w:val="0"/>
              <w:spacing w:line="240" w:lineRule="auto"/>
              <w:ind w:firstLine="0" w:firstLineChars="0"/>
              <w:jc w:val="center"/>
              <w:rPr>
                <w:sz w:val="18"/>
                <w:szCs w:val="18"/>
              </w:rPr>
            </w:pPr>
          </w:p>
        </w:tc>
        <w:tc>
          <w:tcPr>
            <w:tcW w:w="1011" w:type="pct"/>
            <w:shd w:val="clear" w:color="auto" w:fill="auto"/>
            <w:vAlign w:val="center"/>
          </w:tcPr>
          <w:p w14:paraId="2446CE5D">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4B6793A3">
            <w:pPr>
              <w:adjustRightInd w:val="0"/>
              <w:snapToGrid w:val="0"/>
              <w:spacing w:line="240" w:lineRule="auto"/>
              <w:ind w:firstLine="0" w:firstLineChars="0"/>
              <w:jc w:val="center"/>
              <w:rPr>
                <w:sz w:val="18"/>
                <w:szCs w:val="18"/>
              </w:rPr>
            </w:pPr>
            <w:r>
              <w:rPr>
                <w:sz w:val="18"/>
                <w:szCs w:val="18"/>
              </w:rPr>
              <w:t>13.57</w:t>
            </w:r>
          </w:p>
        </w:tc>
        <w:tc>
          <w:tcPr>
            <w:tcW w:w="469" w:type="pct"/>
            <w:shd w:val="clear" w:color="auto" w:fill="auto"/>
            <w:vAlign w:val="center"/>
          </w:tcPr>
          <w:p w14:paraId="5F97A37D">
            <w:pPr>
              <w:adjustRightInd w:val="0"/>
              <w:snapToGrid w:val="0"/>
              <w:spacing w:line="240" w:lineRule="auto"/>
              <w:ind w:firstLine="0" w:firstLineChars="0"/>
              <w:jc w:val="center"/>
              <w:rPr>
                <w:sz w:val="18"/>
                <w:szCs w:val="18"/>
              </w:rPr>
            </w:pPr>
            <w:r>
              <w:rPr>
                <w:sz w:val="18"/>
                <w:szCs w:val="18"/>
              </w:rPr>
              <w:t>12.86</w:t>
            </w:r>
          </w:p>
        </w:tc>
        <w:tc>
          <w:tcPr>
            <w:tcW w:w="472" w:type="pct"/>
            <w:shd w:val="clear" w:color="auto" w:fill="auto"/>
            <w:vAlign w:val="center"/>
          </w:tcPr>
          <w:p w14:paraId="5767D2FE">
            <w:pPr>
              <w:adjustRightInd w:val="0"/>
              <w:snapToGrid w:val="0"/>
              <w:spacing w:line="240" w:lineRule="auto"/>
              <w:ind w:firstLine="0" w:firstLineChars="0"/>
              <w:jc w:val="center"/>
              <w:rPr>
                <w:sz w:val="18"/>
                <w:szCs w:val="18"/>
              </w:rPr>
            </w:pPr>
            <w:r>
              <w:rPr>
                <w:sz w:val="18"/>
                <w:szCs w:val="18"/>
              </w:rPr>
              <w:t>0.71</w:t>
            </w:r>
          </w:p>
        </w:tc>
        <w:tc>
          <w:tcPr>
            <w:tcW w:w="469" w:type="pct"/>
            <w:shd w:val="clear" w:color="auto" w:fill="auto"/>
            <w:vAlign w:val="center"/>
          </w:tcPr>
          <w:p w14:paraId="45163948">
            <w:pPr>
              <w:adjustRightInd w:val="0"/>
              <w:snapToGrid w:val="0"/>
              <w:spacing w:line="240" w:lineRule="auto"/>
              <w:ind w:firstLine="0" w:firstLineChars="0"/>
              <w:jc w:val="center"/>
              <w:rPr>
                <w:sz w:val="18"/>
                <w:szCs w:val="18"/>
              </w:rPr>
            </w:pPr>
            <w:r>
              <w:rPr>
                <w:sz w:val="18"/>
                <w:szCs w:val="18"/>
              </w:rPr>
              <w:t>10.81</w:t>
            </w:r>
          </w:p>
        </w:tc>
        <w:tc>
          <w:tcPr>
            <w:tcW w:w="469" w:type="pct"/>
            <w:shd w:val="clear" w:color="auto" w:fill="auto"/>
            <w:vAlign w:val="center"/>
          </w:tcPr>
          <w:p w14:paraId="00A0654A">
            <w:pPr>
              <w:adjustRightInd w:val="0"/>
              <w:snapToGrid w:val="0"/>
              <w:spacing w:line="240" w:lineRule="auto"/>
              <w:ind w:firstLine="0" w:firstLineChars="0"/>
              <w:jc w:val="center"/>
              <w:rPr>
                <w:sz w:val="18"/>
                <w:szCs w:val="18"/>
              </w:rPr>
            </w:pPr>
            <w:r>
              <w:rPr>
                <w:sz w:val="18"/>
                <w:szCs w:val="18"/>
              </w:rPr>
              <w:t>10.10</w:t>
            </w:r>
          </w:p>
        </w:tc>
        <w:tc>
          <w:tcPr>
            <w:tcW w:w="472" w:type="pct"/>
            <w:shd w:val="clear" w:color="auto" w:fill="auto"/>
            <w:vAlign w:val="center"/>
          </w:tcPr>
          <w:p w14:paraId="245A6B1A">
            <w:pPr>
              <w:adjustRightInd w:val="0"/>
              <w:snapToGrid w:val="0"/>
              <w:spacing w:line="240" w:lineRule="auto"/>
              <w:ind w:firstLine="0" w:firstLineChars="0"/>
              <w:jc w:val="center"/>
              <w:rPr>
                <w:sz w:val="18"/>
                <w:szCs w:val="18"/>
              </w:rPr>
            </w:pPr>
            <w:r>
              <w:rPr>
                <w:sz w:val="18"/>
                <w:szCs w:val="18"/>
              </w:rPr>
              <w:t>0.71</w:t>
            </w:r>
          </w:p>
        </w:tc>
        <w:tc>
          <w:tcPr>
            <w:tcW w:w="469" w:type="pct"/>
            <w:shd w:val="clear" w:color="auto" w:fill="auto"/>
            <w:vAlign w:val="center"/>
          </w:tcPr>
          <w:p w14:paraId="3BCB8629">
            <w:pPr>
              <w:adjustRightInd w:val="0"/>
              <w:snapToGrid w:val="0"/>
              <w:spacing w:line="240" w:lineRule="auto"/>
              <w:ind w:firstLine="0" w:firstLineChars="0"/>
              <w:jc w:val="center"/>
              <w:rPr>
                <w:sz w:val="18"/>
                <w:szCs w:val="18"/>
              </w:rPr>
            </w:pPr>
            <w:r>
              <w:rPr>
                <w:sz w:val="18"/>
                <w:szCs w:val="18"/>
              </w:rPr>
              <w:t>2.75</w:t>
            </w:r>
          </w:p>
        </w:tc>
        <w:tc>
          <w:tcPr>
            <w:tcW w:w="397" w:type="pct"/>
            <w:vMerge w:val="continue"/>
            <w:shd w:val="clear" w:color="auto" w:fill="auto"/>
            <w:noWrap/>
            <w:vAlign w:val="center"/>
          </w:tcPr>
          <w:p w14:paraId="09E69D57">
            <w:pPr>
              <w:adjustRightInd w:val="0"/>
              <w:snapToGrid w:val="0"/>
              <w:spacing w:line="240" w:lineRule="auto"/>
              <w:ind w:firstLine="0" w:firstLineChars="0"/>
              <w:jc w:val="center"/>
              <w:rPr>
                <w:sz w:val="18"/>
                <w:szCs w:val="18"/>
              </w:rPr>
            </w:pPr>
          </w:p>
        </w:tc>
      </w:tr>
      <w:tr w14:paraId="543859D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70358804">
            <w:pPr>
              <w:adjustRightInd w:val="0"/>
              <w:snapToGrid w:val="0"/>
              <w:spacing w:line="240" w:lineRule="auto"/>
              <w:ind w:firstLine="0" w:firstLineChars="0"/>
              <w:jc w:val="center"/>
              <w:rPr>
                <w:sz w:val="18"/>
                <w:szCs w:val="18"/>
              </w:rPr>
            </w:pPr>
            <w:r>
              <w:rPr>
                <w:sz w:val="18"/>
                <w:szCs w:val="18"/>
              </w:rPr>
              <w:t>3</w:t>
            </w:r>
          </w:p>
        </w:tc>
        <w:tc>
          <w:tcPr>
            <w:tcW w:w="1011" w:type="pct"/>
            <w:shd w:val="clear" w:color="auto" w:fill="auto"/>
            <w:vAlign w:val="center"/>
          </w:tcPr>
          <w:p w14:paraId="50AFE4BC">
            <w:pPr>
              <w:adjustRightInd w:val="0"/>
              <w:snapToGrid w:val="0"/>
              <w:spacing w:line="240" w:lineRule="auto"/>
              <w:ind w:firstLine="0" w:firstLineChars="0"/>
              <w:jc w:val="center"/>
              <w:rPr>
                <w:sz w:val="18"/>
                <w:szCs w:val="18"/>
              </w:rPr>
            </w:pPr>
            <w:r>
              <w:rPr>
                <w:sz w:val="18"/>
                <w:szCs w:val="18"/>
              </w:rPr>
              <w:t>Z4-Z5弃渣场主干道（2.08km）</w:t>
            </w:r>
          </w:p>
        </w:tc>
        <w:tc>
          <w:tcPr>
            <w:tcW w:w="469" w:type="pct"/>
            <w:shd w:val="clear" w:color="auto" w:fill="auto"/>
            <w:vAlign w:val="center"/>
          </w:tcPr>
          <w:p w14:paraId="06E6CDB4">
            <w:pPr>
              <w:adjustRightInd w:val="0"/>
              <w:snapToGrid w:val="0"/>
              <w:spacing w:line="240" w:lineRule="auto"/>
              <w:ind w:firstLine="0" w:firstLineChars="0"/>
              <w:jc w:val="center"/>
              <w:rPr>
                <w:sz w:val="18"/>
                <w:szCs w:val="18"/>
              </w:rPr>
            </w:pPr>
            <w:r>
              <w:rPr>
                <w:sz w:val="18"/>
                <w:szCs w:val="18"/>
              </w:rPr>
              <w:t>7.28</w:t>
            </w:r>
          </w:p>
        </w:tc>
        <w:tc>
          <w:tcPr>
            <w:tcW w:w="469" w:type="pct"/>
            <w:shd w:val="clear" w:color="auto" w:fill="auto"/>
            <w:vAlign w:val="center"/>
          </w:tcPr>
          <w:p w14:paraId="5F6E17DA">
            <w:pPr>
              <w:adjustRightInd w:val="0"/>
              <w:snapToGrid w:val="0"/>
              <w:spacing w:line="240" w:lineRule="auto"/>
              <w:ind w:firstLine="0" w:firstLineChars="0"/>
              <w:jc w:val="center"/>
              <w:rPr>
                <w:sz w:val="18"/>
                <w:szCs w:val="18"/>
              </w:rPr>
            </w:pPr>
            <w:r>
              <w:rPr>
                <w:sz w:val="18"/>
                <w:szCs w:val="18"/>
              </w:rPr>
              <w:t>6.86</w:t>
            </w:r>
          </w:p>
        </w:tc>
        <w:tc>
          <w:tcPr>
            <w:tcW w:w="472" w:type="pct"/>
            <w:shd w:val="clear" w:color="auto" w:fill="auto"/>
            <w:vAlign w:val="center"/>
          </w:tcPr>
          <w:p w14:paraId="1D95FF82">
            <w:pPr>
              <w:adjustRightInd w:val="0"/>
              <w:snapToGrid w:val="0"/>
              <w:spacing w:line="240" w:lineRule="auto"/>
              <w:ind w:firstLine="0" w:firstLineChars="0"/>
              <w:jc w:val="center"/>
              <w:rPr>
                <w:sz w:val="18"/>
                <w:szCs w:val="18"/>
              </w:rPr>
            </w:pPr>
            <w:r>
              <w:rPr>
                <w:sz w:val="18"/>
                <w:szCs w:val="18"/>
              </w:rPr>
              <w:t>0.42</w:t>
            </w:r>
          </w:p>
        </w:tc>
        <w:tc>
          <w:tcPr>
            <w:tcW w:w="469" w:type="pct"/>
            <w:shd w:val="clear" w:color="auto" w:fill="auto"/>
            <w:vAlign w:val="center"/>
          </w:tcPr>
          <w:p w14:paraId="1E77D4A0">
            <w:pPr>
              <w:adjustRightInd w:val="0"/>
              <w:snapToGrid w:val="0"/>
              <w:spacing w:line="240" w:lineRule="auto"/>
              <w:ind w:firstLine="0" w:firstLineChars="0"/>
              <w:jc w:val="center"/>
              <w:rPr>
                <w:sz w:val="18"/>
                <w:szCs w:val="18"/>
              </w:rPr>
            </w:pPr>
            <w:r>
              <w:rPr>
                <w:sz w:val="18"/>
                <w:szCs w:val="18"/>
              </w:rPr>
              <w:t>5.82</w:t>
            </w:r>
          </w:p>
        </w:tc>
        <w:tc>
          <w:tcPr>
            <w:tcW w:w="469" w:type="pct"/>
            <w:shd w:val="clear" w:color="auto" w:fill="auto"/>
            <w:vAlign w:val="center"/>
          </w:tcPr>
          <w:p w14:paraId="7624D304">
            <w:pPr>
              <w:adjustRightInd w:val="0"/>
              <w:snapToGrid w:val="0"/>
              <w:spacing w:line="240" w:lineRule="auto"/>
              <w:ind w:firstLine="0" w:firstLineChars="0"/>
              <w:jc w:val="center"/>
              <w:rPr>
                <w:sz w:val="18"/>
                <w:szCs w:val="18"/>
              </w:rPr>
            </w:pPr>
            <w:r>
              <w:rPr>
                <w:sz w:val="18"/>
                <w:szCs w:val="18"/>
              </w:rPr>
              <w:t>5.41</w:t>
            </w:r>
          </w:p>
        </w:tc>
        <w:tc>
          <w:tcPr>
            <w:tcW w:w="472" w:type="pct"/>
            <w:shd w:val="clear" w:color="auto" w:fill="auto"/>
            <w:vAlign w:val="center"/>
          </w:tcPr>
          <w:p w14:paraId="7DC038EF">
            <w:pPr>
              <w:adjustRightInd w:val="0"/>
              <w:snapToGrid w:val="0"/>
              <w:spacing w:line="240" w:lineRule="auto"/>
              <w:ind w:firstLine="0" w:firstLineChars="0"/>
              <w:jc w:val="center"/>
              <w:rPr>
                <w:sz w:val="18"/>
                <w:szCs w:val="18"/>
              </w:rPr>
            </w:pPr>
            <w:r>
              <w:rPr>
                <w:sz w:val="18"/>
                <w:szCs w:val="18"/>
              </w:rPr>
              <w:t>0.42</w:t>
            </w:r>
          </w:p>
        </w:tc>
        <w:tc>
          <w:tcPr>
            <w:tcW w:w="469" w:type="pct"/>
            <w:shd w:val="clear" w:color="auto" w:fill="auto"/>
            <w:vAlign w:val="center"/>
          </w:tcPr>
          <w:p w14:paraId="52552C06">
            <w:pPr>
              <w:adjustRightInd w:val="0"/>
              <w:snapToGrid w:val="0"/>
              <w:spacing w:line="240" w:lineRule="auto"/>
              <w:ind w:firstLine="0" w:firstLineChars="0"/>
              <w:jc w:val="center"/>
              <w:rPr>
                <w:sz w:val="18"/>
                <w:szCs w:val="18"/>
              </w:rPr>
            </w:pPr>
            <w:r>
              <w:rPr>
                <w:sz w:val="18"/>
                <w:szCs w:val="18"/>
              </w:rPr>
              <w:t>1.46</w:t>
            </w:r>
          </w:p>
        </w:tc>
        <w:tc>
          <w:tcPr>
            <w:tcW w:w="397" w:type="pct"/>
            <w:vMerge w:val="restart"/>
            <w:shd w:val="clear" w:color="auto" w:fill="auto"/>
            <w:noWrap/>
            <w:vAlign w:val="center"/>
          </w:tcPr>
          <w:p w14:paraId="2886BE1E">
            <w:pPr>
              <w:adjustRightInd w:val="0"/>
              <w:snapToGrid w:val="0"/>
              <w:spacing w:line="240" w:lineRule="auto"/>
              <w:ind w:firstLine="0" w:firstLineChars="0"/>
              <w:jc w:val="center"/>
              <w:rPr>
                <w:sz w:val="18"/>
                <w:szCs w:val="18"/>
              </w:rPr>
            </w:pPr>
            <w:r>
              <w:rPr>
                <w:sz w:val="18"/>
                <w:szCs w:val="18"/>
              </w:rPr>
              <w:t>Z5</w:t>
            </w:r>
          </w:p>
        </w:tc>
      </w:tr>
      <w:tr w14:paraId="38F482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10DC72BE">
            <w:pPr>
              <w:adjustRightInd w:val="0"/>
              <w:snapToGrid w:val="0"/>
              <w:spacing w:line="240" w:lineRule="auto"/>
              <w:ind w:firstLine="0" w:firstLineChars="0"/>
              <w:jc w:val="center"/>
              <w:rPr>
                <w:sz w:val="18"/>
                <w:szCs w:val="18"/>
              </w:rPr>
            </w:pPr>
          </w:p>
        </w:tc>
        <w:tc>
          <w:tcPr>
            <w:tcW w:w="1011" w:type="pct"/>
            <w:shd w:val="clear" w:color="auto" w:fill="auto"/>
            <w:vAlign w:val="center"/>
          </w:tcPr>
          <w:p w14:paraId="742A955F">
            <w:pPr>
              <w:adjustRightInd w:val="0"/>
              <w:snapToGrid w:val="0"/>
              <w:spacing w:line="240" w:lineRule="auto"/>
              <w:ind w:firstLine="0" w:firstLineChars="0"/>
              <w:jc w:val="center"/>
              <w:rPr>
                <w:sz w:val="18"/>
                <w:szCs w:val="18"/>
              </w:rPr>
            </w:pPr>
            <w:r>
              <w:rPr>
                <w:sz w:val="18"/>
                <w:szCs w:val="18"/>
              </w:rPr>
              <w:t>2#风机支路（0.16km）</w:t>
            </w:r>
          </w:p>
        </w:tc>
        <w:tc>
          <w:tcPr>
            <w:tcW w:w="469" w:type="pct"/>
            <w:shd w:val="clear" w:color="auto" w:fill="auto"/>
            <w:vAlign w:val="center"/>
          </w:tcPr>
          <w:p w14:paraId="20B1601D">
            <w:pPr>
              <w:adjustRightInd w:val="0"/>
              <w:snapToGrid w:val="0"/>
              <w:spacing w:line="240" w:lineRule="auto"/>
              <w:ind w:firstLine="0" w:firstLineChars="0"/>
              <w:jc w:val="center"/>
              <w:rPr>
                <w:sz w:val="18"/>
                <w:szCs w:val="18"/>
              </w:rPr>
            </w:pPr>
            <w:r>
              <w:rPr>
                <w:sz w:val="18"/>
                <w:szCs w:val="18"/>
              </w:rPr>
              <w:t>0.56</w:t>
            </w:r>
          </w:p>
        </w:tc>
        <w:tc>
          <w:tcPr>
            <w:tcW w:w="469" w:type="pct"/>
            <w:shd w:val="clear" w:color="auto" w:fill="auto"/>
            <w:vAlign w:val="center"/>
          </w:tcPr>
          <w:p w14:paraId="4FC10317">
            <w:pPr>
              <w:adjustRightInd w:val="0"/>
              <w:snapToGrid w:val="0"/>
              <w:spacing w:line="240" w:lineRule="auto"/>
              <w:ind w:firstLine="0" w:firstLineChars="0"/>
              <w:jc w:val="center"/>
              <w:rPr>
                <w:sz w:val="18"/>
                <w:szCs w:val="18"/>
              </w:rPr>
            </w:pPr>
            <w:r>
              <w:rPr>
                <w:sz w:val="18"/>
                <w:szCs w:val="18"/>
              </w:rPr>
              <w:t>0.53</w:t>
            </w:r>
          </w:p>
        </w:tc>
        <w:tc>
          <w:tcPr>
            <w:tcW w:w="472" w:type="pct"/>
            <w:shd w:val="clear" w:color="auto" w:fill="auto"/>
            <w:vAlign w:val="center"/>
          </w:tcPr>
          <w:p w14:paraId="3AA058EE">
            <w:pPr>
              <w:adjustRightInd w:val="0"/>
              <w:snapToGrid w:val="0"/>
              <w:spacing w:line="240" w:lineRule="auto"/>
              <w:ind w:firstLine="0" w:firstLineChars="0"/>
              <w:jc w:val="center"/>
              <w:rPr>
                <w:sz w:val="18"/>
                <w:szCs w:val="18"/>
              </w:rPr>
            </w:pPr>
            <w:r>
              <w:rPr>
                <w:sz w:val="18"/>
                <w:szCs w:val="18"/>
              </w:rPr>
              <w:t>0.03</w:t>
            </w:r>
          </w:p>
        </w:tc>
        <w:tc>
          <w:tcPr>
            <w:tcW w:w="469" w:type="pct"/>
            <w:shd w:val="clear" w:color="auto" w:fill="auto"/>
            <w:vAlign w:val="center"/>
          </w:tcPr>
          <w:p w14:paraId="3480788E">
            <w:pPr>
              <w:adjustRightInd w:val="0"/>
              <w:snapToGrid w:val="0"/>
              <w:spacing w:line="240" w:lineRule="auto"/>
              <w:ind w:firstLine="0" w:firstLineChars="0"/>
              <w:jc w:val="center"/>
              <w:rPr>
                <w:sz w:val="18"/>
                <w:szCs w:val="18"/>
              </w:rPr>
            </w:pPr>
            <w:r>
              <w:rPr>
                <w:sz w:val="18"/>
                <w:szCs w:val="18"/>
              </w:rPr>
              <w:t>0.45</w:t>
            </w:r>
          </w:p>
        </w:tc>
        <w:tc>
          <w:tcPr>
            <w:tcW w:w="469" w:type="pct"/>
            <w:shd w:val="clear" w:color="auto" w:fill="auto"/>
            <w:vAlign w:val="center"/>
          </w:tcPr>
          <w:p w14:paraId="3F9DAE1C">
            <w:pPr>
              <w:adjustRightInd w:val="0"/>
              <w:snapToGrid w:val="0"/>
              <w:spacing w:line="240" w:lineRule="auto"/>
              <w:ind w:firstLine="0" w:firstLineChars="0"/>
              <w:jc w:val="center"/>
              <w:rPr>
                <w:sz w:val="18"/>
                <w:szCs w:val="18"/>
              </w:rPr>
            </w:pPr>
            <w:r>
              <w:rPr>
                <w:sz w:val="18"/>
                <w:szCs w:val="18"/>
              </w:rPr>
              <w:t>0.42</w:t>
            </w:r>
          </w:p>
        </w:tc>
        <w:tc>
          <w:tcPr>
            <w:tcW w:w="472" w:type="pct"/>
            <w:shd w:val="clear" w:color="auto" w:fill="auto"/>
            <w:vAlign w:val="center"/>
          </w:tcPr>
          <w:p w14:paraId="1F2D4FCD">
            <w:pPr>
              <w:adjustRightInd w:val="0"/>
              <w:snapToGrid w:val="0"/>
              <w:spacing w:line="240" w:lineRule="auto"/>
              <w:ind w:firstLine="0" w:firstLineChars="0"/>
              <w:jc w:val="center"/>
              <w:rPr>
                <w:sz w:val="18"/>
                <w:szCs w:val="18"/>
              </w:rPr>
            </w:pPr>
            <w:r>
              <w:rPr>
                <w:sz w:val="18"/>
                <w:szCs w:val="18"/>
              </w:rPr>
              <w:t>0.03</w:t>
            </w:r>
          </w:p>
        </w:tc>
        <w:tc>
          <w:tcPr>
            <w:tcW w:w="469" w:type="pct"/>
            <w:shd w:val="clear" w:color="auto" w:fill="auto"/>
            <w:vAlign w:val="center"/>
          </w:tcPr>
          <w:p w14:paraId="285B26F8">
            <w:pPr>
              <w:adjustRightInd w:val="0"/>
              <w:snapToGrid w:val="0"/>
              <w:spacing w:line="240" w:lineRule="auto"/>
              <w:ind w:firstLine="0" w:firstLineChars="0"/>
              <w:jc w:val="center"/>
              <w:rPr>
                <w:sz w:val="18"/>
                <w:szCs w:val="18"/>
              </w:rPr>
            </w:pPr>
            <w:r>
              <w:rPr>
                <w:sz w:val="18"/>
                <w:szCs w:val="18"/>
              </w:rPr>
              <w:t>0.11</w:t>
            </w:r>
          </w:p>
        </w:tc>
        <w:tc>
          <w:tcPr>
            <w:tcW w:w="397" w:type="pct"/>
            <w:vMerge w:val="continue"/>
            <w:shd w:val="clear" w:color="auto" w:fill="auto"/>
            <w:noWrap/>
            <w:vAlign w:val="center"/>
          </w:tcPr>
          <w:p w14:paraId="4BF2B41C">
            <w:pPr>
              <w:adjustRightInd w:val="0"/>
              <w:snapToGrid w:val="0"/>
              <w:spacing w:line="240" w:lineRule="auto"/>
              <w:ind w:firstLine="0" w:firstLineChars="0"/>
              <w:jc w:val="center"/>
              <w:rPr>
                <w:sz w:val="18"/>
                <w:szCs w:val="18"/>
              </w:rPr>
            </w:pPr>
          </w:p>
        </w:tc>
      </w:tr>
      <w:tr w14:paraId="732DAA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1751340C">
            <w:pPr>
              <w:adjustRightInd w:val="0"/>
              <w:snapToGrid w:val="0"/>
              <w:spacing w:line="240" w:lineRule="auto"/>
              <w:ind w:firstLine="0" w:firstLineChars="0"/>
              <w:jc w:val="center"/>
              <w:rPr>
                <w:sz w:val="18"/>
                <w:szCs w:val="18"/>
              </w:rPr>
            </w:pPr>
          </w:p>
        </w:tc>
        <w:tc>
          <w:tcPr>
            <w:tcW w:w="1011" w:type="pct"/>
            <w:shd w:val="clear" w:color="auto" w:fill="auto"/>
            <w:vAlign w:val="center"/>
          </w:tcPr>
          <w:p w14:paraId="21465C92">
            <w:pPr>
              <w:adjustRightInd w:val="0"/>
              <w:snapToGrid w:val="0"/>
              <w:spacing w:line="240" w:lineRule="auto"/>
              <w:ind w:firstLine="0" w:firstLineChars="0"/>
              <w:jc w:val="center"/>
              <w:rPr>
                <w:sz w:val="18"/>
                <w:szCs w:val="18"/>
              </w:rPr>
            </w:pPr>
            <w:r>
              <w:rPr>
                <w:sz w:val="18"/>
                <w:szCs w:val="18"/>
              </w:rPr>
              <w:t>3#风机支路（0.11km）</w:t>
            </w:r>
          </w:p>
        </w:tc>
        <w:tc>
          <w:tcPr>
            <w:tcW w:w="469" w:type="pct"/>
            <w:shd w:val="clear" w:color="auto" w:fill="auto"/>
            <w:vAlign w:val="center"/>
          </w:tcPr>
          <w:p w14:paraId="235A06F6">
            <w:pPr>
              <w:adjustRightInd w:val="0"/>
              <w:snapToGrid w:val="0"/>
              <w:spacing w:line="240" w:lineRule="auto"/>
              <w:ind w:firstLine="0" w:firstLineChars="0"/>
              <w:jc w:val="center"/>
              <w:rPr>
                <w:sz w:val="18"/>
                <w:szCs w:val="18"/>
              </w:rPr>
            </w:pPr>
            <w:r>
              <w:rPr>
                <w:sz w:val="18"/>
                <w:szCs w:val="18"/>
              </w:rPr>
              <w:t>0.39</w:t>
            </w:r>
          </w:p>
        </w:tc>
        <w:tc>
          <w:tcPr>
            <w:tcW w:w="469" w:type="pct"/>
            <w:shd w:val="clear" w:color="auto" w:fill="auto"/>
            <w:vAlign w:val="center"/>
          </w:tcPr>
          <w:p w14:paraId="4FC9CE81">
            <w:pPr>
              <w:adjustRightInd w:val="0"/>
              <w:snapToGrid w:val="0"/>
              <w:spacing w:line="240" w:lineRule="auto"/>
              <w:ind w:firstLine="0" w:firstLineChars="0"/>
              <w:jc w:val="center"/>
              <w:rPr>
                <w:sz w:val="18"/>
                <w:szCs w:val="18"/>
              </w:rPr>
            </w:pPr>
            <w:r>
              <w:rPr>
                <w:sz w:val="18"/>
                <w:szCs w:val="18"/>
              </w:rPr>
              <w:t>0.36</w:t>
            </w:r>
          </w:p>
        </w:tc>
        <w:tc>
          <w:tcPr>
            <w:tcW w:w="472" w:type="pct"/>
            <w:shd w:val="clear" w:color="auto" w:fill="auto"/>
            <w:vAlign w:val="center"/>
          </w:tcPr>
          <w:p w14:paraId="0C03FB1D">
            <w:pPr>
              <w:adjustRightInd w:val="0"/>
              <w:snapToGrid w:val="0"/>
              <w:spacing w:line="240" w:lineRule="auto"/>
              <w:ind w:firstLine="0" w:firstLineChars="0"/>
              <w:jc w:val="center"/>
              <w:rPr>
                <w:sz w:val="18"/>
                <w:szCs w:val="18"/>
              </w:rPr>
            </w:pPr>
            <w:r>
              <w:rPr>
                <w:sz w:val="18"/>
                <w:szCs w:val="18"/>
              </w:rPr>
              <w:t>0.02</w:t>
            </w:r>
          </w:p>
        </w:tc>
        <w:tc>
          <w:tcPr>
            <w:tcW w:w="469" w:type="pct"/>
            <w:shd w:val="clear" w:color="auto" w:fill="auto"/>
            <w:vAlign w:val="center"/>
          </w:tcPr>
          <w:p w14:paraId="0FC54F9F">
            <w:pPr>
              <w:adjustRightInd w:val="0"/>
              <w:snapToGrid w:val="0"/>
              <w:spacing w:line="240" w:lineRule="auto"/>
              <w:ind w:firstLine="0" w:firstLineChars="0"/>
              <w:jc w:val="center"/>
              <w:rPr>
                <w:sz w:val="18"/>
                <w:szCs w:val="18"/>
              </w:rPr>
            </w:pPr>
            <w:r>
              <w:rPr>
                <w:sz w:val="18"/>
                <w:szCs w:val="18"/>
              </w:rPr>
              <w:t>0.31</w:t>
            </w:r>
          </w:p>
        </w:tc>
        <w:tc>
          <w:tcPr>
            <w:tcW w:w="469" w:type="pct"/>
            <w:shd w:val="clear" w:color="auto" w:fill="auto"/>
            <w:vAlign w:val="center"/>
          </w:tcPr>
          <w:p w14:paraId="1F8C3033">
            <w:pPr>
              <w:adjustRightInd w:val="0"/>
              <w:snapToGrid w:val="0"/>
              <w:spacing w:line="240" w:lineRule="auto"/>
              <w:ind w:firstLine="0" w:firstLineChars="0"/>
              <w:jc w:val="center"/>
              <w:rPr>
                <w:sz w:val="18"/>
                <w:szCs w:val="18"/>
              </w:rPr>
            </w:pPr>
            <w:r>
              <w:rPr>
                <w:sz w:val="18"/>
                <w:szCs w:val="18"/>
              </w:rPr>
              <w:t>0.29</w:t>
            </w:r>
          </w:p>
        </w:tc>
        <w:tc>
          <w:tcPr>
            <w:tcW w:w="472" w:type="pct"/>
            <w:shd w:val="clear" w:color="auto" w:fill="auto"/>
            <w:vAlign w:val="center"/>
          </w:tcPr>
          <w:p w14:paraId="6021D929">
            <w:pPr>
              <w:adjustRightInd w:val="0"/>
              <w:snapToGrid w:val="0"/>
              <w:spacing w:line="240" w:lineRule="auto"/>
              <w:ind w:firstLine="0" w:firstLineChars="0"/>
              <w:jc w:val="center"/>
              <w:rPr>
                <w:sz w:val="18"/>
                <w:szCs w:val="18"/>
              </w:rPr>
            </w:pPr>
            <w:r>
              <w:rPr>
                <w:sz w:val="18"/>
                <w:szCs w:val="18"/>
              </w:rPr>
              <w:t>0.02</w:t>
            </w:r>
          </w:p>
        </w:tc>
        <w:tc>
          <w:tcPr>
            <w:tcW w:w="469" w:type="pct"/>
            <w:shd w:val="clear" w:color="auto" w:fill="auto"/>
            <w:vAlign w:val="center"/>
          </w:tcPr>
          <w:p w14:paraId="0D94E26C">
            <w:pPr>
              <w:adjustRightInd w:val="0"/>
              <w:snapToGrid w:val="0"/>
              <w:spacing w:line="240" w:lineRule="auto"/>
              <w:ind w:firstLine="0" w:firstLineChars="0"/>
              <w:jc w:val="center"/>
              <w:rPr>
                <w:sz w:val="18"/>
                <w:szCs w:val="18"/>
              </w:rPr>
            </w:pPr>
            <w:r>
              <w:rPr>
                <w:sz w:val="18"/>
                <w:szCs w:val="18"/>
              </w:rPr>
              <w:t>0.08</w:t>
            </w:r>
          </w:p>
        </w:tc>
        <w:tc>
          <w:tcPr>
            <w:tcW w:w="397" w:type="pct"/>
            <w:vMerge w:val="continue"/>
            <w:shd w:val="clear" w:color="auto" w:fill="auto"/>
            <w:noWrap/>
            <w:vAlign w:val="center"/>
          </w:tcPr>
          <w:p w14:paraId="23BF0B9F">
            <w:pPr>
              <w:adjustRightInd w:val="0"/>
              <w:snapToGrid w:val="0"/>
              <w:spacing w:line="240" w:lineRule="auto"/>
              <w:ind w:firstLine="0" w:firstLineChars="0"/>
              <w:jc w:val="center"/>
              <w:rPr>
                <w:sz w:val="18"/>
                <w:szCs w:val="18"/>
              </w:rPr>
            </w:pPr>
          </w:p>
        </w:tc>
      </w:tr>
      <w:tr w14:paraId="37C146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39E1A604">
            <w:pPr>
              <w:adjustRightInd w:val="0"/>
              <w:snapToGrid w:val="0"/>
              <w:spacing w:line="240" w:lineRule="auto"/>
              <w:ind w:firstLine="0" w:firstLineChars="0"/>
              <w:jc w:val="center"/>
              <w:rPr>
                <w:sz w:val="18"/>
                <w:szCs w:val="18"/>
              </w:rPr>
            </w:pPr>
          </w:p>
        </w:tc>
        <w:tc>
          <w:tcPr>
            <w:tcW w:w="1011" w:type="pct"/>
            <w:shd w:val="clear" w:color="auto" w:fill="auto"/>
            <w:vAlign w:val="center"/>
          </w:tcPr>
          <w:p w14:paraId="20AAB382">
            <w:pPr>
              <w:adjustRightInd w:val="0"/>
              <w:snapToGrid w:val="0"/>
              <w:spacing w:line="240" w:lineRule="auto"/>
              <w:ind w:firstLine="0" w:firstLineChars="0"/>
              <w:jc w:val="center"/>
              <w:rPr>
                <w:sz w:val="18"/>
                <w:szCs w:val="18"/>
              </w:rPr>
            </w:pPr>
            <w:r>
              <w:rPr>
                <w:sz w:val="18"/>
                <w:szCs w:val="18"/>
              </w:rPr>
              <w:t>2#-3#风机平台</w:t>
            </w:r>
          </w:p>
        </w:tc>
        <w:tc>
          <w:tcPr>
            <w:tcW w:w="469" w:type="pct"/>
            <w:shd w:val="clear" w:color="auto" w:fill="auto"/>
            <w:vAlign w:val="center"/>
          </w:tcPr>
          <w:p w14:paraId="4FB543B7">
            <w:pPr>
              <w:adjustRightInd w:val="0"/>
              <w:snapToGrid w:val="0"/>
              <w:spacing w:line="240" w:lineRule="auto"/>
              <w:ind w:firstLine="0" w:firstLineChars="0"/>
              <w:jc w:val="center"/>
              <w:rPr>
                <w:sz w:val="18"/>
                <w:szCs w:val="18"/>
              </w:rPr>
            </w:pPr>
            <w:r>
              <w:rPr>
                <w:sz w:val="18"/>
                <w:szCs w:val="18"/>
              </w:rPr>
              <w:t>4.80</w:t>
            </w:r>
          </w:p>
        </w:tc>
        <w:tc>
          <w:tcPr>
            <w:tcW w:w="469" w:type="pct"/>
            <w:shd w:val="clear" w:color="auto" w:fill="auto"/>
            <w:vAlign w:val="center"/>
          </w:tcPr>
          <w:p w14:paraId="77F393E0">
            <w:pPr>
              <w:adjustRightInd w:val="0"/>
              <w:snapToGrid w:val="0"/>
              <w:spacing w:line="240" w:lineRule="auto"/>
              <w:ind w:firstLine="0" w:firstLineChars="0"/>
              <w:jc w:val="center"/>
              <w:rPr>
                <w:sz w:val="18"/>
                <w:szCs w:val="18"/>
              </w:rPr>
            </w:pPr>
            <w:r>
              <w:rPr>
                <w:sz w:val="18"/>
                <w:szCs w:val="18"/>
              </w:rPr>
              <w:t>4.66</w:t>
            </w:r>
          </w:p>
        </w:tc>
        <w:tc>
          <w:tcPr>
            <w:tcW w:w="472" w:type="pct"/>
            <w:shd w:val="clear" w:color="auto" w:fill="auto"/>
            <w:vAlign w:val="center"/>
          </w:tcPr>
          <w:p w14:paraId="567CF4C1">
            <w:pPr>
              <w:adjustRightInd w:val="0"/>
              <w:snapToGrid w:val="0"/>
              <w:spacing w:line="240" w:lineRule="auto"/>
              <w:ind w:firstLine="0" w:firstLineChars="0"/>
              <w:jc w:val="center"/>
              <w:rPr>
                <w:sz w:val="18"/>
                <w:szCs w:val="18"/>
              </w:rPr>
            </w:pPr>
            <w:r>
              <w:rPr>
                <w:sz w:val="18"/>
                <w:szCs w:val="18"/>
              </w:rPr>
              <w:t>0.14</w:t>
            </w:r>
          </w:p>
        </w:tc>
        <w:tc>
          <w:tcPr>
            <w:tcW w:w="469" w:type="pct"/>
            <w:shd w:val="clear" w:color="auto" w:fill="auto"/>
            <w:vAlign w:val="center"/>
          </w:tcPr>
          <w:p w14:paraId="12C67E09">
            <w:pPr>
              <w:adjustRightInd w:val="0"/>
              <w:snapToGrid w:val="0"/>
              <w:spacing w:line="240" w:lineRule="auto"/>
              <w:ind w:firstLine="0" w:firstLineChars="0"/>
              <w:jc w:val="center"/>
              <w:rPr>
                <w:sz w:val="18"/>
                <w:szCs w:val="18"/>
              </w:rPr>
            </w:pPr>
            <w:r>
              <w:rPr>
                <w:sz w:val="18"/>
                <w:szCs w:val="18"/>
              </w:rPr>
              <w:t>3.76</w:t>
            </w:r>
          </w:p>
        </w:tc>
        <w:tc>
          <w:tcPr>
            <w:tcW w:w="469" w:type="pct"/>
            <w:shd w:val="clear" w:color="auto" w:fill="auto"/>
            <w:vAlign w:val="center"/>
          </w:tcPr>
          <w:p w14:paraId="63DDE4A7">
            <w:pPr>
              <w:adjustRightInd w:val="0"/>
              <w:snapToGrid w:val="0"/>
              <w:spacing w:line="240" w:lineRule="auto"/>
              <w:ind w:firstLine="0" w:firstLineChars="0"/>
              <w:jc w:val="center"/>
              <w:rPr>
                <w:sz w:val="18"/>
                <w:szCs w:val="18"/>
              </w:rPr>
            </w:pPr>
            <w:r>
              <w:rPr>
                <w:sz w:val="18"/>
                <w:szCs w:val="18"/>
              </w:rPr>
              <w:t>3.62</w:t>
            </w:r>
          </w:p>
        </w:tc>
        <w:tc>
          <w:tcPr>
            <w:tcW w:w="472" w:type="pct"/>
            <w:shd w:val="clear" w:color="auto" w:fill="auto"/>
            <w:vAlign w:val="center"/>
          </w:tcPr>
          <w:p w14:paraId="5299BC26">
            <w:pPr>
              <w:adjustRightInd w:val="0"/>
              <w:snapToGrid w:val="0"/>
              <w:spacing w:line="240" w:lineRule="auto"/>
              <w:ind w:firstLine="0" w:firstLineChars="0"/>
              <w:jc w:val="center"/>
              <w:rPr>
                <w:sz w:val="18"/>
                <w:szCs w:val="18"/>
              </w:rPr>
            </w:pPr>
            <w:r>
              <w:rPr>
                <w:sz w:val="18"/>
                <w:szCs w:val="18"/>
              </w:rPr>
              <w:t>0.14</w:t>
            </w:r>
          </w:p>
        </w:tc>
        <w:tc>
          <w:tcPr>
            <w:tcW w:w="469" w:type="pct"/>
            <w:shd w:val="clear" w:color="auto" w:fill="auto"/>
            <w:vAlign w:val="center"/>
          </w:tcPr>
          <w:p w14:paraId="6ED3E3B4">
            <w:pPr>
              <w:adjustRightInd w:val="0"/>
              <w:snapToGrid w:val="0"/>
              <w:spacing w:line="240" w:lineRule="auto"/>
              <w:ind w:firstLine="0" w:firstLineChars="0"/>
              <w:jc w:val="center"/>
              <w:rPr>
                <w:sz w:val="18"/>
                <w:szCs w:val="18"/>
              </w:rPr>
            </w:pPr>
            <w:r>
              <w:rPr>
                <w:sz w:val="18"/>
                <w:szCs w:val="18"/>
              </w:rPr>
              <w:t>1.04</w:t>
            </w:r>
          </w:p>
        </w:tc>
        <w:tc>
          <w:tcPr>
            <w:tcW w:w="397" w:type="pct"/>
            <w:vMerge w:val="continue"/>
            <w:shd w:val="clear" w:color="auto" w:fill="auto"/>
            <w:noWrap/>
            <w:vAlign w:val="center"/>
          </w:tcPr>
          <w:p w14:paraId="51D371CB">
            <w:pPr>
              <w:adjustRightInd w:val="0"/>
              <w:snapToGrid w:val="0"/>
              <w:spacing w:line="240" w:lineRule="auto"/>
              <w:ind w:firstLine="0" w:firstLineChars="0"/>
              <w:jc w:val="center"/>
              <w:rPr>
                <w:sz w:val="18"/>
                <w:szCs w:val="18"/>
              </w:rPr>
            </w:pPr>
          </w:p>
        </w:tc>
      </w:tr>
      <w:tr w14:paraId="6BAAF7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0CC9AA58">
            <w:pPr>
              <w:adjustRightInd w:val="0"/>
              <w:snapToGrid w:val="0"/>
              <w:spacing w:line="240" w:lineRule="auto"/>
              <w:ind w:firstLine="0" w:firstLineChars="0"/>
              <w:jc w:val="center"/>
              <w:rPr>
                <w:sz w:val="18"/>
                <w:szCs w:val="18"/>
              </w:rPr>
            </w:pPr>
          </w:p>
        </w:tc>
        <w:tc>
          <w:tcPr>
            <w:tcW w:w="1011" w:type="pct"/>
            <w:shd w:val="clear" w:color="auto" w:fill="auto"/>
            <w:vAlign w:val="center"/>
          </w:tcPr>
          <w:p w14:paraId="2F989BB5">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0C9A28E7">
            <w:pPr>
              <w:adjustRightInd w:val="0"/>
              <w:snapToGrid w:val="0"/>
              <w:spacing w:line="240" w:lineRule="auto"/>
              <w:ind w:firstLine="0" w:firstLineChars="0"/>
              <w:jc w:val="center"/>
              <w:rPr>
                <w:sz w:val="18"/>
                <w:szCs w:val="18"/>
              </w:rPr>
            </w:pPr>
            <w:r>
              <w:rPr>
                <w:sz w:val="18"/>
                <w:szCs w:val="18"/>
              </w:rPr>
              <w:t>13.03</w:t>
            </w:r>
          </w:p>
        </w:tc>
        <w:tc>
          <w:tcPr>
            <w:tcW w:w="469" w:type="pct"/>
            <w:shd w:val="clear" w:color="auto" w:fill="auto"/>
            <w:vAlign w:val="center"/>
          </w:tcPr>
          <w:p w14:paraId="111FD799">
            <w:pPr>
              <w:adjustRightInd w:val="0"/>
              <w:snapToGrid w:val="0"/>
              <w:spacing w:line="240" w:lineRule="auto"/>
              <w:ind w:firstLine="0" w:firstLineChars="0"/>
              <w:jc w:val="center"/>
              <w:rPr>
                <w:sz w:val="18"/>
                <w:szCs w:val="18"/>
              </w:rPr>
            </w:pPr>
            <w:r>
              <w:rPr>
                <w:sz w:val="18"/>
                <w:szCs w:val="18"/>
              </w:rPr>
              <w:t>12.42</w:t>
            </w:r>
          </w:p>
        </w:tc>
        <w:tc>
          <w:tcPr>
            <w:tcW w:w="472" w:type="pct"/>
            <w:shd w:val="clear" w:color="auto" w:fill="auto"/>
            <w:vAlign w:val="center"/>
          </w:tcPr>
          <w:p w14:paraId="0D9ECC78">
            <w:pPr>
              <w:adjustRightInd w:val="0"/>
              <w:snapToGrid w:val="0"/>
              <w:spacing w:line="240" w:lineRule="auto"/>
              <w:ind w:firstLine="0" w:firstLineChars="0"/>
              <w:jc w:val="center"/>
              <w:rPr>
                <w:sz w:val="18"/>
                <w:szCs w:val="18"/>
              </w:rPr>
            </w:pPr>
            <w:r>
              <w:rPr>
                <w:sz w:val="18"/>
                <w:szCs w:val="18"/>
              </w:rPr>
              <w:t>0.61</w:t>
            </w:r>
          </w:p>
        </w:tc>
        <w:tc>
          <w:tcPr>
            <w:tcW w:w="469" w:type="pct"/>
            <w:shd w:val="clear" w:color="auto" w:fill="auto"/>
            <w:vAlign w:val="center"/>
          </w:tcPr>
          <w:p w14:paraId="2016E0CD">
            <w:pPr>
              <w:adjustRightInd w:val="0"/>
              <w:snapToGrid w:val="0"/>
              <w:spacing w:line="240" w:lineRule="auto"/>
              <w:ind w:firstLine="0" w:firstLineChars="0"/>
              <w:jc w:val="center"/>
              <w:rPr>
                <w:sz w:val="18"/>
                <w:szCs w:val="18"/>
              </w:rPr>
            </w:pPr>
            <w:r>
              <w:rPr>
                <w:sz w:val="18"/>
                <w:szCs w:val="18"/>
              </w:rPr>
              <w:t>10.34</w:t>
            </w:r>
          </w:p>
        </w:tc>
        <w:tc>
          <w:tcPr>
            <w:tcW w:w="469" w:type="pct"/>
            <w:shd w:val="clear" w:color="auto" w:fill="auto"/>
            <w:vAlign w:val="center"/>
          </w:tcPr>
          <w:p w14:paraId="28BADDB5">
            <w:pPr>
              <w:adjustRightInd w:val="0"/>
              <w:snapToGrid w:val="0"/>
              <w:spacing w:line="240" w:lineRule="auto"/>
              <w:ind w:firstLine="0" w:firstLineChars="0"/>
              <w:jc w:val="center"/>
              <w:rPr>
                <w:sz w:val="18"/>
                <w:szCs w:val="18"/>
              </w:rPr>
            </w:pPr>
            <w:r>
              <w:rPr>
                <w:sz w:val="18"/>
                <w:szCs w:val="18"/>
              </w:rPr>
              <w:t>9.73</w:t>
            </w:r>
          </w:p>
        </w:tc>
        <w:tc>
          <w:tcPr>
            <w:tcW w:w="472" w:type="pct"/>
            <w:shd w:val="clear" w:color="auto" w:fill="auto"/>
            <w:vAlign w:val="center"/>
          </w:tcPr>
          <w:p w14:paraId="23D83C4D">
            <w:pPr>
              <w:adjustRightInd w:val="0"/>
              <w:snapToGrid w:val="0"/>
              <w:spacing w:line="240" w:lineRule="auto"/>
              <w:ind w:firstLine="0" w:firstLineChars="0"/>
              <w:jc w:val="center"/>
              <w:rPr>
                <w:sz w:val="18"/>
                <w:szCs w:val="18"/>
              </w:rPr>
            </w:pPr>
            <w:r>
              <w:rPr>
                <w:sz w:val="18"/>
                <w:szCs w:val="18"/>
              </w:rPr>
              <w:t>0.61</w:t>
            </w:r>
          </w:p>
        </w:tc>
        <w:tc>
          <w:tcPr>
            <w:tcW w:w="469" w:type="pct"/>
            <w:shd w:val="clear" w:color="auto" w:fill="auto"/>
            <w:vAlign w:val="center"/>
          </w:tcPr>
          <w:p w14:paraId="398E1DC1">
            <w:pPr>
              <w:adjustRightInd w:val="0"/>
              <w:snapToGrid w:val="0"/>
              <w:spacing w:line="240" w:lineRule="auto"/>
              <w:ind w:firstLine="0" w:firstLineChars="0"/>
              <w:jc w:val="center"/>
              <w:rPr>
                <w:sz w:val="18"/>
                <w:szCs w:val="18"/>
              </w:rPr>
            </w:pPr>
            <w:r>
              <w:rPr>
                <w:sz w:val="18"/>
                <w:szCs w:val="18"/>
              </w:rPr>
              <w:t>2.69</w:t>
            </w:r>
          </w:p>
        </w:tc>
        <w:tc>
          <w:tcPr>
            <w:tcW w:w="397" w:type="pct"/>
            <w:vMerge w:val="continue"/>
            <w:shd w:val="clear" w:color="auto" w:fill="auto"/>
            <w:noWrap/>
            <w:vAlign w:val="center"/>
          </w:tcPr>
          <w:p w14:paraId="1C184F68">
            <w:pPr>
              <w:adjustRightInd w:val="0"/>
              <w:snapToGrid w:val="0"/>
              <w:spacing w:line="240" w:lineRule="auto"/>
              <w:ind w:firstLine="0" w:firstLineChars="0"/>
              <w:jc w:val="center"/>
              <w:rPr>
                <w:sz w:val="18"/>
                <w:szCs w:val="18"/>
              </w:rPr>
            </w:pPr>
          </w:p>
        </w:tc>
      </w:tr>
      <w:tr w14:paraId="209170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18E729CC">
            <w:pPr>
              <w:adjustRightInd w:val="0"/>
              <w:snapToGrid w:val="0"/>
              <w:spacing w:line="240" w:lineRule="auto"/>
              <w:ind w:firstLine="0" w:firstLineChars="0"/>
              <w:jc w:val="center"/>
              <w:rPr>
                <w:sz w:val="18"/>
                <w:szCs w:val="18"/>
              </w:rPr>
            </w:pPr>
            <w:r>
              <w:rPr>
                <w:sz w:val="18"/>
                <w:szCs w:val="18"/>
              </w:rPr>
              <w:t>4</w:t>
            </w:r>
          </w:p>
        </w:tc>
        <w:tc>
          <w:tcPr>
            <w:tcW w:w="1011" w:type="pct"/>
            <w:shd w:val="clear" w:color="auto" w:fill="auto"/>
            <w:vAlign w:val="center"/>
          </w:tcPr>
          <w:p w14:paraId="773B47A7">
            <w:pPr>
              <w:adjustRightInd w:val="0"/>
              <w:snapToGrid w:val="0"/>
              <w:spacing w:line="240" w:lineRule="auto"/>
              <w:ind w:firstLine="0" w:firstLineChars="0"/>
              <w:jc w:val="center"/>
              <w:rPr>
                <w:sz w:val="18"/>
                <w:szCs w:val="18"/>
              </w:rPr>
            </w:pPr>
            <w:r>
              <w:rPr>
                <w:sz w:val="18"/>
                <w:szCs w:val="18"/>
              </w:rPr>
              <w:t>Z6弃渣场主干道（2.8km）</w:t>
            </w:r>
          </w:p>
        </w:tc>
        <w:tc>
          <w:tcPr>
            <w:tcW w:w="469" w:type="pct"/>
            <w:shd w:val="clear" w:color="auto" w:fill="auto"/>
            <w:vAlign w:val="center"/>
          </w:tcPr>
          <w:p w14:paraId="3838DBFD">
            <w:pPr>
              <w:adjustRightInd w:val="0"/>
              <w:snapToGrid w:val="0"/>
              <w:spacing w:line="240" w:lineRule="auto"/>
              <w:ind w:firstLine="0" w:firstLineChars="0"/>
              <w:jc w:val="center"/>
              <w:rPr>
                <w:sz w:val="18"/>
                <w:szCs w:val="18"/>
              </w:rPr>
            </w:pPr>
            <w:r>
              <w:rPr>
                <w:sz w:val="18"/>
                <w:szCs w:val="18"/>
              </w:rPr>
              <w:t>9.80</w:t>
            </w:r>
          </w:p>
        </w:tc>
        <w:tc>
          <w:tcPr>
            <w:tcW w:w="469" w:type="pct"/>
            <w:shd w:val="clear" w:color="auto" w:fill="auto"/>
            <w:vAlign w:val="center"/>
          </w:tcPr>
          <w:p w14:paraId="785C385F">
            <w:pPr>
              <w:adjustRightInd w:val="0"/>
              <w:snapToGrid w:val="0"/>
              <w:spacing w:line="240" w:lineRule="auto"/>
              <w:ind w:firstLine="0" w:firstLineChars="0"/>
              <w:jc w:val="center"/>
              <w:rPr>
                <w:sz w:val="18"/>
                <w:szCs w:val="18"/>
              </w:rPr>
            </w:pPr>
            <w:r>
              <w:rPr>
                <w:sz w:val="18"/>
                <w:szCs w:val="18"/>
              </w:rPr>
              <w:t>9.24</w:t>
            </w:r>
          </w:p>
        </w:tc>
        <w:tc>
          <w:tcPr>
            <w:tcW w:w="472" w:type="pct"/>
            <w:shd w:val="clear" w:color="auto" w:fill="auto"/>
            <w:vAlign w:val="center"/>
          </w:tcPr>
          <w:p w14:paraId="04EB8EF3">
            <w:pPr>
              <w:adjustRightInd w:val="0"/>
              <w:snapToGrid w:val="0"/>
              <w:spacing w:line="240" w:lineRule="auto"/>
              <w:ind w:firstLine="0" w:firstLineChars="0"/>
              <w:jc w:val="center"/>
              <w:rPr>
                <w:sz w:val="18"/>
                <w:szCs w:val="18"/>
              </w:rPr>
            </w:pPr>
            <w:r>
              <w:rPr>
                <w:sz w:val="18"/>
                <w:szCs w:val="18"/>
              </w:rPr>
              <w:t>0.56</w:t>
            </w:r>
          </w:p>
        </w:tc>
        <w:tc>
          <w:tcPr>
            <w:tcW w:w="469" w:type="pct"/>
            <w:shd w:val="clear" w:color="auto" w:fill="auto"/>
            <w:vAlign w:val="center"/>
          </w:tcPr>
          <w:p w14:paraId="5BD7AC42">
            <w:pPr>
              <w:adjustRightInd w:val="0"/>
              <w:snapToGrid w:val="0"/>
              <w:spacing w:line="240" w:lineRule="auto"/>
              <w:ind w:firstLine="0" w:firstLineChars="0"/>
              <w:jc w:val="center"/>
              <w:rPr>
                <w:sz w:val="18"/>
                <w:szCs w:val="18"/>
              </w:rPr>
            </w:pPr>
            <w:r>
              <w:rPr>
                <w:sz w:val="18"/>
                <w:szCs w:val="18"/>
              </w:rPr>
              <w:t>7.84</w:t>
            </w:r>
          </w:p>
        </w:tc>
        <w:tc>
          <w:tcPr>
            <w:tcW w:w="469" w:type="pct"/>
            <w:shd w:val="clear" w:color="auto" w:fill="auto"/>
            <w:vAlign w:val="center"/>
          </w:tcPr>
          <w:p w14:paraId="7BF851B7">
            <w:pPr>
              <w:adjustRightInd w:val="0"/>
              <w:snapToGrid w:val="0"/>
              <w:spacing w:line="240" w:lineRule="auto"/>
              <w:ind w:firstLine="0" w:firstLineChars="0"/>
              <w:jc w:val="center"/>
              <w:rPr>
                <w:sz w:val="18"/>
                <w:szCs w:val="18"/>
              </w:rPr>
            </w:pPr>
            <w:r>
              <w:rPr>
                <w:sz w:val="18"/>
                <w:szCs w:val="18"/>
              </w:rPr>
              <w:t>7.28</w:t>
            </w:r>
          </w:p>
        </w:tc>
        <w:tc>
          <w:tcPr>
            <w:tcW w:w="472" w:type="pct"/>
            <w:shd w:val="clear" w:color="auto" w:fill="auto"/>
            <w:vAlign w:val="center"/>
          </w:tcPr>
          <w:p w14:paraId="0063CF59">
            <w:pPr>
              <w:adjustRightInd w:val="0"/>
              <w:snapToGrid w:val="0"/>
              <w:spacing w:line="240" w:lineRule="auto"/>
              <w:ind w:firstLine="0" w:firstLineChars="0"/>
              <w:jc w:val="center"/>
              <w:rPr>
                <w:sz w:val="18"/>
                <w:szCs w:val="18"/>
              </w:rPr>
            </w:pPr>
            <w:r>
              <w:rPr>
                <w:sz w:val="18"/>
                <w:szCs w:val="18"/>
              </w:rPr>
              <w:t>0.56</w:t>
            </w:r>
          </w:p>
        </w:tc>
        <w:tc>
          <w:tcPr>
            <w:tcW w:w="469" w:type="pct"/>
            <w:shd w:val="clear" w:color="auto" w:fill="auto"/>
            <w:vAlign w:val="center"/>
          </w:tcPr>
          <w:p w14:paraId="1016322C">
            <w:pPr>
              <w:adjustRightInd w:val="0"/>
              <w:snapToGrid w:val="0"/>
              <w:spacing w:line="240" w:lineRule="auto"/>
              <w:ind w:firstLine="0" w:firstLineChars="0"/>
              <w:jc w:val="center"/>
              <w:rPr>
                <w:sz w:val="18"/>
                <w:szCs w:val="18"/>
              </w:rPr>
            </w:pPr>
            <w:r>
              <w:rPr>
                <w:sz w:val="18"/>
                <w:szCs w:val="18"/>
              </w:rPr>
              <w:t>1.96</w:t>
            </w:r>
          </w:p>
        </w:tc>
        <w:tc>
          <w:tcPr>
            <w:tcW w:w="397" w:type="pct"/>
            <w:vMerge w:val="restart"/>
            <w:shd w:val="clear" w:color="auto" w:fill="auto"/>
            <w:vAlign w:val="center"/>
          </w:tcPr>
          <w:p w14:paraId="3E8F753D">
            <w:pPr>
              <w:adjustRightInd w:val="0"/>
              <w:snapToGrid w:val="0"/>
              <w:spacing w:line="240" w:lineRule="auto"/>
              <w:ind w:firstLine="0" w:firstLineChars="0"/>
              <w:jc w:val="center"/>
              <w:rPr>
                <w:sz w:val="18"/>
                <w:szCs w:val="18"/>
              </w:rPr>
            </w:pPr>
            <w:r>
              <w:rPr>
                <w:sz w:val="18"/>
                <w:szCs w:val="18"/>
              </w:rPr>
              <w:t>Z6</w:t>
            </w:r>
          </w:p>
        </w:tc>
      </w:tr>
      <w:tr w14:paraId="7857A0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068DD613">
            <w:pPr>
              <w:adjustRightInd w:val="0"/>
              <w:snapToGrid w:val="0"/>
              <w:spacing w:line="240" w:lineRule="auto"/>
              <w:ind w:firstLine="0" w:firstLineChars="0"/>
              <w:jc w:val="center"/>
              <w:rPr>
                <w:sz w:val="18"/>
                <w:szCs w:val="18"/>
              </w:rPr>
            </w:pPr>
          </w:p>
        </w:tc>
        <w:tc>
          <w:tcPr>
            <w:tcW w:w="1011" w:type="pct"/>
            <w:shd w:val="clear" w:color="auto" w:fill="auto"/>
            <w:vAlign w:val="center"/>
          </w:tcPr>
          <w:p w14:paraId="0A5A4ECD">
            <w:pPr>
              <w:adjustRightInd w:val="0"/>
              <w:snapToGrid w:val="0"/>
              <w:spacing w:line="240" w:lineRule="auto"/>
              <w:ind w:firstLine="0" w:firstLineChars="0"/>
              <w:jc w:val="center"/>
              <w:rPr>
                <w:sz w:val="18"/>
                <w:szCs w:val="18"/>
              </w:rPr>
            </w:pPr>
            <w:r>
              <w:rPr>
                <w:sz w:val="18"/>
                <w:szCs w:val="18"/>
              </w:rPr>
              <w:t>4#风机支路（0.4km）</w:t>
            </w:r>
          </w:p>
        </w:tc>
        <w:tc>
          <w:tcPr>
            <w:tcW w:w="469" w:type="pct"/>
            <w:shd w:val="clear" w:color="auto" w:fill="auto"/>
            <w:vAlign w:val="center"/>
          </w:tcPr>
          <w:p w14:paraId="458DD548">
            <w:pPr>
              <w:adjustRightInd w:val="0"/>
              <w:snapToGrid w:val="0"/>
              <w:spacing w:line="240" w:lineRule="auto"/>
              <w:ind w:firstLine="0" w:firstLineChars="0"/>
              <w:jc w:val="center"/>
              <w:rPr>
                <w:sz w:val="18"/>
                <w:szCs w:val="18"/>
              </w:rPr>
            </w:pPr>
            <w:r>
              <w:rPr>
                <w:sz w:val="18"/>
                <w:szCs w:val="18"/>
              </w:rPr>
              <w:t>1.40</w:t>
            </w:r>
          </w:p>
        </w:tc>
        <w:tc>
          <w:tcPr>
            <w:tcW w:w="469" w:type="pct"/>
            <w:shd w:val="clear" w:color="auto" w:fill="auto"/>
            <w:vAlign w:val="center"/>
          </w:tcPr>
          <w:p w14:paraId="6D3BF795">
            <w:pPr>
              <w:adjustRightInd w:val="0"/>
              <w:snapToGrid w:val="0"/>
              <w:spacing w:line="240" w:lineRule="auto"/>
              <w:ind w:firstLine="0" w:firstLineChars="0"/>
              <w:jc w:val="center"/>
              <w:rPr>
                <w:sz w:val="18"/>
                <w:szCs w:val="18"/>
              </w:rPr>
            </w:pPr>
            <w:r>
              <w:rPr>
                <w:sz w:val="18"/>
                <w:szCs w:val="18"/>
              </w:rPr>
              <w:t>1.32</w:t>
            </w:r>
          </w:p>
        </w:tc>
        <w:tc>
          <w:tcPr>
            <w:tcW w:w="472" w:type="pct"/>
            <w:shd w:val="clear" w:color="auto" w:fill="auto"/>
            <w:vAlign w:val="center"/>
          </w:tcPr>
          <w:p w14:paraId="3095F376">
            <w:pPr>
              <w:adjustRightInd w:val="0"/>
              <w:snapToGrid w:val="0"/>
              <w:spacing w:line="240" w:lineRule="auto"/>
              <w:ind w:firstLine="0" w:firstLineChars="0"/>
              <w:jc w:val="center"/>
              <w:rPr>
                <w:sz w:val="18"/>
                <w:szCs w:val="18"/>
              </w:rPr>
            </w:pPr>
            <w:r>
              <w:rPr>
                <w:sz w:val="18"/>
                <w:szCs w:val="18"/>
              </w:rPr>
              <w:t>0.08</w:t>
            </w:r>
          </w:p>
        </w:tc>
        <w:tc>
          <w:tcPr>
            <w:tcW w:w="469" w:type="pct"/>
            <w:shd w:val="clear" w:color="auto" w:fill="auto"/>
            <w:vAlign w:val="center"/>
          </w:tcPr>
          <w:p w14:paraId="03A9B1BD">
            <w:pPr>
              <w:adjustRightInd w:val="0"/>
              <w:snapToGrid w:val="0"/>
              <w:spacing w:line="240" w:lineRule="auto"/>
              <w:ind w:firstLine="0" w:firstLineChars="0"/>
              <w:jc w:val="center"/>
              <w:rPr>
                <w:sz w:val="18"/>
                <w:szCs w:val="18"/>
              </w:rPr>
            </w:pPr>
            <w:r>
              <w:rPr>
                <w:sz w:val="18"/>
                <w:szCs w:val="18"/>
              </w:rPr>
              <w:t>1.12</w:t>
            </w:r>
          </w:p>
        </w:tc>
        <w:tc>
          <w:tcPr>
            <w:tcW w:w="469" w:type="pct"/>
            <w:shd w:val="clear" w:color="auto" w:fill="auto"/>
            <w:vAlign w:val="center"/>
          </w:tcPr>
          <w:p w14:paraId="20145829">
            <w:pPr>
              <w:adjustRightInd w:val="0"/>
              <w:snapToGrid w:val="0"/>
              <w:spacing w:line="240" w:lineRule="auto"/>
              <w:ind w:firstLine="0" w:firstLineChars="0"/>
              <w:jc w:val="center"/>
              <w:rPr>
                <w:sz w:val="18"/>
                <w:szCs w:val="18"/>
              </w:rPr>
            </w:pPr>
            <w:r>
              <w:rPr>
                <w:sz w:val="18"/>
                <w:szCs w:val="18"/>
              </w:rPr>
              <w:t>1.04</w:t>
            </w:r>
          </w:p>
        </w:tc>
        <w:tc>
          <w:tcPr>
            <w:tcW w:w="472" w:type="pct"/>
            <w:shd w:val="clear" w:color="auto" w:fill="auto"/>
            <w:vAlign w:val="center"/>
          </w:tcPr>
          <w:p w14:paraId="4786CEB9">
            <w:pPr>
              <w:adjustRightInd w:val="0"/>
              <w:snapToGrid w:val="0"/>
              <w:spacing w:line="240" w:lineRule="auto"/>
              <w:ind w:firstLine="0" w:firstLineChars="0"/>
              <w:jc w:val="center"/>
              <w:rPr>
                <w:sz w:val="18"/>
                <w:szCs w:val="18"/>
              </w:rPr>
            </w:pPr>
            <w:r>
              <w:rPr>
                <w:sz w:val="18"/>
                <w:szCs w:val="18"/>
              </w:rPr>
              <w:t>0.08</w:t>
            </w:r>
          </w:p>
        </w:tc>
        <w:tc>
          <w:tcPr>
            <w:tcW w:w="469" w:type="pct"/>
            <w:shd w:val="clear" w:color="auto" w:fill="auto"/>
            <w:vAlign w:val="center"/>
          </w:tcPr>
          <w:p w14:paraId="19B56108">
            <w:pPr>
              <w:adjustRightInd w:val="0"/>
              <w:snapToGrid w:val="0"/>
              <w:spacing w:line="240" w:lineRule="auto"/>
              <w:ind w:firstLine="0" w:firstLineChars="0"/>
              <w:jc w:val="center"/>
              <w:rPr>
                <w:sz w:val="18"/>
                <w:szCs w:val="18"/>
              </w:rPr>
            </w:pPr>
            <w:r>
              <w:rPr>
                <w:sz w:val="18"/>
                <w:szCs w:val="18"/>
              </w:rPr>
              <w:t>0.28</w:t>
            </w:r>
          </w:p>
        </w:tc>
        <w:tc>
          <w:tcPr>
            <w:tcW w:w="397" w:type="pct"/>
            <w:vMerge w:val="continue"/>
            <w:shd w:val="clear" w:color="auto" w:fill="auto"/>
            <w:vAlign w:val="center"/>
          </w:tcPr>
          <w:p w14:paraId="5E5830DE">
            <w:pPr>
              <w:adjustRightInd w:val="0"/>
              <w:snapToGrid w:val="0"/>
              <w:spacing w:line="240" w:lineRule="auto"/>
              <w:ind w:firstLine="0" w:firstLineChars="0"/>
              <w:jc w:val="center"/>
              <w:rPr>
                <w:sz w:val="18"/>
                <w:szCs w:val="18"/>
              </w:rPr>
            </w:pPr>
          </w:p>
        </w:tc>
      </w:tr>
      <w:tr w14:paraId="095AE4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54C82323">
            <w:pPr>
              <w:adjustRightInd w:val="0"/>
              <w:snapToGrid w:val="0"/>
              <w:spacing w:line="240" w:lineRule="auto"/>
              <w:ind w:firstLine="0" w:firstLineChars="0"/>
              <w:jc w:val="center"/>
              <w:rPr>
                <w:sz w:val="18"/>
                <w:szCs w:val="18"/>
              </w:rPr>
            </w:pPr>
          </w:p>
        </w:tc>
        <w:tc>
          <w:tcPr>
            <w:tcW w:w="1011" w:type="pct"/>
            <w:shd w:val="clear" w:color="auto" w:fill="auto"/>
            <w:vAlign w:val="center"/>
          </w:tcPr>
          <w:p w14:paraId="1CF8E117">
            <w:pPr>
              <w:adjustRightInd w:val="0"/>
              <w:snapToGrid w:val="0"/>
              <w:spacing w:line="240" w:lineRule="auto"/>
              <w:ind w:firstLine="0" w:firstLineChars="0"/>
              <w:jc w:val="center"/>
              <w:rPr>
                <w:sz w:val="18"/>
                <w:szCs w:val="18"/>
              </w:rPr>
            </w:pPr>
            <w:r>
              <w:rPr>
                <w:sz w:val="18"/>
                <w:szCs w:val="18"/>
              </w:rPr>
              <w:t>4#-5#风机平台</w:t>
            </w:r>
          </w:p>
        </w:tc>
        <w:tc>
          <w:tcPr>
            <w:tcW w:w="469" w:type="pct"/>
            <w:shd w:val="clear" w:color="auto" w:fill="auto"/>
            <w:vAlign w:val="center"/>
          </w:tcPr>
          <w:p w14:paraId="12DFEE00">
            <w:pPr>
              <w:adjustRightInd w:val="0"/>
              <w:snapToGrid w:val="0"/>
              <w:spacing w:line="240" w:lineRule="auto"/>
              <w:ind w:firstLine="0" w:firstLineChars="0"/>
              <w:jc w:val="center"/>
              <w:rPr>
                <w:sz w:val="18"/>
                <w:szCs w:val="18"/>
              </w:rPr>
            </w:pPr>
            <w:r>
              <w:rPr>
                <w:sz w:val="18"/>
                <w:szCs w:val="18"/>
              </w:rPr>
              <w:t>4.80</w:t>
            </w:r>
          </w:p>
        </w:tc>
        <w:tc>
          <w:tcPr>
            <w:tcW w:w="469" w:type="pct"/>
            <w:shd w:val="clear" w:color="auto" w:fill="auto"/>
            <w:vAlign w:val="center"/>
          </w:tcPr>
          <w:p w14:paraId="33BA23C8">
            <w:pPr>
              <w:adjustRightInd w:val="0"/>
              <w:snapToGrid w:val="0"/>
              <w:spacing w:line="240" w:lineRule="auto"/>
              <w:ind w:firstLine="0" w:firstLineChars="0"/>
              <w:jc w:val="center"/>
              <w:rPr>
                <w:sz w:val="18"/>
                <w:szCs w:val="18"/>
              </w:rPr>
            </w:pPr>
            <w:r>
              <w:rPr>
                <w:sz w:val="18"/>
                <w:szCs w:val="18"/>
              </w:rPr>
              <w:t>4.66</w:t>
            </w:r>
          </w:p>
        </w:tc>
        <w:tc>
          <w:tcPr>
            <w:tcW w:w="472" w:type="pct"/>
            <w:shd w:val="clear" w:color="auto" w:fill="auto"/>
            <w:vAlign w:val="center"/>
          </w:tcPr>
          <w:p w14:paraId="06FB88D3">
            <w:pPr>
              <w:adjustRightInd w:val="0"/>
              <w:snapToGrid w:val="0"/>
              <w:spacing w:line="240" w:lineRule="auto"/>
              <w:ind w:firstLine="0" w:firstLineChars="0"/>
              <w:jc w:val="center"/>
              <w:rPr>
                <w:sz w:val="18"/>
                <w:szCs w:val="18"/>
              </w:rPr>
            </w:pPr>
            <w:r>
              <w:rPr>
                <w:sz w:val="18"/>
                <w:szCs w:val="18"/>
              </w:rPr>
              <w:t>0.14</w:t>
            </w:r>
          </w:p>
        </w:tc>
        <w:tc>
          <w:tcPr>
            <w:tcW w:w="469" w:type="pct"/>
            <w:shd w:val="clear" w:color="auto" w:fill="auto"/>
            <w:vAlign w:val="center"/>
          </w:tcPr>
          <w:p w14:paraId="7ABCBFF8">
            <w:pPr>
              <w:adjustRightInd w:val="0"/>
              <w:snapToGrid w:val="0"/>
              <w:spacing w:line="240" w:lineRule="auto"/>
              <w:ind w:firstLine="0" w:firstLineChars="0"/>
              <w:jc w:val="center"/>
              <w:rPr>
                <w:sz w:val="18"/>
                <w:szCs w:val="18"/>
              </w:rPr>
            </w:pPr>
            <w:r>
              <w:rPr>
                <w:sz w:val="18"/>
                <w:szCs w:val="18"/>
              </w:rPr>
              <w:t>3.76</w:t>
            </w:r>
          </w:p>
        </w:tc>
        <w:tc>
          <w:tcPr>
            <w:tcW w:w="469" w:type="pct"/>
            <w:shd w:val="clear" w:color="auto" w:fill="auto"/>
            <w:vAlign w:val="center"/>
          </w:tcPr>
          <w:p w14:paraId="361D8B93">
            <w:pPr>
              <w:adjustRightInd w:val="0"/>
              <w:snapToGrid w:val="0"/>
              <w:spacing w:line="240" w:lineRule="auto"/>
              <w:ind w:firstLine="0" w:firstLineChars="0"/>
              <w:jc w:val="center"/>
              <w:rPr>
                <w:sz w:val="18"/>
                <w:szCs w:val="18"/>
              </w:rPr>
            </w:pPr>
            <w:r>
              <w:rPr>
                <w:sz w:val="18"/>
                <w:szCs w:val="18"/>
              </w:rPr>
              <w:t>3.62</w:t>
            </w:r>
          </w:p>
        </w:tc>
        <w:tc>
          <w:tcPr>
            <w:tcW w:w="472" w:type="pct"/>
            <w:shd w:val="clear" w:color="auto" w:fill="auto"/>
            <w:vAlign w:val="center"/>
          </w:tcPr>
          <w:p w14:paraId="26805142">
            <w:pPr>
              <w:adjustRightInd w:val="0"/>
              <w:snapToGrid w:val="0"/>
              <w:spacing w:line="240" w:lineRule="auto"/>
              <w:ind w:firstLine="0" w:firstLineChars="0"/>
              <w:jc w:val="center"/>
              <w:rPr>
                <w:sz w:val="18"/>
                <w:szCs w:val="18"/>
              </w:rPr>
            </w:pPr>
            <w:r>
              <w:rPr>
                <w:sz w:val="18"/>
                <w:szCs w:val="18"/>
              </w:rPr>
              <w:t>0.14</w:t>
            </w:r>
          </w:p>
        </w:tc>
        <w:tc>
          <w:tcPr>
            <w:tcW w:w="469" w:type="pct"/>
            <w:shd w:val="clear" w:color="auto" w:fill="auto"/>
            <w:vAlign w:val="center"/>
          </w:tcPr>
          <w:p w14:paraId="23BA1610">
            <w:pPr>
              <w:adjustRightInd w:val="0"/>
              <w:snapToGrid w:val="0"/>
              <w:spacing w:line="240" w:lineRule="auto"/>
              <w:ind w:firstLine="0" w:firstLineChars="0"/>
              <w:jc w:val="center"/>
              <w:rPr>
                <w:sz w:val="18"/>
                <w:szCs w:val="18"/>
              </w:rPr>
            </w:pPr>
            <w:r>
              <w:rPr>
                <w:sz w:val="18"/>
                <w:szCs w:val="18"/>
              </w:rPr>
              <w:t>1.04</w:t>
            </w:r>
          </w:p>
        </w:tc>
        <w:tc>
          <w:tcPr>
            <w:tcW w:w="397" w:type="pct"/>
            <w:vMerge w:val="continue"/>
            <w:shd w:val="clear" w:color="auto" w:fill="auto"/>
            <w:vAlign w:val="center"/>
          </w:tcPr>
          <w:p w14:paraId="34ED296C">
            <w:pPr>
              <w:adjustRightInd w:val="0"/>
              <w:snapToGrid w:val="0"/>
              <w:spacing w:line="240" w:lineRule="auto"/>
              <w:ind w:firstLine="0" w:firstLineChars="0"/>
              <w:jc w:val="center"/>
              <w:rPr>
                <w:sz w:val="18"/>
                <w:szCs w:val="18"/>
              </w:rPr>
            </w:pPr>
          </w:p>
        </w:tc>
      </w:tr>
      <w:tr w14:paraId="272164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7EF39183">
            <w:pPr>
              <w:adjustRightInd w:val="0"/>
              <w:snapToGrid w:val="0"/>
              <w:spacing w:line="240" w:lineRule="auto"/>
              <w:ind w:firstLine="0" w:firstLineChars="0"/>
              <w:jc w:val="center"/>
              <w:rPr>
                <w:sz w:val="18"/>
                <w:szCs w:val="18"/>
              </w:rPr>
            </w:pPr>
          </w:p>
        </w:tc>
        <w:tc>
          <w:tcPr>
            <w:tcW w:w="1011" w:type="pct"/>
            <w:shd w:val="clear" w:color="auto" w:fill="auto"/>
            <w:vAlign w:val="center"/>
          </w:tcPr>
          <w:p w14:paraId="6122511D">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7C8EAF8E">
            <w:pPr>
              <w:adjustRightInd w:val="0"/>
              <w:snapToGrid w:val="0"/>
              <w:spacing w:line="240" w:lineRule="auto"/>
              <w:ind w:firstLine="0" w:firstLineChars="0"/>
              <w:jc w:val="center"/>
              <w:rPr>
                <w:sz w:val="18"/>
                <w:szCs w:val="18"/>
              </w:rPr>
            </w:pPr>
            <w:r>
              <w:rPr>
                <w:sz w:val="18"/>
                <w:szCs w:val="18"/>
              </w:rPr>
              <w:t>16.00</w:t>
            </w:r>
          </w:p>
        </w:tc>
        <w:tc>
          <w:tcPr>
            <w:tcW w:w="469" w:type="pct"/>
            <w:shd w:val="clear" w:color="auto" w:fill="auto"/>
            <w:vAlign w:val="center"/>
          </w:tcPr>
          <w:p w14:paraId="08F1DB9E">
            <w:pPr>
              <w:adjustRightInd w:val="0"/>
              <w:snapToGrid w:val="0"/>
              <w:spacing w:line="240" w:lineRule="auto"/>
              <w:ind w:firstLine="0" w:firstLineChars="0"/>
              <w:jc w:val="center"/>
              <w:rPr>
                <w:sz w:val="18"/>
                <w:szCs w:val="18"/>
              </w:rPr>
            </w:pPr>
            <w:r>
              <w:rPr>
                <w:sz w:val="18"/>
                <w:szCs w:val="18"/>
              </w:rPr>
              <w:t>15.22</w:t>
            </w:r>
          </w:p>
        </w:tc>
        <w:tc>
          <w:tcPr>
            <w:tcW w:w="472" w:type="pct"/>
            <w:shd w:val="clear" w:color="auto" w:fill="auto"/>
            <w:vAlign w:val="center"/>
          </w:tcPr>
          <w:p w14:paraId="4182E7C8">
            <w:pPr>
              <w:adjustRightInd w:val="0"/>
              <w:snapToGrid w:val="0"/>
              <w:spacing w:line="240" w:lineRule="auto"/>
              <w:ind w:firstLine="0" w:firstLineChars="0"/>
              <w:jc w:val="center"/>
              <w:rPr>
                <w:sz w:val="18"/>
                <w:szCs w:val="18"/>
              </w:rPr>
            </w:pPr>
            <w:r>
              <w:rPr>
                <w:sz w:val="18"/>
                <w:szCs w:val="18"/>
              </w:rPr>
              <w:t>0.78</w:t>
            </w:r>
          </w:p>
        </w:tc>
        <w:tc>
          <w:tcPr>
            <w:tcW w:w="469" w:type="pct"/>
            <w:shd w:val="clear" w:color="auto" w:fill="auto"/>
            <w:vAlign w:val="center"/>
          </w:tcPr>
          <w:p w14:paraId="5602C403">
            <w:pPr>
              <w:adjustRightInd w:val="0"/>
              <w:snapToGrid w:val="0"/>
              <w:spacing w:line="240" w:lineRule="auto"/>
              <w:ind w:firstLine="0" w:firstLineChars="0"/>
              <w:jc w:val="center"/>
              <w:rPr>
                <w:sz w:val="18"/>
                <w:szCs w:val="18"/>
              </w:rPr>
            </w:pPr>
            <w:r>
              <w:rPr>
                <w:sz w:val="18"/>
                <w:szCs w:val="18"/>
              </w:rPr>
              <w:t>12.72</w:t>
            </w:r>
          </w:p>
        </w:tc>
        <w:tc>
          <w:tcPr>
            <w:tcW w:w="469" w:type="pct"/>
            <w:shd w:val="clear" w:color="auto" w:fill="auto"/>
            <w:vAlign w:val="center"/>
          </w:tcPr>
          <w:p w14:paraId="4326978F">
            <w:pPr>
              <w:adjustRightInd w:val="0"/>
              <w:snapToGrid w:val="0"/>
              <w:spacing w:line="240" w:lineRule="auto"/>
              <w:ind w:firstLine="0" w:firstLineChars="0"/>
              <w:jc w:val="center"/>
              <w:rPr>
                <w:sz w:val="18"/>
                <w:szCs w:val="18"/>
              </w:rPr>
            </w:pPr>
            <w:r>
              <w:rPr>
                <w:sz w:val="18"/>
                <w:szCs w:val="18"/>
              </w:rPr>
              <w:t>11.94</w:t>
            </w:r>
          </w:p>
        </w:tc>
        <w:tc>
          <w:tcPr>
            <w:tcW w:w="472" w:type="pct"/>
            <w:shd w:val="clear" w:color="auto" w:fill="auto"/>
            <w:vAlign w:val="center"/>
          </w:tcPr>
          <w:p w14:paraId="3A911514">
            <w:pPr>
              <w:adjustRightInd w:val="0"/>
              <w:snapToGrid w:val="0"/>
              <w:spacing w:line="240" w:lineRule="auto"/>
              <w:ind w:firstLine="0" w:firstLineChars="0"/>
              <w:jc w:val="center"/>
              <w:rPr>
                <w:sz w:val="18"/>
                <w:szCs w:val="18"/>
              </w:rPr>
            </w:pPr>
            <w:r>
              <w:rPr>
                <w:sz w:val="18"/>
                <w:szCs w:val="18"/>
              </w:rPr>
              <w:t>0.78</w:t>
            </w:r>
          </w:p>
        </w:tc>
        <w:tc>
          <w:tcPr>
            <w:tcW w:w="469" w:type="pct"/>
            <w:shd w:val="clear" w:color="auto" w:fill="auto"/>
            <w:vAlign w:val="center"/>
          </w:tcPr>
          <w:p w14:paraId="6AE268B8">
            <w:pPr>
              <w:adjustRightInd w:val="0"/>
              <w:snapToGrid w:val="0"/>
              <w:spacing w:line="240" w:lineRule="auto"/>
              <w:ind w:firstLine="0" w:firstLineChars="0"/>
              <w:jc w:val="center"/>
              <w:rPr>
                <w:sz w:val="18"/>
                <w:szCs w:val="18"/>
              </w:rPr>
            </w:pPr>
            <w:r>
              <w:rPr>
                <w:sz w:val="18"/>
                <w:szCs w:val="18"/>
              </w:rPr>
              <w:t>3.28</w:t>
            </w:r>
          </w:p>
        </w:tc>
        <w:tc>
          <w:tcPr>
            <w:tcW w:w="397" w:type="pct"/>
            <w:vMerge w:val="continue"/>
            <w:shd w:val="clear" w:color="auto" w:fill="auto"/>
            <w:vAlign w:val="center"/>
          </w:tcPr>
          <w:p w14:paraId="0AD84D7D">
            <w:pPr>
              <w:adjustRightInd w:val="0"/>
              <w:snapToGrid w:val="0"/>
              <w:spacing w:line="240" w:lineRule="auto"/>
              <w:ind w:firstLine="0" w:firstLineChars="0"/>
              <w:jc w:val="center"/>
              <w:rPr>
                <w:sz w:val="18"/>
                <w:szCs w:val="18"/>
              </w:rPr>
            </w:pPr>
          </w:p>
        </w:tc>
      </w:tr>
      <w:tr w14:paraId="49E85D9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471CC6D4">
            <w:pPr>
              <w:adjustRightInd w:val="0"/>
              <w:snapToGrid w:val="0"/>
              <w:spacing w:line="240" w:lineRule="auto"/>
              <w:ind w:firstLine="0" w:firstLineChars="0"/>
              <w:jc w:val="center"/>
              <w:rPr>
                <w:sz w:val="18"/>
                <w:szCs w:val="18"/>
              </w:rPr>
            </w:pPr>
            <w:r>
              <w:rPr>
                <w:sz w:val="18"/>
                <w:szCs w:val="18"/>
              </w:rPr>
              <w:t>5</w:t>
            </w:r>
          </w:p>
        </w:tc>
        <w:tc>
          <w:tcPr>
            <w:tcW w:w="1011" w:type="pct"/>
            <w:shd w:val="clear" w:color="auto" w:fill="auto"/>
            <w:vAlign w:val="center"/>
          </w:tcPr>
          <w:p w14:paraId="360481EB">
            <w:pPr>
              <w:adjustRightInd w:val="0"/>
              <w:snapToGrid w:val="0"/>
              <w:spacing w:line="240" w:lineRule="auto"/>
              <w:ind w:firstLine="0" w:firstLineChars="0"/>
              <w:jc w:val="center"/>
              <w:rPr>
                <w:sz w:val="18"/>
                <w:szCs w:val="18"/>
              </w:rPr>
            </w:pPr>
            <w:r>
              <w:rPr>
                <w:sz w:val="18"/>
                <w:szCs w:val="18"/>
              </w:rPr>
              <w:t>升压站区</w:t>
            </w:r>
          </w:p>
        </w:tc>
        <w:tc>
          <w:tcPr>
            <w:tcW w:w="469" w:type="pct"/>
            <w:shd w:val="clear" w:color="auto" w:fill="auto"/>
            <w:vAlign w:val="center"/>
          </w:tcPr>
          <w:p w14:paraId="65F8D21C">
            <w:pPr>
              <w:adjustRightInd w:val="0"/>
              <w:snapToGrid w:val="0"/>
              <w:spacing w:line="240" w:lineRule="auto"/>
              <w:ind w:firstLine="0" w:firstLineChars="0"/>
              <w:jc w:val="center"/>
              <w:rPr>
                <w:sz w:val="18"/>
                <w:szCs w:val="18"/>
              </w:rPr>
            </w:pPr>
            <w:r>
              <w:rPr>
                <w:sz w:val="18"/>
                <w:szCs w:val="18"/>
              </w:rPr>
              <w:t>3.65</w:t>
            </w:r>
          </w:p>
        </w:tc>
        <w:tc>
          <w:tcPr>
            <w:tcW w:w="469" w:type="pct"/>
            <w:shd w:val="clear" w:color="auto" w:fill="auto"/>
            <w:vAlign w:val="center"/>
          </w:tcPr>
          <w:p w14:paraId="15A16FCA">
            <w:pPr>
              <w:adjustRightInd w:val="0"/>
              <w:snapToGrid w:val="0"/>
              <w:spacing w:line="240" w:lineRule="auto"/>
              <w:ind w:firstLine="0" w:firstLineChars="0"/>
              <w:jc w:val="center"/>
              <w:rPr>
                <w:sz w:val="18"/>
                <w:szCs w:val="18"/>
              </w:rPr>
            </w:pPr>
            <w:r>
              <w:rPr>
                <w:sz w:val="18"/>
                <w:szCs w:val="18"/>
              </w:rPr>
              <w:t>3.57</w:t>
            </w:r>
          </w:p>
        </w:tc>
        <w:tc>
          <w:tcPr>
            <w:tcW w:w="472" w:type="pct"/>
            <w:shd w:val="clear" w:color="auto" w:fill="auto"/>
            <w:vAlign w:val="center"/>
          </w:tcPr>
          <w:p w14:paraId="6D4A5645">
            <w:pPr>
              <w:adjustRightInd w:val="0"/>
              <w:snapToGrid w:val="0"/>
              <w:spacing w:line="240" w:lineRule="auto"/>
              <w:ind w:firstLine="0" w:firstLineChars="0"/>
              <w:jc w:val="center"/>
              <w:rPr>
                <w:sz w:val="18"/>
                <w:szCs w:val="18"/>
              </w:rPr>
            </w:pPr>
            <w:r>
              <w:rPr>
                <w:sz w:val="18"/>
                <w:szCs w:val="18"/>
              </w:rPr>
              <w:t>0.08</w:t>
            </w:r>
          </w:p>
        </w:tc>
        <w:tc>
          <w:tcPr>
            <w:tcW w:w="469" w:type="pct"/>
            <w:shd w:val="clear" w:color="auto" w:fill="auto"/>
            <w:vAlign w:val="center"/>
          </w:tcPr>
          <w:p w14:paraId="57DC969E">
            <w:pPr>
              <w:adjustRightInd w:val="0"/>
              <w:snapToGrid w:val="0"/>
              <w:spacing w:line="240" w:lineRule="auto"/>
              <w:ind w:firstLine="0" w:firstLineChars="0"/>
              <w:jc w:val="center"/>
              <w:rPr>
                <w:sz w:val="18"/>
                <w:szCs w:val="18"/>
              </w:rPr>
            </w:pPr>
            <w:r>
              <w:rPr>
                <w:sz w:val="18"/>
                <w:szCs w:val="18"/>
              </w:rPr>
              <w:t>3.65</w:t>
            </w:r>
          </w:p>
        </w:tc>
        <w:tc>
          <w:tcPr>
            <w:tcW w:w="469" w:type="pct"/>
            <w:shd w:val="clear" w:color="auto" w:fill="auto"/>
            <w:vAlign w:val="center"/>
          </w:tcPr>
          <w:p w14:paraId="448B077C">
            <w:pPr>
              <w:adjustRightInd w:val="0"/>
              <w:snapToGrid w:val="0"/>
              <w:spacing w:line="240" w:lineRule="auto"/>
              <w:ind w:firstLine="0" w:firstLineChars="0"/>
              <w:jc w:val="center"/>
              <w:rPr>
                <w:sz w:val="18"/>
                <w:szCs w:val="18"/>
              </w:rPr>
            </w:pPr>
            <w:r>
              <w:rPr>
                <w:sz w:val="18"/>
                <w:szCs w:val="18"/>
              </w:rPr>
              <w:t>3.57</w:t>
            </w:r>
          </w:p>
        </w:tc>
        <w:tc>
          <w:tcPr>
            <w:tcW w:w="472" w:type="pct"/>
            <w:shd w:val="clear" w:color="auto" w:fill="auto"/>
            <w:vAlign w:val="center"/>
          </w:tcPr>
          <w:p w14:paraId="24AB02F4">
            <w:pPr>
              <w:adjustRightInd w:val="0"/>
              <w:snapToGrid w:val="0"/>
              <w:spacing w:line="240" w:lineRule="auto"/>
              <w:ind w:firstLine="0" w:firstLineChars="0"/>
              <w:jc w:val="center"/>
              <w:rPr>
                <w:sz w:val="18"/>
                <w:szCs w:val="18"/>
              </w:rPr>
            </w:pPr>
            <w:r>
              <w:rPr>
                <w:sz w:val="18"/>
                <w:szCs w:val="18"/>
              </w:rPr>
              <w:t>0.08</w:t>
            </w:r>
          </w:p>
        </w:tc>
        <w:tc>
          <w:tcPr>
            <w:tcW w:w="469" w:type="pct"/>
            <w:shd w:val="clear" w:color="auto" w:fill="auto"/>
            <w:vAlign w:val="center"/>
          </w:tcPr>
          <w:p w14:paraId="4F9D1B7D">
            <w:pPr>
              <w:adjustRightInd w:val="0"/>
              <w:snapToGrid w:val="0"/>
              <w:spacing w:line="240" w:lineRule="auto"/>
              <w:ind w:firstLine="0" w:firstLineChars="0"/>
              <w:jc w:val="center"/>
              <w:rPr>
                <w:sz w:val="18"/>
                <w:szCs w:val="18"/>
              </w:rPr>
            </w:pPr>
            <w:r>
              <w:rPr>
                <w:sz w:val="18"/>
                <w:szCs w:val="18"/>
              </w:rPr>
              <w:t>0.00</w:t>
            </w:r>
          </w:p>
        </w:tc>
        <w:tc>
          <w:tcPr>
            <w:tcW w:w="397" w:type="pct"/>
            <w:shd w:val="clear" w:color="auto" w:fill="auto"/>
            <w:noWrap/>
            <w:vAlign w:val="center"/>
          </w:tcPr>
          <w:p w14:paraId="593463E0">
            <w:pPr>
              <w:adjustRightInd w:val="0"/>
              <w:snapToGrid w:val="0"/>
              <w:spacing w:line="240" w:lineRule="auto"/>
              <w:ind w:firstLine="0" w:firstLineChars="0"/>
              <w:jc w:val="center"/>
              <w:rPr>
                <w:sz w:val="18"/>
                <w:szCs w:val="18"/>
              </w:rPr>
            </w:pPr>
          </w:p>
        </w:tc>
      </w:tr>
      <w:tr w14:paraId="36295E6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725A71AB">
            <w:pPr>
              <w:adjustRightInd w:val="0"/>
              <w:snapToGrid w:val="0"/>
              <w:spacing w:line="240" w:lineRule="auto"/>
              <w:ind w:firstLine="0" w:firstLineChars="0"/>
              <w:jc w:val="center"/>
              <w:rPr>
                <w:sz w:val="18"/>
                <w:szCs w:val="18"/>
              </w:rPr>
            </w:pPr>
          </w:p>
        </w:tc>
        <w:tc>
          <w:tcPr>
            <w:tcW w:w="1011" w:type="pct"/>
            <w:shd w:val="clear" w:color="auto" w:fill="auto"/>
            <w:vAlign w:val="center"/>
          </w:tcPr>
          <w:p w14:paraId="12C79FD7">
            <w:pPr>
              <w:adjustRightInd w:val="0"/>
              <w:snapToGrid w:val="0"/>
              <w:spacing w:line="240" w:lineRule="auto"/>
              <w:ind w:firstLine="0" w:firstLineChars="0"/>
              <w:jc w:val="center"/>
              <w:rPr>
                <w:sz w:val="18"/>
                <w:szCs w:val="18"/>
              </w:rPr>
            </w:pPr>
            <w:r>
              <w:rPr>
                <w:sz w:val="18"/>
                <w:szCs w:val="18"/>
              </w:rPr>
              <w:t>进站道路</w:t>
            </w:r>
          </w:p>
        </w:tc>
        <w:tc>
          <w:tcPr>
            <w:tcW w:w="469" w:type="pct"/>
            <w:shd w:val="clear" w:color="auto" w:fill="auto"/>
            <w:vAlign w:val="center"/>
          </w:tcPr>
          <w:p w14:paraId="0F4BB22E">
            <w:pPr>
              <w:adjustRightInd w:val="0"/>
              <w:snapToGrid w:val="0"/>
              <w:spacing w:line="240" w:lineRule="auto"/>
              <w:ind w:firstLine="0" w:firstLineChars="0"/>
              <w:jc w:val="center"/>
              <w:rPr>
                <w:sz w:val="18"/>
                <w:szCs w:val="18"/>
              </w:rPr>
            </w:pPr>
            <w:r>
              <w:rPr>
                <w:sz w:val="18"/>
                <w:szCs w:val="18"/>
              </w:rPr>
              <w:t>0.53</w:t>
            </w:r>
          </w:p>
        </w:tc>
        <w:tc>
          <w:tcPr>
            <w:tcW w:w="469" w:type="pct"/>
            <w:shd w:val="clear" w:color="auto" w:fill="auto"/>
            <w:vAlign w:val="center"/>
          </w:tcPr>
          <w:p w14:paraId="65FF5597">
            <w:pPr>
              <w:adjustRightInd w:val="0"/>
              <w:snapToGrid w:val="0"/>
              <w:spacing w:line="240" w:lineRule="auto"/>
              <w:ind w:firstLine="0" w:firstLineChars="0"/>
              <w:jc w:val="center"/>
              <w:rPr>
                <w:sz w:val="18"/>
                <w:szCs w:val="18"/>
              </w:rPr>
            </w:pPr>
            <w:r>
              <w:rPr>
                <w:sz w:val="18"/>
                <w:szCs w:val="18"/>
              </w:rPr>
              <w:t>0.50</w:t>
            </w:r>
          </w:p>
        </w:tc>
        <w:tc>
          <w:tcPr>
            <w:tcW w:w="472" w:type="pct"/>
            <w:shd w:val="clear" w:color="auto" w:fill="auto"/>
            <w:vAlign w:val="center"/>
          </w:tcPr>
          <w:p w14:paraId="0F837B9E">
            <w:pPr>
              <w:adjustRightInd w:val="0"/>
              <w:snapToGrid w:val="0"/>
              <w:spacing w:line="240" w:lineRule="auto"/>
              <w:ind w:firstLine="0" w:firstLineChars="0"/>
              <w:jc w:val="center"/>
              <w:rPr>
                <w:sz w:val="18"/>
                <w:szCs w:val="18"/>
              </w:rPr>
            </w:pPr>
            <w:r>
              <w:rPr>
                <w:sz w:val="18"/>
                <w:szCs w:val="18"/>
              </w:rPr>
              <w:t>0.03</w:t>
            </w:r>
          </w:p>
        </w:tc>
        <w:tc>
          <w:tcPr>
            <w:tcW w:w="469" w:type="pct"/>
            <w:shd w:val="clear" w:color="auto" w:fill="auto"/>
            <w:vAlign w:val="center"/>
          </w:tcPr>
          <w:p w14:paraId="422A163E">
            <w:pPr>
              <w:adjustRightInd w:val="0"/>
              <w:snapToGrid w:val="0"/>
              <w:spacing w:line="240" w:lineRule="auto"/>
              <w:ind w:firstLine="0" w:firstLineChars="0"/>
              <w:jc w:val="center"/>
              <w:rPr>
                <w:sz w:val="18"/>
                <w:szCs w:val="18"/>
              </w:rPr>
            </w:pPr>
            <w:r>
              <w:rPr>
                <w:sz w:val="18"/>
                <w:szCs w:val="18"/>
              </w:rPr>
              <w:t>0.53</w:t>
            </w:r>
          </w:p>
        </w:tc>
        <w:tc>
          <w:tcPr>
            <w:tcW w:w="469" w:type="pct"/>
            <w:shd w:val="clear" w:color="auto" w:fill="auto"/>
            <w:vAlign w:val="center"/>
          </w:tcPr>
          <w:p w14:paraId="63A42B0D">
            <w:pPr>
              <w:adjustRightInd w:val="0"/>
              <w:snapToGrid w:val="0"/>
              <w:spacing w:line="240" w:lineRule="auto"/>
              <w:ind w:firstLine="0" w:firstLineChars="0"/>
              <w:jc w:val="center"/>
              <w:rPr>
                <w:sz w:val="18"/>
                <w:szCs w:val="18"/>
              </w:rPr>
            </w:pPr>
            <w:r>
              <w:rPr>
                <w:sz w:val="18"/>
                <w:szCs w:val="18"/>
              </w:rPr>
              <w:t>0.50</w:t>
            </w:r>
          </w:p>
        </w:tc>
        <w:tc>
          <w:tcPr>
            <w:tcW w:w="472" w:type="pct"/>
            <w:shd w:val="clear" w:color="auto" w:fill="auto"/>
            <w:vAlign w:val="center"/>
          </w:tcPr>
          <w:p w14:paraId="2C148C75">
            <w:pPr>
              <w:adjustRightInd w:val="0"/>
              <w:snapToGrid w:val="0"/>
              <w:spacing w:line="240" w:lineRule="auto"/>
              <w:ind w:firstLine="0" w:firstLineChars="0"/>
              <w:jc w:val="center"/>
              <w:rPr>
                <w:sz w:val="18"/>
                <w:szCs w:val="18"/>
              </w:rPr>
            </w:pPr>
            <w:r>
              <w:rPr>
                <w:sz w:val="18"/>
                <w:szCs w:val="18"/>
              </w:rPr>
              <w:t>0.03</w:t>
            </w:r>
          </w:p>
        </w:tc>
        <w:tc>
          <w:tcPr>
            <w:tcW w:w="469" w:type="pct"/>
            <w:shd w:val="clear" w:color="auto" w:fill="auto"/>
            <w:vAlign w:val="center"/>
          </w:tcPr>
          <w:p w14:paraId="2B5D2C36">
            <w:pPr>
              <w:adjustRightInd w:val="0"/>
              <w:snapToGrid w:val="0"/>
              <w:spacing w:line="240" w:lineRule="auto"/>
              <w:ind w:firstLine="0" w:firstLineChars="0"/>
              <w:jc w:val="center"/>
              <w:rPr>
                <w:sz w:val="18"/>
                <w:szCs w:val="18"/>
              </w:rPr>
            </w:pPr>
            <w:r>
              <w:rPr>
                <w:sz w:val="18"/>
                <w:szCs w:val="18"/>
              </w:rPr>
              <w:t>0.00</w:t>
            </w:r>
          </w:p>
        </w:tc>
        <w:tc>
          <w:tcPr>
            <w:tcW w:w="397" w:type="pct"/>
            <w:shd w:val="clear" w:color="auto" w:fill="auto"/>
            <w:noWrap/>
            <w:vAlign w:val="center"/>
          </w:tcPr>
          <w:p w14:paraId="3075E6F0">
            <w:pPr>
              <w:adjustRightInd w:val="0"/>
              <w:snapToGrid w:val="0"/>
              <w:spacing w:line="240" w:lineRule="auto"/>
              <w:ind w:firstLine="0" w:firstLineChars="0"/>
              <w:jc w:val="center"/>
              <w:rPr>
                <w:sz w:val="18"/>
                <w:szCs w:val="18"/>
              </w:rPr>
            </w:pPr>
          </w:p>
        </w:tc>
      </w:tr>
      <w:tr w14:paraId="2F9183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6C18623F">
            <w:pPr>
              <w:adjustRightInd w:val="0"/>
              <w:snapToGrid w:val="0"/>
              <w:spacing w:line="240" w:lineRule="auto"/>
              <w:ind w:firstLine="0" w:firstLineChars="0"/>
              <w:jc w:val="center"/>
              <w:rPr>
                <w:sz w:val="18"/>
                <w:szCs w:val="18"/>
              </w:rPr>
            </w:pPr>
          </w:p>
        </w:tc>
        <w:tc>
          <w:tcPr>
            <w:tcW w:w="1011" w:type="pct"/>
            <w:shd w:val="clear" w:color="auto" w:fill="auto"/>
            <w:vAlign w:val="center"/>
          </w:tcPr>
          <w:p w14:paraId="7E7E053E">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439C0D31">
            <w:pPr>
              <w:adjustRightInd w:val="0"/>
              <w:snapToGrid w:val="0"/>
              <w:spacing w:line="240" w:lineRule="auto"/>
              <w:ind w:firstLine="0" w:firstLineChars="0"/>
              <w:jc w:val="center"/>
              <w:rPr>
                <w:sz w:val="18"/>
                <w:szCs w:val="18"/>
              </w:rPr>
            </w:pPr>
            <w:r>
              <w:rPr>
                <w:sz w:val="18"/>
                <w:szCs w:val="18"/>
              </w:rPr>
              <w:t>4.18</w:t>
            </w:r>
          </w:p>
        </w:tc>
        <w:tc>
          <w:tcPr>
            <w:tcW w:w="469" w:type="pct"/>
            <w:shd w:val="clear" w:color="auto" w:fill="auto"/>
            <w:vAlign w:val="center"/>
          </w:tcPr>
          <w:p w14:paraId="54B2D968">
            <w:pPr>
              <w:adjustRightInd w:val="0"/>
              <w:snapToGrid w:val="0"/>
              <w:spacing w:line="240" w:lineRule="auto"/>
              <w:ind w:firstLine="0" w:firstLineChars="0"/>
              <w:jc w:val="center"/>
              <w:rPr>
                <w:sz w:val="18"/>
                <w:szCs w:val="18"/>
              </w:rPr>
            </w:pPr>
            <w:r>
              <w:rPr>
                <w:sz w:val="18"/>
                <w:szCs w:val="18"/>
              </w:rPr>
              <w:t>4.07</w:t>
            </w:r>
          </w:p>
        </w:tc>
        <w:tc>
          <w:tcPr>
            <w:tcW w:w="472" w:type="pct"/>
            <w:shd w:val="clear" w:color="auto" w:fill="auto"/>
            <w:vAlign w:val="center"/>
          </w:tcPr>
          <w:p w14:paraId="6C4B44FE">
            <w:pPr>
              <w:adjustRightInd w:val="0"/>
              <w:snapToGrid w:val="0"/>
              <w:spacing w:line="240" w:lineRule="auto"/>
              <w:ind w:firstLine="0" w:firstLineChars="0"/>
              <w:jc w:val="center"/>
              <w:rPr>
                <w:sz w:val="18"/>
                <w:szCs w:val="18"/>
              </w:rPr>
            </w:pPr>
            <w:r>
              <w:rPr>
                <w:sz w:val="18"/>
                <w:szCs w:val="18"/>
              </w:rPr>
              <w:t>0.11</w:t>
            </w:r>
          </w:p>
        </w:tc>
        <w:tc>
          <w:tcPr>
            <w:tcW w:w="469" w:type="pct"/>
            <w:shd w:val="clear" w:color="auto" w:fill="auto"/>
            <w:vAlign w:val="center"/>
          </w:tcPr>
          <w:p w14:paraId="1EA2B8CA">
            <w:pPr>
              <w:adjustRightInd w:val="0"/>
              <w:snapToGrid w:val="0"/>
              <w:spacing w:line="240" w:lineRule="auto"/>
              <w:ind w:firstLine="0" w:firstLineChars="0"/>
              <w:jc w:val="center"/>
              <w:rPr>
                <w:sz w:val="18"/>
                <w:szCs w:val="18"/>
              </w:rPr>
            </w:pPr>
            <w:r>
              <w:rPr>
                <w:sz w:val="18"/>
                <w:szCs w:val="18"/>
              </w:rPr>
              <w:t>4.18</w:t>
            </w:r>
          </w:p>
        </w:tc>
        <w:tc>
          <w:tcPr>
            <w:tcW w:w="469" w:type="pct"/>
            <w:shd w:val="clear" w:color="auto" w:fill="auto"/>
            <w:vAlign w:val="center"/>
          </w:tcPr>
          <w:p w14:paraId="6397E23D">
            <w:pPr>
              <w:adjustRightInd w:val="0"/>
              <w:snapToGrid w:val="0"/>
              <w:spacing w:line="240" w:lineRule="auto"/>
              <w:ind w:firstLine="0" w:firstLineChars="0"/>
              <w:jc w:val="center"/>
              <w:rPr>
                <w:sz w:val="18"/>
                <w:szCs w:val="18"/>
              </w:rPr>
            </w:pPr>
            <w:r>
              <w:rPr>
                <w:sz w:val="18"/>
                <w:szCs w:val="18"/>
              </w:rPr>
              <w:t>4.07</w:t>
            </w:r>
          </w:p>
        </w:tc>
        <w:tc>
          <w:tcPr>
            <w:tcW w:w="472" w:type="pct"/>
            <w:shd w:val="clear" w:color="auto" w:fill="auto"/>
            <w:vAlign w:val="center"/>
          </w:tcPr>
          <w:p w14:paraId="54CF3B97">
            <w:pPr>
              <w:adjustRightInd w:val="0"/>
              <w:snapToGrid w:val="0"/>
              <w:spacing w:line="240" w:lineRule="auto"/>
              <w:ind w:firstLine="0" w:firstLineChars="0"/>
              <w:jc w:val="center"/>
              <w:rPr>
                <w:sz w:val="18"/>
                <w:szCs w:val="18"/>
              </w:rPr>
            </w:pPr>
            <w:r>
              <w:rPr>
                <w:sz w:val="18"/>
                <w:szCs w:val="18"/>
              </w:rPr>
              <w:t>0.11</w:t>
            </w:r>
          </w:p>
        </w:tc>
        <w:tc>
          <w:tcPr>
            <w:tcW w:w="469" w:type="pct"/>
            <w:shd w:val="clear" w:color="auto" w:fill="auto"/>
            <w:vAlign w:val="center"/>
          </w:tcPr>
          <w:p w14:paraId="2D2DEC3E">
            <w:pPr>
              <w:adjustRightInd w:val="0"/>
              <w:snapToGrid w:val="0"/>
              <w:spacing w:line="240" w:lineRule="auto"/>
              <w:ind w:firstLine="0" w:firstLineChars="0"/>
              <w:jc w:val="center"/>
              <w:rPr>
                <w:sz w:val="18"/>
                <w:szCs w:val="18"/>
              </w:rPr>
            </w:pPr>
            <w:r>
              <w:rPr>
                <w:sz w:val="18"/>
                <w:szCs w:val="18"/>
              </w:rPr>
              <w:t>0.00</w:t>
            </w:r>
          </w:p>
        </w:tc>
        <w:tc>
          <w:tcPr>
            <w:tcW w:w="397" w:type="pct"/>
            <w:shd w:val="clear" w:color="auto" w:fill="auto"/>
            <w:noWrap/>
            <w:vAlign w:val="center"/>
          </w:tcPr>
          <w:p w14:paraId="55CCDEF0">
            <w:pPr>
              <w:adjustRightInd w:val="0"/>
              <w:snapToGrid w:val="0"/>
              <w:spacing w:line="240" w:lineRule="auto"/>
              <w:ind w:firstLine="0" w:firstLineChars="0"/>
              <w:jc w:val="center"/>
              <w:rPr>
                <w:sz w:val="18"/>
                <w:szCs w:val="18"/>
              </w:rPr>
            </w:pPr>
          </w:p>
        </w:tc>
      </w:tr>
      <w:tr w14:paraId="6D05BF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7C7E82F8">
            <w:pPr>
              <w:adjustRightInd w:val="0"/>
              <w:snapToGrid w:val="0"/>
              <w:spacing w:line="240" w:lineRule="auto"/>
              <w:ind w:firstLine="0" w:firstLineChars="0"/>
              <w:jc w:val="center"/>
              <w:rPr>
                <w:sz w:val="18"/>
                <w:szCs w:val="18"/>
              </w:rPr>
            </w:pPr>
            <w:r>
              <w:rPr>
                <w:sz w:val="18"/>
                <w:szCs w:val="18"/>
              </w:rPr>
              <w:t>6</w:t>
            </w:r>
          </w:p>
        </w:tc>
        <w:tc>
          <w:tcPr>
            <w:tcW w:w="1011" w:type="pct"/>
            <w:shd w:val="clear" w:color="auto" w:fill="auto"/>
            <w:vAlign w:val="center"/>
          </w:tcPr>
          <w:p w14:paraId="1C735191">
            <w:pPr>
              <w:adjustRightInd w:val="0"/>
              <w:snapToGrid w:val="0"/>
              <w:spacing w:line="240" w:lineRule="auto"/>
              <w:ind w:firstLine="0" w:firstLineChars="0"/>
              <w:jc w:val="center"/>
              <w:rPr>
                <w:sz w:val="18"/>
                <w:szCs w:val="18"/>
              </w:rPr>
            </w:pPr>
            <w:r>
              <w:rPr>
                <w:sz w:val="18"/>
                <w:szCs w:val="18"/>
              </w:rPr>
              <w:t>Z7-6#风机道路（2.88）</w:t>
            </w:r>
          </w:p>
        </w:tc>
        <w:tc>
          <w:tcPr>
            <w:tcW w:w="469" w:type="pct"/>
            <w:shd w:val="clear" w:color="auto" w:fill="auto"/>
            <w:vAlign w:val="center"/>
          </w:tcPr>
          <w:p w14:paraId="0F0CE9B1">
            <w:pPr>
              <w:adjustRightInd w:val="0"/>
              <w:snapToGrid w:val="0"/>
              <w:spacing w:line="240" w:lineRule="auto"/>
              <w:ind w:firstLine="0" w:firstLineChars="0"/>
              <w:jc w:val="center"/>
              <w:rPr>
                <w:sz w:val="18"/>
                <w:szCs w:val="18"/>
              </w:rPr>
            </w:pPr>
            <w:r>
              <w:rPr>
                <w:sz w:val="18"/>
                <w:szCs w:val="18"/>
              </w:rPr>
              <w:t>10.08</w:t>
            </w:r>
          </w:p>
        </w:tc>
        <w:tc>
          <w:tcPr>
            <w:tcW w:w="469" w:type="pct"/>
            <w:shd w:val="clear" w:color="auto" w:fill="auto"/>
            <w:vAlign w:val="center"/>
          </w:tcPr>
          <w:p w14:paraId="7D6DDFBF">
            <w:pPr>
              <w:adjustRightInd w:val="0"/>
              <w:snapToGrid w:val="0"/>
              <w:spacing w:line="240" w:lineRule="auto"/>
              <w:ind w:firstLine="0" w:firstLineChars="0"/>
              <w:jc w:val="center"/>
              <w:rPr>
                <w:sz w:val="18"/>
                <w:szCs w:val="18"/>
              </w:rPr>
            </w:pPr>
            <w:r>
              <w:rPr>
                <w:sz w:val="18"/>
                <w:szCs w:val="18"/>
              </w:rPr>
              <w:t>9.50</w:t>
            </w:r>
          </w:p>
        </w:tc>
        <w:tc>
          <w:tcPr>
            <w:tcW w:w="472" w:type="pct"/>
            <w:shd w:val="clear" w:color="auto" w:fill="auto"/>
            <w:vAlign w:val="center"/>
          </w:tcPr>
          <w:p w14:paraId="7B2DA848">
            <w:pPr>
              <w:adjustRightInd w:val="0"/>
              <w:snapToGrid w:val="0"/>
              <w:spacing w:line="240" w:lineRule="auto"/>
              <w:ind w:firstLine="0" w:firstLineChars="0"/>
              <w:jc w:val="center"/>
              <w:rPr>
                <w:sz w:val="18"/>
                <w:szCs w:val="18"/>
              </w:rPr>
            </w:pPr>
            <w:r>
              <w:rPr>
                <w:sz w:val="18"/>
                <w:szCs w:val="18"/>
              </w:rPr>
              <w:t>0.58</w:t>
            </w:r>
          </w:p>
        </w:tc>
        <w:tc>
          <w:tcPr>
            <w:tcW w:w="469" w:type="pct"/>
            <w:shd w:val="clear" w:color="auto" w:fill="auto"/>
            <w:vAlign w:val="center"/>
          </w:tcPr>
          <w:p w14:paraId="219DC2C7">
            <w:pPr>
              <w:adjustRightInd w:val="0"/>
              <w:snapToGrid w:val="0"/>
              <w:spacing w:line="240" w:lineRule="auto"/>
              <w:ind w:firstLine="0" w:firstLineChars="0"/>
              <w:jc w:val="center"/>
              <w:rPr>
                <w:sz w:val="18"/>
                <w:szCs w:val="18"/>
              </w:rPr>
            </w:pPr>
            <w:r>
              <w:rPr>
                <w:sz w:val="18"/>
                <w:szCs w:val="18"/>
              </w:rPr>
              <w:t>8.06</w:t>
            </w:r>
          </w:p>
        </w:tc>
        <w:tc>
          <w:tcPr>
            <w:tcW w:w="469" w:type="pct"/>
            <w:shd w:val="clear" w:color="auto" w:fill="auto"/>
            <w:vAlign w:val="center"/>
          </w:tcPr>
          <w:p w14:paraId="3C460012">
            <w:pPr>
              <w:adjustRightInd w:val="0"/>
              <w:snapToGrid w:val="0"/>
              <w:spacing w:line="240" w:lineRule="auto"/>
              <w:ind w:firstLine="0" w:firstLineChars="0"/>
              <w:jc w:val="center"/>
              <w:rPr>
                <w:sz w:val="18"/>
                <w:szCs w:val="18"/>
              </w:rPr>
            </w:pPr>
            <w:r>
              <w:rPr>
                <w:sz w:val="18"/>
                <w:szCs w:val="18"/>
              </w:rPr>
              <w:t>7.49</w:t>
            </w:r>
          </w:p>
        </w:tc>
        <w:tc>
          <w:tcPr>
            <w:tcW w:w="472" w:type="pct"/>
            <w:shd w:val="clear" w:color="auto" w:fill="auto"/>
            <w:vAlign w:val="center"/>
          </w:tcPr>
          <w:p w14:paraId="647D79B8">
            <w:pPr>
              <w:adjustRightInd w:val="0"/>
              <w:snapToGrid w:val="0"/>
              <w:spacing w:line="240" w:lineRule="auto"/>
              <w:ind w:firstLine="0" w:firstLineChars="0"/>
              <w:jc w:val="center"/>
              <w:rPr>
                <w:sz w:val="18"/>
                <w:szCs w:val="18"/>
              </w:rPr>
            </w:pPr>
            <w:r>
              <w:rPr>
                <w:sz w:val="18"/>
                <w:szCs w:val="18"/>
              </w:rPr>
              <w:t>0.58</w:t>
            </w:r>
          </w:p>
        </w:tc>
        <w:tc>
          <w:tcPr>
            <w:tcW w:w="469" w:type="pct"/>
            <w:shd w:val="clear" w:color="auto" w:fill="auto"/>
            <w:vAlign w:val="center"/>
          </w:tcPr>
          <w:p w14:paraId="3CB3771D">
            <w:pPr>
              <w:adjustRightInd w:val="0"/>
              <w:snapToGrid w:val="0"/>
              <w:spacing w:line="240" w:lineRule="auto"/>
              <w:ind w:firstLine="0" w:firstLineChars="0"/>
              <w:jc w:val="center"/>
              <w:rPr>
                <w:sz w:val="18"/>
                <w:szCs w:val="18"/>
              </w:rPr>
            </w:pPr>
            <w:r>
              <w:rPr>
                <w:sz w:val="18"/>
                <w:szCs w:val="18"/>
              </w:rPr>
              <w:t>2.02</w:t>
            </w:r>
          </w:p>
        </w:tc>
        <w:tc>
          <w:tcPr>
            <w:tcW w:w="397" w:type="pct"/>
            <w:vMerge w:val="restart"/>
            <w:shd w:val="clear" w:color="auto" w:fill="auto"/>
            <w:noWrap/>
            <w:vAlign w:val="center"/>
          </w:tcPr>
          <w:p w14:paraId="4BED6342">
            <w:pPr>
              <w:adjustRightInd w:val="0"/>
              <w:snapToGrid w:val="0"/>
              <w:spacing w:line="240" w:lineRule="auto"/>
              <w:ind w:firstLine="0" w:firstLineChars="0"/>
              <w:jc w:val="center"/>
              <w:rPr>
                <w:sz w:val="18"/>
                <w:szCs w:val="18"/>
              </w:rPr>
            </w:pPr>
            <w:r>
              <w:rPr>
                <w:sz w:val="18"/>
                <w:szCs w:val="18"/>
              </w:rPr>
              <w:t>Z7</w:t>
            </w:r>
          </w:p>
        </w:tc>
      </w:tr>
      <w:tr w14:paraId="3449315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107D7603">
            <w:pPr>
              <w:adjustRightInd w:val="0"/>
              <w:snapToGrid w:val="0"/>
              <w:spacing w:line="240" w:lineRule="auto"/>
              <w:ind w:firstLine="0" w:firstLineChars="0"/>
              <w:jc w:val="center"/>
              <w:rPr>
                <w:sz w:val="18"/>
                <w:szCs w:val="18"/>
              </w:rPr>
            </w:pPr>
          </w:p>
        </w:tc>
        <w:tc>
          <w:tcPr>
            <w:tcW w:w="1011" w:type="pct"/>
            <w:shd w:val="clear" w:color="auto" w:fill="auto"/>
            <w:vAlign w:val="center"/>
          </w:tcPr>
          <w:p w14:paraId="38251341">
            <w:pPr>
              <w:adjustRightInd w:val="0"/>
              <w:snapToGrid w:val="0"/>
              <w:spacing w:line="240" w:lineRule="auto"/>
              <w:ind w:firstLine="0" w:firstLineChars="0"/>
              <w:jc w:val="center"/>
              <w:rPr>
                <w:sz w:val="18"/>
                <w:szCs w:val="18"/>
              </w:rPr>
            </w:pPr>
            <w:r>
              <w:rPr>
                <w:sz w:val="18"/>
                <w:szCs w:val="18"/>
              </w:rPr>
              <w:t>6#风机平台</w:t>
            </w:r>
          </w:p>
        </w:tc>
        <w:tc>
          <w:tcPr>
            <w:tcW w:w="469" w:type="pct"/>
            <w:shd w:val="clear" w:color="auto" w:fill="auto"/>
            <w:vAlign w:val="center"/>
          </w:tcPr>
          <w:p w14:paraId="01606701">
            <w:pPr>
              <w:adjustRightInd w:val="0"/>
              <w:snapToGrid w:val="0"/>
              <w:spacing w:line="240" w:lineRule="auto"/>
              <w:ind w:firstLine="0" w:firstLineChars="0"/>
              <w:jc w:val="center"/>
              <w:rPr>
                <w:sz w:val="18"/>
                <w:szCs w:val="18"/>
              </w:rPr>
            </w:pPr>
            <w:r>
              <w:rPr>
                <w:sz w:val="18"/>
                <w:szCs w:val="18"/>
              </w:rPr>
              <w:t>2.40</w:t>
            </w:r>
          </w:p>
        </w:tc>
        <w:tc>
          <w:tcPr>
            <w:tcW w:w="469" w:type="pct"/>
            <w:shd w:val="clear" w:color="auto" w:fill="auto"/>
            <w:vAlign w:val="center"/>
          </w:tcPr>
          <w:p w14:paraId="6A5C424A">
            <w:pPr>
              <w:adjustRightInd w:val="0"/>
              <w:snapToGrid w:val="0"/>
              <w:spacing w:line="240" w:lineRule="auto"/>
              <w:ind w:firstLine="0" w:firstLineChars="0"/>
              <w:jc w:val="center"/>
              <w:rPr>
                <w:sz w:val="18"/>
                <w:szCs w:val="18"/>
              </w:rPr>
            </w:pPr>
            <w:r>
              <w:rPr>
                <w:sz w:val="18"/>
                <w:szCs w:val="18"/>
              </w:rPr>
              <w:t>2.33</w:t>
            </w:r>
          </w:p>
        </w:tc>
        <w:tc>
          <w:tcPr>
            <w:tcW w:w="472" w:type="pct"/>
            <w:shd w:val="clear" w:color="auto" w:fill="auto"/>
            <w:vAlign w:val="center"/>
          </w:tcPr>
          <w:p w14:paraId="7068022C">
            <w:pPr>
              <w:adjustRightInd w:val="0"/>
              <w:snapToGrid w:val="0"/>
              <w:spacing w:line="240" w:lineRule="auto"/>
              <w:ind w:firstLine="0" w:firstLineChars="0"/>
              <w:jc w:val="center"/>
              <w:rPr>
                <w:sz w:val="18"/>
                <w:szCs w:val="18"/>
              </w:rPr>
            </w:pPr>
            <w:r>
              <w:rPr>
                <w:sz w:val="18"/>
                <w:szCs w:val="18"/>
              </w:rPr>
              <w:t>0.07</w:t>
            </w:r>
          </w:p>
        </w:tc>
        <w:tc>
          <w:tcPr>
            <w:tcW w:w="469" w:type="pct"/>
            <w:shd w:val="clear" w:color="auto" w:fill="auto"/>
            <w:vAlign w:val="center"/>
          </w:tcPr>
          <w:p w14:paraId="61284FDD">
            <w:pPr>
              <w:adjustRightInd w:val="0"/>
              <w:snapToGrid w:val="0"/>
              <w:spacing w:line="240" w:lineRule="auto"/>
              <w:ind w:firstLine="0" w:firstLineChars="0"/>
              <w:jc w:val="center"/>
              <w:rPr>
                <w:sz w:val="18"/>
                <w:szCs w:val="18"/>
              </w:rPr>
            </w:pPr>
            <w:r>
              <w:rPr>
                <w:sz w:val="18"/>
                <w:szCs w:val="18"/>
              </w:rPr>
              <w:t>1.88</w:t>
            </w:r>
          </w:p>
        </w:tc>
        <w:tc>
          <w:tcPr>
            <w:tcW w:w="469" w:type="pct"/>
            <w:shd w:val="clear" w:color="auto" w:fill="auto"/>
            <w:vAlign w:val="center"/>
          </w:tcPr>
          <w:p w14:paraId="628CB11E">
            <w:pPr>
              <w:adjustRightInd w:val="0"/>
              <w:snapToGrid w:val="0"/>
              <w:spacing w:line="240" w:lineRule="auto"/>
              <w:ind w:firstLine="0" w:firstLineChars="0"/>
              <w:jc w:val="center"/>
              <w:rPr>
                <w:sz w:val="18"/>
                <w:szCs w:val="18"/>
              </w:rPr>
            </w:pPr>
            <w:r>
              <w:rPr>
                <w:sz w:val="18"/>
                <w:szCs w:val="18"/>
              </w:rPr>
              <w:t>1.81</w:t>
            </w:r>
          </w:p>
        </w:tc>
        <w:tc>
          <w:tcPr>
            <w:tcW w:w="472" w:type="pct"/>
            <w:shd w:val="clear" w:color="auto" w:fill="auto"/>
            <w:vAlign w:val="center"/>
          </w:tcPr>
          <w:p w14:paraId="4A73B1F3">
            <w:pPr>
              <w:adjustRightInd w:val="0"/>
              <w:snapToGrid w:val="0"/>
              <w:spacing w:line="240" w:lineRule="auto"/>
              <w:ind w:firstLine="0" w:firstLineChars="0"/>
              <w:jc w:val="center"/>
              <w:rPr>
                <w:sz w:val="18"/>
                <w:szCs w:val="18"/>
              </w:rPr>
            </w:pPr>
            <w:r>
              <w:rPr>
                <w:sz w:val="18"/>
                <w:szCs w:val="18"/>
              </w:rPr>
              <w:t>0.07</w:t>
            </w:r>
          </w:p>
        </w:tc>
        <w:tc>
          <w:tcPr>
            <w:tcW w:w="469" w:type="pct"/>
            <w:shd w:val="clear" w:color="auto" w:fill="auto"/>
            <w:vAlign w:val="center"/>
          </w:tcPr>
          <w:p w14:paraId="537EA040">
            <w:pPr>
              <w:adjustRightInd w:val="0"/>
              <w:snapToGrid w:val="0"/>
              <w:spacing w:line="240" w:lineRule="auto"/>
              <w:ind w:firstLine="0" w:firstLineChars="0"/>
              <w:jc w:val="center"/>
              <w:rPr>
                <w:sz w:val="18"/>
                <w:szCs w:val="18"/>
              </w:rPr>
            </w:pPr>
            <w:r>
              <w:rPr>
                <w:sz w:val="18"/>
                <w:szCs w:val="18"/>
              </w:rPr>
              <w:t>0.52</w:t>
            </w:r>
          </w:p>
        </w:tc>
        <w:tc>
          <w:tcPr>
            <w:tcW w:w="397" w:type="pct"/>
            <w:vMerge w:val="continue"/>
            <w:shd w:val="clear" w:color="auto" w:fill="auto"/>
            <w:noWrap/>
            <w:vAlign w:val="center"/>
          </w:tcPr>
          <w:p w14:paraId="3BD6A372">
            <w:pPr>
              <w:adjustRightInd w:val="0"/>
              <w:snapToGrid w:val="0"/>
              <w:spacing w:line="240" w:lineRule="auto"/>
              <w:ind w:firstLine="0" w:firstLineChars="0"/>
              <w:jc w:val="center"/>
              <w:rPr>
                <w:sz w:val="18"/>
                <w:szCs w:val="18"/>
              </w:rPr>
            </w:pPr>
          </w:p>
        </w:tc>
      </w:tr>
      <w:tr w14:paraId="7A97C3D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76F6CA24">
            <w:pPr>
              <w:adjustRightInd w:val="0"/>
              <w:snapToGrid w:val="0"/>
              <w:spacing w:line="240" w:lineRule="auto"/>
              <w:ind w:firstLine="0" w:firstLineChars="0"/>
              <w:jc w:val="center"/>
              <w:rPr>
                <w:sz w:val="18"/>
                <w:szCs w:val="18"/>
              </w:rPr>
            </w:pPr>
          </w:p>
        </w:tc>
        <w:tc>
          <w:tcPr>
            <w:tcW w:w="1011" w:type="pct"/>
            <w:shd w:val="clear" w:color="auto" w:fill="auto"/>
            <w:vAlign w:val="center"/>
          </w:tcPr>
          <w:p w14:paraId="74B5CAB9">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7D2F20F3">
            <w:pPr>
              <w:adjustRightInd w:val="0"/>
              <w:snapToGrid w:val="0"/>
              <w:spacing w:line="240" w:lineRule="auto"/>
              <w:ind w:firstLine="0" w:firstLineChars="0"/>
              <w:jc w:val="center"/>
              <w:rPr>
                <w:sz w:val="18"/>
                <w:szCs w:val="18"/>
              </w:rPr>
            </w:pPr>
            <w:r>
              <w:rPr>
                <w:sz w:val="18"/>
                <w:szCs w:val="18"/>
              </w:rPr>
              <w:t>12.48</w:t>
            </w:r>
          </w:p>
        </w:tc>
        <w:tc>
          <w:tcPr>
            <w:tcW w:w="469" w:type="pct"/>
            <w:shd w:val="clear" w:color="auto" w:fill="auto"/>
            <w:vAlign w:val="center"/>
          </w:tcPr>
          <w:p w14:paraId="14101353">
            <w:pPr>
              <w:adjustRightInd w:val="0"/>
              <w:snapToGrid w:val="0"/>
              <w:spacing w:line="240" w:lineRule="auto"/>
              <w:ind w:firstLine="0" w:firstLineChars="0"/>
              <w:jc w:val="center"/>
              <w:rPr>
                <w:sz w:val="18"/>
                <w:szCs w:val="18"/>
              </w:rPr>
            </w:pPr>
            <w:r>
              <w:rPr>
                <w:sz w:val="18"/>
                <w:szCs w:val="18"/>
              </w:rPr>
              <w:t>11.83</w:t>
            </w:r>
          </w:p>
        </w:tc>
        <w:tc>
          <w:tcPr>
            <w:tcW w:w="472" w:type="pct"/>
            <w:shd w:val="clear" w:color="auto" w:fill="auto"/>
            <w:vAlign w:val="center"/>
          </w:tcPr>
          <w:p w14:paraId="47C2132B">
            <w:pPr>
              <w:adjustRightInd w:val="0"/>
              <w:snapToGrid w:val="0"/>
              <w:spacing w:line="240" w:lineRule="auto"/>
              <w:ind w:firstLine="0" w:firstLineChars="0"/>
              <w:jc w:val="center"/>
              <w:rPr>
                <w:sz w:val="18"/>
                <w:szCs w:val="18"/>
              </w:rPr>
            </w:pPr>
            <w:r>
              <w:rPr>
                <w:sz w:val="18"/>
                <w:szCs w:val="18"/>
              </w:rPr>
              <w:t>0.65</w:t>
            </w:r>
          </w:p>
        </w:tc>
        <w:tc>
          <w:tcPr>
            <w:tcW w:w="469" w:type="pct"/>
            <w:shd w:val="clear" w:color="auto" w:fill="auto"/>
            <w:vAlign w:val="center"/>
          </w:tcPr>
          <w:p w14:paraId="7B66456A">
            <w:pPr>
              <w:adjustRightInd w:val="0"/>
              <w:snapToGrid w:val="0"/>
              <w:spacing w:line="240" w:lineRule="auto"/>
              <w:ind w:firstLine="0" w:firstLineChars="0"/>
              <w:jc w:val="center"/>
              <w:rPr>
                <w:sz w:val="18"/>
                <w:szCs w:val="18"/>
              </w:rPr>
            </w:pPr>
            <w:r>
              <w:rPr>
                <w:sz w:val="18"/>
                <w:szCs w:val="18"/>
              </w:rPr>
              <w:t>9.94</w:t>
            </w:r>
          </w:p>
        </w:tc>
        <w:tc>
          <w:tcPr>
            <w:tcW w:w="469" w:type="pct"/>
            <w:shd w:val="clear" w:color="auto" w:fill="auto"/>
            <w:vAlign w:val="center"/>
          </w:tcPr>
          <w:p w14:paraId="1D81E9D2">
            <w:pPr>
              <w:adjustRightInd w:val="0"/>
              <w:snapToGrid w:val="0"/>
              <w:spacing w:line="240" w:lineRule="auto"/>
              <w:ind w:firstLine="0" w:firstLineChars="0"/>
              <w:jc w:val="center"/>
              <w:rPr>
                <w:sz w:val="18"/>
                <w:szCs w:val="18"/>
              </w:rPr>
            </w:pPr>
            <w:r>
              <w:rPr>
                <w:sz w:val="18"/>
                <w:szCs w:val="18"/>
              </w:rPr>
              <w:t>9.30</w:t>
            </w:r>
          </w:p>
        </w:tc>
        <w:tc>
          <w:tcPr>
            <w:tcW w:w="472" w:type="pct"/>
            <w:shd w:val="clear" w:color="auto" w:fill="auto"/>
            <w:vAlign w:val="center"/>
          </w:tcPr>
          <w:p w14:paraId="1BF3EFF0">
            <w:pPr>
              <w:adjustRightInd w:val="0"/>
              <w:snapToGrid w:val="0"/>
              <w:spacing w:line="240" w:lineRule="auto"/>
              <w:ind w:firstLine="0" w:firstLineChars="0"/>
              <w:jc w:val="center"/>
              <w:rPr>
                <w:sz w:val="18"/>
                <w:szCs w:val="18"/>
              </w:rPr>
            </w:pPr>
            <w:r>
              <w:rPr>
                <w:sz w:val="18"/>
                <w:szCs w:val="18"/>
              </w:rPr>
              <w:t>0.65</w:t>
            </w:r>
          </w:p>
        </w:tc>
        <w:tc>
          <w:tcPr>
            <w:tcW w:w="469" w:type="pct"/>
            <w:shd w:val="clear" w:color="auto" w:fill="auto"/>
            <w:vAlign w:val="center"/>
          </w:tcPr>
          <w:p w14:paraId="78488B13">
            <w:pPr>
              <w:adjustRightInd w:val="0"/>
              <w:snapToGrid w:val="0"/>
              <w:spacing w:line="240" w:lineRule="auto"/>
              <w:ind w:firstLine="0" w:firstLineChars="0"/>
              <w:jc w:val="center"/>
              <w:rPr>
                <w:sz w:val="18"/>
                <w:szCs w:val="18"/>
              </w:rPr>
            </w:pPr>
            <w:r>
              <w:rPr>
                <w:sz w:val="18"/>
                <w:szCs w:val="18"/>
              </w:rPr>
              <w:t>2.54</w:t>
            </w:r>
          </w:p>
        </w:tc>
        <w:tc>
          <w:tcPr>
            <w:tcW w:w="397" w:type="pct"/>
            <w:vMerge w:val="continue"/>
            <w:shd w:val="clear" w:color="auto" w:fill="auto"/>
            <w:noWrap/>
            <w:vAlign w:val="center"/>
          </w:tcPr>
          <w:p w14:paraId="120C3D49">
            <w:pPr>
              <w:adjustRightInd w:val="0"/>
              <w:snapToGrid w:val="0"/>
              <w:spacing w:line="240" w:lineRule="auto"/>
              <w:ind w:firstLine="0" w:firstLineChars="0"/>
              <w:jc w:val="center"/>
              <w:rPr>
                <w:sz w:val="18"/>
                <w:szCs w:val="18"/>
              </w:rPr>
            </w:pPr>
          </w:p>
        </w:tc>
      </w:tr>
      <w:tr w14:paraId="6089307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restart"/>
            <w:shd w:val="clear" w:color="auto" w:fill="auto"/>
            <w:vAlign w:val="center"/>
          </w:tcPr>
          <w:p w14:paraId="2B417417">
            <w:pPr>
              <w:adjustRightInd w:val="0"/>
              <w:snapToGrid w:val="0"/>
              <w:spacing w:line="240" w:lineRule="auto"/>
              <w:ind w:firstLine="0" w:firstLineChars="0"/>
              <w:jc w:val="center"/>
              <w:rPr>
                <w:sz w:val="18"/>
                <w:szCs w:val="18"/>
              </w:rPr>
            </w:pPr>
            <w:r>
              <w:rPr>
                <w:sz w:val="18"/>
                <w:szCs w:val="18"/>
              </w:rPr>
              <w:t>7</w:t>
            </w:r>
          </w:p>
        </w:tc>
        <w:tc>
          <w:tcPr>
            <w:tcW w:w="1011" w:type="pct"/>
            <w:shd w:val="clear" w:color="auto" w:fill="auto"/>
            <w:vAlign w:val="center"/>
          </w:tcPr>
          <w:p w14:paraId="090F4D6E">
            <w:pPr>
              <w:adjustRightInd w:val="0"/>
              <w:snapToGrid w:val="0"/>
              <w:spacing w:line="240" w:lineRule="auto"/>
              <w:ind w:firstLine="0" w:firstLineChars="0"/>
              <w:jc w:val="center"/>
              <w:rPr>
                <w:sz w:val="18"/>
                <w:szCs w:val="18"/>
              </w:rPr>
            </w:pPr>
            <w:r>
              <w:rPr>
                <w:sz w:val="18"/>
                <w:szCs w:val="18"/>
              </w:rPr>
              <w:t>Z8-8#风机道路（2.26）</w:t>
            </w:r>
          </w:p>
        </w:tc>
        <w:tc>
          <w:tcPr>
            <w:tcW w:w="469" w:type="pct"/>
            <w:shd w:val="clear" w:color="auto" w:fill="auto"/>
            <w:vAlign w:val="center"/>
          </w:tcPr>
          <w:p w14:paraId="2B1A3BD8">
            <w:pPr>
              <w:adjustRightInd w:val="0"/>
              <w:snapToGrid w:val="0"/>
              <w:spacing w:line="240" w:lineRule="auto"/>
              <w:ind w:firstLine="0" w:firstLineChars="0"/>
              <w:jc w:val="center"/>
              <w:rPr>
                <w:sz w:val="18"/>
                <w:szCs w:val="18"/>
              </w:rPr>
            </w:pPr>
            <w:r>
              <w:rPr>
                <w:sz w:val="18"/>
                <w:szCs w:val="18"/>
              </w:rPr>
              <w:t>7.91</w:t>
            </w:r>
          </w:p>
        </w:tc>
        <w:tc>
          <w:tcPr>
            <w:tcW w:w="469" w:type="pct"/>
            <w:shd w:val="clear" w:color="auto" w:fill="auto"/>
            <w:vAlign w:val="center"/>
          </w:tcPr>
          <w:p w14:paraId="2876A0DE">
            <w:pPr>
              <w:adjustRightInd w:val="0"/>
              <w:snapToGrid w:val="0"/>
              <w:spacing w:line="240" w:lineRule="auto"/>
              <w:ind w:firstLine="0" w:firstLineChars="0"/>
              <w:jc w:val="center"/>
              <w:rPr>
                <w:sz w:val="18"/>
                <w:szCs w:val="18"/>
              </w:rPr>
            </w:pPr>
            <w:r>
              <w:rPr>
                <w:sz w:val="18"/>
                <w:szCs w:val="18"/>
              </w:rPr>
              <w:t>7.46</w:t>
            </w:r>
          </w:p>
        </w:tc>
        <w:tc>
          <w:tcPr>
            <w:tcW w:w="472" w:type="pct"/>
            <w:shd w:val="clear" w:color="auto" w:fill="auto"/>
            <w:vAlign w:val="center"/>
          </w:tcPr>
          <w:p w14:paraId="6A061E7E">
            <w:pPr>
              <w:adjustRightInd w:val="0"/>
              <w:snapToGrid w:val="0"/>
              <w:spacing w:line="240" w:lineRule="auto"/>
              <w:ind w:firstLine="0" w:firstLineChars="0"/>
              <w:jc w:val="center"/>
              <w:rPr>
                <w:sz w:val="18"/>
                <w:szCs w:val="18"/>
              </w:rPr>
            </w:pPr>
            <w:r>
              <w:rPr>
                <w:sz w:val="18"/>
                <w:szCs w:val="18"/>
              </w:rPr>
              <w:t>0.45</w:t>
            </w:r>
          </w:p>
        </w:tc>
        <w:tc>
          <w:tcPr>
            <w:tcW w:w="469" w:type="pct"/>
            <w:shd w:val="clear" w:color="auto" w:fill="auto"/>
            <w:vAlign w:val="center"/>
          </w:tcPr>
          <w:p w14:paraId="07CCAA4F">
            <w:pPr>
              <w:adjustRightInd w:val="0"/>
              <w:snapToGrid w:val="0"/>
              <w:spacing w:line="240" w:lineRule="auto"/>
              <w:ind w:firstLine="0" w:firstLineChars="0"/>
              <w:jc w:val="center"/>
              <w:rPr>
                <w:sz w:val="18"/>
                <w:szCs w:val="18"/>
              </w:rPr>
            </w:pPr>
            <w:r>
              <w:rPr>
                <w:sz w:val="18"/>
                <w:szCs w:val="18"/>
              </w:rPr>
              <w:t>6.33</w:t>
            </w:r>
          </w:p>
        </w:tc>
        <w:tc>
          <w:tcPr>
            <w:tcW w:w="469" w:type="pct"/>
            <w:shd w:val="clear" w:color="auto" w:fill="auto"/>
            <w:vAlign w:val="center"/>
          </w:tcPr>
          <w:p w14:paraId="51AE46B4">
            <w:pPr>
              <w:adjustRightInd w:val="0"/>
              <w:snapToGrid w:val="0"/>
              <w:spacing w:line="240" w:lineRule="auto"/>
              <w:ind w:firstLine="0" w:firstLineChars="0"/>
              <w:jc w:val="center"/>
              <w:rPr>
                <w:sz w:val="18"/>
                <w:szCs w:val="18"/>
              </w:rPr>
            </w:pPr>
            <w:r>
              <w:rPr>
                <w:sz w:val="18"/>
                <w:szCs w:val="18"/>
              </w:rPr>
              <w:t>5.88</w:t>
            </w:r>
          </w:p>
        </w:tc>
        <w:tc>
          <w:tcPr>
            <w:tcW w:w="472" w:type="pct"/>
            <w:shd w:val="clear" w:color="auto" w:fill="auto"/>
            <w:vAlign w:val="center"/>
          </w:tcPr>
          <w:p w14:paraId="25DB5576">
            <w:pPr>
              <w:adjustRightInd w:val="0"/>
              <w:snapToGrid w:val="0"/>
              <w:spacing w:line="240" w:lineRule="auto"/>
              <w:ind w:firstLine="0" w:firstLineChars="0"/>
              <w:jc w:val="center"/>
              <w:rPr>
                <w:sz w:val="18"/>
                <w:szCs w:val="18"/>
              </w:rPr>
            </w:pPr>
            <w:r>
              <w:rPr>
                <w:sz w:val="18"/>
                <w:szCs w:val="18"/>
              </w:rPr>
              <w:t>0.45</w:t>
            </w:r>
          </w:p>
        </w:tc>
        <w:tc>
          <w:tcPr>
            <w:tcW w:w="469" w:type="pct"/>
            <w:shd w:val="clear" w:color="auto" w:fill="auto"/>
            <w:vAlign w:val="center"/>
          </w:tcPr>
          <w:p w14:paraId="6A6A632F">
            <w:pPr>
              <w:adjustRightInd w:val="0"/>
              <w:snapToGrid w:val="0"/>
              <w:spacing w:line="240" w:lineRule="auto"/>
              <w:ind w:firstLine="0" w:firstLineChars="0"/>
              <w:jc w:val="center"/>
              <w:rPr>
                <w:sz w:val="18"/>
                <w:szCs w:val="18"/>
              </w:rPr>
            </w:pPr>
            <w:r>
              <w:rPr>
                <w:sz w:val="18"/>
                <w:szCs w:val="18"/>
              </w:rPr>
              <w:t>1.58</w:t>
            </w:r>
          </w:p>
        </w:tc>
        <w:tc>
          <w:tcPr>
            <w:tcW w:w="397" w:type="pct"/>
            <w:vMerge w:val="restart"/>
            <w:shd w:val="clear" w:color="auto" w:fill="auto"/>
            <w:vAlign w:val="center"/>
          </w:tcPr>
          <w:p w14:paraId="0E6C01AE">
            <w:pPr>
              <w:adjustRightInd w:val="0"/>
              <w:snapToGrid w:val="0"/>
              <w:spacing w:line="240" w:lineRule="auto"/>
              <w:ind w:firstLine="0" w:firstLineChars="0"/>
              <w:jc w:val="center"/>
              <w:rPr>
                <w:sz w:val="18"/>
                <w:szCs w:val="18"/>
              </w:rPr>
            </w:pPr>
            <w:r>
              <w:rPr>
                <w:sz w:val="18"/>
                <w:szCs w:val="18"/>
              </w:rPr>
              <w:t>Z8</w:t>
            </w:r>
          </w:p>
        </w:tc>
      </w:tr>
      <w:tr w14:paraId="07181D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0A167280">
            <w:pPr>
              <w:adjustRightInd w:val="0"/>
              <w:snapToGrid w:val="0"/>
              <w:spacing w:line="240" w:lineRule="auto"/>
              <w:ind w:firstLine="0" w:firstLineChars="0"/>
              <w:jc w:val="center"/>
              <w:rPr>
                <w:sz w:val="18"/>
                <w:szCs w:val="18"/>
              </w:rPr>
            </w:pPr>
          </w:p>
        </w:tc>
        <w:tc>
          <w:tcPr>
            <w:tcW w:w="1011" w:type="pct"/>
            <w:shd w:val="clear" w:color="auto" w:fill="auto"/>
            <w:vAlign w:val="center"/>
          </w:tcPr>
          <w:p w14:paraId="1A333D5E">
            <w:pPr>
              <w:adjustRightInd w:val="0"/>
              <w:snapToGrid w:val="0"/>
              <w:spacing w:line="240" w:lineRule="auto"/>
              <w:ind w:firstLine="0" w:firstLineChars="0"/>
              <w:jc w:val="center"/>
              <w:rPr>
                <w:sz w:val="18"/>
                <w:szCs w:val="18"/>
              </w:rPr>
            </w:pPr>
            <w:r>
              <w:rPr>
                <w:sz w:val="18"/>
                <w:szCs w:val="18"/>
              </w:rPr>
              <w:t>9#-10#风机支路（0.77km）</w:t>
            </w:r>
          </w:p>
        </w:tc>
        <w:tc>
          <w:tcPr>
            <w:tcW w:w="469" w:type="pct"/>
            <w:shd w:val="clear" w:color="auto" w:fill="auto"/>
            <w:vAlign w:val="center"/>
          </w:tcPr>
          <w:p w14:paraId="3AC600B6">
            <w:pPr>
              <w:adjustRightInd w:val="0"/>
              <w:snapToGrid w:val="0"/>
              <w:spacing w:line="240" w:lineRule="auto"/>
              <w:ind w:firstLine="0" w:firstLineChars="0"/>
              <w:jc w:val="center"/>
              <w:rPr>
                <w:sz w:val="18"/>
                <w:szCs w:val="18"/>
              </w:rPr>
            </w:pPr>
            <w:r>
              <w:rPr>
                <w:sz w:val="18"/>
                <w:szCs w:val="18"/>
              </w:rPr>
              <w:t>2.70</w:t>
            </w:r>
          </w:p>
        </w:tc>
        <w:tc>
          <w:tcPr>
            <w:tcW w:w="469" w:type="pct"/>
            <w:shd w:val="clear" w:color="auto" w:fill="auto"/>
            <w:vAlign w:val="center"/>
          </w:tcPr>
          <w:p w14:paraId="59161D7B">
            <w:pPr>
              <w:adjustRightInd w:val="0"/>
              <w:snapToGrid w:val="0"/>
              <w:spacing w:line="240" w:lineRule="auto"/>
              <w:ind w:firstLine="0" w:firstLineChars="0"/>
              <w:jc w:val="center"/>
              <w:rPr>
                <w:sz w:val="18"/>
                <w:szCs w:val="18"/>
              </w:rPr>
            </w:pPr>
            <w:r>
              <w:rPr>
                <w:sz w:val="18"/>
                <w:szCs w:val="18"/>
              </w:rPr>
              <w:t>2.54</w:t>
            </w:r>
          </w:p>
        </w:tc>
        <w:tc>
          <w:tcPr>
            <w:tcW w:w="472" w:type="pct"/>
            <w:shd w:val="clear" w:color="auto" w:fill="auto"/>
            <w:vAlign w:val="center"/>
          </w:tcPr>
          <w:p w14:paraId="4075EFF2">
            <w:pPr>
              <w:adjustRightInd w:val="0"/>
              <w:snapToGrid w:val="0"/>
              <w:spacing w:line="240" w:lineRule="auto"/>
              <w:ind w:firstLine="0" w:firstLineChars="0"/>
              <w:jc w:val="center"/>
              <w:rPr>
                <w:sz w:val="18"/>
                <w:szCs w:val="18"/>
              </w:rPr>
            </w:pPr>
            <w:r>
              <w:rPr>
                <w:sz w:val="18"/>
                <w:szCs w:val="18"/>
              </w:rPr>
              <w:t>0.15</w:t>
            </w:r>
          </w:p>
        </w:tc>
        <w:tc>
          <w:tcPr>
            <w:tcW w:w="469" w:type="pct"/>
            <w:shd w:val="clear" w:color="auto" w:fill="auto"/>
            <w:vAlign w:val="center"/>
          </w:tcPr>
          <w:p w14:paraId="0782DED9">
            <w:pPr>
              <w:adjustRightInd w:val="0"/>
              <w:snapToGrid w:val="0"/>
              <w:spacing w:line="240" w:lineRule="auto"/>
              <w:ind w:firstLine="0" w:firstLineChars="0"/>
              <w:jc w:val="center"/>
              <w:rPr>
                <w:sz w:val="18"/>
                <w:szCs w:val="18"/>
              </w:rPr>
            </w:pPr>
            <w:r>
              <w:rPr>
                <w:sz w:val="18"/>
                <w:szCs w:val="18"/>
              </w:rPr>
              <w:t>2.16</w:t>
            </w:r>
          </w:p>
        </w:tc>
        <w:tc>
          <w:tcPr>
            <w:tcW w:w="469" w:type="pct"/>
            <w:shd w:val="clear" w:color="auto" w:fill="auto"/>
            <w:vAlign w:val="center"/>
          </w:tcPr>
          <w:p w14:paraId="42ABECB2">
            <w:pPr>
              <w:adjustRightInd w:val="0"/>
              <w:snapToGrid w:val="0"/>
              <w:spacing w:line="240" w:lineRule="auto"/>
              <w:ind w:firstLine="0" w:firstLineChars="0"/>
              <w:jc w:val="center"/>
              <w:rPr>
                <w:sz w:val="18"/>
                <w:szCs w:val="18"/>
              </w:rPr>
            </w:pPr>
            <w:r>
              <w:rPr>
                <w:sz w:val="18"/>
                <w:szCs w:val="18"/>
              </w:rPr>
              <w:t>2.00</w:t>
            </w:r>
          </w:p>
        </w:tc>
        <w:tc>
          <w:tcPr>
            <w:tcW w:w="472" w:type="pct"/>
            <w:shd w:val="clear" w:color="auto" w:fill="auto"/>
            <w:vAlign w:val="center"/>
          </w:tcPr>
          <w:p w14:paraId="58A4358A">
            <w:pPr>
              <w:adjustRightInd w:val="0"/>
              <w:snapToGrid w:val="0"/>
              <w:spacing w:line="240" w:lineRule="auto"/>
              <w:ind w:firstLine="0" w:firstLineChars="0"/>
              <w:jc w:val="center"/>
              <w:rPr>
                <w:sz w:val="18"/>
                <w:szCs w:val="18"/>
              </w:rPr>
            </w:pPr>
            <w:r>
              <w:rPr>
                <w:sz w:val="18"/>
                <w:szCs w:val="18"/>
              </w:rPr>
              <w:t>0.15</w:t>
            </w:r>
          </w:p>
        </w:tc>
        <w:tc>
          <w:tcPr>
            <w:tcW w:w="469" w:type="pct"/>
            <w:shd w:val="clear" w:color="auto" w:fill="auto"/>
            <w:vAlign w:val="center"/>
          </w:tcPr>
          <w:p w14:paraId="2EA6D6E9">
            <w:pPr>
              <w:adjustRightInd w:val="0"/>
              <w:snapToGrid w:val="0"/>
              <w:spacing w:line="240" w:lineRule="auto"/>
              <w:ind w:firstLine="0" w:firstLineChars="0"/>
              <w:jc w:val="center"/>
              <w:rPr>
                <w:sz w:val="18"/>
                <w:szCs w:val="18"/>
              </w:rPr>
            </w:pPr>
            <w:r>
              <w:rPr>
                <w:sz w:val="18"/>
                <w:szCs w:val="18"/>
              </w:rPr>
              <w:t>0.54</w:t>
            </w:r>
          </w:p>
        </w:tc>
        <w:tc>
          <w:tcPr>
            <w:tcW w:w="397" w:type="pct"/>
            <w:vMerge w:val="continue"/>
            <w:shd w:val="clear" w:color="auto" w:fill="auto"/>
            <w:vAlign w:val="center"/>
          </w:tcPr>
          <w:p w14:paraId="518F7213">
            <w:pPr>
              <w:adjustRightInd w:val="0"/>
              <w:snapToGrid w:val="0"/>
              <w:spacing w:line="240" w:lineRule="auto"/>
              <w:ind w:firstLine="0" w:firstLineChars="0"/>
              <w:jc w:val="center"/>
              <w:rPr>
                <w:sz w:val="18"/>
                <w:szCs w:val="18"/>
              </w:rPr>
            </w:pPr>
          </w:p>
        </w:tc>
      </w:tr>
      <w:tr w14:paraId="355A7D2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431EF62E">
            <w:pPr>
              <w:adjustRightInd w:val="0"/>
              <w:snapToGrid w:val="0"/>
              <w:spacing w:line="240" w:lineRule="auto"/>
              <w:ind w:firstLine="0" w:firstLineChars="0"/>
              <w:jc w:val="center"/>
              <w:rPr>
                <w:sz w:val="18"/>
                <w:szCs w:val="18"/>
              </w:rPr>
            </w:pPr>
          </w:p>
        </w:tc>
        <w:tc>
          <w:tcPr>
            <w:tcW w:w="1011" w:type="pct"/>
            <w:shd w:val="clear" w:color="auto" w:fill="auto"/>
            <w:vAlign w:val="center"/>
          </w:tcPr>
          <w:p w14:paraId="15D70B9E">
            <w:pPr>
              <w:adjustRightInd w:val="0"/>
              <w:snapToGrid w:val="0"/>
              <w:spacing w:line="240" w:lineRule="auto"/>
              <w:ind w:firstLine="0" w:firstLineChars="0"/>
              <w:jc w:val="center"/>
              <w:rPr>
                <w:sz w:val="18"/>
                <w:szCs w:val="18"/>
              </w:rPr>
            </w:pPr>
            <w:r>
              <w:rPr>
                <w:sz w:val="18"/>
                <w:szCs w:val="18"/>
              </w:rPr>
              <w:t>8#-10#风机平台</w:t>
            </w:r>
          </w:p>
        </w:tc>
        <w:tc>
          <w:tcPr>
            <w:tcW w:w="469" w:type="pct"/>
            <w:shd w:val="clear" w:color="auto" w:fill="auto"/>
            <w:vAlign w:val="center"/>
          </w:tcPr>
          <w:p w14:paraId="75E57C1F">
            <w:pPr>
              <w:adjustRightInd w:val="0"/>
              <w:snapToGrid w:val="0"/>
              <w:spacing w:line="240" w:lineRule="auto"/>
              <w:ind w:firstLine="0" w:firstLineChars="0"/>
              <w:jc w:val="center"/>
              <w:rPr>
                <w:sz w:val="18"/>
                <w:szCs w:val="18"/>
              </w:rPr>
            </w:pPr>
            <w:r>
              <w:rPr>
                <w:sz w:val="18"/>
                <w:szCs w:val="18"/>
              </w:rPr>
              <w:t>7.20</w:t>
            </w:r>
          </w:p>
        </w:tc>
        <w:tc>
          <w:tcPr>
            <w:tcW w:w="469" w:type="pct"/>
            <w:shd w:val="clear" w:color="auto" w:fill="auto"/>
            <w:vAlign w:val="center"/>
          </w:tcPr>
          <w:p w14:paraId="7FD7954A">
            <w:pPr>
              <w:adjustRightInd w:val="0"/>
              <w:snapToGrid w:val="0"/>
              <w:spacing w:line="240" w:lineRule="auto"/>
              <w:ind w:firstLine="0" w:firstLineChars="0"/>
              <w:jc w:val="center"/>
              <w:rPr>
                <w:sz w:val="18"/>
                <w:szCs w:val="18"/>
              </w:rPr>
            </w:pPr>
            <w:r>
              <w:rPr>
                <w:sz w:val="18"/>
                <w:szCs w:val="18"/>
              </w:rPr>
              <w:t>6.99</w:t>
            </w:r>
          </w:p>
        </w:tc>
        <w:tc>
          <w:tcPr>
            <w:tcW w:w="472" w:type="pct"/>
            <w:shd w:val="clear" w:color="auto" w:fill="auto"/>
            <w:vAlign w:val="center"/>
          </w:tcPr>
          <w:p w14:paraId="0C87249B">
            <w:pPr>
              <w:adjustRightInd w:val="0"/>
              <w:snapToGrid w:val="0"/>
              <w:spacing w:line="240" w:lineRule="auto"/>
              <w:ind w:firstLine="0" w:firstLineChars="0"/>
              <w:jc w:val="center"/>
              <w:rPr>
                <w:sz w:val="18"/>
                <w:szCs w:val="18"/>
              </w:rPr>
            </w:pPr>
            <w:r>
              <w:rPr>
                <w:sz w:val="18"/>
                <w:szCs w:val="18"/>
              </w:rPr>
              <w:t>0.21</w:t>
            </w:r>
          </w:p>
        </w:tc>
        <w:tc>
          <w:tcPr>
            <w:tcW w:w="469" w:type="pct"/>
            <w:shd w:val="clear" w:color="auto" w:fill="auto"/>
            <w:vAlign w:val="center"/>
          </w:tcPr>
          <w:p w14:paraId="3794175D">
            <w:pPr>
              <w:adjustRightInd w:val="0"/>
              <w:snapToGrid w:val="0"/>
              <w:spacing w:line="240" w:lineRule="auto"/>
              <w:ind w:firstLine="0" w:firstLineChars="0"/>
              <w:jc w:val="center"/>
              <w:rPr>
                <w:sz w:val="18"/>
                <w:szCs w:val="18"/>
              </w:rPr>
            </w:pPr>
            <w:r>
              <w:rPr>
                <w:sz w:val="18"/>
                <w:szCs w:val="18"/>
              </w:rPr>
              <w:t>5.64</w:t>
            </w:r>
          </w:p>
        </w:tc>
        <w:tc>
          <w:tcPr>
            <w:tcW w:w="469" w:type="pct"/>
            <w:shd w:val="clear" w:color="auto" w:fill="auto"/>
            <w:vAlign w:val="center"/>
          </w:tcPr>
          <w:p w14:paraId="47512872">
            <w:pPr>
              <w:adjustRightInd w:val="0"/>
              <w:snapToGrid w:val="0"/>
              <w:spacing w:line="240" w:lineRule="auto"/>
              <w:ind w:firstLine="0" w:firstLineChars="0"/>
              <w:jc w:val="center"/>
              <w:rPr>
                <w:sz w:val="18"/>
                <w:szCs w:val="18"/>
              </w:rPr>
            </w:pPr>
            <w:r>
              <w:rPr>
                <w:sz w:val="18"/>
                <w:szCs w:val="18"/>
              </w:rPr>
              <w:t>5.43</w:t>
            </w:r>
          </w:p>
        </w:tc>
        <w:tc>
          <w:tcPr>
            <w:tcW w:w="472" w:type="pct"/>
            <w:shd w:val="clear" w:color="auto" w:fill="auto"/>
            <w:vAlign w:val="center"/>
          </w:tcPr>
          <w:p w14:paraId="0F897934">
            <w:pPr>
              <w:adjustRightInd w:val="0"/>
              <w:snapToGrid w:val="0"/>
              <w:spacing w:line="240" w:lineRule="auto"/>
              <w:ind w:firstLine="0" w:firstLineChars="0"/>
              <w:jc w:val="center"/>
              <w:rPr>
                <w:sz w:val="18"/>
                <w:szCs w:val="18"/>
              </w:rPr>
            </w:pPr>
            <w:r>
              <w:rPr>
                <w:sz w:val="18"/>
                <w:szCs w:val="18"/>
              </w:rPr>
              <w:t>0.21</w:t>
            </w:r>
          </w:p>
        </w:tc>
        <w:tc>
          <w:tcPr>
            <w:tcW w:w="469" w:type="pct"/>
            <w:shd w:val="clear" w:color="auto" w:fill="auto"/>
            <w:vAlign w:val="center"/>
          </w:tcPr>
          <w:p w14:paraId="27FB86ED">
            <w:pPr>
              <w:adjustRightInd w:val="0"/>
              <w:snapToGrid w:val="0"/>
              <w:spacing w:line="240" w:lineRule="auto"/>
              <w:ind w:firstLine="0" w:firstLineChars="0"/>
              <w:jc w:val="center"/>
              <w:rPr>
                <w:sz w:val="18"/>
                <w:szCs w:val="18"/>
              </w:rPr>
            </w:pPr>
            <w:r>
              <w:rPr>
                <w:sz w:val="18"/>
                <w:szCs w:val="18"/>
              </w:rPr>
              <w:t>1.56</w:t>
            </w:r>
          </w:p>
        </w:tc>
        <w:tc>
          <w:tcPr>
            <w:tcW w:w="397" w:type="pct"/>
            <w:vMerge w:val="continue"/>
            <w:shd w:val="clear" w:color="auto" w:fill="auto"/>
            <w:vAlign w:val="center"/>
          </w:tcPr>
          <w:p w14:paraId="7773ED10">
            <w:pPr>
              <w:adjustRightInd w:val="0"/>
              <w:snapToGrid w:val="0"/>
              <w:spacing w:line="240" w:lineRule="auto"/>
              <w:ind w:firstLine="0" w:firstLineChars="0"/>
              <w:jc w:val="center"/>
              <w:rPr>
                <w:sz w:val="18"/>
                <w:szCs w:val="18"/>
              </w:rPr>
            </w:pPr>
          </w:p>
        </w:tc>
      </w:tr>
      <w:tr w14:paraId="117B07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vMerge w:val="continue"/>
            <w:shd w:val="clear" w:color="auto" w:fill="auto"/>
            <w:vAlign w:val="center"/>
          </w:tcPr>
          <w:p w14:paraId="6B7FB181">
            <w:pPr>
              <w:adjustRightInd w:val="0"/>
              <w:snapToGrid w:val="0"/>
              <w:spacing w:line="240" w:lineRule="auto"/>
              <w:ind w:firstLine="0" w:firstLineChars="0"/>
              <w:jc w:val="center"/>
              <w:rPr>
                <w:sz w:val="18"/>
                <w:szCs w:val="18"/>
              </w:rPr>
            </w:pPr>
          </w:p>
        </w:tc>
        <w:tc>
          <w:tcPr>
            <w:tcW w:w="1011" w:type="pct"/>
            <w:shd w:val="clear" w:color="auto" w:fill="auto"/>
            <w:vAlign w:val="center"/>
          </w:tcPr>
          <w:p w14:paraId="1CC9A37E">
            <w:pPr>
              <w:adjustRightInd w:val="0"/>
              <w:snapToGrid w:val="0"/>
              <w:spacing w:line="240" w:lineRule="auto"/>
              <w:ind w:firstLine="0" w:firstLineChars="0"/>
              <w:jc w:val="center"/>
              <w:rPr>
                <w:sz w:val="18"/>
                <w:szCs w:val="18"/>
              </w:rPr>
            </w:pPr>
            <w:r>
              <w:rPr>
                <w:sz w:val="18"/>
                <w:szCs w:val="18"/>
              </w:rPr>
              <w:t>小计</w:t>
            </w:r>
          </w:p>
        </w:tc>
        <w:tc>
          <w:tcPr>
            <w:tcW w:w="469" w:type="pct"/>
            <w:shd w:val="clear" w:color="auto" w:fill="auto"/>
            <w:vAlign w:val="center"/>
          </w:tcPr>
          <w:p w14:paraId="7E91D589">
            <w:pPr>
              <w:adjustRightInd w:val="0"/>
              <w:snapToGrid w:val="0"/>
              <w:spacing w:line="240" w:lineRule="auto"/>
              <w:ind w:firstLine="0" w:firstLineChars="0"/>
              <w:jc w:val="center"/>
              <w:rPr>
                <w:sz w:val="18"/>
                <w:szCs w:val="18"/>
              </w:rPr>
            </w:pPr>
            <w:r>
              <w:rPr>
                <w:sz w:val="18"/>
                <w:szCs w:val="18"/>
              </w:rPr>
              <w:t>17.81</w:t>
            </w:r>
          </w:p>
        </w:tc>
        <w:tc>
          <w:tcPr>
            <w:tcW w:w="469" w:type="pct"/>
            <w:shd w:val="clear" w:color="auto" w:fill="auto"/>
            <w:vAlign w:val="center"/>
          </w:tcPr>
          <w:p w14:paraId="3BB9F4E3">
            <w:pPr>
              <w:adjustRightInd w:val="0"/>
              <w:snapToGrid w:val="0"/>
              <w:spacing w:line="240" w:lineRule="auto"/>
              <w:ind w:firstLine="0" w:firstLineChars="0"/>
              <w:jc w:val="center"/>
              <w:rPr>
                <w:sz w:val="18"/>
                <w:szCs w:val="18"/>
              </w:rPr>
            </w:pPr>
            <w:r>
              <w:rPr>
                <w:sz w:val="18"/>
                <w:szCs w:val="18"/>
              </w:rPr>
              <w:t>16.99</w:t>
            </w:r>
          </w:p>
        </w:tc>
        <w:tc>
          <w:tcPr>
            <w:tcW w:w="472" w:type="pct"/>
            <w:shd w:val="clear" w:color="auto" w:fill="auto"/>
            <w:vAlign w:val="center"/>
          </w:tcPr>
          <w:p w14:paraId="67F475B7">
            <w:pPr>
              <w:adjustRightInd w:val="0"/>
              <w:snapToGrid w:val="0"/>
              <w:spacing w:line="240" w:lineRule="auto"/>
              <w:ind w:firstLine="0" w:firstLineChars="0"/>
              <w:jc w:val="center"/>
              <w:rPr>
                <w:sz w:val="18"/>
                <w:szCs w:val="18"/>
              </w:rPr>
            </w:pPr>
            <w:r>
              <w:rPr>
                <w:sz w:val="18"/>
                <w:szCs w:val="18"/>
              </w:rPr>
              <w:t>0.82</w:t>
            </w:r>
          </w:p>
        </w:tc>
        <w:tc>
          <w:tcPr>
            <w:tcW w:w="469" w:type="pct"/>
            <w:shd w:val="clear" w:color="auto" w:fill="auto"/>
            <w:vAlign w:val="center"/>
          </w:tcPr>
          <w:p w14:paraId="2854D1BC">
            <w:pPr>
              <w:adjustRightInd w:val="0"/>
              <w:snapToGrid w:val="0"/>
              <w:spacing w:line="240" w:lineRule="auto"/>
              <w:ind w:firstLine="0" w:firstLineChars="0"/>
              <w:jc w:val="center"/>
              <w:rPr>
                <w:sz w:val="18"/>
                <w:szCs w:val="18"/>
              </w:rPr>
            </w:pPr>
            <w:r>
              <w:rPr>
                <w:sz w:val="18"/>
                <w:szCs w:val="18"/>
              </w:rPr>
              <w:t>14.12</w:t>
            </w:r>
          </w:p>
        </w:tc>
        <w:tc>
          <w:tcPr>
            <w:tcW w:w="469" w:type="pct"/>
            <w:shd w:val="clear" w:color="auto" w:fill="auto"/>
            <w:vAlign w:val="center"/>
          </w:tcPr>
          <w:p w14:paraId="58FEF47C">
            <w:pPr>
              <w:adjustRightInd w:val="0"/>
              <w:snapToGrid w:val="0"/>
              <w:spacing w:line="240" w:lineRule="auto"/>
              <w:ind w:firstLine="0" w:firstLineChars="0"/>
              <w:jc w:val="center"/>
              <w:rPr>
                <w:sz w:val="18"/>
                <w:szCs w:val="18"/>
              </w:rPr>
            </w:pPr>
            <w:r>
              <w:rPr>
                <w:sz w:val="18"/>
                <w:szCs w:val="18"/>
              </w:rPr>
              <w:t>13.31</w:t>
            </w:r>
          </w:p>
        </w:tc>
        <w:tc>
          <w:tcPr>
            <w:tcW w:w="472" w:type="pct"/>
            <w:shd w:val="clear" w:color="auto" w:fill="auto"/>
            <w:vAlign w:val="center"/>
          </w:tcPr>
          <w:p w14:paraId="47F6150F">
            <w:pPr>
              <w:adjustRightInd w:val="0"/>
              <w:snapToGrid w:val="0"/>
              <w:spacing w:line="240" w:lineRule="auto"/>
              <w:ind w:firstLine="0" w:firstLineChars="0"/>
              <w:jc w:val="center"/>
              <w:rPr>
                <w:sz w:val="18"/>
                <w:szCs w:val="18"/>
              </w:rPr>
            </w:pPr>
            <w:r>
              <w:rPr>
                <w:sz w:val="18"/>
                <w:szCs w:val="18"/>
              </w:rPr>
              <w:t>0.82</w:t>
            </w:r>
          </w:p>
        </w:tc>
        <w:tc>
          <w:tcPr>
            <w:tcW w:w="469" w:type="pct"/>
            <w:shd w:val="clear" w:color="auto" w:fill="auto"/>
            <w:vAlign w:val="center"/>
          </w:tcPr>
          <w:p w14:paraId="4692BC63">
            <w:pPr>
              <w:adjustRightInd w:val="0"/>
              <w:snapToGrid w:val="0"/>
              <w:spacing w:line="240" w:lineRule="auto"/>
              <w:ind w:firstLine="0" w:firstLineChars="0"/>
              <w:jc w:val="center"/>
              <w:rPr>
                <w:sz w:val="18"/>
                <w:szCs w:val="18"/>
              </w:rPr>
            </w:pPr>
            <w:r>
              <w:rPr>
                <w:sz w:val="18"/>
                <w:szCs w:val="18"/>
              </w:rPr>
              <w:t>3.68</w:t>
            </w:r>
          </w:p>
        </w:tc>
        <w:tc>
          <w:tcPr>
            <w:tcW w:w="397" w:type="pct"/>
            <w:vMerge w:val="continue"/>
            <w:shd w:val="clear" w:color="auto" w:fill="auto"/>
            <w:vAlign w:val="center"/>
          </w:tcPr>
          <w:p w14:paraId="0651F6F0">
            <w:pPr>
              <w:adjustRightInd w:val="0"/>
              <w:snapToGrid w:val="0"/>
              <w:spacing w:line="240" w:lineRule="auto"/>
              <w:ind w:firstLine="0" w:firstLineChars="0"/>
              <w:jc w:val="center"/>
              <w:rPr>
                <w:sz w:val="18"/>
                <w:szCs w:val="18"/>
              </w:rPr>
            </w:pPr>
          </w:p>
        </w:tc>
      </w:tr>
      <w:tr w14:paraId="00FEAE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shd w:val="clear" w:color="auto" w:fill="auto"/>
            <w:vAlign w:val="center"/>
          </w:tcPr>
          <w:p w14:paraId="37EB74B9">
            <w:pPr>
              <w:adjustRightInd w:val="0"/>
              <w:snapToGrid w:val="0"/>
              <w:spacing w:line="240" w:lineRule="auto"/>
              <w:ind w:firstLine="0" w:firstLineChars="0"/>
              <w:jc w:val="center"/>
              <w:rPr>
                <w:sz w:val="18"/>
                <w:szCs w:val="18"/>
              </w:rPr>
            </w:pPr>
            <w:r>
              <w:rPr>
                <w:sz w:val="18"/>
                <w:szCs w:val="18"/>
              </w:rPr>
              <w:t>8</w:t>
            </w:r>
          </w:p>
        </w:tc>
        <w:tc>
          <w:tcPr>
            <w:tcW w:w="1011" w:type="pct"/>
            <w:shd w:val="clear" w:color="auto" w:fill="auto"/>
            <w:vAlign w:val="center"/>
          </w:tcPr>
          <w:p w14:paraId="5EE9B971">
            <w:pPr>
              <w:adjustRightInd w:val="0"/>
              <w:snapToGrid w:val="0"/>
              <w:spacing w:line="240" w:lineRule="auto"/>
              <w:ind w:firstLine="0" w:firstLineChars="0"/>
              <w:jc w:val="center"/>
              <w:rPr>
                <w:sz w:val="18"/>
                <w:szCs w:val="18"/>
              </w:rPr>
            </w:pPr>
            <w:r>
              <w:rPr>
                <w:sz w:val="18"/>
                <w:szCs w:val="18"/>
              </w:rPr>
              <w:t>集电线路区</w:t>
            </w:r>
          </w:p>
        </w:tc>
        <w:tc>
          <w:tcPr>
            <w:tcW w:w="469" w:type="pct"/>
            <w:shd w:val="clear" w:color="auto" w:fill="auto"/>
            <w:vAlign w:val="center"/>
          </w:tcPr>
          <w:p w14:paraId="477C14E5">
            <w:pPr>
              <w:adjustRightInd w:val="0"/>
              <w:snapToGrid w:val="0"/>
              <w:spacing w:line="240" w:lineRule="auto"/>
              <w:ind w:firstLine="0" w:firstLineChars="0"/>
              <w:jc w:val="center"/>
              <w:rPr>
                <w:sz w:val="18"/>
                <w:szCs w:val="18"/>
              </w:rPr>
            </w:pPr>
            <w:r>
              <w:rPr>
                <w:sz w:val="18"/>
                <w:szCs w:val="18"/>
              </w:rPr>
              <w:t>1.39</w:t>
            </w:r>
          </w:p>
        </w:tc>
        <w:tc>
          <w:tcPr>
            <w:tcW w:w="469" w:type="pct"/>
            <w:shd w:val="clear" w:color="auto" w:fill="auto"/>
            <w:vAlign w:val="center"/>
          </w:tcPr>
          <w:p w14:paraId="7E3A5DCB">
            <w:pPr>
              <w:adjustRightInd w:val="0"/>
              <w:snapToGrid w:val="0"/>
              <w:spacing w:line="240" w:lineRule="auto"/>
              <w:ind w:firstLine="0" w:firstLineChars="0"/>
              <w:jc w:val="center"/>
              <w:rPr>
                <w:sz w:val="18"/>
                <w:szCs w:val="18"/>
              </w:rPr>
            </w:pPr>
            <w:r>
              <w:rPr>
                <w:sz w:val="18"/>
                <w:szCs w:val="18"/>
              </w:rPr>
              <w:t>1.35</w:t>
            </w:r>
          </w:p>
        </w:tc>
        <w:tc>
          <w:tcPr>
            <w:tcW w:w="472" w:type="pct"/>
            <w:shd w:val="clear" w:color="auto" w:fill="auto"/>
            <w:vAlign w:val="center"/>
          </w:tcPr>
          <w:p w14:paraId="202D3553">
            <w:pPr>
              <w:adjustRightInd w:val="0"/>
              <w:snapToGrid w:val="0"/>
              <w:spacing w:line="240" w:lineRule="auto"/>
              <w:ind w:firstLine="0" w:firstLineChars="0"/>
              <w:jc w:val="center"/>
              <w:rPr>
                <w:sz w:val="18"/>
                <w:szCs w:val="18"/>
              </w:rPr>
            </w:pPr>
            <w:r>
              <w:rPr>
                <w:sz w:val="18"/>
                <w:szCs w:val="18"/>
              </w:rPr>
              <w:t>0.04</w:t>
            </w:r>
          </w:p>
        </w:tc>
        <w:tc>
          <w:tcPr>
            <w:tcW w:w="469" w:type="pct"/>
            <w:shd w:val="clear" w:color="auto" w:fill="auto"/>
            <w:vAlign w:val="center"/>
          </w:tcPr>
          <w:p w14:paraId="01637F4F">
            <w:pPr>
              <w:adjustRightInd w:val="0"/>
              <w:snapToGrid w:val="0"/>
              <w:spacing w:line="240" w:lineRule="auto"/>
              <w:ind w:firstLine="0" w:firstLineChars="0"/>
              <w:jc w:val="center"/>
              <w:rPr>
                <w:sz w:val="18"/>
                <w:szCs w:val="18"/>
              </w:rPr>
            </w:pPr>
            <w:r>
              <w:rPr>
                <w:sz w:val="18"/>
                <w:szCs w:val="18"/>
              </w:rPr>
              <w:t>1.39</w:t>
            </w:r>
          </w:p>
        </w:tc>
        <w:tc>
          <w:tcPr>
            <w:tcW w:w="469" w:type="pct"/>
            <w:shd w:val="clear" w:color="auto" w:fill="auto"/>
            <w:vAlign w:val="center"/>
          </w:tcPr>
          <w:p w14:paraId="6117981E">
            <w:pPr>
              <w:adjustRightInd w:val="0"/>
              <w:snapToGrid w:val="0"/>
              <w:spacing w:line="240" w:lineRule="auto"/>
              <w:ind w:firstLine="0" w:firstLineChars="0"/>
              <w:jc w:val="center"/>
              <w:rPr>
                <w:sz w:val="18"/>
                <w:szCs w:val="18"/>
              </w:rPr>
            </w:pPr>
            <w:r>
              <w:rPr>
                <w:sz w:val="18"/>
                <w:szCs w:val="18"/>
              </w:rPr>
              <w:t>1.35</w:t>
            </w:r>
          </w:p>
        </w:tc>
        <w:tc>
          <w:tcPr>
            <w:tcW w:w="472" w:type="pct"/>
            <w:shd w:val="clear" w:color="auto" w:fill="auto"/>
            <w:vAlign w:val="center"/>
          </w:tcPr>
          <w:p w14:paraId="6133AD5C">
            <w:pPr>
              <w:adjustRightInd w:val="0"/>
              <w:snapToGrid w:val="0"/>
              <w:spacing w:line="240" w:lineRule="auto"/>
              <w:ind w:firstLine="0" w:firstLineChars="0"/>
              <w:jc w:val="center"/>
              <w:rPr>
                <w:sz w:val="18"/>
                <w:szCs w:val="18"/>
              </w:rPr>
            </w:pPr>
            <w:r>
              <w:rPr>
                <w:sz w:val="18"/>
                <w:szCs w:val="18"/>
              </w:rPr>
              <w:t>0.04</w:t>
            </w:r>
          </w:p>
        </w:tc>
        <w:tc>
          <w:tcPr>
            <w:tcW w:w="469" w:type="pct"/>
            <w:shd w:val="clear" w:color="auto" w:fill="auto"/>
            <w:vAlign w:val="center"/>
          </w:tcPr>
          <w:p w14:paraId="168E8E65">
            <w:pPr>
              <w:adjustRightInd w:val="0"/>
              <w:snapToGrid w:val="0"/>
              <w:spacing w:line="240" w:lineRule="auto"/>
              <w:ind w:firstLine="0" w:firstLineChars="0"/>
              <w:jc w:val="center"/>
              <w:rPr>
                <w:sz w:val="18"/>
                <w:szCs w:val="18"/>
              </w:rPr>
            </w:pPr>
            <w:r>
              <w:rPr>
                <w:sz w:val="18"/>
                <w:szCs w:val="18"/>
              </w:rPr>
              <w:t>0.00</w:t>
            </w:r>
          </w:p>
        </w:tc>
        <w:tc>
          <w:tcPr>
            <w:tcW w:w="397" w:type="pct"/>
            <w:shd w:val="clear" w:color="auto" w:fill="auto"/>
            <w:vAlign w:val="center"/>
          </w:tcPr>
          <w:p w14:paraId="75F988B6">
            <w:pPr>
              <w:adjustRightInd w:val="0"/>
              <w:snapToGrid w:val="0"/>
              <w:spacing w:line="240" w:lineRule="auto"/>
              <w:ind w:firstLine="0" w:firstLineChars="0"/>
              <w:jc w:val="center"/>
              <w:rPr>
                <w:sz w:val="18"/>
                <w:szCs w:val="18"/>
              </w:rPr>
            </w:pPr>
          </w:p>
        </w:tc>
      </w:tr>
      <w:tr w14:paraId="4E888D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shd w:val="clear" w:color="auto" w:fill="auto"/>
            <w:vAlign w:val="center"/>
          </w:tcPr>
          <w:p w14:paraId="4566D20E">
            <w:pPr>
              <w:adjustRightInd w:val="0"/>
              <w:snapToGrid w:val="0"/>
              <w:spacing w:line="240" w:lineRule="auto"/>
              <w:ind w:firstLine="0" w:firstLineChars="0"/>
              <w:jc w:val="center"/>
              <w:rPr>
                <w:sz w:val="18"/>
                <w:szCs w:val="18"/>
              </w:rPr>
            </w:pPr>
            <w:r>
              <w:rPr>
                <w:sz w:val="18"/>
                <w:szCs w:val="18"/>
              </w:rPr>
              <w:t>9</w:t>
            </w:r>
          </w:p>
        </w:tc>
        <w:tc>
          <w:tcPr>
            <w:tcW w:w="1011" w:type="pct"/>
            <w:shd w:val="clear" w:color="auto" w:fill="auto"/>
            <w:vAlign w:val="center"/>
          </w:tcPr>
          <w:p w14:paraId="14952D92">
            <w:pPr>
              <w:adjustRightInd w:val="0"/>
              <w:snapToGrid w:val="0"/>
              <w:spacing w:line="240" w:lineRule="auto"/>
              <w:ind w:firstLine="0" w:firstLineChars="0"/>
              <w:jc w:val="center"/>
              <w:rPr>
                <w:sz w:val="18"/>
                <w:szCs w:val="18"/>
              </w:rPr>
            </w:pPr>
            <w:r>
              <w:rPr>
                <w:sz w:val="18"/>
                <w:szCs w:val="18"/>
              </w:rPr>
              <w:t>施工生产生活区</w:t>
            </w:r>
          </w:p>
        </w:tc>
        <w:tc>
          <w:tcPr>
            <w:tcW w:w="469" w:type="pct"/>
            <w:shd w:val="clear" w:color="auto" w:fill="auto"/>
            <w:vAlign w:val="center"/>
          </w:tcPr>
          <w:p w14:paraId="3A01E7BF">
            <w:pPr>
              <w:adjustRightInd w:val="0"/>
              <w:snapToGrid w:val="0"/>
              <w:spacing w:line="240" w:lineRule="auto"/>
              <w:ind w:firstLine="0" w:firstLineChars="0"/>
              <w:jc w:val="center"/>
              <w:rPr>
                <w:sz w:val="18"/>
                <w:szCs w:val="18"/>
              </w:rPr>
            </w:pPr>
            <w:r>
              <w:rPr>
                <w:sz w:val="18"/>
                <w:szCs w:val="18"/>
              </w:rPr>
              <w:t>1.00</w:t>
            </w:r>
          </w:p>
        </w:tc>
        <w:tc>
          <w:tcPr>
            <w:tcW w:w="469" w:type="pct"/>
            <w:shd w:val="clear" w:color="auto" w:fill="auto"/>
            <w:vAlign w:val="center"/>
          </w:tcPr>
          <w:p w14:paraId="76245C94">
            <w:pPr>
              <w:adjustRightInd w:val="0"/>
              <w:snapToGrid w:val="0"/>
              <w:spacing w:line="240" w:lineRule="auto"/>
              <w:ind w:firstLine="0" w:firstLineChars="0"/>
              <w:jc w:val="center"/>
              <w:rPr>
                <w:sz w:val="18"/>
                <w:szCs w:val="18"/>
              </w:rPr>
            </w:pPr>
            <w:r>
              <w:rPr>
                <w:sz w:val="18"/>
                <w:szCs w:val="18"/>
              </w:rPr>
              <w:t>0.88</w:t>
            </w:r>
          </w:p>
        </w:tc>
        <w:tc>
          <w:tcPr>
            <w:tcW w:w="472" w:type="pct"/>
            <w:shd w:val="clear" w:color="auto" w:fill="auto"/>
            <w:vAlign w:val="center"/>
          </w:tcPr>
          <w:p w14:paraId="6C00A3EE">
            <w:pPr>
              <w:adjustRightInd w:val="0"/>
              <w:snapToGrid w:val="0"/>
              <w:spacing w:line="240" w:lineRule="auto"/>
              <w:ind w:firstLine="0" w:firstLineChars="0"/>
              <w:jc w:val="center"/>
              <w:rPr>
                <w:sz w:val="18"/>
                <w:szCs w:val="18"/>
              </w:rPr>
            </w:pPr>
            <w:r>
              <w:rPr>
                <w:sz w:val="18"/>
                <w:szCs w:val="18"/>
              </w:rPr>
              <w:t>0.12</w:t>
            </w:r>
          </w:p>
        </w:tc>
        <w:tc>
          <w:tcPr>
            <w:tcW w:w="469" w:type="pct"/>
            <w:shd w:val="clear" w:color="auto" w:fill="auto"/>
            <w:vAlign w:val="center"/>
          </w:tcPr>
          <w:p w14:paraId="6F9DDF90">
            <w:pPr>
              <w:adjustRightInd w:val="0"/>
              <w:snapToGrid w:val="0"/>
              <w:spacing w:line="240" w:lineRule="auto"/>
              <w:ind w:firstLine="0" w:firstLineChars="0"/>
              <w:jc w:val="center"/>
              <w:rPr>
                <w:sz w:val="18"/>
                <w:szCs w:val="18"/>
              </w:rPr>
            </w:pPr>
            <w:r>
              <w:rPr>
                <w:sz w:val="18"/>
                <w:szCs w:val="18"/>
              </w:rPr>
              <w:t>1.00</w:t>
            </w:r>
          </w:p>
        </w:tc>
        <w:tc>
          <w:tcPr>
            <w:tcW w:w="469" w:type="pct"/>
            <w:shd w:val="clear" w:color="auto" w:fill="auto"/>
            <w:vAlign w:val="center"/>
          </w:tcPr>
          <w:p w14:paraId="16968C21">
            <w:pPr>
              <w:adjustRightInd w:val="0"/>
              <w:snapToGrid w:val="0"/>
              <w:spacing w:line="240" w:lineRule="auto"/>
              <w:ind w:firstLine="0" w:firstLineChars="0"/>
              <w:jc w:val="center"/>
              <w:rPr>
                <w:sz w:val="18"/>
                <w:szCs w:val="18"/>
              </w:rPr>
            </w:pPr>
            <w:r>
              <w:rPr>
                <w:sz w:val="18"/>
                <w:szCs w:val="18"/>
              </w:rPr>
              <w:t>0.88</w:t>
            </w:r>
          </w:p>
        </w:tc>
        <w:tc>
          <w:tcPr>
            <w:tcW w:w="472" w:type="pct"/>
            <w:shd w:val="clear" w:color="auto" w:fill="auto"/>
            <w:vAlign w:val="center"/>
          </w:tcPr>
          <w:p w14:paraId="288A885C">
            <w:pPr>
              <w:adjustRightInd w:val="0"/>
              <w:snapToGrid w:val="0"/>
              <w:spacing w:line="240" w:lineRule="auto"/>
              <w:ind w:firstLine="0" w:firstLineChars="0"/>
              <w:jc w:val="center"/>
              <w:rPr>
                <w:sz w:val="18"/>
                <w:szCs w:val="18"/>
              </w:rPr>
            </w:pPr>
            <w:r>
              <w:rPr>
                <w:sz w:val="18"/>
                <w:szCs w:val="18"/>
              </w:rPr>
              <w:t>0.12</w:t>
            </w:r>
          </w:p>
        </w:tc>
        <w:tc>
          <w:tcPr>
            <w:tcW w:w="469" w:type="pct"/>
            <w:shd w:val="clear" w:color="auto" w:fill="auto"/>
            <w:vAlign w:val="center"/>
          </w:tcPr>
          <w:p w14:paraId="659DF801">
            <w:pPr>
              <w:adjustRightInd w:val="0"/>
              <w:snapToGrid w:val="0"/>
              <w:spacing w:line="240" w:lineRule="auto"/>
              <w:ind w:firstLine="0" w:firstLineChars="0"/>
              <w:jc w:val="center"/>
              <w:rPr>
                <w:sz w:val="18"/>
                <w:szCs w:val="18"/>
              </w:rPr>
            </w:pPr>
            <w:r>
              <w:rPr>
                <w:sz w:val="18"/>
                <w:szCs w:val="18"/>
              </w:rPr>
              <w:t>0.00</w:t>
            </w:r>
          </w:p>
        </w:tc>
        <w:tc>
          <w:tcPr>
            <w:tcW w:w="397" w:type="pct"/>
            <w:shd w:val="clear" w:color="auto" w:fill="auto"/>
            <w:vAlign w:val="center"/>
          </w:tcPr>
          <w:p w14:paraId="78401C3F">
            <w:pPr>
              <w:adjustRightInd w:val="0"/>
              <w:snapToGrid w:val="0"/>
              <w:spacing w:line="240" w:lineRule="auto"/>
              <w:ind w:firstLine="0" w:firstLineChars="0"/>
              <w:jc w:val="center"/>
              <w:rPr>
                <w:sz w:val="18"/>
                <w:szCs w:val="18"/>
              </w:rPr>
            </w:pPr>
          </w:p>
        </w:tc>
      </w:tr>
      <w:tr w14:paraId="29B4CE8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shd w:val="clear" w:color="auto" w:fill="auto"/>
            <w:vAlign w:val="center"/>
          </w:tcPr>
          <w:p w14:paraId="67AC47CC">
            <w:pPr>
              <w:adjustRightInd w:val="0"/>
              <w:snapToGrid w:val="0"/>
              <w:spacing w:line="240" w:lineRule="auto"/>
              <w:ind w:firstLine="0" w:firstLineChars="0"/>
              <w:jc w:val="center"/>
              <w:rPr>
                <w:sz w:val="18"/>
                <w:szCs w:val="18"/>
              </w:rPr>
            </w:pPr>
            <w:r>
              <w:rPr>
                <w:sz w:val="18"/>
                <w:szCs w:val="18"/>
              </w:rPr>
              <w:t>10</w:t>
            </w:r>
          </w:p>
        </w:tc>
        <w:tc>
          <w:tcPr>
            <w:tcW w:w="1011" w:type="pct"/>
            <w:shd w:val="clear" w:color="auto" w:fill="auto"/>
            <w:vAlign w:val="center"/>
          </w:tcPr>
          <w:p w14:paraId="574B3F90">
            <w:pPr>
              <w:adjustRightInd w:val="0"/>
              <w:snapToGrid w:val="0"/>
              <w:spacing w:line="240" w:lineRule="auto"/>
              <w:ind w:firstLine="0" w:firstLineChars="0"/>
              <w:jc w:val="center"/>
              <w:rPr>
                <w:sz w:val="18"/>
                <w:szCs w:val="18"/>
              </w:rPr>
            </w:pPr>
            <w:r>
              <w:rPr>
                <w:sz w:val="18"/>
                <w:szCs w:val="18"/>
              </w:rPr>
              <w:t>弃渣场区</w:t>
            </w:r>
          </w:p>
        </w:tc>
        <w:tc>
          <w:tcPr>
            <w:tcW w:w="469" w:type="pct"/>
            <w:shd w:val="clear" w:color="auto" w:fill="auto"/>
            <w:vAlign w:val="center"/>
          </w:tcPr>
          <w:p w14:paraId="7CD26B13">
            <w:pPr>
              <w:adjustRightInd w:val="0"/>
              <w:snapToGrid w:val="0"/>
              <w:spacing w:line="240" w:lineRule="auto"/>
              <w:ind w:firstLine="0" w:firstLineChars="0"/>
              <w:jc w:val="center"/>
              <w:rPr>
                <w:sz w:val="18"/>
                <w:szCs w:val="18"/>
              </w:rPr>
            </w:pPr>
            <w:r>
              <w:rPr>
                <w:sz w:val="18"/>
                <w:szCs w:val="18"/>
              </w:rPr>
              <w:t>0.43</w:t>
            </w:r>
          </w:p>
        </w:tc>
        <w:tc>
          <w:tcPr>
            <w:tcW w:w="469" w:type="pct"/>
            <w:shd w:val="clear" w:color="auto" w:fill="auto"/>
            <w:vAlign w:val="center"/>
          </w:tcPr>
          <w:p w14:paraId="2F62AA18">
            <w:pPr>
              <w:adjustRightInd w:val="0"/>
              <w:snapToGrid w:val="0"/>
              <w:spacing w:line="240" w:lineRule="auto"/>
              <w:ind w:firstLine="0" w:firstLineChars="0"/>
              <w:jc w:val="center"/>
              <w:rPr>
                <w:sz w:val="18"/>
                <w:szCs w:val="18"/>
              </w:rPr>
            </w:pPr>
            <w:r>
              <w:rPr>
                <w:sz w:val="18"/>
                <w:szCs w:val="18"/>
              </w:rPr>
              <w:t>0.00</w:t>
            </w:r>
          </w:p>
        </w:tc>
        <w:tc>
          <w:tcPr>
            <w:tcW w:w="472" w:type="pct"/>
            <w:shd w:val="clear" w:color="auto" w:fill="auto"/>
            <w:vAlign w:val="center"/>
          </w:tcPr>
          <w:p w14:paraId="77242DA9">
            <w:pPr>
              <w:adjustRightInd w:val="0"/>
              <w:snapToGrid w:val="0"/>
              <w:spacing w:line="240" w:lineRule="auto"/>
              <w:ind w:firstLine="0" w:firstLineChars="0"/>
              <w:jc w:val="center"/>
              <w:rPr>
                <w:sz w:val="18"/>
                <w:szCs w:val="18"/>
              </w:rPr>
            </w:pPr>
            <w:r>
              <w:rPr>
                <w:sz w:val="18"/>
                <w:szCs w:val="18"/>
              </w:rPr>
              <w:t>0.43</w:t>
            </w:r>
          </w:p>
        </w:tc>
        <w:tc>
          <w:tcPr>
            <w:tcW w:w="469" w:type="pct"/>
            <w:shd w:val="clear" w:color="auto" w:fill="auto"/>
            <w:vAlign w:val="center"/>
          </w:tcPr>
          <w:p w14:paraId="41F8AF85">
            <w:pPr>
              <w:adjustRightInd w:val="0"/>
              <w:snapToGrid w:val="0"/>
              <w:spacing w:line="240" w:lineRule="auto"/>
              <w:ind w:firstLine="0" w:firstLineChars="0"/>
              <w:jc w:val="center"/>
              <w:rPr>
                <w:sz w:val="18"/>
                <w:szCs w:val="18"/>
              </w:rPr>
            </w:pPr>
            <w:r>
              <w:rPr>
                <w:sz w:val="18"/>
                <w:szCs w:val="18"/>
              </w:rPr>
              <w:t>0.43</w:t>
            </w:r>
          </w:p>
        </w:tc>
        <w:tc>
          <w:tcPr>
            <w:tcW w:w="469" w:type="pct"/>
            <w:shd w:val="clear" w:color="auto" w:fill="auto"/>
            <w:vAlign w:val="center"/>
          </w:tcPr>
          <w:p w14:paraId="7C72565B">
            <w:pPr>
              <w:adjustRightInd w:val="0"/>
              <w:snapToGrid w:val="0"/>
              <w:spacing w:line="240" w:lineRule="auto"/>
              <w:ind w:firstLine="0" w:firstLineChars="0"/>
              <w:jc w:val="center"/>
              <w:rPr>
                <w:sz w:val="18"/>
                <w:szCs w:val="18"/>
              </w:rPr>
            </w:pPr>
            <w:r>
              <w:rPr>
                <w:sz w:val="18"/>
                <w:szCs w:val="18"/>
              </w:rPr>
              <w:t>0.00</w:t>
            </w:r>
          </w:p>
        </w:tc>
        <w:tc>
          <w:tcPr>
            <w:tcW w:w="472" w:type="pct"/>
            <w:shd w:val="clear" w:color="auto" w:fill="auto"/>
            <w:vAlign w:val="center"/>
          </w:tcPr>
          <w:p w14:paraId="4967E77B">
            <w:pPr>
              <w:adjustRightInd w:val="0"/>
              <w:snapToGrid w:val="0"/>
              <w:spacing w:line="240" w:lineRule="auto"/>
              <w:ind w:firstLine="0" w:firstLineChars="0"/>
              <w:jc w:val="center"/>
              <w:rPr>
                <w:sz w:val="18"/>
                <w:szCs w:val="18"/>
              </w:rPr>
            </w:pPr>
            <w:r>
              <w:rPr>
                <w:sz w:val="18"/>
                <w:szCs w:val="18"/>
              </w:rPr>
              <w:t>0.43</w:t>
            </w:r>
          </w:p>
        </w:tc>
        <w:tc>
          <w:tcPr>
            <w:tcW w:w="469" w:type="pct"/>
            <w:shd w:val="clear" w:color="auto" w:fill="auto"/>
            <w:vAlign w:val="center"/>
          </w:tcPr>
          <w:p w14:paraId="32282E6E">
            <w:pPr>
              <w:adjustRightInd w:val="0"/>
              <w:snapToGrid w:val="0"/>
              <w:spacing w:line="240" w:lineRule="auto"/>
              <w:ind w:firstLine="0" w:firstLineChars="0"/>
              <w:jc w:val="center"/>
              <w:rPr>
                <w:sz w:val="18"/>
                <w:szCs w:val="18"/>
              </w:rPr>
            </w:pPr>
            <w:r>
              <w:rPr>
                <w:sz w:val="18"/>
                <w:szCs w:val="18"/>
              </w:rPr>
              <w:t>0.00</w:t>
            </w:r>
          </w:p>
        </w:tc>
        <w:tc>
          <w:tcPr>
            <w:tcW w:w="397" w:type="pct"/>
            <w:shd w:val="clear" w:color="auto" w:fill="auto"/>
            <w:vAlign w:val="center"/>
          </w:tcPr>
          <w:p w14:paraId="4A89F625">
            <w:pPr>
              <w:adjustRightInd w:val="0"/>
              <w:snapToGrid w:val="0"/>
              <w:spacing w:line="240" w:lineRule="auto"/>
              <w:ind w:firstLine="0" w:firstLineChars="0"/>
              <w:jc w:val="center"/>
              <w:rPr>
                <w:sz w:val="18"/>
                <w:szCs w:val="18"/>
              </w:rPr>
            </w:pPr>
          </w:p>
        </w:tc>
      </w:tr>
      <w:tr w14:paraId="06C80A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1" w:type="pct"/>
            <w:shd w:val="clear" w:color="auto" w:fill="auto"/>
            <w:vAlign w:val="center"/>
          </w:tcPr>
          <w:p w14:paraId="18639F6F">
            <w:pPr>
              <w:adjustRightInd w:val="0"/>
              <w:snapToGrid w:val="0"/>
              <w:spacing w:line="240" w:lineRule="auto"/>
              <w:ind w:firstLine="0" w:firstLineChars="0"/>
              <w:jc w:val="center"/>
              <w:rPr>
                <w:sz w:val="18"/>
                <w:szCs w:val="18"/>
              </w:rPr>
            </w:pPr>
            <w:r>
              <w:rPr>
                <w:sz w:val="18"/>
                <w:szCs w:val="18"/>
              </w:rPr>
              <w:t>11</w:t>
            </w:r>
          </w:p>
        </w:tc>
        <w:tc>
          <w:tcPr>
            <w:tcW w:w="1011" w:type="pct"/>
            <w:shd w:val="clear" w:color="auto" w:fill="auto"/>
            <w:vAlign w:val="center"/>
          </w:tcPr>
          <w:p w14:paraId="40E81401">
            <w:pPr>
              <w:adjustRightInd w:val="0"/>
              <w:snapToGrid w:val="0"/>
              <w:spacing w:line="240" w:lineRule="auto"/>
              <w:ind w:firstLine="0" w:firstLineChars="0"/>
              <w:jc w:val="center"/>
              <w:rPr>
                <w:sz w:val="18"/>
                <w:szCs w:val="18"/>
              </w:rPr>
            </w:pPr>
            <w:r>
              <w:rPr>
                <w:sz w:val="18"/>
                <w:szCs w:val="18"/>
              </w:rPr>
              <w:t>合计</w:t>
            </w:r>
          </w:p>
        </w:tc>
        <w:tc>
          <w:tcPr>
            <w:tcW w:w="469" w:type="pct"/>
            <w:shd w:val="clear" w:color="auto" w:fill="auto"/>
            <w:vAlign w:val="center"/>
          </w:tcPr>
          <w:p w14:paraId="22544A6C">
            <w:pPr>
              <w:adjustRightInd w:val="0"/>
              <w:snapToGrid w:val="0"/>
              <w:spacing w:line="240" w:lineRule="auto"/>
              <w:ind w:firstLine="0" w:firstLineChars="0"/>
              <w:jc w:val="center"/>
              <w:rPr>
                <w:sz w:val="18"/>
                <w:szCs w:val="18"/>
              </w:rPr>
            </w:pPr>
            <w:r>
              <w:rPr>
                <w:sz w:val="18"/>
                <w:szCs w:val="18"/>
              </w:rPr>
              <w:t>87.68</w:t>
            </w:r>
          </w:p>
        </w:tc>
        <w:tc>
          <w:tcPr>
            <w:tcW w:w="469" w:type="pct"/>
            <w:shd w:val="clear" w:color="auto" w:fill="auto"/>
            <w:vAlign w:val="center"/>
          </w:tcPr>
          <w:p w14:paraId="16B7E5D5">
            <w:pPr>
              <w:adjustRightInd w:val="0"/>
              <w:snapToGrid w:val="0"/>
              <w:spacing w:line="240" w:lineRule="auto"/>
              <w:ind w:firstLine="0" w:firstLineChars="0"/>
              <w:jc w:val="center"/>
              <w:rPr>
                <w:sz w:val="18"/>
                <w:szCs w:val="18"/>
              </w:rPr>
            </w:pPr>
            <w:r>
              <w:rPr>
                <w:sz w:val="18"/>
                <w:szCs w:val="18"/>
              </w:rPr>
              <w:t>82.24</w:t>
            </w:r>
          </w:p>
        </w:tc>
        <w:tc>
          <w:tcPr>
            <w:tcW w:w="472" w:type="pct"/>
            <w:shd w:val="clear" w:color="auto" w:fill="auto"/>
            <w:vAlign w:val="center"/>
          </w:tcPr>
          <w:p w14:paraId="27F8D2A1">
            <w:pPr>
              <w:adjustRightInd w:val="0"/>
              <w:snapToGrid w:val="0"/>
              <w:spacing w:line="240" w:lineRule="auto"/>
              <w:ind w:firstLine="0" w:firstLineChars="0"/>
              <w:jc w:val="center"/>
              <w:rPr>
                <w:sz w:val="18"/>
                <w:szCs w:val="18"/>
              </w:rPr>
            </w:pPr>
            <w:r>
              <w:rPr>
                <w:sz w:val="18"/>
                <w:szCs w:val="18"/>
              </w:rPr>
              <w:t>5.44</w:t>
            </w:r>
          </w:p>
        </w:tc>
        <w:tc>
          <w:tcPr>
            <w:tcW w:w="469" w:type="pct"/>
            <w:shd w:val="clear" w:color="auto" w:fill="auto"/>
            <w:vAlign w:val="center"/>
          </w:tcPr>
          <w:p w14:paraId="0FB53173">
            <w:pPr>
              <w:adjustRightInd w:val="0"/>
              <w:snapToGrid w:val="0"/>
              <w:spacing w:line="240" w:lineRule="auto"/>
              <w:ind w:firstLine="0" w:firstLineChars="0"/>
              <w:jc w:val="center"/>
              <w:rPr>
                <w:sz w:val="18"/>
                <w:szCs w:val="18"/>
              </w:rPr>
            </w:pPr>
            <w:r>
              <w:rPr>
                <w:sz w:val="18"/>
                <w:szCs w:val="18"/>
              </w:rPr>
              <w:t>71.23</w:t>
            </w:r>
          </w:p>
        </w:tc>
        <w:tc>
          <w:tcPr>
            <w:tcW w:w="469" w:type="pct"/>
            <w:shd w:val="clear" w:color="auto" w:fill="auto"/>
            <w:vAlign w:val="center"/>
          </w:tcPr>
          <w:p w14:paraId="3536BCC7">
            <w:pPr>
              <w:adjustRightInd w:val="0"/>
              <w:snapToGrid w:val="0"/>
              <w:spacing w:line="240" w:lineRule="auto"/>
              <w:ind w:firstLine="0" w:firstLineChars="0"/>
              <w:jc w:val="center"/>
              <w:rPr>
                <w:sz w:val="18"/>
                <w:szCs w:val="18"/>
              </w:rPr>
            </w:pPr>
            <w:r>
              <w:rPr>
                <w:sz w:val="18"/>
                <w:szCs w:val="18"/>
              </w:rPr>
              <w:t>65.79</w:t>
            </w:r>
          </w:p>
        </w:tc>
        <w:tc>
          <w:tcPr>
            <w:tcW w:w="472" w:type="pct"/>
            <w:shd w:val="clear" w:color="auto" w:fill="auto"/>
            <w:vAlign w:val="center"/>
          </w:tcPr>
          <w:p w14:paraId="0FF4FA62">
            <w:pPr>
              <w:adjustRightInd w:val="0"/>
              <w:snapToGrid w:val="0"/>
              <w:spacing w:line="240" w:lineRule="auto"/>
              <w:ind w:firstLine="0" w:firstLineChars="0"/>
              <w:jc w:val="center"/>
              <w:rPr>
                <w:sz w:val="18"/>
                <w:szCs w:val="18"/>
              </w:rPr>
            </w:pPr>
            <w:r>
              <w:rPr>
                <w:sz w:val="18"/>
                <w:szCs w:val="18"/>
              </w:rPr>
              <w:t>5.44</w:t>
            </w:r>
          </w:p>
        </w:tc>
        <w:tc>
          <w:tcPr>
            <w:tcW w:w="469" w:type="pct"/>
            <w:shd w:val="clear" w:color="auto" w:fill="auto"/>
            <w:vAlign w:val="center"/>
          </w:tcPr>
          <w:p w14:paraId="44363E25">
            <w:pPr>
              <w:adjustRightInd w:val="0"/>
              <w:snapToGrid w:val="0"/>
              <w:spacing w:line="240" w:lineRule="auto"/>
              <w:ind w:firstLine="0" w:firstLineChars="0"/>
              <w:jc w:val="center"/>
              <w:rPr>
                <w:sz w:val="18"/>
                <w:szCs w:val="18"/>
              </w:rPr>
            </w:pPr>
            <w:r>
              <w:rPr>
                <w:sz w:val="18"/>
                <w:szCs w:val="18"/>
              </w:rPr>
              <w:t>16.45</w:t>
            </w:r>
          </w:p>
        </w:tc>
        <w:tc>
          <w:tcPr>
            <w:tcW w:w="397" w:type="pct"/>
            <w:shd w:val="clear" w:color="auto" w:fill="auto"/>
            <w:vAlign w:val="center"/>
          </w:tcPr>
          <w:p w14:paraId="6FFAE249">
            <w:pPr>
              <w:adjustRightInd w:val="0"/>
              <w:snapToGrid w:val="0"/>
              <w:spacing w:line="240" w:lineRule="auto"/>
              <w:ind w:firstLine="0" w:firstLineChars="0"/>
              <w:jc w:val="center"/>
              <w:rPr>
                <w:sz w:val="18"/>
                <w:szCs w:val="18"/>
              </w:rPr>
            </w:pPr>
          </w:p>
        </w:tc>
      </w:tr>
    </w:tbl>
    <w:p w14:paraId="5D8C64E7">
      <w:pPr>
        <w:adjustRightInd w:val="0"/>
        <w:snapToGrid w:val="0"/>
        <w:ind w:firstLine="480"/>
        <w:sectPr>
          <w:pgSz w:w="16838" w:h="11905" w:orient="landscape"/>
          <w:pgMar w:top="567" w:right="1440" w:bottom="567" w:left="1440" w:header="283" w:footer="567" w:gutter="0"/>
          <w:cols w:space="0" w:num="1"/>
          <w:docGrid w:type="lines" w:linePitch="333" w:charSpace="0"/>
        </w:sectPr>
      </w:pPr>
    </w:p>
    <w:p w14:paraId="44A1B2FF">
      <w:pPr>
        <w:pStyle w:val="2"/>
        <w:ind w:firstLine="0" w:firstLineChars="0"/>
        <w:jc w:val="center"/>
      </w:pPr>
      <w:r>
        <w:drawing>
          <wp:inline distT="0" distB="0" distL="0" distR="0">
            <wp:extent cx="4676775" cy="83540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4683409" cy="8366177"/>
                    </a:xfrm>
                    <a:prstGeom prst="rect">
                      <a:avLst/>
                    </a:prstGeom>
                  </pic:spPr>
                </pic:pic>
              </a:graphicData>
            </a:graphic>
          </wp:inline>
        </w:drawing>
      </w:r>
    </w:p>
    <w:p w14:paraId="0A5CB8FB">
      <w:pPr>
        <w:tabs>
          <w:tab w:val="clear" w:pos="480"/>
        </w:tabs>
        <w:ind w:firstLine="0" w:firstLineChars="0"/>
        <w:jc w:val="center"/>
        <w:rPr>
          <w:b/>
          <w:bCs/>
        </w:rPr>
      </w:pPr>
      <w:r>
        <w:rPr>
          <w:rFonts w:hint="eastAsia"/>
          <w:b/>
          <w:bCs/>
        </w:rPr>
        <w:t>图3</w:t>
      </w:r>
      <w:r>
        <w:rPr>
          <w:b/>
          <w:bCs/>
        </w:rPr>
        <w:t>.7</w:t>
      </w:r>
      <w:r>
        <w:rPr>
          <w:rFonts w:hint="eastAsia"/>
          <w:b/>
          <w:bCs/>
        </w:rPr>
        <w:t>-</w:t>
      </w:r>
      <w:r>
        <w:rPr>
          <w:b/>
          <w:bCs/>
        </w:rPr>
        <w:t xml:space="preserve">1  </w:t>
      </w:r>
      <w:r>
        <w:rPr>
          <w:rFonts w:hint="eastAsia"/>
          <w:b/>
          <w:bCs/>
        </w:rPr>
        <w:t>土石方流向图</w:t>
      </w:r>
    </w:p>
    <w:p w14:paraId="22312E95">
      <w:pPr>
        <w:adjustRightInd w:val="0"/>
        <w:snapToGrid w:val="0"/>
        <w:ind w:firstLine="480"/>
      </w:pPr>
      <w:r>
        <w:rPr>
          <w:rFonts w:hint="eastAsia"/>
        </w:rPr>
        <w:t>（</w:t>
      </w:r>
      <w:r>
        <w:t>2</w:t>
      </w:r>
      <w:r>
        <w:rPr>
          <w:rFonts w:hint="eastAsia"/>
        </w:rPr>
        <w:t>）表土剥离</w:t>
      </w:r>
    </w:p>
    <w:p w14:paraId="53D4C2D9">
      <w:pPr>
        <w:adjustRightInd w:val="0"/>
        <w:snapToGrid w:val="0"/>
        <w:ind w:firstLine="480"/>
      </w:pPr>
      <w:r>
        <w:t>根据《衡阳县杉桥风电场项目水土保持方案报告书》，本项目需剥离表土5.44万m</w:t>
      </w:r>
      <w:r>
        <w:rPr>
          <w:vertAlign w:val="superscript"/>
        </w:rPr>
        <w:t>3</w:t>
      </w:r>
      <w:r>
        <w:t>，回填表土5.44万m</w:t>
      </w:r>
      <w:r>
        <w:rPr>
          <w:vertAlign w:val="superscript"/>
        </w:rPr>
        <w:t>3</w:t>
      </w:r>
      <w:r>
        <w:t>。本项目各施工区域剥离的表土均在施工区内保存、回填利用。每处风机平台的表土均在平台内回填，弃渣场的表土资源在渣场内利用，集电线路的表土资源以逐段的地埋线缆为基础进行剥离、保存和利用，升压站及施工生产生活区区内剥离利用，道路工程逐段剥离、保存并回填利用，实现表土资源的平衡。工程区的表土资源能满足工程建设的需要，无剩余表土。表土剥离与利用平衡表见下表。</w:t>
      </w:r>
    </w:p>
    <w:p w14:paraId="3E0385C4">
      <w:pPr>
        <w:tabs>
          <w:tab w:val="clear" w:pos="480"/>
        </w:tabs>
        <w:spacing w:line="240" w:lineRule="auto"/>
        <w:ind w:firstLine="99" w:firstLineChars="41"/>
        <w:jc w:val="center"/>
        <w:rPr>
          <w:b/>
          <w:kern w:val="0"/>
        </w:rPr>
      </w:pPr>
      <w:r>
        <w:rPr>
          <w:rFonts w:hint="eastAsia"/>
          <w:b/>
          <w:kern w:val="0"/>
        </w:rPr>
        <w:t>表</w:t>
      </w:r>
      <w:r>
        <w:rPr>
          <w:b/>
          <w:kern w:val="0"/>
        </w:rPr>
        <w:t>3.7-1</w:t>
      </w:r>
      <w:r>
        <w:rPr>
          <w:rFonts w:hint="eastAsia"/>
          <w:b/>
          <w:kern w:val="0"/>
        </w:rPr>
        <w:t>项目土石方平衡表单位</w:t>
      </w:r>
      <w:r>
        <w:rPr>
          <w:b/>
          <w:kern w:val="0"/>
        </w:rPr>
        <w:t>:</w:t>
      </w:r>
      <w:r>
        <w:rPr>
          <w:rFonts w:hint="eastAsia"/>
          <w:b/>
          <w:kern w:val="0"/>
        </w:rPr>
        <w:t>万</w:t>
      </w:r>
      <w:r>
        <w:rPr>
          <w:b/>
          <w:kern w:val="0"/>
        </w:rPr>
        <w:t>m</w:t>
      </w:r>
      <w:r>
        <w:rPr>
          <w:b/>
          <w:kern w:val="0"/>
          <w:vertAlign w:val="superscript"/>
        </w:rPr>
        <w:t>3</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84"/>
        <w:gridCol w:w="2357"/>
        <w:gridCol w:w="1598"/>
        <w:gridCol w:w="1596"/>
        <w:gridCol w:w="2192"/>
      </w:tblGrid>
      <w:tr w14:paraId="0312C4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shd w:val="clear" w:color="auto" w:fill="auto"/>
            <w:vAlign w:val="center"/>
          </w:tcPr>
          <w:p w14:paraId="282F974E">
            <w:pPr>
              <w:adjustRightInd w:val="0"/>
              <w:snapToGrid w:val="0"/>
              <w:spacing w:line="240" w:lineRule="auto"/>
              <w:ind w:firstLine="0" w:firstLineChars="0"/>
              <w:jc w:val="center"/>
              <w:rPr>
                <w:sz w:val="18"/>
                <w:szCs w:val="18"/>
              </w:rPr>
            </w:pPr>
            <w:r>
              <w:rPr>
                <w:sz w:val="18"/>
                <w:szCs w:val="18"/>
              </w:rPr>
              <w:t>序号</w:t>
            </w:r>
          </w:p>
        </w:tc>
        <w:tc>
          <w:tcPr>
            <w:tcW w:w="1382" w:type="pct"/>
            <w:shd w:val="clear" w:color="auto" w:fill="auto"/>
            <w:vAlign w:val="center"/>
          </w:tcPr>
          <w:p w14:paraId="44CC62C7">
            <w:pPr>
              <w:adjustRightInd w:val="0"/>
              <w:snapToGrid w:val="0"/>
              <w:spacing w:line="240" w:lineRule="auto"/>
              <w:ind w:firstLine="0" w:firstLineChars="0"/>
              <w:jc w:val="center"/>
              <w:rPr>
                <w:sz w:val="18"/>
                <w:szCs w:val="18"/>
              </w:rPr>
            </w:pPr>
            <w:r>
              <w:rPr>
                <w:sz w:val="18"/>
                <w:szCs w:val="18"/>
              </w:rPr>
              <w:t>项目分段/分区</w:t>
            </w:r>
          </w:p>
        </w:tc>
        <w:tc>
          <w:tcPr>
            <w:tcW w:w="937" w:type="pct"/>
            <w:shd w:val="clear" w:color="auto" w:fill="auto"/>
            <w:vAlign w:val="center"/>
          </w:tcPr>
          <w:p w14:paraId="6FF64528">
            <w:pPr>
              <w:adjustRightInd w:val="0"/>
              <w:snapToGrid w:val="0"/>
              <w:spacing w:line="240" w:lineRule="auto"/>
              <w:ind w:firstLine="0" w:firstLineChars="0"/>
              <w:jc w:val="center"/>
              <w:rPr>
                <w:sz w:val="18"/>
                <w:szCs w:val="18"/>
              </w:rPr>
            </w:pPr>
            <w:r>
              <w:rPr>
                <w:sz w:val="18"/>
                <w:szCs w:val="18"/>
              </w:rPr>
              <w:t>挖方(万 m</w:t>
            </w:r>
            <w:r>
              <w:rPr>
                <w:sz w:val="18"/>
                <w:szCs w:val="18"/>
                <w:vertAlign w:val="superscript"/>
              </w:rPr>
              <w:t>3</w:t>
            </w:r>
            <w:r>
              <w:rPr>
                <w:sz w:val="18"/>
                <w:szCs w:val="18"/>
              </w:rPr>
              <w:t>)</w:t>
            </w:r>
          </w:p>
        </w:tc>
        <w:tc>
          <w:tcPr>
            <w:tcW w:w="936" w:type="pct"/>
            <w:shd w:val="clear" w:color="auto" w:fill="auto"/>
            <w:vAlign w:val="center"/>
          </w:tcPr>
          <w:p w14:paraId="55C7F9B4">
            <w:pPr>
              <w:adjustRightInd w:val="0"/>
              <w:snapToGrid w:val="0"/>
              <w:spacing w:line="240" w:lineRule="auto"/>
              <w:ind w:firstLine="0" w:firstLineChars="0"/>
              <w:jc w:val="center"/>
              <w:rPr>
                <w:sz w:val="18"/>
                <w:szCs w:val="18"/>
              </w:rPr>
            </w:pPr>
            <w:r>
              <w:rPr>
                <w:sz w:val="18"/>
                <w:szCs w:val="18"/>
              </w:rPr>
              <w:t>填方(万 m</w:t>
            </w:r>
            <w:r>
              <w:rPr>
                <w:sz w:val="18"/>
                <w:szCs w:val="18"/>
                <w:vertAlign w:val="superscript"/>
              </w:rPr>
              <w:t>3</w:t>
            </w:r>
            <w:r>
              <w:rPr>
                <w:sz w:val="18"/>
                <w:szCs w:val="18"/>
              </w:rPr>
              <w:t>)</w:t>
            </w:r>
          </w:p>
        </w:tc>
        <w:tc>
          <w:tcPr>
            <w:tcW w:w="1285" w:type="pct"/>
            <w:shd w:val="clear" w:color="auto" w:fill="auto"/>
            <w:vAlign w:val="center"/>
          </w:tcPr>
          <w:p w14:paraId="3BF6B88D">
            <w:pPr>
              <w:adjustRightInd w:val="0"/>
              <w:snapToGrid w:val="0"/>
              <w:spacing w:line="240" w:lineRule="auto"/>
              <w:ind w:firstLine="0" w:firstLineChars="0"/>
              <w:jc w:val="center"/>
              <w:rPr>
                <w:sz w:val="18"/>
                <w:szCs w:val="18"/>
              </w:rPr>
            </w:pPr>
            <w:r>
              <w:rPr>
                <w:sz w:val="18"/>
                <w:szCs w:val="18"/>
              </w:rPr>
              <w:t>堆存位置</w:t>
            </w:r>
          </w:p>
        </w:tc>
      </w:tr>
      <w:tr w14:paraId="379BCE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shd w:val="clear" w:color="auto" w:fill="auto"/>
            <w:vAlign w:val="center"/>
          </w:tcPr>
          <w:p w14:paraId="021896EE">
            <w:pPr>
              <w:adjustRightInd w:val="0"/>
              <w:snapToGrid w:val="0"/>
              <w:spacing w:line="240" w:lineRule="auto"/>
              <w:ind w:firstLine="0" w:firstLineChars="0"/>
              <w:jc w:val="center"/>
              <w:rPr>
                <w:sz w:val="18"/>
                <w:szCs w:val="18"/>
              </w:rPr>
            </w:pPr>
            <w:r>
              <w:rPr>
                <w:sz w:val="18"/>
                <w:szCs w:val="18"/>
              </w:rPr>
              <w:t>1</w:t>
            </w:r>
          </w:p>
        </w:tc>
        <w:tc>
          <w:tcPr>
            <w:tcW w:w="1382" w:type="pct"/>
            <w:shd w:val="clear" w:color="auto" w:fill="auto"/>
            <w:vAlign w:val="center"/>
          </w:tcPr>
          <w:p w14:paraId="0462E71B">
            <w:pPr>
              <w:adjustRightInd w:val="0"/>
              <w:snapToGrid w:val="0"/>
              <w:spacing w:line="240" w:lineRule="auto"/>
              <w:ind w:firstLine="0" w:firstLineChars="0"/>
              <w:jc w:val="center"/>
              <w:rPr>
                <w:sz w:val="18"/>
                <w:szCs w:val="18"/>
              </w:rPr>
            </w:pPr>
            <w:r>
              <w:rPr>
                <w:sz w:val="18"/>
                <w:szCs w:val="18"/>
              </w:rPr>
              <w:t>进场改建道路</w:t>
            </w:r>
          </w:p>
        </w:tc>
        <w:tc>
          <w:tcPr>
            <w:tcW w:w="937" w:type="pct"/>
            <w:shd w:val="clear" w:color="auto" w:fill="auto"/>
            <w:vAlign w:val="center"/>
          </w:tcPr>
          <w:p w14:paraId="6148BB96">
            <w:pPr>
              <w:adjustRightInd w:val="0"/>
              <w:snapToGrid w:val="0"/>
              <w:spacing w:line="240" w:lineRule="auto"/>
              <w:ind w:firstLine="0" w:firstLineChars="0"/>
              <w:jc w:val="center"/>
              <w:rPr>
                <w:sz w:val="18"/>
                <w:szCs w:val="18"/>
              </w:rPr>
            </w:pPr>
            <w:r>
              <w:rPr>
                <w:sz w:val="18"/>
                <w:szCs w:val="18"/>
              </w:rPr>
              <w:t>0.90</w:t>
            </w:r>
          </w:p>
        </w:tc>
        <w:tc>
          <w:tcPr>
            <w:tcW w:w="936" w:type="pct"/>
            <w:shd w:val="clear" w:color="auto" w:fill="auto"/>
            <w:vAlign w:val="center"/>
          </w:tcPr>
          <w:p w14:paraId="3E515853">
            <w:pPr>
              <w:adjustRightInd w:val="0"/>
              <w:snapToGrid w:val="0"/>
              <w:spacing w:line="240" w:lineRule="auto"/>
              <w:ind w:firstLine="0" w:firstLineChars="0"/>
              <w:jc w:val="center"/>
              <w:rPr>
                <w:sz w:val="18"/>
                <w:szCs w:val="18"/>
              </w:rPr>
            </w:pPr>
            <w:r>
              <w:rPr>
                <w:sz w:val="18"/>
                <w:szCs w:val="18"/>
              </w:rPr>
              <w:t>0.90</w:t>
            </w:r>
          </w:p>
        </w:tc>
        <w:tc>
          <w:tcPr>
            <w:tcW w:w="1285" w:type="pct"/>
            <w:shd w:val="clear" w:color="auto" w:fill="auto"/>
            <w:vAlign w:val="center"/>
          </w:tcPr>
          <w:p w14:paraId="29442DBF">
            <w:pPr>
              <w:adjustRightInd w:val="0"/>
              <w:snapToGrid w:val="0"/>
              <w:spacing w:line="240" w:lineRule="auto"/>
              <w:ind w:firstLine="0" w:firstLineChars="0"/>
              <w:jc w:val="center"/>
              <w:rPr>
                <w:sz w:val="18"/>
                <w:szCs w:val="18"/>
              </w:rPr>
            </w:pPr>
            <w:r>
              <w:rPr>
                <w:sz w:val="18"/>
                <w:szCs w:val="18"/>
              </w:rPr>
              <w:t>进场道路沿线</w:t>
            </w:r>
          </w:p>
        </w:tc>
      </w:tr>
      <w:tr w14:paraId="145340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restart"/>
            <w:shd w:val="clear" w:color="auto" w:fill="auto"/>
            <w:vAlign w:val="center"/>
          </w:tcPr>
          <w:p w14:paraId="6F55B2D1">
            <w:pPr>
              <w:adjustRightInd w:val="0"/>
              <w:snapToGrid w:val="0"/>
              <w:spacing w:line="240" w:lineRule="auto"/>
              <w:ind w:firstLine="0" w:firstLineChars="0"/>
              <w:jc w:val="center"/>
              <w:rPr>
                <w:sz w:val="18"/>
                <w:szCs w:val="18"/>
              </w:rPr>
            </w:pPr>
            <w:r>
              <w:rPr>
                <w:sz w:val="18"/>
                <w:szCs w:val="18"/>
              </w:rPr>
              <w:t>2</w:t>
            </w:r>
          </w:p>
        </w:tc>
        <w:tc>
          <w:tcPr>
            <w:tcW w:w="1382" w:type="pct"/>
            <w:shd w:val="clear" w:color="auto" w:fill="auto"/>
            <w:vAlign w:val="center"/>
          </w:tcPr>
          <w:p w14:paraId="45B9FD8D">
            <w:pPr>
              <w:adjustRightInd w:val="0"/>
              <w:snapToGrid w:val="0"/>
              <w:spacing w:line="240" w:lineRule="auto"/>
              <w:ind w:firstLine="0" w:firstLineChars="0"/>
              <w:jc w:val="center"/>
              <w:rPr>
                <w:sz w:val="18"/>
                <w:szCs w:val="18"/>
              </w:rPr>
            </w:pPr>
            <w:r>
              <w:rPr>
                <w:sz w:val="18"/>
                <w:szCs w:val="18"/>
              </w:rPr>
              <w:t>1#风机支路</w:t>
            </w:r>
          </w:p>
        </w:tc>
        <w:tc>
          <w:tcPr>
            <w:tcW w:w="937" w:type="pct"/>
            <w:shd w:val="clear" w:color="auto" w:fill="auto"/>
            <w:vAlign w:val="center"/>
          </w:tcPr>
          <w:p w14:paraId="0B40ED5B">
            <w:pPr>
              <w:adjustRightInd w:val="0"/>
              <w:snapToGrid w:val="0"/>
              <w:spacing w:line="240" w:lineRule="auto"/>
              <w:ind w:firstLine="0" w:firstLineChars="0"/>
              <w:jc w:val="center"/>
              <w:rPr>
                <w:sz w:val="18"/>
                <w:szCs w:val="18"/>
              </w:rPr>
            </w:pPr>
            <w:r>
              <w:rPr>
                <w:sz w:val="18"/>
                <w:szCs w:val="18"/>
              </w:rPr>
              <w:t>0.21</w:t>
            </w:r>
          </w:p>
        </w:tc>
        <w:tc>
          <w:tcPr>
            <w:tcW w:w="936" w:type="pct"/>
            <w:shd w:val="clear" w:color="auto" w:fill="auto"/>
            <w:vAlign w:val="center"/>
          </w:tcPr>
          <w:p w14:paraId="54DE7B72">
            <w:pPr>
              <w:adjustRightInd w:val="0"/>
              <w:snapToGrid w:val="0"/>
              <w:spacing w:line="240" w:lineRule="auto"/>
              <w:ind w:firstLine="0" w:firstLineChars="0"/>
              <w:jc w:val="center"/>
              <w:rPr>
                <w:sz w:val="18"/>
                <w:szCs w:val="18"/>
              </w:rPr>
            </w:pPr>
            <w:r>
              <w:rPr>
                <w:sz w:val="18"/>
                <w:szCs w:val="18"/>
              </w:rPr>
              <w:t>0.21</w:t>
            </w:r>
          </w:p>
        </w:tc>
        <w:tc>
          <w:tcPr>
            <w:tcW w:w="1285" w:type="pct"/>
            <w:shd w:val="clear" w:color="auto" w:fill="auto"/>
            <w:vAlign w:val="center"/>
          </w:tcPr>
          <w:p w14:paraId="2BF94184">
            <w:pPr>
              <w:adjustRightInd w:val="0"/>
              <w:snapToGrid w:val="0"/>
              <w:spacing w:line="240" w:lineRule="auto"/>
              <w:ind w:firstLine="0" w:firstLineChars="0"/>
              <w:jc w:val="center"/>
              <w:rPr>
                <w:sz w:val="18"/>
                <w:szCs w:val="18"/>
              </w:rPr>
            </w:pPr>
            <w:r>
              <w:rPr>
                <w:sz w:val="18"/>
                <w:szCs w:val="18"/>
              </w:rPr>
              <w:t>施工支路沿线</w:t>
            </w:r>
          </w:p>
        </w:tc>
      </w:tr>
      <w:tr w14:paraId="1A1F02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58D360F6">
            <w:pPr>
              <w:adjustRightInd w:val="0"/>
              <w:snapToGrid w:val="0"/>
              <w:spacing w:line="240" w:lineRule="auto"/>
              <w:ind w:firstLine="0" w:firstLineChars="0"/>
              <w:jc w:val="center"/>
              <w:rPr>
                <w:sz w:val="18"/>
                <w:szCs w:val="18"/>
              </w:rPr>
            </w:pPr>
          </w:p>
        </w:tc>
        <w:tc>
          <w:tcPr>
            <w:tcW w:w="1382" w:type="pct"/>
            <w:shd w:val="clear" w:color="auto" w:fill="auto"/>
            <w:vAlign w:val="center"/>
          </w:tcPr>
          <w:p w14:paraId="403B952F">
            <w:pPr>
              <w:adjustRightInd w:val="0"/>
              <w:snapToGrid w:val="0"/>
              <w:spacing w:line="240" w:lineRule="auto"/>
              <w:ind w:firstLine="0" w:firstLineChars="0"/>
              <w:jc w:val="center"/>
              <w:rPr>
                <w:sz w:val="18"/>
                <w:szCs w:val="18"/>
              </w:rPr>
            </w:pPr>
            <w:r>
              <w:rPr>
                <w:sz w:val="18"/>
                <w:szCs w:val="18"/>
              </w:rPr>
              <w:t>1#风机平台</w:t>
            </w:r>
          </w:p>
        </w:tc>
        <w:tc>
          <w:tcPr>
            <w:tcW w:w="937" w:type="pct"/>
            <w:shd w:val="clear" w:color="auto" w:fill="auto"/>
            <w:vAlign w:val="center"/>
          </w:tcPr>
          <w:p w14:paraId="48D7016B">
            <w:pPr>
              <w:adjustRightInd w:val="0"/>
              <w:snapToGrid w:val="0"/>
              <w:spacing w:line="240" w:lineRule="auto"/>
              <w:ind w:firstLine="0" w:firstLineChars="0"/>
              <w:jc w:val="center"/>
              <w:rPr>
                <w:sz w:val="18"/>
                <w:szCs w:val="18"/>
              </w:rPr>
            </w:pPr>
            <w:r>
              <w:rPr>
                <w:sz w:val="18"/>
                <w:szCs w:val="18"/>
              </w:rPr>
              <w:t>0.07</w:t>
            </w:r>
          </w:p>
        </w:tc>
        <w:tc>
          <w:tcPr>
            <w:tcW w:w="936" w:type="pct"/>
            <w:shd w:val="clear" w:color="auto" w:fill="auto"/>
            <w:vAlign w:val="center"/>
          </w:tcPr>
          <w:p w14:paraId="7B5E3B70">
            <w:pPr>
              <w:adjustRightInd w:val="0"/>
              <w:snapToGrid w:val="0"/>
              <w:spacing w:line="240" w:lineRule="auto"/>
              <w:ind w:firstLine="0" w:firstLineChars="0"/>
              <w:jc w:val="center"/>
              <w:rPr>
                <w:sz w:val="18"/>
                <w:szCs w:val="18"/>
              </w:rPr>
            </w:pPr>
            <w:r>
              <w:rPr>
                <w:sz w:val="18"/>
                <w:szCs w:val="18"/>
              </w:rPr>
              <w:t>0.07</w:t>
            </w:r>
          </w:p>
        </w:tc>
        <w:tc>
          <w:tcPr>
            <w:tcW w:w="1285" w:type="pct"/>
            <w:shd w:val="clear" w:color="auto" w:fill="auto"/>
            <w:vAlign w:val="center"/>
          </w:tcPr>
          <w:p w14:paraId="2FD1AE78">
            <w:pPr>
              <w:adjustRightInd w:val="0"/>
              <w:snapToGrid w:val="0"/>
              <w:spacing w:line="240" w:lineRule="auto"/>
              <w:ind w:firstLine="0" w:firstLineChars="0"/>
              <w:jc w:val="center"/>
              <w:rPr>
                <w:sz w:val="18"/>
                <w:szCs w:val="18"/>
              </w:rPr>
            </w:pPr>
            <w:r>
              <w:rPr>
                <w:sz w:val="18"/>
                <w:szCs w:val="18"/>
              </w:rPr>
              <w:t>风机平台</w:t>
            </w:r>
          </w:p>
        </w:tc>
      </w:tr>
      <w:tr w14:paraId="2ACE4E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32A20309">
            <w:pPr>
              <w:adjustRightInd w:val="0"/>
              <w:snapToGrid w:val="0"/>
              <w:spacing w:line="240" w:lineRule="auto"/>
              <w:ind w:firstLine="0" w:firstLineChars="0"/>
              <w:jc w:val="center"/>
              <w:rPr>
                <w:sz w:val="18"/>
                <w:szCs w:val="18"/>
              </w:rPr>
            </w:pPr>
          </w:p>
        </w:tc>
        <w:tc>
          <w:tcPr>
            <w:tcW w:w="1382" w:type="pct"/>
            <w:shd w:val="clear" w:color="auto" w:fill="auto"/>
            <w:vAlign w:val="center"/>
          </w:tcPr>
          <w:p w14:paraId="0C5B2F96">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213D53A1">
            <w:pPr>
              <w:adjustRightInd w:val="0"/>
              <w:snapToGrid w:val="0"/>
              <w:spacing w:line="240" w:lineRule="auto"/>
              <w:ind w:firstLine="0" w:firstLineChars="0"/>
              <w:jc w:val="center"/>
              <w:rPr>
                <w:sz w:val="18"/>
                <w:szCs w:val="18"/>
              </w:rPr>
            </w:pPr>
            <w:r>
              <w:rPr>
                <w:sz w:val="18"/>
                <w:szCs w:val="18"/>
              </w:rPr>
              <w:t>0.28</w:t>
            </w:r>
          </w:p>
        </w:tc>
        <w:tc>
          <w:tcPr>
            <w:tcW w:w="936" w:type="pct"/>
            <w:shd w:val="clear" w:color="auto" w:fill="auto"/>
            <w:vAlign w:val="center"/>
          </w:tcPr>
          <w:p w14:paraId="48BDFB90">
            <w:pPr>
              <w:adjustRightInd w:val="0"/>
              <w:snapToGrid w:val="0"/>
              <w:spacing w:line="240" w:lineRule="auto"/>
              <w:ind w:firstLine="0" w:firstLineChars="0"/>
              <w:jc w:val="center"/>
              <w:rPr>
                <w:sz w:val="18"/>
                <w:szCs w:val="18"/>
              </w:rPr>
            </w:pPr>
            <w:r>
              <w:rPr>
                <w:sz w:val="18"/>
                <w:szCs w:val="18"/>
              </w:rPr>
              <w:t>0.28</w:t>
            </w:r>
          </w:p>
        </w:tc>
        <w:tc>
          <w:tcPr>
            <w:tcW w:w="1285" w:type="pct"/>
            <w:shd w:val="clear" w:color="auto" w:fill="auto"/>
            <w:vAlign w:val="center"/>
          </w:tcPr>
          <w:p w14:paraId="35EB9C0C">
            <w:pPr>
              <w:adjustRightInd w:val="0"/>
              <w:snapToGrid w:val="0"/>
              <w:spacing w:line="240" w:lineRule="auto"/>
              <w:ind w:firstLine="0" w:firstLineChars="0"/>
              <w:jc w:val="center"/>
              <w:rPr>
                <w:sz w:val="18"/>
                <w:szCs w:val="18"/>
              </w:rPr>
            </w:pPr>
          </w:p>
        </w:tc>
      </w:tr>
      <w:tr w14:paraId="3D03D1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restart"/>
            <w:shd w:val="clear" w:color="auto" w:fill="auto"/>
            <w:vAlign w:val="center"/>
          </w:tcPr>
          <w:p w14:paraId="479EC6ED">
            <w:pPr>
              <w:adjustRightInd w:val="0"/>
              <w:snapToGrid w:val="0"/>
              <w:spacing w:line="240" w:lineRule="auto"/>
              <w:ind w:firstLine="0" w:firstLineChars="0"/>
              <w:jc w:val="center"/>
              <w:rPr>
                <w:sz w:val="18"/>
                <w:szCs w:val="18"/>
              </w:rPr>
            </w:pPr>
            <w:r>
              <w:rPr>
                <w:sz w:val="18"/>
                <w:szCs w:val="18"/>
              </w:rPr>
              <w:t>3</w:t>
            </w:r>
          </w:p>
        </w:tc>
        <w:tc>
          <w:tcPr>
            <w:tcW w:w="1382" w:type="pct"/>
            <w:shd w:val="clear" w:color="auto" w:fill="auto"/>
            <w:vAlign w:val="center"/>
          </w:tcPr>
          <w:p w14:paraId="31423B9B">
            <w:pPr>
              <w:adjustRightInd w:val="0"/>
              <w:snapToGrid w:val="0"/>
              <w:spacing w:line="240" w:lineRule="auto"/>
              <w:ind w:firstLine="0" w:firstLineChars="0"/>
              <w:jc w:val="center"/>
              <w:rPr>
                <w:sz w:val="18"/>
                <w:szCs w:val="18"/>
              </w:rPr>
            </w:pPr>
            <w:r>
              <w:rPr>
                <w:sz w:val="18"/>
                <w:szCs w:val="18"/>
              </w:rPr>
              <w:t>Z2-Z3弃渣场主干道</w:t>
            </w:r>
          </w:p>
        </w:tc>
        <w:tc>
          <w:tcPr>
            <w:tcW w:w="937" w:type="pct"/>
            <w:shd w:val="clear" w:color="auto" w:fill="auto"/>
            <w:vAlign w:val="center"/>
          </w:tcPr>
          <w:p w14:paraId="54F5640D">
            <w:pPr>
              <w:adjustRightInd w:val="0"/>
              <w:snapToGrid w:val="0"/>
              <w:spacing w:line="240" w:lineRule="auto"/>
              <w:ind w:firstLine="0" w:firstLineChars="0"/>
              <w:jc w:val="center"/>
              <w:rPr>
                <w:sz w:val="18"/>
                <w:szCs w:val="18"/>
              </w:rPr>
            </w:pPr>
            <w:r>
              <w:rPr>
                <w:sz w:val="18"/>
                <w:szCs w:val="18"/>
              </w:rPr>
              <w:t>0.64</w:t>
            </w:r>
          </w:p>
        </w:tc>
        <w:tc>
          <w:tcPr>
            <w:tcW w:w="936" w:type="pct"/>
            <w:shd w:val="clear" w:color="auto" w:fill="auto"/>
            <w:vAlign w:val="center"/>
          </w:tcPr>
          <w:p w14:paraId="650C3025">
            <w:pPr>
              <w:adjustRightInd w:val="0"/>
              <w:snapToGrid w:val="0"/>
              <w:spacing w:line="240" w:lineRule="auto"/>
              <w:ind w:firstLine="0" w:firstLineChars="0"/>
              <w:jc w:val="center"/>
              <w:rPr>
                <w:sz w:val="18"/>
                <w:szCs w:val="18"/>
              </w:rPr>
            </w:pPr>
            <w:r>
              <w:rPr>
                <w:sz w:val="18"/>
                <w:szCs w:val="18"/>
              </w:rPr>
              <w:t>0.64</w:t>
            </w:r>
          </w:p>
        </w:tc>
        <w:tc>
          <w:tcPr>
            <w:tcW w:w="1285" w:type="pct"/>
            <w:shd w:val="clear" w:color="auto" w:fill="auto"/>
            <w:vAlign w:val="center"/>
          </w:tcPr>
          <w:p w14:paraId="0D8B8897">
            <w:pPr>
              <w:adjustRightInd w:val="0"/>
              <w:snapToGrid w:val="0"/>
              <w:spacing w:line="240" w:lineRule="auto"/>
              <w:ind w:firstLine="0" w:firstLineChars="0"/>
              <w:jc w:val="center"/>
              <w:rPr>
                <w:sz w:val="18"/>
                <w:szCs w:val="18"/>
              </w:rPr>
            </w:pPr>
            <w:r>
              <w:rPr>
                <w:sz w:val="18"/>
                <w:szCs w:val="18"/>
              </w:rPr>
              <w:t>场内主干道沿线</w:t>
            </w:r>
          </w:p>
        </w:tc>
      </w:tr>
      <w:tr w14:paraId="7D00AE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567636DB">
            <w:pPr>
              <w:adjustRightInd w:val="0"/>
              <w:snapToGrid w:val="0"/>
              <w:spacing w:line="240" w:lineRule="auto"/>
              <w:ind w:firstLine="0" w:firstLineChars="0"/>
              <w:jc w:val="center"/>
              <w:rPr>
                <w:sz w:val="18"/>
                <w:szCs w:val="18"/>
              </w:rPr>
            </w:pPr>
          </w:p>
        </w:tc>
        <w:tc>
          <w:tcPr>
            <w:tcW w:w="1382" w:type="pct"/>
            <w:shd w:val="clear" w:color="auto" w:fill="auto"/>
            <w:vAlign w:val="center"/>
          </w:tcPr>
          <w:p w14:paraId="10235670">
            <w:pPr>
              <w:adjustRightInd w:val="0"/>
              <w:snapToGrid w:val="0"/>
              <w:spacing w:line="240" w:lineRule="auto"/>
              <w:ind w:firstLine="0" w:firstLineChars="0"/>
              <w:jc w:val="center"/>
              <w:rPr>
                <w:sz w:val="18"/>
                <w:szCs w:val="18"/>
              </w:rPr>
            </w:pPr>
            <w:r>
              <w:rPr>
                <w:sz w:val="18"/>
                <w:szCs w:val="18"/>
              </w:rPr>
              <w:t>7#风机平台</w:t>
            </w:r>
          </w:p>
        </w:tc>
        <w:tc>
          <w:tcPr>
            <w:tcW w:w="937" w:type="pct"/>
            <w:shd w:val="clear" w:color="auto" w:fill="auto"/>
            <w:vAlign w:val="center"/>
          </w:tcPr>
          <w:p w14:paraId="36B7C93A">
            <w:pPr>
              <w:adjustRightInd w:val="0"/>
              <w:snapToGrid w:val="0"/>
              <w:spacing w:line="240" w:lineRule="auto"/>
              <w:ind w:firstLine="0" w:firstLineChars="0"/>
              <w:jc w:val="center"/>
              <w:rPr>
                <w:sz w:val="18"/>
                <w:szCs w:val="18"/>
              </w:rPr>
            </w:pPr>
            <w:r>
              <w:rPr>
                <w:sz w:val="18"/>
                <w:szCs w:val="18"/>
              </w:rPr>
              <w:t>0.07</w:t>
            </w:r>
          </w:p>
        </w:tc>
        <w:tc>
          <w:tcPr>
            <w:tcW w:w="936" w:type="pct"/>
            <w:shd w:val="clear" w:color="auto" w:fill="auto"/>
            <w:vAlign w:val="center"/>
          </w:tcPr>
          <w:p w14:paraId="43AF74EF">
            <w:pPr>
              <w:adjustRightInd w:val="0"/>
              <w:snapToGrid w:val="0"/>
              <w:spacing w:line="240" w:lineRule="auto"/>
              <w:ind w:firstLine="0" w:firstLineChars="0"/>
              <w:jc w:val="center"/>
              <w:rPr>
                <w:sz w:val="18"/>
                <w:szCs w:val="18"/>
              </w:rPr>
            </w:pPr>
            <w:r>
              <w:rPr>
                <w:sz w:val="18"/>
                <w:szCs w:val="18"/>
              </w:rPr>
              <w:t>0.07</w:t>
            </w:r>
          </w:p>
        </w:tc>
        <w:tc>
          <w:tcPr>
            <w:tcW w:w="1285" w:type="pct"/>
            <w:shd w:val="clear" w:color="auto" w:fill="auto"/>
            <w:vAlign w:val="center"/>
          </w:tcPr>
          <w:p w14:paraId="36C34A28">
            <w:pPr>
              <w:adjustRightInd w:val="0"/>
              <w:snapToGrid w:val="0"/>
              <w:spacing w:line="240" w:lineRule="auto"/>
              <w:ind w:firstLine="0" w:firstLineChars="0"/>
              <w:jc w:val="center"/>
              <w:rPr>
                <w:sz w:val="18"/>
                <w:szCs w:val="18"/>
              </w:rPr>
            </w:pPr>
            <w:r>
              <w:rPr>
                <w:sz w:val="18"/>
                <w:szCs w:val="18"/>
              </w:rPr>
              <w:t>风机平台</w:t>
            </w:r>
          </w:p>
        </w:tc>
      </w:tr>
      <w:tr w14:paraId="4F6D6B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1E233565">
            <w:pPr>
              <w:adjustRightInd w:val="0"/>
              <w:snapToGrid w:val="0"/>
              <w:spacing w:line="240" w:lineRule="auto"/>
              <w:ind w:firstLine="0" w:firstLineChars="0"/>
              <w:jc w:val="center"/>
              <w:rPr>
                <w:sz w:val="18"/>
                <w:szCs w:val="18"/>
              </w:rPr>
            </w:pPr>
          </w:p>
        </w:tc>
        <w:tc>
          <w:tcPr>
            <w:tcW w:w="1382" w:type="pct"/>
            <w:shd w:val="clear" w:color="auto" w:fill="auto"/>
            <w:vAlign w:val="center"/>
          </w:tcPr>
          <w:p w14:paraId="47C42E8B">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4C3A75F1">
            <w:pPr>
              <w:adjustRightInd w:val="0"/>
              <w:snapToGrid w:val="0"/>
              <w:spacing w:line="240" w:lineRule="auto"/>
              <w:ind w:firstLine="0" w:firstLineChars="0"/>
              <w:jc w:val="center"/>
              <w:rPr>
                <w:sz w:val="18"/>
                <w:szCs w:val="18"/>
              </w:rPr>
            </w:pPr>
            <w:r>
              <w:rPr>
                <w:sz w:val="18"/>
                <w:szCs w:val="18"/>
              </w:rPr>
              <w:t>0.71</w:t>
            </w:r>
          </w:p>
        </w:tc>
        <w:tc>
          <w:tcPr>
            <w:tcW w:w="936" w:type="pct"/>
            <w:shd w:val="clear" w:color="auto" w:fill="auto"/>
            <w:vAlign w:val="center"/>
          </w:tcPr>
          <w:p w14:paraId="79CB8A85">
            <w:pPr>
              <w:adjustRightInd w:val="0"/>
              <w:snapToGrid w:val="0"/>
              <w:spacing w:line="240" w:lineRule="auto"/>
              <w:ind w:firstLine="0" w:firstLineChars="0"/>
              <w:jc w:val="center"/>
              <w:rPr>
                <w:sz w:val="18"/>
                <w:szCs w:val="18"/>
              </w:rPr>
            </w:pPr>
            <w:r>
              <w:rPr>
                <w:sz w:val="18"/>
                <w:szCs w:val="18"/>
              </w:rPr>
              <w:t>0.71</w:t>
            </w:r>
          </w:p>
        </w:tc>
        <w:tc>
          <w:tcPr>
            <w:tcW w:w="1285" w:type="pct"/>
            <w:shd w:val="clear" w:color="auto" w:fill="auto"/>
            <w:vAlign w:val="center"/>
          </w:tcPr>
          <w:p w14:paraId="35C486A0">
            <w:pPr>
              <w:adjustRightInd w:val="0"/>
              <w:snapToGrid w:val="0"/>
              <w:spacing w:line="240" w:lineRule="auto"/>
              <w:ind w:firstLine="0" w:firstLineChars="0"/>
              <w:jc w:val="center"/>
              <w:rPr>
                <w:sz w:val="18"/>
                <w:szCs w:val="18"/>
              </w:rPr>
            </w:pPr>
          </w:p>
        </w:tc>
      </w:tr>
      <w:tr w14:paraId="108F17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restart"/>
            <w:shd w:val="clear" w:color="auto" w:fill="auto"/>
            <w:vAlign w:val="center"/>
          </w:tcPr>
          <w:p w14:paraId="33C718F1">
            <w:pPr>
              <w:adjustRightInd w:val="0"/>
              <w:snapToGrid w:val="0"/>
              <w:spacing w:line="240" w:lineRule="auto"/>
              <w:ind w:firstLine="0" w:firstLineChars="0"/>
              <w:jc w:val="center"/>
              <w:rPr>
                <w:sz w:val="18"/>
                <w:szCs w:val="18"/>
              </w:rPr>
            </w:pPr>
            <w:r>
              <w:rPr>
                <w:sz w:val="18"/>
                <w:szCs w:val="18"/>
              </w:rPr>
              <w:t>4</w:t>
            </w:r>
          </w:p>
        </w:tc>
        <w:tc>
          <w:tcPr>
            <w:tcW w:w="1382" w:type="pct"/>
            <w:shd w:val="clear" w:color="auto" w:fill="auto"/>
            <w:vAlign w:val="center"/>
          </w:tcPr>
          <w:p w14:paraId="7814AF63">
            <w:pPr>
              <w:adjustRightInd w:val="0"/>
              <w:snapToGrid w:val="0"/>
              <w:spacing w:line="240" w:lineRule="auto"/>
              <w:ind w:firstLine="0" w:firstLineChars="0"/>
              <w:jc w:val="center"/>
              <w:rPr>
                <w:sz w:val="18"/>
                <w:szCs w:val="18"/>
              </w:rPr>
            </w:pPr>
            <w:r>
              <w:rPr>
                <w:sz w:val="18"/>
                <w:szCs w:val="18"/>
              </w:rPr>
              <w:t>Z4-Z5弃渣场主干道</w:t>
            </w:r>
          </w:p>
        </w:tc>
        <w:tc>
          <w:tcPr>
            <w:tcW w:w="937" w:type="pct"/>
            <w:shd w:val="clear" w:color="auto" w:fill="auto"/>
            <w:vAlign w:val="center"/>
          </w:tcPr>
          <w:p w14:paraId="4C996100">
            <w:pPr>
              <w:adjustRightInd w:val="0"/>
              <w:snapToGrid w:val="0"/>
              <w:spacing w:line="240" w:lineRule="auto"/>
              <w:ind w:firstLine="0" w:firstLineChars="0"/>
              <w:jc w:val="center"/>
              <w:rPr>
                <w:sz w:val="18"/>
                <w:szCs w:val="18"/>
              </w:rPr>
            </w:pPr>
            <w:r>
              <w:rPr>
                <w:sz w:val="18"/>
                <w:szCs w:val="18"/>
              </w:rPr>
              <w:t>0.42</w:t>
            </w:r>
          </w:p>
        </w:tc>
        <w:tc>
          <w:tcPr>
            <w:tcW w:w="936" w:type="pct"/>
            <w:shd w:val="clear" w:color="auto" w:fill="auto"/>
            <w:vAlign w:val="center"/>
          </w:tcPr>
          <w:p w14:paraId="332B168A">
            <w:pPr>
              <w:adjustRightInd w:val="0"/>
              <w:snapToGrid w:val="0"/>
              <w:spacing w:line="240" w:lineRule="auto"/>
              <w:ind w:firstLine="0" w:firstLineChars="0"/>
              <w:jc w:val="center"/>
              <w:rPr>
                <w:sz w:val="18"/>
                <w:szCs w:val="18"/>
              </w:rPr>
            </w:pPr>
            <w:r>
              <w:rPr>
                <w:sz w:val="18"/>
                <w:szCs w:val="18"/>
              </w:rPr>
              <w:t>0.42</w:t>
            </w:r>
          </w:p>
        </w:tc>
        <w:tc>
          <w:tcPr>
            <w:tcW w:w="1285" w:type="pct"/>
            <w:shd w:val="clear" w:color="auto" w:fill="auto"/>
            <w:vAlign w:val="center"/>
          </w:tcPr>
          <w:p w14:paraId="59E064FD">
            <w:pPr>
              <w:adjustRightInd w:val="0"/>
              <w:snapToGrid w:val="0"/>
              <w:spacing w:line="240" w:lineRule="auto"/>
              <w:ind w:firstLine="0" w:firstLineChars="0"/>
              <w:jc w:val="center"/>
              <w:rPr>
                <w:sz w:val="18"/>
                <w:szCs w:val="18"/>
              </w:rPr>
            </w:pPr>
            <w:r>
              <w:rPr>
                <w:sz w:val="18"/>
                <w:szCs w:val="18"/>
              </w:rPr>
              <w:t>场内主干道沿线</w:t>
            </w:r>
          </w:p>
        </w:tc>
      </w:tr>
      <w:tr w14:paraId="15D2B4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5C8EF26C">
            <w:pPr>
              <w:adjustRightInd w:val="0"/>
              <w:snapToGrid w:val="0"/>
              <w:spacing w:line="240" w:lineRule="auto"/>
              <w:ind w:firstLine="0" w:firstLineChars="0"/>
              <w:jc w:val="center"/>
              <w:rPr>
                <w:sz w:val="18"/>
                <w:szCs w:val="18"/>
              </w:rPr>
            </w:pPr>
          </w:p>
        </w:tc>
        <w:tc>
          <w:tcPr>
            <w:tcW w:w="1382" w:type="pct"/>
            <w:shd w:val="clear" w:color="auto" w:fill="auto"/>
            <w:vAlign w:val="center"/>
          </w:tcPr>
          <w:p w14:paraId="72F6F29F">
            <w:pPr>
              <w:adjustRightInd w:val="0"/>
              <w:snapToGrid w:val="0"/>
              <w:spacing w:line="240" w:lineRule="auto"/>
              <w:ind w:firstLine="0" w:firstLineChars="0"/>
              <w:jc w:val="center"/>
              <w:rPr>
                <w:sz w:val="18"/>
                <w:szCs w:val="18"/>
              </w:rPr>
            </w:pPr>
            <w:r>
              <w:rPr>
                <w:sz w:val="18"/>
                <w:szCs w:val="18"/>
              </w:rPr>
              <w:t>2#风机支路</w:t>
            </w:r>
          </w:p>
        </w:tc>
        <w:tc>
          <w:tcPr>
            <w:tcW w:w="937" w:type="pct"/>
            <w:shd w:val="clear" w:color="auto" w:fill="auto"/>
            <w:vAlign w:val="center"/>
          </w:tcPr>
          <w:p w14:paraId="06C6B25B">
            <w:pPr>
              <w:adjustRightInd w:val="0"/>
              <w:snapToGrid w:val="0"/>
              <w:spacing w:line="240" w:lineRule="auto"/>
              <w:ind w:firstLine="0" w:firstLineChars="0"/>
              <w:jc w:val="center"/>
              <w:rPr>
                <w:sz w:val="18"/>
                <w:szCs w:val="18"/>
              </w:rPr>
            </w:pPr>
            <w:r>
              <w:rPr>
                <w:sz w:val="18"/>
                <w:szCs w:val="18"/>
              </w:rPr>
              <w:t>0.03</w:t>
            </w:r>
          </w:p>
        </w:tc>
        <w:tc>
          <w:tcPr>
            <w:tcW w:w="936" w:type="pct"/>
            <w:shd w:val="clear" w:color="auto" w:fill="auto"/>
            <w:vAlign w:val="center"/>
          </w:tcPr>
          <w:p w14:paraId="0FB4F273">
            <w:pPr>
              <w:adjustRightInd w:val="0"/>
              <w:snapToGrid w:val="0"/>
              <w:spacing w:line="240" w:lineRule="auto"/>
              <w:ind w:firstLine="0" w:firstLineChars="0"/>
              <w:jc w:val="center"/>
              <w:rPr>
                <w:sz w:val="18"/>
                <w:szCs w:val="18"/>
              </w:rPr>
            </w:pPr>
            <w:r>
              <w:rPr>
                <w:sz w:val="18"/>
                <w:szCs w:val="18"/>
              </w:rPr>
              <w:t>0.03</w:t>
            </w:r>
          </w:p>
        </w:tc>
        <w:tc>
          <w:tcPr>
            <w:tcW w:w="1285" w:type="pct"/>
            <w:shd w:val="clear" w:color="auto" w:fill="auto"/>
            <w:vAlign w:val="center"/>
          </w:tcPr>
          <w:p w14:paraId="7E016027">
            <w:pPr>
              <w:adjustRightInd w:val="0"/>
              <w:snapToGrid w:val="0"/>
              <w:spacing w:line="240" w:lineRule="auto"/>
              <w:ind w:firstLine="0" w:firstLineChars="0"/>
              <w:jc w:val="center"/>
              <w:rPr>
                <w:sz w:val="18"/>
                <w:szCs w:val="18"/>
              </w:rPr>
            </w:pPr>
            <w:r>
              <w:rPr>
                <w:sz w:val="18"/>
                <w:szCs w:val="18"/>
              </w:rPr>
              <w:t>施工支路沿线</w:t>
            </w:r>
          </w:p>
        </w:tc>
      </w:tr>
      <w:tr w14:paraId="425924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4F56ED80">
            <w:pPr>
              <w:adjustRightInd w:val="0"/>
              <w:snapToGrid w:val="0"/>
              <w:spacing w:line="240" w:lineRule="auto"/>
              <w:ind w:firstLine="0" w:firstLineChars="0"/>
              <w:jc w:val="center"/>
              <w:rPr>
                <w:sz w:val="18"/>
                <w:szCs w:val="18"/>
              </w:rPr>
            </w:pPr>
          </w:p>
        </w:tc>
        <w:tc>
          <w:tcPr>
            <w:tcW w:w="1382" w:type="pct"/>
            <w:shd w:val="clear" w:color="auto" w:fill="auto"/>
            <w:vAlign w:val="center"/>
          </w:tcPr>
          <w:p w14:paraId="54E22875">
            <w:pPr>
              <w:adjustRightInd w:val="0"/>
              <w:snapToGrid w:val="0"/>
              <w:spacing w:line="240" w:lineRule="auto"/>
              <w:ind w:firstLine="0" w:firstLineChars="0"/>
              <w:jc w:val="center"/>
              <w:rPr>
                <w:sz w:val="18"/>
                <w:szCs w:val="18"/>
              </w:rPr>
            </w:pPr>
            <w:r>
              <w:rPr>
                <w:sz w:val="18"/>
                <w:szCs w:val="18"/>
              </w:rPr>
              <w:t>3#风机支路</w:t>
            </w:r>
          </w:p>
        </w:tc>
        <w:tc>
          <w:tcPr>
            <w:tcW w:w="937" w:type="pct"/>
            <w:shd w:val="clear" w:color="auto" w:fill="auto"/>
            <w:vAlign w:val="center"/>
          </w:tcPr>
          <w:p w14:paraId="0336EBFF">
            <w:pPr>
              <w:adjustRightInd w:val="0"/>
              <w:snapToGrid w:val="0"/>
              <w:spacing w:line="240" w:lineRule="auto"/>
              <w:ind w:firstLine="0" w:firstLineChars="0"/>
              <w:jc w:val="center"/>
              <w:rPr>
                <w:sz w:val="18"/>
                <w:szCs w:val="18"/>
              </w:rPr>
            </w:pPr>
            <w:r>
              <w:rPr>
                <w:sz w:val="18"/>
                <w:szCs w:val="18"/>
              </w:rPr>
              <w:t>0.02</w:t>
            </w:r>
          </w:p>
        </w:tc>
        <w:tc>
          <w:tcPr>
            <w:tcW w:w="936" w:type="pct"/>
            <w:shd w:val="clear" w:color="auto" w:fill="auto"/>
            <w:vAlign w:val="center"/>
          </w:tcPr>
          <w:p w14:paraId="6D0840CB">
            <w:pPr>
              <w:adjustRightInd w:val="0"/>
              <w:snapToGrid w:val="0"/>
              <w:spacing w:line="240" w:lineRule="auto"/>
              <w:ind w:firstLine="0" w:firstLineChars="0"/>
              <w:jc w:val="center"/>
              <w:rPr>
                <w:sz w:val="18"/>
                <w:szCs w:val="18"/>
              </w:rPr>
            </w:pPr>
            <w:r>
              <w:rPr>
                <w:sz w:val="18"/>
                <w:szCs w:val="18"/>
              </w:rPr>
              <w:t>0.02</w:t>
            </w:r>
          </w:p>
        </w:tc>
        <w:tc>
          <w:tcPr>
            <w:tcW w:w="1285" w:type="pct"/>
            <w:shd w:val="clear" w:color="auto" w:fill="auto"/>
            <w:vAlign w:val="center"/>
          </w:tcPr>
          <w:p w14:paraId="24B80309">
            <w:pPr>
              <w:adjustRightInd w:val="0"/>
              <w:snapToGrid w:val="0"/>
              <w:spacing w:line="240" w:lineRule="auto"/>
              <w:ind w:firstLine="0" w:firstLineChars="0"/>
              <w:jc w:val="center"/>
              <w:rPr>
                <w:sz w:val="18"/>
                <w:szCs w:val="18"/>
              </w:rPr>
            </w:pPr>
            <w:r>
              <w:rPr>
                <w:sz w:val="18"/>
                <w:szCs w:val="18"/>
              </w:rPr>
              <w:t>施工支路沿线</w:t>
            </w:r>
          </w:p>
        </w:tc>
      </w:tr>
      <w:tr w14:paraId="3A2E98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70E28660">
            <w:pPr>
              <w:adjustRightInd w:val="0"/>
              <w:snapToGrid w:val="0"/>
              <w:spacing w:line="240" w:lineRule="auto"/>
              <w:ind w:firstLine="0" w:firstLineChars="0"/>
              <w:jc w:val="center"/>
              <w:rPr>
                <w:sz w:val="18"/>
                <w:szCs w:val="18"/>
              </w:rPr>
            </w:pPr>
          </w:p>
        </w:tc>
        <w:tc>
          <w:tcPr>
            <w:tcW w:w="1382" w:type="pct"/>
            <w:shd w:val="clear" w:color="auto" w:fill="auto"/>
            <w:vAlign w:val="center"/>
          </w:tcPr>
          <w:p w14:paraId="3D4A016B">
            <w:pPr>
              <w:adjustRightInd w:val="0"/>
              <w:snapToGrid w:val="0"/>
              <w:spacing w:line="240" w:lineRule="auto"/>
              <w:ind w:firstLine="0" w:firstLineChars="0"/>
              <w:jc w:val="center"/>
              <w:rPr>
                <w:sz w:val="18"/>
                <w:szCs w:val="18"/>
              </w:rPr>
            </w:pPr>
            <w:r>
              <w:rPr>
                <w:sz w:val="18"/>
                <w:szCs w:val="18"/>
              </w:rPr>
              <w:t>2#-3#风机平台</w:t>
            </w:r>
          </w:p>
        </w:tc>
        <w:tc>
          <w:tcPr>
            <w:tcW w:w="937" w:type="pct"/>
            <w:shd w:val="clear" w:color="auto" w:fill="auto"/>
            <w:vAlign w:val="center"/>
          </w:tcPr>
          <w:p w14:paraId="5B25391D">
            <w:pPr>
              <w:adjustRightInd w:val="0"/>
              <w:snapToGrid w:val="0"/>
              <w:spacing w:line="240" w:lineRule="auto"/>
              <w:ind w:firstLine="0" w:firstLineChars="0"/>
              <w:jc w:val="center"/>
              <w:rPr>
                <w:sz w:val="18"/>
                <w:szCs w:val="18"/>
              </w:rPr>
            </w:pPr>
            <w:r>
              <w:rPr>
                <w:sz w:val="18"/>
                <w:szCs w:val="18"/>
              </w:rPr>
              <w:t>0.14</w:t>
            </w:r>
          </w:p>
        </w:tc>
        <w:tc>
          <w:tcPr>
            <w:tcW w:w="936" w:type="pct"/>
            <w:shd w:val="clear" w:color="auto" w:fill="auto"/>
            <w:vAlign w:val="center"/>
          </w:tcPr>
          <w:p w14:paraId="3E0D062C">
            <w:pPr>
              <w:adjustRightInd w:val="0"/>
              <w:snapToGrid w:val="0"/>
              <w:spacing w:line="240" w:lineRule="auto"/>
              <w:ind w:firstLine="0" w:firstLineChars="0"/>
              <w:jc w:val="center"/>
              <w:rPr>
                <w:sz w:val="18"/>
                <w:szCs w:val="18"/>
              </w:rPr>
            </w:pPr>
            <w:r>
              <w:rPr>
                <w:sz w:val="18"/>
                <w:szCs w:val="18"/>
              </w:rPr>
              <w:t>0.14</w:t>
            </w:r>
          </w:p>
        </w:tc>
        <w:tc>
          <w:tcPr>
            <w:tcW w:w="1285" w:type="pct"/>
            <w:shd w:val="clear" w:color="auto" w:fill="auto"/>
            <w:vAlign w:val="center"/>
          </w:tcPr>
          <w:p w14:paraId="20D583D0">
            <w:pPr>
              <w:adjustRightInd w:val="0"/>
              <w:snapToGrid w:val="0"/>
              <w:spacing w:line="240" w:lineRule="auto"/>
              <w:ind w:firstLine="0" w:firstLineChars="0"/>
              <w:jc w:val="center"/>
              <w:rPr>
                <w:sz w:val="18"/>
                <w:szCs w:val="18"/>
              </w:rPr>
            </w:pPr>
            <w:r>
              <w:rPr>
                <w:sz w:val="18"/>
                <w:szCs w:val="18"/>
              </w:rPr>
              <w:t>风机平台</w:t>
            </w:r>
          </w:p>
        </w:tc>
      </w:tr>
      <w:tr w14:paraId="0EF1AD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28A6136E">
            <w:pPr>
              <w:adjustRightInd w:val="0"/>
              <w:snapToGrid w:val="0"/>
              <w:spacing w:line="240" w:lineRule="auto"/>
              <w:ind w:firstLine="0" w:firstLineChars="0"/>
              <w:jc w:val="center"/>
              <w:rPr>
                <w:sz w:val="18"/>
                <w:szCs w:val="18"/>
              </w:rPr>
            </w:pPr>
          </w:p>
        </w:tc>
        <w:tc>
          <w:tcPr>
            <w:tcW w:w="1382" w:type="pct"/>
            <w:shd w:val="clear" w:color="auto" w:fill="auto"/>
            <w:vAlign w:val="center"/>
          </w:tcPr>
          <w:p w14:paraId="0644201B">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7E9067AC">
            <w:pPr>
              <w:adjustRightInd w:val="0"/>
              <w:snapToGrid w:val="0"/>
              <w:spacing w:line="240" w:lineRule="auto"/>
              <w:ind w:firstLine="0" w:firstLineChars="0"/>
              <w:jc w:val="center"/>
              <w:rPr>
                <w:sz w:val="18"/>
                <w:szCs w:val="18"/>
              </w:rPr>
            </w:pPr>
            <w:r>
              <w:rPr>
                <w:sz w:val="18"/>
                <w:szCs w:val="18"/>
              </w:rPr>
              <w:t>0.61</w:t>
            </w:r>
          </w:p>
        </w:tc>
        <w:tc>
          <w:tcPr>
            <w:tcW w:w="936" w:type="pct"/>
            <w:shd w:val="clear" w:color="auto" w:fill="auto"/>
            <w:vAlign w:val="center"/>
          </w:tcPr>
          <w:p w14:paraId="04E636B6">
            <w:pPr>
              <w:adjustRightInd w:val="0"/>
              <w:snapToGrid w:val="0"/>
              <w:spacing w:line="240" w:lineRule="auto"/>
              <w:ind w:firstLine="0" w:firstLineChars="0"/>
              <w:jc w:val="center"/>
              <w:rPr>
                <w:sz w:val="18"/>
                <w:szCs w:val="18"/>
              </w:rPr>
            </w:pPr>
            <w:r>
              <w:rPr>
                <w:sz w:val="18"/>
                <w:szCs w:val="18"/>
              </w:rPr>
              <w:t>0.61</w:t>
            </w:r>
          </w:p>
        </w:tc>
        <w:tc>
          <w:tcPr>
            <w:tcW w:w="1285" w:type="pct"/>
            <w:shd w:val="clear" w:color="auto" w:fill="auto"/>
            <w:vAlign w:val="center"/>
          </w:tcPr>
          <w:p w14:paraId="33138568">
            <w:pPr>
              <w:adjustRightInd w:val="0"/>
              <w:snapToGrid w:val="0"/>
              <w:spacing w:line="240" w:lineRule="auto"/>
              <w:ind w:firstLine="0" w:firstLineChars="0"/>
              <w:jc w:val="center"/>
              <w:rPr>
                <w:sz w:val="18"/>
                <w:szCs w:val="18"/>
              </w:rPr>
            </w:pPr>
          </w:p>
        </w:tc>
      </w:tr>
      <w:tr w14:paraId="3F586B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restart"/>
            <w:shd w:val="clear" w:color="auto" w:fill="auto"/>
            <w:vAlign w:val="center"/>
          </w:tcPr>
          <w:p w14:paraId="689A743C">
            <w:pPr>
              <w:adjustRightInd w:val="0"/>
              <w:snapToGrid w:val="0"/>
              <w:spacing w:line="240" w:lineRule="auto"/>
              <w:ind w:firstLine="0" w:firstLineChars="0"/>
              <w:jc w:val="center"/>
              <w:rPr>
                <w:sz w:val="18"/>
                <w:szCs w:val="18"/>
              </w:rPr>
            </w:pPr>
            <w:r>
              <w:rPr>
                <w:sz w:val="18"/>
                <w:szCs w:val="18"/>
              </w:rPr>
              <w:t>5</w:t>
            </w:r>
          </w:p>
        </w:tc>
        <w:tc>
          <w:tcPr>
            <w:tcW w:w="1382" w:type="pct"/>
            <w:shd w:val="clear" w:color="auto" w:fill="auto"/>
            <w:vAlign w:val="center"/>
          </w:tcPr>
          <w:p w14:paraId="086A0ABD">
            <w:pPr>
              <w:adjustRightInd w:val="0"/>
              <w:snapToGrid w:val="0"/>
              <w:spacing w:line="240" w:lineRule="auto"/>
              <w:ind w:firstLine="0" w:firstLineChars="0"/>
              <w:jc w:val="center"/>
              <w:rPr>
                <w:sz w:val="18"/>
                <w:szCs w:val="18"/>
              </w:rPr>
            </w:pPr>
            <w:r>
              <w:rPr>
                <w:sz w:val="18"/>
                <w:szCs w:val="18"/>
              </w:rPr>
              <w:t>Z6弃渣场主干道</w:t>
            </w:r>
          </w:p>
        </w:tc>
        <w:tc>
          <w:tcPr>
            <w:tcW w:w="937" w:type="pct"/>
            <w:shd w:val="clear" w:color="auto" w:fill="auto"/>
            <w:vAlign w:val="center"/>
          </w:tcPr>
          <w:p w14:paraId="672AA3DD">
            <w:pPr>
              <w:adjustRightInd w:val="0"/>
              <w:snapToGrid w:val="0"/>
              <w:spacing w:line="240" w:lineRule="auto"/>
              <w:ind w:firstLine="0" w:firstLineChars="0"/>
              <w:jc w:val="center"/>
              <w:rPr>
                <w:sz w:val="18"/>
                <w:szCs w:val="18"/>
              </w:rPr>
            </w:pPr>
            <w:r>
              <w:rPr>
                <w:sz w:val="18"/>
                <w:szCs w:val="18"/>
              </w:rPr>
              <w:t>0.56</w:t>
            </w:r>
          </w:p>
        </w:tc>
        <w:tc>
          <w:tcPr>
            <w:tcW w:w="936" w:type="pct"/>
            <w:shd w:val="clear" w:color="auto" w:fill="auto"/>
            <w:vAlign w:val="center"/>
          </w:tcPr>
          <w:p w14:paraId="69DD3FC2">
            <w:pPr>
              <w:adjustRightInd w:val="0"/>
              <w:snapToGrid w:val="0"/>
              <w:spacing w:line="240" w:lineRule="auto"/>
              <w:ind w:firstLine="0" w:firstLineChars="0"/>
              <w:jc w:val="center"/>
              <w:rPr>
                <w:sz w:val="18"/>
                <w:szCs w:val="18"/>
              </w:rPr>
            </w:pPr>
            <w:r>
              <w:rPr>
                <w:sz w:val="18"/>
                <w:szCs w:val="18"/>
              </w:rPr>
              <w:t>0.56</w:t>
            </w:r>
          </w:p>
        </w:tc>
        <w:tc>
          <w:tcPr>
            <w:tcW w:w="1285" w:type="pct"/>
            <w:shd w:val="clear" w:color="auto" w:fill="auto"/>
            <w:vAlign w:val="center"/>
          </w:tcPr>
          <w:p w14:paraId="67DDB43D">
            <w:pPr>
              <w:adjustRightInd w:val="0"/>
              <w:snapToGrid w:val="0"/>
              <w:spacing w:line="240" w:lineRule="auto"/>
              <w:ind w:firstLine="0" w:firstLineChars="0"/>
              <w:jc w:val="center"/>
              <w:rPr>
                <w:sz w:val="18"/>
                <w:szCs w:val="18"/>
              </w:rPr>
            </w:pPr>
            <w:r>
              <w:rPr>
                <w:sz w:val="18"/>
                <w:szCs w:val="18"/>
              </w:rPr>
              <w:t>场内主干道沿线</w:t>
            </w:r>
          </w:p>
        </w:tc>
      </w:tr>
      <w:tr w14:paraId="55BEC6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3E2A1ADC">
            <w:pPr>
              <w:adjustRightInd w:val="0"/>
              <w:snapToGrid w:val="0"/>
              <w:spacing w:line="240" w:lineRule="auto"/>
              <w:ind w:firstLine="0" w:firstLineChars="0"/>
              <w:jc w:val="center"/>
              <w:rPr>
                <w:sz w:val="18"/>
                <w:szCs w:val="18"/>
              </w:rPr>
            </w:pPr>
          </w:p>
        </w:tc>
        <w:tc>
          <w:tcPr>
            <w:tcW w:w="1382" w:type="pct"/>
            <w:shd w:val="clear" w:color="auto" w:fill="auto"/>
            <w:vAlign w:val="center"/>
          </w:tcPr>
          <w:p w14:paraId="705544A8">
            <w:pPr>
              <w:adjustRightInd w:val="0"/>
              <w:snapToGrid w:val="0"/>
              <w:spacing w:line="240" w:lineRule="auto"/>
              <w:ind w:firstLine="0" w:firstLineChars="0"/>
              <w:jc w:val="center"/>
              <w:rPr>
                <w:sz w:val="18"/>
                <w:szCs w:val="18"/>
              </w:rPr>
            </w:pPr>
            <w:r>
              <w:rPr>
                <w:sz w:val="18"/>
                <w:szCs w:val="18"/>
              </w:rPr>
              <w:t>4#风机支路</w:t>
            </w:r>
          </w:p>
        </w:tc>
        <w:tc>
          <w:tcPr>
            <w:tcW w:w="937" w:type="pct"/>
            <w:shd w:val="clear" w:color="auto" w:fill="auto"/>
            <w:vAlign w:val="center"/>
          </w:tcPr>
          <w:p w14:paraId="1237DFF7">
            <w:pPr>
              <w:adjustRightInd w:val="0"/>
              <w:snapToGrid w:val="0"/>
              <w:spacing w:line="240" w:lineRule="auto"/>
              <w:ind w:firstLine="0" w:firstLineChars="0"/>
              <w:jc w:val="center"/>
              <w:rPr>
                <w:sz w:val="18"/>
                <w:szCs w:val="18"/>
              </w:rPr>
            </w:pPr>
            <w:r>
              <w:rPr>
                <w:sz w:val="18"/>
                <w:szCs w:val="18"/>
              </w:rPr>
              <w:t>0.08</w:t>
            </w:r>
          </w:p>
        </w:tc>
        <w:tc>
          <w:tcPr>
            <w:tcW w:w="936" w:type="pct"/>
            <w:shd w:val="clear" w:color="auto" w:fill="auto"/>
            <w:vAlign w:val="center"/>
          </w:tcPr>
          <w:p w14:paraId="0497AED2">
            <w:pPr>
              <w:adjustRightInd w:val="0"/>
              <w:snapToGrid w:val="0"/>
              <w:spacing w:line="240" w:lineRule="auto"/>
              <w:ind w:firstLine="0" w:firstLineChars="0"/>
              <w:jc w:val="center"/>
              <w:rPr>
                <w:sz w:val="18"/>
                <w:szCs w:val="18"/>
              </w:rPr>
            </w:pPr>
            <w:r>
              <w:rPr>
                <w:sz w:val="18"/>
                <w:szCs w:val="18"/>
              </w:rPr>
              <w:t>0.08</w:t>
            </w:r>
          </w:p>
        </w:tc>
        <w:tc>
          <w:tcPr>
            <w:tcW w:w="1285" w:type="pct"/>
            <w:shd w:val="clear" w:color="auto" w:fill="auto"/>
            <w:vAlign w:val="center"/>
          </w:tcPr>
          <w:p w14:paraId="76FCA7D0">
            <w:pPr>
              <w:adjustRightInd w:val="0"/>
              <w:snapToGrid w:val="0"/>
              <w:spacing w:line="240" w:lineRule="auto"/>
              <w:ind w:firstLine="0" w:firstLineChars="0"/>
              <w:jc w:val="center"/>
              <w:rPr>
                <w:sz w:val="18"/>
                <w:szCs w:val="18"/>
              </w:rPr>
            </w:pPr>
            <w:r>
              <w:rPr>
                <w:sz w:val="18"/>
                <w:szCs w:val="18"/>
              </w:rPr>
              <w:t>施工支路沿线</w:t>
            </w:r>
          </w:p>
        </w:tc>
      </w:tr>
      <w:tr w14:paraId="03C313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12E08A5F">
            <w:pPr>
              <w:adjustRightInd w:val="0"/>
              <w:snapToGrid w:val="0"/>
              <w:spacing w:line="240" w:lineRule="auto"/>
              <w:ind w:firstLine="0" w:firstLineChars="0"/>
              <w:jc w:val="center"/>
              <w:rPr>
                <w:sz w:val="18"/>
                <w:szCs w:val="18"/>
              </w:rPr>
            </w:pPr>
          </w:p>
        </w:tc>
        <w:tc>
          <w:tcPr>
            <w:tcW w:w="1382" w:type="pct"/>
            <w:shd w:val="clear" w:color="auto" w:fill="auto"/>
            <w:vAlign w:val="center"/>
          </w:tcPr>
          <w:p w14:paraId="4B290FD0">
            <w:pPr>
              <w:adjustRightInd w:val="0"/>
              <w:snapToGrid w:val="0"/>
              <w:spacing w:line="240" w:lineRule="auto"/>
              <w:ind w:firstLine="0" w:firstLineChars="0"/>
              <w:jc w:val="center"/>
              <w:rPr>
                <w:sz w:val="18"/>
                <w:szCs w:val="18"/>
              </w:rPr>
            </w:pPr>
            <w:r>
              <w:rPr>
                <w:sz w:val="18"/>
                <w:szCs w:val="18"/>
              </w:rPr>
              <w:t>4#-5#风机平台</w:t>
            </w:r>
          </w:p>
        </w:tc>
        <w:tc>
          <w:tcPr>
            <w:tcW w:w="937" w:type="pct"/>
            <w:shd w:val="clear" w:color="auto" w:fill="auto"/>
            <w:vAlign w:val="center"/>
          </w:tcPr>
          <w:p w14:paraId="01508C56">
            <w:pPr>
              <w:adjustRightInd w:val="0"/>
              <w:snapToGrid w:val="0"/>
              <w:spacing w:line="240" w:lineRule="auto"/>
              <w:ind w:firstLine="0" w:firstLineChars="0"/>
              <w:jc w:val="center"/>
              <w:rPr>
                <w:sz w:val="18"/>
                <w:szCs w:val="18"/>
              </w:rPr>
            </w:pPr>
            <w:r>
              <w:rPr>
                <w:sz w:val="18"/>
                <w:szCs w:val="18"/>
              </w:rPr>
              <w:t>0.14</w:t>
            </w:r>
          </w:p>
        </w:tc>
        <w:tc>
          <w:tcPr>
            <w:tcW w:w="936" w:type="pct"/>
            <w:shd w:val="clear" w:color="auto" w:fill="auto"/>
            <w:vAlign w:val="center"/>
          </w:tcPr>
          <w:p w14:paraId="0A2476B1">
            <w:pPr>
              <w:adjustRightInd w:val="0"/>
              <w:snapToGrid w:val="0"/>
              <w:spacing w:line="240" w:lineRule="auto"/>
              <w:ind w:firstLine="0" w:firstLineChars="0"/>
              <w:jc w:val="center"/>
              <w:rPr>
                <w:sz w:val="18"/>
                <w:szCs w:val="18"/>
              </w:rPr>
            </w:pPr>
            <w:r>
              <w:rPr>
                <w:sz w:val="18"/>
                <w:szCs w:val="18"/>
              </w:rPr>
              <w:t>0.14</w:t>
            </w:r>
          </w:p>
        </w:tc>
        <w:tc>
          <w:tcPr>
            <w:tcW w:w="1285" w:type="pct"/>
            <w:shd w:val="clear" w:color="auto" w:fill="auto"/>
            <w:vAlign w:val="center"/>
          </w:tcPr>
          <w:p w14:paraId="60B11016">
            <w:pPr>
              <w:adjustRightInd w:val="0"/>
              <w:snapToGrid w:val="0"/>
              <w:spacing w:line="240" w:lineRule="auto"/>
              <w:ind w:firstLine="0" w:firstLineChars="0"/>
              <w:jc w:val="center"/>
              <w:rPr>
                <w:sz w:val="18"/>
                <w:szCs w:val="18"/>
              </w:rPr>
            </w:pPr>
            <w:r>
              <w:rPr>
                <w:sz w:val="18"/>
                <w:szCs w:val="18"/>
              </w:rPr>
              <w:t>风机平台</w:t>
            </w:r>
          </w:p>
        </w:tc>
      </w:tr>
      <w:tr w14:paraId="0C82E1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6DD8AA72">
            <w:pPr>
              <w:adjustRightInd w:val="0"/>
              <w:snapToGrid w:val="0"/>
              <w:spacing w:line="240" w:lineRule="auto"/>
              <w:ind w:firstLine="0" w:firstLineChars="0"/>
              <w:jc w:val="center"/>
              <w:rPr>
                <w:sz w:val="18"/>
                <w:szCs w:val="18"/>
              </w:rPr>
            </w:pPr>
          </w:p>
        </w:tc>
        <w:tc>
          <w:tcPr>
            <w:tcW w:w="1382" w:type="pct"/>
            <w:shd w:val="clear" w:color="auto" w:fill="auto"/>
            <w:vAlign w:val="center"/>
          </w:tcPr>
          <w:p w14:paraId="2C0FDC7D">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778A71A9">
            <w:pPr>
              <w:adjustRightInd w:val="0"/>
              <w:snapToGrid w:val="0"/>
              <w:spacing w:line="240" w:lineRule="auto"/>
              <w:ind w:firstLine="0" w:firstLineChars="0"/>
              <w:jc w:val="center"/>
              <w:rPr>
                <w:sz w:val="18"/>
                <w:szCs w:val="18"/>
              </w:rPr>
            </w:pPr>
            <w:r>
              <w:rPr>
                <w:sz w:val="18"/>
                <w:szCs w:val="18"/>
              </w:rPr>
              <w:t>0.78</w:t>
            </w:r>
          </w:p>
        </w:tc>
        <w:tc>
          <w:tcPr>
            <w:tcW w:w="936" w:type="pct"/>
            <w:shd w:val="clear" w:color="auto" w:fill="auto"/>
            <w:vAlign w:val="center"/>
          </w:tcPr>
          <w:p w14:paraId="153760D3">
            <w:pPr>
              <w:adjustRightInd w:val="0"/>
              <w:snapToGrid w:val="0"/>
              <w:spacing w:line="240" w:lineRule="auto"/>
              <w:ind w:firstLine="0" w:firstLineChars="0"/>
              <w:jc w:val="center"/>
              <w:rPr>
                <w:sz w:val="18"/>
                <w:szCs w:val="18"/>
              </w:rPr>
            </w:pPr>
            <w:r>
              <w:rPr>
                <w:sz w:val="18"/>
                <w:szCs w:val="18"/>
              </w:rPr>
              <w:t>0.78</w:t>
            </w:r>
          </w:p>
        </w:tc>
        <w:tc>
          <w:tcPr>
            <w:tcW w:w="1285" w:type="pct"/>
            <w:shd w:val="clear" w:color="auto" w:fill="auto"/>
            <w:vAlign w:val="center"/>
          </w:tcPr>
          <w:p w14:paraId="34466AFB">
            <w:pPr>
              <w:adjustRightInd w:val="0"/>
              <w:snapToGrid w:val="0"/>
              <w:spacing w:line="240" w:lineRule="auto"/>
              <w:ind w:firstLine="0" w:firstLineChars="0"/>
              <w:jc w:val="center"/>
              <w:rPr>
                <w:sz w:val="18"/>
                <w:szCs w:val="18"/>
              </w:rPr>
            </w:pPr>
          </w:p>
        </w:tc>
      </w:tr>
      <w:tr w14:paraId="2E2081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restart"/>
            <w:shd w:val="clear" w:color="auto" w:fill="auto"/>
            <w:vAlign w:val="center"/>
          </w:tcPr>
          <w:p w14:paraId="1403361C">
            <w:pPr>
              <w:adjustRightInd w:val="0"/>
              <w:snapToGrid w:val="0"/>
              <w:spacing w:line="240" w:lineRule="auto"/>
              <w:ind w:firstLine="0" w:firstLineChars="0"/>
              <w:jc w:val="center"/>
              <w:rPr>
                <w:sz w:val="18"/>
                <w:szCs w:val="18"/>
              </w:rPr>
            </w:pPr>
            <w:r>
              <w:rPr>
                <w:sz w:val="18"/>
                <w:szCs w:val="18"/>
              </w:rPr>
              <w:t>6</w:t>
            </w:r>
          </w:p>
        </w:tc>
        <w:tc>
          <w:tcPr>
            <w:tcW w:w="1382" w:type="pct"/>
            <w:shd w:val="clear" w:color="auto" w:fill="auto"/>
            <w:vAlign w:val="center"/>
          </w:tcPr>
          <w:p w14:paraId="5A3F8D76">
            <w:pPr>
              <w:adjustRightInd w:val="0"/>
              <w:snapToGrid w:val="0"/>
              <w:spacing w:line="240" w:lineRule="auto"/>
              <w:ind w:firstLine="0" w:firstLineChars="0"/>
              <w:jc w:val="center"/>
              <w:rPr>
                <w:sz w:val="18"/>
                <w:szCs w:val="18"/>
              </w:rPr>
            </w:pPr>
            <w:r>
              <w:rPr>
                <w:sz w:val="18"/>
                <w:szCs w:val="18"/>
              </w:rPr>
              <w:t>升压站区</w:t>
            </w:r>
          </w:p>
        </w:tc>
        <w:tc>
          <w:tcPr>
            <w:tcW w:w="937" w:type="pct"/>
            <w:shd w:val="clear" w:color="auto" w:fill="auto"/>
            <w:vAlign w:val="center"/>
          </w:tcPr>
          <w:p w14:paraId="5322D809">
            <w:pPr>
              <w:adjustRightInd w:val="0"/>
              <w:snapToGrid w:val="0"/>
              <w:spacing w:line="240" w:lineRule="auto"/>
              <w:ind w:firstLine="0" w:firstLineChars="0"/>
              <w:jc w:val="center"/>
              <w:rPr>
                <w:sz w:val="18"/>
                <w:szCs w:val="18"/>
              </w:rPr>
            </w:pPr>
            <w:r>
              <w:rPr>
                <w:sz w:val="18"/>
                <w:szCs w:val="18"/>
              </w:rPr>
              <w:t>0.08</w:t>
            </w:r>
          </w:p>
        </w:tc>
        <w:tc>
          <w:tcPr>
            <w:tcW w:w="936" w:type="pct"/>
            <w:shd w:val="clear" w:color="auto" w:fill="auto"/>
            <w:vAlign w:val="center"/>
          </w:tcPr>
          <w:p w14:paraId="7AC6A7E2">
            <w:pPr>
              <w:adjustRightInd w:val="0"/>
              <w:snapToGrid w:val="0"/>
              <w:spacing w:line="240" w:lineRule="auto"/>
              <w:ind w:firstLine="0" w:firstLineChars="0"/>
              <w:jc w:val="center"/>
              <w:rPr>
                <w:sz w:val="18"/>
                <w:szCs w:val="18"/>
              </w:rPr>
            </w:pPr>
            <w:r>
              <w:rPr>
                <w:sz w:val="18"/>
                <w:szCs w:val="18"/>
              </w:rPr>
              <w:t>0.08</w:t>
            </w:r>
          </w:p>
        </w:tc>
        <w:tc>
          <w:tcPr>
            <w:tcW w:w="1285" w:type="pct"/>
            <w:shd w:val="clear" w:color="auto" w:fill="auto"/>
            <w:vAlign w:val="center"/>
          </w:tcPr>
          <w:p w14:paraId="3C01DA4D">
            <w:pPr>
              <w:adjustRightInd w:val="0"/>
              <w:snapToGrid w:val="0"/>
              <w:spacing w:line="240" w:lineRule="auto"/>
              <w:ind w:firstLine="0" w:firstLineChars="0"/>
              <w:jc w:val="center"/>
              <w:rPr>
                <w:sz w:val="18"/>
                <w:szCs w:val="18"/>
              </w:rPr>
            </w:pPr>
            <w:r>
              <w:rPr>
                <w:sz w:val="18"/>
                <w:szCs w:val="18"/>
              </w:rPr>
              <w:t>升压站区</w:t>
            </w:r>
          </w:p>
        </w:tc>
      </w:tr>
      <w:tr w14:paraId="05926F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30180127">
            <w:pPr>
              <w:adjustRightInd w:val="0"/>
              <w:snapToGrid w:val="0"/>
              <w:spacing w:line="240" w:lineRule="auto"/>
              <w:ind w:firstLine="0" w:firstLineChars="0"/>
              <w:jc w:val="center"/>
              <w:rPr>
                <w:sz w:val="18"/>
                <w:szCs w:val="18"/>
              </w:rPr>
            </w:pPr>
          </w:p>
        </w:tc>
        <w:tc>
          <w:tcPr>
            <w:tcW w:w="1382" w:type="pct"/>
            <w:shd w:val="clear" w:color="auto" w:fill="auto"/>
            <w:vAlign w:val="center"/>
          </w:tcPr>
          <w:p w14:paraId="23F10EB6">
            <w:pPr>
              <w:adjustRightInd w:val="0"/>
              <w:snapToGrid w:val="0"/>
              <w:spacing w:line="240" w:lineRule="auto"/>
              <w:ind w:firstLine="0" w:firstLineChars="0"/>
              <w:jc w:val="center"/>
              <w:rPr>
                <w:sz w:val="18"/>
                <w:szCs w:val="18"/>
              </w:rPr>
            </w:pPr>
            <w:r>
              <w:rPr>
                <w:sz w:val="18"/>
                <w:szCs w:val="18"/>
              </w:rPr>
              <w:t>进站道路</w:t>
            </w:r>
          </w:p>
        </w:tc>
        <w:tc>
          <w:tcPr>
            <w:tcW w:w="937" w:type="pct"/>
            <w:shd w:val="clear" w:color="auto" w:fill="auto"/>
            <w:vAlign w:val="center"/>
          </w:tcPr>
          <w:p w14:paraId="71CE11EA">
            <w:pPr>
              <w:adjustRightInd w:val="0"/>
              <w:snapToGrid w:val="0"/>
              <w:spacing w:line="240" w:lineRule="auto"/>
              <w:ind w:firstLine="0" w:firstLineChars="0"/>
              <w:jc w:val="center"/>
              <w:rPr>
                <w:sz w:val="18"/>
                <w:szCs w:val="18"/>
              </w:rPr>
            </w:pPr>
            <w:r>
              <w:rPr>
                <w:sz w:val="18"/>
                <w:szCs w:val="18"/>
              </w:rPr>
              <w:t>0.03</w:t>
            </w:r>
          </w:p>
        </w:tc>
        <w:tc>
          <w:tcPr>
            <w:tcW w:w="936" w:type="pct"/>
            <w:shd w:val="clear" w:color="auto" w:fill="auto"/>
            <w:vAlign w:val="center"/>
          </w:tcPr>
          <w:p w14:paraId="099227E3">
            <w:pPr>
              <w:adjustRightInd w:val="0"/>
              <w:snapToGrid w:val="0"/>
              <w:spacing w:line="240" w:lineRule="auto"/>
              <w:ind w:firstLine="0" w:firstLineChars="0"/>
              <w:jc w:val="center"/>
              <w:rPr>
                <w:sz w:val="18"/>
                <w:szCs w:val="18"/>
              </w:rPr>
            </w:pPr>
            <w:r>
              <w:rPr>
                <w:sz w:val="18"/>
                <w:szCs w:val="18"/>
              </w:rPr>
              <w:t>0.03</w:t>
            </w:r>
          </w:p>
        </w:tc>
        <w:tc>
          <w:tcPr>
            <w:tcW w:w="1285" w:type="pct"/>
            <w:shd w:val="clear" w:color="auto" w:fill="auto"/>
            <w:vAlign w:val="center"/>
          </w:tcPr>
          <w:p w14:paraId="2C95B01F">
            <w:pPr>
              <w:adjustRightInd w:val="0"/>
              <w:snapToGrid w:val="0"/>
              <w:spacing w:line="240" w:lineRule="auto"/>
              <w:ind w:firstLine="0" w:firstLineChars="0"/>
              <w:jc w:val="center"/>
              <w:rPr>
                <w:sz w:val="18"/>
                <w:szCs w:val="18"/>
              </w:rPr>
            </w:pPr>
            <w:r>
              <w:rPr>
                <w:sz w:val="18"/>
                <w:szCs w:val="18"/>
              </w:rPr>
              <w:t>进站道路沿线</w:t>
            </w:r>
          </w:p>
        </w:tc>
      </w:tr>
      <w:tr w14:paraId="1F7767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5DBD0A1E">
            <w:pPr>
              <w:adjustRightInd w:val="0"/>
              <w:snapToGrid w:val="0"/>
              <w:spacing w:line="240" w:lineRule="auto"/>
              <w:ind w:firstLine="0" w:firstLineChars="0"/>
              <w:jc w:val="center"/>
              <w:rPr>
                <w:sz w:val="18"/>
                <w:szCs w:val="18"/>
              </w:rPr>
            </w:pPr>
          </w:p>
        </w:tc>
        <w:tc>
          <w:tcPr>
            <w:tcW w:w="1382" w:type="pct"/>
            <w:shd w:val="clear" w:color="auto" w:fill="auto"/>
            <w:vAlign w:val="center"/>
          </w:tcPr>
          <w:p w14:paraId="3839FA4A">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2343B71C">
            <w:pPr>
              <w:adjustRightInd w:val="0"/>
              <w:snapToGrid w:val="0"/>
              <w:spacing w:line="240" w:lineRule="auto"/>
              <w:ind w:firstLine="0" w:firstLineChars="0"/>
              <w:jc w:val="center"/>
              <w:rPr>
                <w:sz w:val="18"/>
                <w:szCs w:val="18"/>
              </w:rPr>
            </w:pPr>
            <w:r>
              <w:rPr>
                <w:sz w:val="18"/>
                <w:szCs w:val="18"/>
              </w:rPr>
              <w:t>0.11</w:t>
            </w:r>
          </w:p>
        </w:tc>
        <w:tc>
          <w:tcPr>
            <w:tcW w:w="936" w:type="pct"/>
            <w:shd w:val="clear" w:color="auto" w:fill="auto"/>
            <w:vAlign w:val="center"/>
          </w:tcPr>
          <w:p w14:paraId="77D478EC">
            <w:pPr>
              <w:adjustRightInd w:val="0"/>
              <w:snapToGrid w:val="0"/>
              <w:spacing w:line="240" w:lineRule="auto"/>
              <w:ind w:firstLine="0" w:firstLineChars="0"/>
              <w:jc w:val="center"/>
              <w:rPr>
                <w:sz w:val="18"/>
                <w:szCs w:val="18"/>
              </w:rPr>
            </w:pPr>
            <w:r>
              <w:rPr>
                <w:sz w:val="18"/>
                <w:szCs w:val="18"/>
              </w:rPr>
              <w:t>0.11</w:t>
            </w:r>
          </w:p>
        </w:tc>
        <w:tc>
          <w:tcPr>
            <w:tcW w:w="1285" w:type="pct"/>
            <w:shd w:val="clear" w:color="auto" w:fill="auto"/>
            <w:vAlign w:val="center"/>
          </w:tcPr>
          <w:p w14:paraId="36421048">
            <w:pPr>
              <w:adjustRightInd w:val="0"/>
              <w:snapToGrid w:val="0"/>
              <w:spacing w:line="240" w:lineRule="auto"/>
              <w:ind w:firstLine="0" w:firstLineChars="0"/>
              <w:jc w:val="center"/>
              <w:rPr>
                <w:sz w:val="18"/>
                <w:szCs w:val="18"/>
              </w:rPr>
            </w:pPr>
          </w:p>
        </w:tc>
      </w:tr>
      <w:tr w14:paraId="6A73DD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restart"/>
            <w:shd w:val="clear" w:color="auto" w:fill="auto"/>
            <w:vAlign w:val="center"/>
          </w:tcPr>
          <w:p w14:paraId="42CCA4C7">
            <w:pPr>
              <w:adjustRightInd w:val="0"/>
              <w:snapToGrid w:val="0"/>
              <w:spacing w:line="240" w:lineRule="auto"/>
              <w:ind w:firstLine="0" w:firstLineChars="0"/>
              <w:jc w:val="center"/>
              <w:rPr>
                <w:sz w:val="18"/>
                <w:szCs w:val="18"/>
              </w:rPr>
            </w:pPr>
            <w:r>
              <w:rPr>
                <w:sz w:val="18"/>
                <w:szCs w:val="18"/>
              </w:rPr>
              <w:t>7</w:t>
            </w:r>
          </w:p>
        </w:tc>
        <w:tc>
          <w:tcPr>
            <w:tcW w:w="1382" w:type="pct"/>
            <w:shd w:val="clear" w:color="auto" w:fill="auto"/>
            <w:vAlign w:val="center"/>
          </w:tcPr>
          <w:p w14:paraId="3FDA393D">
            <w:pPr>
              <w:adjustRightInd w:val="0"/>
              <w:snapToGrid w:val="0"/>
              <w:spacing w:line="240" w:lineRule="auto"/>
              <w:ind w:firstLine="0" w:firstLineChars="0"/>
              <w:jc w:val="center"/>
              <w:rPr>
                <w:sz w:val="18"/>
                <w:szCs w:val="18"/>
              </w:rPr>
            </w:pPr>
            <w:r>
              <w:rPr>
                <w:sz w:val="18"/>
                <w:szCs w:val="18"/>
              </w:rPr>
              <w:t>Z7-6#风机道路</w:t>
            </w:r>
          </w:p>
        </w:tc>
        <w:tc>
          <w:tcPr>
            <w:tcW w:w="937" w:type="pct"/>
            <w:shd w:val="clear" w:color="auto" w:fill="auto"/>
            <w:vAlign w:val="center"/>
          </w:tcPr>
          <w:p w14:paraId="31D2B5EC">
            <w:pPr>
              <w:adjustRightInd w:val="0"/>
              <w:snapToGrid w:val="0"/>
              <w:spacing w:line="240" w:lineRule="auto"/>
              <w:ind w:firstLine="0" w:firstLineChars="0"/>
              <w:jc w:val="center"/>
              <w:rPr>
                <w:sz w:val="18"/>
                <w:szCs w:val="18"/>
              </w:rPr>
            </w:pPr>
            <w:r>
              <w:rPr>
                <w:sz w:val="18"/>
                <w:szCs w:val="18"/>
              </w:rPr>
              <w:t>0.58</w:t>
            </w:r>
          </w:p>
        </w:tc>
        <w:tc>
          <w:tcPr>
            <w:tcW w:w="936" w:type="pct"/>
            <w:shd w:val="clear" w:color="auto" w:fill="auto"/>
            <w:vAlign w:val="center"/>
          </w:tcPr>
          <w:p w14:paraId="7B99F3A0">
            <w:pPr>
              <w:adjustRightInd w:val="0"/>
              <w:snapToGrid w:val="0"/>
              <w:spacing w:line="240" w:lineRule="auto"/>
              <w:ind w:firstLine="0" w:firstLineChars="0"/>
              <w:jc w:val="center"/>
              <w:rPr>
                <w:sz w:val="18"/>
                <w:szCs w:val="18"/>
              </w:rPr>
            </w:pPr>
            <w:r>
              <w:rPr>
                <w:sz w:val="18"/>
                <w:szCs w:val="18"/>
              </w:rPr>
              <w:t>0.58</w:t>
            </w:r>
          </w:p>
        </w:tc>
        <w:tc>
          <w:tcPr>
            <w:tcW w:w="1285" w:type="pct"/>
            <w:shd w:val="clear" w:color="auto" w:fill="auto"/>
            <w:vAlign w:val="center"/>
          </w:tcPr>
          <w:p w14:paraId="75DE4116">
            <w:pPr>
              <w:adjustRightInd w:val="0"/>
              <w:snapToGrid w:val="0"/>
              <w:spacing w:line="240" w:lineRule="auto"/>
              <w:ind w:firstLine="0" w:firstLineChars="0"/>
              <w:jc w:val="center"/>
              <w:rPr>
                <w:sz w:val="18"/>
                <w:szCs w:val="18"/>
              </w:rPr>
            </w:pPr>
            <w:r>
              <w:rPr>
                <w:sz w:val="18"/>
                <w:szCs w:val="18"/>
              </w:rPr>
              <w:t>场内主干道沿线</w:t>
            </w:r>
          </w:p>
        </w:tc>
      </w:tr>
      <w:tr w14:paraId="57ED73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7A058915">
            <w:pPr>
              <w:adjustRightInd w:val="0"/>
              <w:snapToGrid w:val="0"/>
              <w:spacing w:line="240" w:lineRule="auto"/>
              <w:ind w:firstLine="0" w:firstLineChars="0"/>
              <w:jc w:val="center"/>
              <w:rPr>
                <w:sz w:val="18"/>
                <w:szCs w:val="18"/>
              </w:rPr>
            </w:pPr>
          </w:p>
        </w:tc>
        <w:tc>
          <w:tcPr>
            <w:tcW w:w="1382" w:type="pct"/>
            <w:shd w:val="clear" w:color="auto" w:fill="auto"/>
            <w:vAlign w:val="center"/>
          </w:tcPr>
          <w:p w14:paraId="4168E80F">
            <w:pPr>
              <w:adjustRightInd w:val="0"/>
              <w:snapToGrid w:val="0"/>
              <w:spacing w:line="240" w:lineRule="auto"/>
              <w:ind w:firstLine="0" w:firstLineChars="0"/>
              <w:jc w:val="center"/>
              <w:rPr>
                <w:sz w:val="18"/>
                <w:szCs w:val="18"/>
              </w:rPr>
            </w:pPr>
            <w:r>
              <w:rPr>
                <w:sz w:val="18"/>
                <w:szCs w:val="18"/>
              </w:rPr>
              <w:t>6#风机平台</w:t>
            </w:r>
          </w:p>
        </w:tc>
        <w:tc>
          <w:tcPr>
            <w:tcW w:w="937" w:type="pct"/>
            <w:shd w:val="clear" w:color="auto" w:fill="auto"/>
            <w:vAlign w:val="center"/>
          </w:tcPr>
          <w:p w14:paraId="709B63FC">
            <w:pPr>
              <w:adjustRightInd w:val="0"/>
              <w:snapToGrid w:val="0"/>
              <w:spacing w:line="240" w:lineRule="auto"/>
              <w:ind w:firstLine="0" w:firstLineChars="0"/>
              <w:jc w:val="center"/>
              <w:rPr>
                <w:sz w:val="18"/>
                <w:szCs w:val="18"/>
              </w:rPr>
            </w:pPr>
            <w:r>
              <w:rPr>
                <w:sz w:val="18"/>
                <w:szCs w:val="18"/>
              </w:rPr>
              <w:t>0.07</w:t>
            </w:r>
          </w:p>
        </w:tc>
        <w:tc>
          <w:tcPr>
            <w:tcW w:w="936" w:type="pct"/>
            <w:shd w:val="clear" w:color="auto" w:fill="auto"/>
            <w:vAlign w:val="center"/>
          </w:tcPr>
          <w:p w14:paraId="1457A0E7">
            <w:pPr>
              <w:adjustRightInd w:val="0"/>
              <w:snapToGrid w:val="0"/>
              <w:spacing w:line="240" w:lineRule="auto"/>
              <w:ind w:firstLine="0" w:firstLineChars="0"/>
              <w:jc w:val="center"/>
              <w:rPr>
                <w:sz w:val="18"/>
                <w:szCs w:val="18"/>
              </w:rPr>
            </w:pPr>
            <w:r>
              <w:rPr>
                <w:sz w:val="18"/>
                <w:szCs w:val="18"/>
              </w:rPr>
              <w:t>0.07</w:t>
            </w:r>
          </w:p>
        </w:tc>
        <w:tc>
          <w:tcPr>
            <w:tcW w:w="1285" w:type="pct"/>
            <w:shd w:val="clear" w:color="auto" w:fill="auto"/>
            <w:vAlign w:val="center"/>
          </w:tcPr>
          <w:p w14:paraId="1CBE9F2E">
            <w:pPr>
              <w:adjustRightInd w:val="0"/>
              <w:snapToGrid w:val="0"/>
              <w:spacing w:line="240" w:lineRule="auto"/>
              <w:ind w:firstLine="0" w:firstLineChars="0"/>
              <w:jc w:val="center"/>
              <w:rPr>
                <w:sz w:val="18"/>
                <w:szCs w:val="18"/>
              </w:rPr>
            </w:pPr>
            <w:r>
              <w:rPr>
                <w:sz w:val="18"/>
                <w:szCs w:val="18"/>
              </w:rPr>
              <w:t>风机平台</w:t>
            </w:r>
          </w:p>
        </w:tc>
      </w:tr>
      <w:tr w14:paraId="100FE4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4B6398EB">
            <w:pPr>
              <w:adjustRightInd w:val="0"/>
              <w:snapToGrid w:val="0"/>
              <w:spacing w:line="240" w:lineRule="auto"/>
              <w:ind w:firstLine="0" w:firstLineChars="0"/>
              <w:jc w:val="center"/>
              <w:rPr>
                <w:sz w:val="18"/>
                <w:szCs w:val="18"/>
              </w:rPr>
            </w:pPr>
          </w:p>
        </w:tc>
        <w:tc>
          <w:tcPr>
            <w:tcW w:w="1382" w:type="pct"/>
            <w:shd w:val="clear" w:color="auto" w:fill="auto"/>
            <w:vAlign w:val="center"/>
          </w:tcPr>
          <w:p w14:paraId="46EE53C6">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4010BC0E">
            <w:pPr>
              <w:adjustRightInd w:val="0"/>
              <w:snapToGrid w:val="0"/>
              <w:spacing w:line="240" w:lineRule="auto"/>
              <w:ind w:firstLine="0" w:firstLineChars="0"/>
              <w:jc w:val="center"/>
              <w:rPr>
                <w:sz w:val="18"/>
                <w:szCs w:val="18"/>
              </w:rPr>
            </w:pPr>
            <w:r>
              <w:rPr>
                <w:sz w:val="18"/>
                <w:szCs w:val="18"/>
              </w:rPr>
              <w:t>0.65</w:t>
            </w:r>
          </w:p>
        </w:tc>
        <w:tc>
          <w:tcPr>
            <w:tcW w:w="936" w:type="pct"/>
            <w:shd w:val="clear" w:color="auto" w:fill="auto"/>
            <w:vAlign w:val="center"/>
          </w:tcPr>
          <w:p w14:paraId="5D0B38DB">
            <w:pPr>
              <w:adjustRightInd w:val="0"/>
              <w:snapToGrid w:val="0"/>
              <w:spacing w:line="240" w:lineRule="auto"/>
              <w:ind w:firstLine="0" w:firstLineChars="0"/>
              <w:jc w:val="center"/>
              <w:rPr>
                <w:sz w:val="18"/>
                <w:szCs w:val="18"/>
              </w:rPr>
            </w:pPr>
            <w:r>
              <w:rPr>
                <w:sz w:val="18"/>
                <w:szCs w:val="18"/>
              </w:rPr>
              <w:t>0.65</w:t>
            </w:r>
          </w:p>
        </w:tc>
        <w:tc>
          <w:tcPr>
            <w:tcW w:w="1285" w:type="pct"/>
            <w:shd w:val="clear" w:color="auto" w:fill="auto"/>
            <w:vAlign w:val="center"/>
          </w:tcPr>
          <w:p w14:paraId="5EC03DCE">
            <w:pPr>
              <w:adjustRightInd w:val="0"/>
              <w:snapToGrid w:val="0"/>
              <w:spacing w:line="240" w:lineRule="auto"/>
              <w:ind w:firstLine="0" w:firstLineChars="0"/>
              <w:jc w:val="center"/>
              <w:rPr>
                <w:sz w:val="18"/>
                <w:szCs w:val="18"/>
              </w:rPr>
            </w:pPr>
          </w:p>
        </w:tc>
      </w:tr>
      <w:tr w14:paraId="1CAF61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restart"/>
            <w:shd w:val="clear" w:color="auto" w:fill="auto"/>
            <w:vAlign w:val="center"/>
          </w:tcPr>
          <w:p w14:paraId="4CB616FE">
            <w:pPr>
              <w:adjustRightInd w:val="0"/>
              <w:snapToGrid w:val="0"/>
              <w:spacing w:line="240" w:lineRule="auto"/>
              <w:ind w:firstLine="0" w:firstLineChars="0"/>
              <w:jc w:val="center"/>
              <w:rPr>
                <w:sz w:val="18"/>
                <w:szCs w:val="18"/>
              </w:rPr>
            </w:pPr>
            <w:r>
              <w:rPr>
                <w:sz w:val="18"/>
                <w:szCs w:val="18"/>
              </w:rPr>
              <w:t>8</w:t>
            </w:r>
          </w:p>
        </w:tc>
        <w:tc>
          <w:tcPr>
            <w:tcW w:w="1382" w:type="pct"/>
            <w:shd w:val="clear" w:color="auto" w:fill="auto"/>
            <w:vAlign w:val="center"/>
          </w:tcPr>
          <w:p w14:paraId="009CF0E2">
            <w:pPr>
              <w:adjustRightInd w:val="0"/>
              <w:snapToGrid w:val="0"/>
              <w:spacing w:line="240" w:lineRule="auto"/>
              <w:ind w:firstLine="0" w:firstLineChars="0"/>
              <w:jc w:val="center"/>
              <w:rPr>
                <w:sz w:val="18"/>
                <w:szCs w:val="18"/>
              </w:rPr>
            </w:pPr>
            <w:r>
              <w:rPr>
                <w:sz w:val="18"/>
                <w:szCs w:val="18"/>
              </w:rPr>
              <w:t>Z8-8#风机道路</w:t>
            </w:r>
          </w:p>
        </w:tc>
        <w:tc>
          <w:tcPr>
            <w:tcW w:w="937" w:type="pct"/>
            <w:shd w:val="clear" w:color="auto" w:fill="auto"/>
            <w:vAlign w:val="center"/>
          </w:tcPr>
          <w:p w14:paraId="1FD1C314">
            <w:pPr>
              <w:adjustRightInd w:val="0"/>
              <w:snapToGrid w:val="0"/>
              <w:spacing w:line="240" w:lineRule="auto"/>
              <w:ind w:firstLine="0" w:firstLineChars="0"/>
              <w:jc w:val="center"/>
              <w:rPr>
                <w:sz w:val="18"/>
                <w:szCs w:val="18"/>
              </w:rPr>
            </w:pPr>
            <w:r>
              <w:rPr>
                <w:sz w:val="18"/>
                <w:szCs w:val="18"/>
              </w:rPr>
              <w:t>0.45</w:t>
            </w:r>
          </w:p>
        </w:tc>
        <w:tc>
          <w:tcPr>
            <w:tcW w:w="936" w:type="pct"/>
            <w:shd w:val="clear" w:color="auto" w:fill="auto"/>
            <w:vAlign w:val="center"/>
          </w:tcPr>
          <w:p w14:paraId="4D3599DA">
            <w:pPr>
              <w:adjustRightInd w:val="0"/>
              <w:snapToGrid w:val="0"/>
              <w:spacing w:line="240" w:lineRule="auto"/>
              <w:ind w:firstLine="0" w:firstLineChars="0"/>
              <w:jc w:val="center"/>
              <w:rPr>
                <w:sz w:val="18"/>
                <w:szCs w:val="18"/>
              </w:rPr>
            </w:pPr>
            <w:r>
              <w:rPr>
                <w:sz w:val="18"/>
                <w:szCs w:val="18"/>
              </w:rPr>
              <w:t>0.45</w:t>
            </w:r>
          </w:p>
        </w:tc>
        <w:tc>
          <w:tcPr>
            <w:tcW w:w="1285" w:type="pct"/>
            <w:shd w:val="clear" w:color="auto" w:fill="auto"/>
            <w:vAlign w:val="center"/>
          </w:tcPr>
          <w:p w14:paraId="7FC0A60E">
            <w:pPr>
              <w:adjustRightInd w:val="0"/>
              <w:snapToGrid w:val="0"/>
              <w:spacing w:line="240" w:lineRule="auto"/>
              <w:ind w:firstLine="0" w:firstLineChars="0"/>
              <w:jc w:val="center"/>
              <w:rPr>
                <w:sz w:val="18"/>
                <w:szCs w:val="18"/>
              </w:rPr>
            </w:pPr>
            <w:r>
              <w:rPr>
                <w:sz w:val="18"/>
                <w:szCs w:val="18"/>
              </w:rPr>
              <w:t>场内主干道沿线</w:t>
            </w:r>
          </w:p>
        </w:tc>
      </w:tr>
      <w:tr w14:paraId="3D96A5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vMerge w:val="continue"/>
            <w:shd w:val="clear" w:color="auto" w:fill="auto"/>
            <w:vAlign w:val="center"/>
          </w:tcPr>
          <w:p w14:paraId="0F317E2F">
            <w:pPr>
              <w:adjustRightInd w:val="0"/>
              <w:snapToGrid w:val="0"/>
              <w:spacing w:line="240" w:lineRule="auto"/>
              <w:ind w:firstLine="0" w:firstLineChars="0"/>
              <w:jc w:val="center"/>
              <w:rPr>
                <w:sz w:val="18"/>
                <w:szCs w:val="18"/>
              </w:rPr>
            </w:pPr>
          </w:p>
        </w:tc>
        <w:tc>
          <w:tcPr>
            <w:tcW w:w="1382" w:type="pct"/>
            <w:shd w:val="clear" w:color="auto" w:fill="auto"/>
            <w:vAlign w:val="center"/>
          </w:tcPr>
          <w:p w14:paraId="78C28692">
            <w:pPr>
              <w:adjustRightInd w:val="0"/>
              <w:snapToGrid w:val="0"/>
              <w:spacing w:line="240" w:lineRule="auto"/>
              <w:ind w:firstLine="0" w:firstLineChars="0"/>
              <w:jc w:val="center"/>
              <w:rPr>
                <w:sz w:val="18"/>
                <w:szCs w:val="18"/>
              </w:rPr>
            </w:pPr>
            <w:r>
              <w:rPr>
                <w:sz w:val="18"/>
                <w:szCs w:val="18"/>
              </w:rPr>
              <w:t>9#-10#风机支路</w:t>
            </w:r>
          </w:p>
        </w:tc>
        <w:tc>
          <w:tcPr>
            <w:tcW w:w="937" w:type="pct"/>
            <w:shd w:val="clear" w:color="auto" w:fill="auto"/>
            <w:vAlign w:val="center"/>
          </w:tcPr>
          <w:p w14:paraId="59B18367">
            <w:pPr>
              <w:adjustRightInd w:val="0"/>
              <w:snapToGrid w:val="0"/>
              <w:spacing w:line="240" w:lineRule="auto"/>
              <w:ind w:firstLine="0" w:firstLineChars="0"/>
              <w:jc w:val="center"/>
              <w:rPr>
                <w:sz w:val="18"/>
                <w:szCs w:val="18"/>
              </w:rPr>
            </w:pPr>
            <w:r>
              <w:rPr>
                <w:sz w:val="18"/>
                <w:szCs w:val="18"/>
              </w:rPr>
              <w:t>0.15</w:t>
            </w:r>
          </w:p>
        </w:tc>
        <w:tc>
          <w:tcPr>
            <w:tcW w:w="936" w:type="pct"/>
            <w:shd w:val="clear" w:color="auto" w:fill="auto"/>
            <w:vAlign w:val="center"/>
          </w:tcPr>
          <w:p w14:paraId="0A0AE3B5">
            <w:pPr>
              <w:adjustRightInd w:val="0"/>
              <w:snapToGrid w:val="0"/>
              <w:spacing w:line="240" w:lineRule="auto"/>
              <w:ind w:firstLine="0" w:firstLineChars="0"/>
              <w:jc w:val="center"/>
              <w:rPr>
                <w:sz w:val="18"/>
                <w:szCs w:val="18"/>
              </w:rPr>
            </w:pPr>
            <w:r>
              <w:rPr>
                <w:sz w:val="18"/>
                <w:szCs w:val="18"/>
              </w:rPr>
              <w:t>0.15</w:t>
            </w:r>
          </w:p>
        </w:tc>
        <w:tc>
          <w:tcPr>
            <w:tcW w:w="1285" w:type="pct"/>
            <w:shd w:val="clear" w:color="auto" w:fill="auto"/>
            <w:vAlign w:val="center"/>
          </w:tcPr>
          <w:p w14:paraId="0DB39638">
            <w:pPr>
              <w:adjustRightInd w:val="0"/>
              <w:snapToGrid w:val="0"/>
              <w:spacing w:line="240" w:lineRule="auto"/>
              <w:ind w:firstLine="0" w:firstLineChars="0"/>
              <w:jc w:val="center"/>
              <w:rPr>
                <w:sz w:val="18"/>
                <w:szCs w:val="18"/>
              </w:rPr>
            </w:pPr>
            <w:r>
              <w:rPr>
                <w:sz w:val="18"/>
                <w:szCs w:val="18"/>
              </w:rPr>
              <w:t>施工支路沿线</w:t>
            </w:r>
          </w:p>
        </w:tc>
      </w:tr>
      <w:tr w14:paraId="385EC6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60" w:type="pct"/>
            <w:vMerge w:val="continue"/>
            <w:shd w:val="clear" w:color="auto" w:fill="auto"/>
            <w:vAlign w:val="center"/>
          </w:tcPr>
          <w:p w14:paraId="575A0FCD">
            <w:pPr>
              <w:adjustRightInd w:val="0"/>
              <w:snapToGrid w:val="0"/>
              <w:spacing w:line="240" w:lineRule="auto"/>
              <w:ind w:firstLine="0" w:firstLineChars="0"/>
              <w:jc w:val="center"/>
              <w:rPr>
                <w:sz w:val="18"/>
                <w:szCs w:val="18"/>
              </w:rPr>
            </w:pPr>
          </w:p>
        </w:tc>
        <w:tc>
          <w:tcPr>
            <w:tcW w:w="1382" w:type="pct"/>
            <w:shd w:val="clear" w:color="auto" w:fill="auto"/>
            <w:vAlign w:val="center"/>
          </w:tcPr>
          <w:p w14:paraId="351D15CC">
            <w:pPr>
              <w:adjustRightInd w:val="0"/>
              <w:snapToGrid w:val="0"/>
              <w:spacing w:line="240" w:lineRule="auto"/>
              <w:ind w:firstLine="0" w:firstLineChars="0"/>
              <w:jc w:val="center"/>
              <w:rPr>
                <w:sz w:val="18"/>
                <w:szCs w:val="18"/>
              </w:rPr>
            </w:pPr>
            <w:r>
              <w:rPr>
                <w:sz w:val="18"/>
                <w:szCs w:val="18"/>
              </w:rPr>
              <w:t>8#-10#风机平台</w:t>
            </w:r>
          </w:p>
        </w:tc>
        <w:tc>
          <w:tcPr>
            <w:tcW w:w="937" w:type="pct"/>
            <w:shd w:val="clear" w:color="auto" w:fill="auto"/>
            <w:vAlign w:val="center"/>
          </w:tcPr>
          <w:p w14:paraId="37DA0349">
            <w:pPr>
              <w:adjustRightInd w:val="0"/>
              <w:snapToGrid w:val="0"/>
              <w:spacing w:line="240" w:lineRule="auto"/>
              <w:ind w:firstLine="0" w:firstLineChars="0"/>
              <w:jc w:val="center"/>
              <w:rPr>
                <w:sz w:val="18"/>
                <w:szCs w:val="18"/>
              </w:rPr>
            </w:pPr>
            <w:r>
              <w:rPr>
                <w:sz w:val="18"/>
                <w:szCs w:val="18"/>
              </w:rPr>
              <w:t>0.21</w:t>
            </w:r>
          </w:p>
        </w:tc>
        <w:tc>
          <w:tcPr>
            <w:tcW w:w="936" w:type="pct"/>
            <w:shd w:val="clear" w:color="auto" w:fill="auto"/>
            <w:vAlign w:val="center"/>
          </w:tcPr>
          <w:p w14:paraId="41BCC8A2">
            <w:pPr>
              <w:adjustRightInd w:val="0"/>
              <w:snapToGrid w:val="0"/>
              <w:spacing w:line="240" w:lineRule="auto"/>
              <w:ind w:firstLine="0" w:firstLineChars="0"/>
              <w:jc w:val="center"/>
              <w:rPr>
                <w:sz w:val="18"/>
                <w:szCs w:val="18"/>
              </w:rPr>
            </w:pPr>
            <w:r>
              <w:rPr>
                <w:sz w:val="18"/>
                <w:szCs w:val="18"/>
              </w:rPr>
              <w:t>0.21</w:t>
            </w:r>
          </w:p>
        </w:tc>
        <w:tc>
          <w:tcPr>
            <w:tcW w:w="1285" w:type="pct"/>
            <w:shd w:val="clear" w:color="auto" w:fill="auto"/>
            <w:vAlign w:val="center"/>
          </w:tcPr>
          <w:p w14:paraId="7D621F7C">
            <w:pPr>
              <w:adjustRightInd w:val="0"/>
              <w:snapToGrid w:val="0"/>
              <w:spacing w:line="240" w:lineRule="auto"/>
              <w:ind w:firstLine="0" w:firstLineChars="0"/>
              <w:jc w:val="center"/>
              <w:rPr>
                <w:sz w:val="18"/>
                <w:szCs w:val="18"/>
              </w:rPr>
            </w:pPr>
            <w:r>
              <w:rPr>
                <w:sz w:val="18"/>
                <w:szCs w:val="18"/>
              </w:rPr>
              <w:t>风机平台</w:t>
            </w:r>
          </w:p>
        </w:tc>
      </w:tr>
      <w:tr w14:paraId="3638A3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5" w:hRule="atLeast"/>
        </w:trPr>
        <w:tc>
          <w:tcPr>
            <w:tcW w:w="460" w:type="pct"/>
            <w:vMerge w:val="continue"/>
            <w:shd w:val="clear" w:color="auto" w:fill="auto"/>
            <w:vAlign w:val="center"/>
          </w:tcPr>
          <w:p w14:paraId="26E0605A">
            <w:pPr>
              <w:adjustRightInd w:val="0"/>
              <w:snapToGrid w:val="0"/>
              <w:spacing w:line="240" w:lineRule="auto"/>
              <w:ind w:firstLine="0" w:firstLineChars="0"/>
              <w:jc w:val="center"/>
              <w:rPr>
                <w:sz w:val="18"/>
                <w:szCs w:val="18"/>
              </w:rPr>
            </w:pPr>
          </w:p>
        </w:tc>
        <w:tc>
          <w:tcPr>
            <w:tcW w:w="1382" w:type="pct"/>
            <w:shd w:val="clear" w:color="auto" w:fill="auto"/>
            <w:vAlign w:val="center"/>
          </w:tcPr>
          <w:p w14:paraId="08DD13B2">
            <w:pPr>
              <w:adjustRightInd w:val="0"/>
              <w:snapToGrid w:val="0"/>
              <w:spacing w:line="240" w:lineRule="auto"/>
              <w:ind w:firstLine="0" w:firstLineChars="0"/>
              <w:jc w:val="center"/>
              <w:rPr>
                <w:sz w:val="18"/>
                <w:szCs w:val="18"/>
              </w:rPr>
            </w:pPr>
            <w:r>
              <w:rPr>
                <w:sz w:val="18"/>
                <w:szCs w:val="18"/>
              </w:rPr>
              <w:t>小计</w:t>
            </w:r>
          </w:p>
        </w:tc>
        <w:tc>
          <w:tcPr>
            <w:tcW w:w="937" w:type="pct"/>
            <w:shd w:val="clear" w:color="auto" w:fill="auto"/>
            <w:vAlign w:val="center"/>
          </w:tcPr>
          <w:p w14:paraId="24495394">
            <w:pPr>
              <w:adjustRightInd w:val="0"/>
              <w:snapToGrid w:val="0"/>
              <w:spacing w:line="240" w:lineRule="auto"/>
              <w:ind w:firstLine="0" w:firstLineChars="0"/>
              <w:jc w:val="center"/>
              <w:rPr>
                <w:sz w:val="18"/>
                <w:szCs w:val="18"/>
              </w:rPr>
            </w:pPr>
            <w:r>
              <w:rPr>
                <w:sz w:val="18"/>
                <w:szCs w:val="18"/>
              </w:rPr>
              <w:t>0.82</w:t>
            </w:r>
          </w:p>
        </w:tc>
        <w:tc>
          <w:tcPr>
            <w:tcW w:w="936" w:type="pct"/>
            <w:shd w:val="clear" w:color="auto" w:fill="auto"/>
            <w:vAlign w:val="center"/>
          </w:tcPr>
          <w:p w14:paraId="2C182C49">
            <w:pPr>
              <w:adjustRightInd w:val="0"/>
              <w:snapToGrid w:val="0"/>
              <w:spacing w:line="240" w:lineRule="auto"/>
              <w:ind w:firstLine="0" w:firstLineChars="0"/>
              <w:jc w:val="center"/>
              <w:rPr>
                <w:sz w:val="18"/>
                <w:szCs w:val="18"/>
              </w:rPr>
            </w:pPr>
            <w:r>
              <w:rPr>
                <w:sz w:val="18"/>
                <w:szCs w:val="18"/>
              </w:rPr>
              <w:t>0.82</w:t>
            </w:r>
          </w:p>
        </w:tc>
        <w:tc>
          <w:tcPr>
            <w:tcW w:w="1285" w:type="pct"/>
            <w:shd w:val="clear" w:color="auto" w:fill="auto"/>
            <w:vAlign w:val="center"/>
          </w:tcPr>
          <w:p w14:paraId="5E928657">
            <w:pPr>
              <w:adjustRightInd w:val="0"/>
              <w:snapToGrid w:val="0"/>
              <w:spacing w:line="240" w:lineRule="auto"/>
              <w:ind w:firstLine="0" w:firstLineChars="0"/>
              <w:jc w:val="center"/>
              <w:rPr>
                <w:sz w:val="18"/>
                <w:szCs w:val="18"/>
              </w:rPr>
            </w:pPr>
          </w:p>
        </w:tc>
      </w:tr>
      <w:tr w14:paraId="7BCD81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shd w:val="clear" w:color="auto" w:fill="auto"/>
            <w:vAlign w:val="center"/>
          </w:tcPr>
          <w:p w14:paraId="35F0D467">
            <w:pPr>
              <w:adjustRightInd w:val="0"/>
              <w:snapToGrid w:val="0"/>
              <w:spacing w:line="240" w:lineRule="auto"/>
              <w:ind w:firstLine="0" w:firstLineChars="0"/>
              <w:jc w:val="center"/>
              <w:rPr>
                <w:sz w:val="18"/>
                <w:szCs w:val="18"/>
              </w:rPr>
            </w:pPr>
            <w:r>
              <w:rPr>
                <w:sz w:val="18"/>
                <w:szCs w:val="18"/>
              </w:rPr>
              <w:t>9</w:t>
            </w:r>
          </w:p>
        </w:tc>
        <w:tc>
          <w:tcPr>
            <w:tcW w:w="1382" w:type="pct"/>
            <w:shd w:val="clear" w:color="auto" w:fill="auto"/>
            <w:vAlign w:val="center"/>
          </w:tcPr>
          <w:p w14:paraId="73114097">
            <w:pPr>
              <w:adjustRightInd w:val="0"/>
              <w:snapToGrid w:val="0"/>
              <w:spacing w:line="240" w:lineRule="auto"/>
              <w:ind w:firstLine="0" w:firstLineChars="0"/>
              <w:jc w:val="center"/>
              <w:rPr>
                <w:sz w:val="18"/>
                <w:szCs w:val="18"/>
              </w:rPr>
            </w:pPr>
            <w:r>
              <w:rPr>
                <w:sz w:val="18"/>
                <w:szCs w:val="18"/>
              </w:rPr>
              <w:t>集电线路区</w:t>
            </w:r>
          </w:p>
        </w:tc>
        <w:tc>
          <w:tcPr>
            <w:tcW w:w="937" w:type="pct"/>
            <w:shd w:val="clear" w:color="auto" w:fill="auto"/>
            <w:vAlign w:val="center"/>
          </w:tcPr>
          <w:p w14:paraId="77E7E480">
            <w:pPr>
              <w:adjustRightInd w:val="0"/>
              <w:snapToGrid w:val="0"/>
              <w:spacing w:line="240" w:lineRule="auto"/>
              <w:ind w:firstLine="0" w:firstLineChars="0"/>
              <w:jc w:val="center"/>
              <w:rPr>
                <w:sz w:val="18"/>
                <w:szCs w:val="18"/>
              </w:rPr>
            </w:pPr>
            <w:r>
              <w:rPr>
                <w:sz w:val="18"/>
                <w:szCs w:val="18"/>
              </w:rPr>
              <w:t>0.04</w:t>
            </w:r>
          </w:p>
        </w:tc>
        <w:tc>
          <w:tcPr>
            <w:tcW w:w="936" w:type="pct"/>
            <w:shd w:val="clear" w:color="auto" w:fill="auto"/>
            <w:vAlign w:val="center"/>
          </w:tcPr>
          <w:p w14:paraId="16360840">
            <w:pPr>
              <w:adjustRightInd w:val="0"/>
              <w:snapToGrid w:val="0"/>
              <w:spacing w:line="240" w:lineRule="auto"/>
              <w:ind w:firstLine="0" w:firstLineChars="0"/>
              <w:jc w:val="center"/>
              <w:rPr>
                <w:sz w:val="18"/>
                <w:szCs w:val="18"/>
              </w:rPr>
            </w:pPr>
            <w:r>
              <w:rPr>
                <w:sz w:val="18"/>
                <w:szCs w:val="18"/>
              </w:rPr>
              <w:t>0.04</w:t>
            </w:r>
          </w:p>
        </w:tc>
        <w:tc>
          <w:tcPr>
            <w:tcW w:w="1285" w:type="pct"/>
            <w:shd w:val="clear" w:color="auto" w:fill="auto"/>
            <w:vAlign w:val="center"/>
          </w:tcPr>
          <w:p w14:paraId="04098204">
            <w:pPr>
              <w:adjustRightInd w:val="0"/>
              <w:snapToGrid w:val="0"/>
              <w:spacing w:line="240" w:lineRule="auto"/>
              <w:ind w:firstLine="0" w:firstLineChars="0"/>
              <w:jc w:val="center"/>
              <w:rPr>
                <w:sz w:val="18"/>
                <w:szCs w:val="18"/>
              </w:rPr>
            </w:pPr>
            <w:r>
              <w:rPr>
                <w:sz w:val="18"/>
                <w:szCs w:val="18"/>
              </w:rPr>
              <w:t>塔基施工区内</w:t>
            </w:r>
          </w:p>
        </w:tc>
      </w:tr>
      <w:tr w14:paraId="7293E5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shd w:val="clear" w:color="auto" w:fill="auto"/>
            <w:vAlign w:val="center"/>
          </w:tcPr>
          <w:p w14:paraId="15E0D418">
            <w:pPr>
              <w:adjustRightInd w:val="0"/>
              <w:snapToGrid w:val="0"/>
              <w:spacing w:line="240" w:lineRule="auto"/>
              <w:ind w:firstLine="0" w:firstLineChars="0"/>
              <w:jc w:val="center"/>
              <w:rPr>
                <w:sz w:val="18"/>
                <w:szCs w:val="18"/>
              </w:rPr>
            </w:pPr>
            <w:r>
              <w:rPr>
                <w:sz w:val="18"/>
                <w:szCs w:val="18"/>
              </w:rPr>
              <w:t>10</w:t>
            </w:r>
          </w:p>
        </w:tc>
        <w:tc>
          <w:tcPr>
            <w:tcW w:w="1382" w:type="pct"/>
            <w:shd w:val="clear" w:color="auto" w:fill="auto"/>
            <w:vAlign w:val="center"/>
          </w:tcPr>
          <w:p w14:paraId="6D355A3C">
            <w:pPr>
              <w:adjustRightInd w:val="0"/>
              <w:snapToGrid w:val="0"/>
              <w:spacing w:line="240" w:lineRule="auto"/>
              <w:ind w:firstLine="0" w:firstLineChars="0"/>
              <w:jc w:val="center"/>
              <w:rPr>
                <w:sz w:val="18"/>
                <w:szCs w:val="18"/>
              </w:rPr>
            </w:pPr>
            <w:r>
              <w:rPr>
                <w:sz w:val="18"/>
                <w:szCs w:val="18"/>
              </w:rPr>
              <w:t>施工生产生活区</w:t>
            </w:r>
          </w:p>
        </w:tc>
        <w:tc>
          <w:tcPr>
            <w:tcW w:w="937" w:type="pct"/>
            <w:shd w:val="clear" w:color="auto" w:fill="auto"/>
            <w:vAlign w:val="center"/>
          </w:tcPr>
          <w:p w14:paraId="32D38E82">
            <w:pPr>
              <w:adjustRightInd w:val="0"/>
              <w:snapToGrid w:val="0"/>
              <w:spacing w:line="240" w:lineRule="auto"/>
              <w:ind w:firstLine="0" w:firstLineChars="0"/>
              <w:jc w:val="center"/>
              <w:rPr>
                <w:sz w:val="18"/>
                <w:szCs w:val="18"/>
              </w:rPr>
            </w:pPr>
            <w:r>
              <w:rPr>
                <w:sz w:val="18"/>
                <w:szCs w:val="18"/>
              </w:rPr>
              <w:t>0.12</w:t>
            </w:r>
          </w:p>
        </w:tc>
        <w:tc>
          <w:tcPr>
            <w:tcW w:w="936" w:type="pct"/>
            <w:shd w:val="clear" w:color="auto" w:fill="auto"/>
            <w:vAlign w:val="center"/>
          </w:tcPr>
          <w:p w14:paraId="790EDB7A">
            <w:pPr>
              <w:adjustRightInd w:val="0"/>
              <w:snapToGrid w:val="0"/>
              <w:spacing w:line="240" w:lineRule="auto"/>
              <w:ind w:firstLine="0" w:firstLineChars="0"/>
              <w:jc w:val="center"/>
              <w:rPr>
                <w:sz w:val="18"/>
                <w:szCs w:val="18"/>
              </w:rPr>
            </w:pPr>
            <w:r>
              <w:rPr>
                <w:sz w:val="18"/>
                <w:szCs w:val="18"/>
              </w:rPr>
              <w:t>0.12</w:t>
            </w:r>
          </w:p>
        </w:tc>
        <w:tc>
          <w:tcPr>
            <w:tcW w:w="1285" w:type="pct"/>
            <w:shd w:val="clear" w:color="auto" w:fill="auto"/>
            <w:vAlign w:val="center"/>
          </w:tcPr>
          <w:p w14:paraId="3824B080">
            <w:pPr>
              <w:adjustRightInd w:val="0"/>
              <w:snapToGrid w:val="0"/>
              <w:spacing w:line="240" w:lineRule="auto"/>
              <w:ind w:firstLine="0" w:firstLineChars="0"/>
              <w:jc w:val="center"/>
              <w:rPr>
                <w:sz w:val="18"/>
                <w:szCs w:val="18"/>
              </w:rPr>
            </w:pPr>
            <w:r>
              <w:rPr>
                <w:sz w:val="18"/>
                <w:szCs w:val="18"/>
              </w:rPr>
              <w:t>施工生产生活区内</w:t>
            </w:r>
          </w:p>
        </w:tc>
      </w:tr>
      <w:tr w14:paraId="6B29F1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shd w:val="clear" w:color="auto" w:fill="auto"/>
            <w:vAlign w:val="center"/>
          </w:tcPr>
          <w:p w14:paraId="2EDC539C">
            <w:pPr>
              <w:adjustRightInd w:val="0"/>
              <w:snapToGrid w:val="0"/>
              <w:spacing w:line="240" w:lineRule="auto"/>
              <w:ind w:firstLine="0" w:firstLineChars="0"/>
              <w:jc w:val="center"/>
              <w:rPr>
                <w:sz w:val="18"/>
                <w:szCs w:val="18"/>
              </w:rPr>
            </w:pPr>
            <w:r>
              <w:rPr>
                <w:sz w:val="18"/>
                <w:szCs w:val="18"/>
              </w:rPr>
              <w:t>11</w:t>
            </w:r>
          </w:p>
        </w:tc>
        <w:tc>
          <w:tcPr>
            <w:tcW w:w="1382" w:type="pct"/>
            <w:shd w:val="clear" w:color="auto" w:fill="auto"/>
            <w:vAlign w:val="center"/>
          </w:tcPr>
          <w:p w14:paraId="55805B84">
            <w:pPr>
              <w:adjustRightInd w:val="0"/>
              <w:snapToGrid w:val="0"/>
              <w:spacing w:line="240" w:lineRule="auto"/>
              <w:ind w:firstLine="0" w:firstLineChars="0"/>
              <w:jc w:val="center"/>
              <w:rPr>
                <w:sz w:val="18"/>
                <w:szCs w:val="18"/>
              </w:rPr>
            </w:pPr>
            <w:r>
              <w:rPr>
                <w:sz w:val="18"/>
                <w:szCs w:val="18"/>
              </w:rPr>
              <w:t>弃渣场区</w:t>
            </w:r>
          </w:p>
        </w:tc>
        <w:tc>
          <w:tcPr>
            <w:tcW w:w="937" w:type="pct"/>
            <w:shd w:val="clear" w:color="auto" w:fill="auto"/>
            <w:vAlign w:val="center"/>
          </w:tcPr>
          <w:p w14:paraId="3843BA9C">
            <w:pPr>
              <w:adjustRightInd w:val="0"/>
              <w:snapToGrid w:val="0"/>
              <w:spacing w:line="240" w:lineRule="auto"/>
              <w:ind w:firstLine="0" w:firstLineChars="0"/>
              <w:jc w:val="center"/>
              <w:rPr>
                <w:sz w:val="18"/>
                <w:szCs w:val="18"/>
              </w:rPr>
            </w:pPr>
            <w:r>
              <w:rPr>
                <w:sz w:val="18"/>
                <w:szCs w:val="18"/>
              </w:rPr>
              <w:t>0.43</w:t>
            </w:r>
          </w:p>
        </w:tc>
        <w:tc>
          <w:tcPr>
            <w:tcW w:w="936" w:type="pct"/>
            <w:shd w:val="clear" w:color="auto" w:fill="auto"/>
            <w:vAlign w:val="center"/>
          </w:tcPr>
          <w:p w14:paraId="195ABC7B">
            <w:pPr>
              <w:adjustRightInd w:val="0"/>
              <w:snapToGrid w:val="0"/>
              <w:spacing w:line="240" w:lineRule="auto"/>
              <w:ind w:firstLine="0" w:firstLineChars="0"/>
              <w:jc w:val="center"/>
              <w:rPr>
                <w:sz w:val="18"/>
                <w:szCs w:val="18"/>
              </w:rPr>
            </w:pPr>
            <w:r>
              <w:rPr>
                <w:sz w:val="18"/>
                <w:szCs w:val="18"/>
              </w:rPr>
              <w:t>0.43</w:t>
            </w:r>
          </w:p>
        </w:tc>
        <w:tc>
          <w:tcPr>
            <w:tcW w:w="1285" w:type="pct"/>
            <w:shd w:val="clear" w:color="auto" w:fill="auto"/>
            <w:vAlign w:val="center"/>
          </w:tcPr>
          <w:p w14:paraId="36E786C5">
            <w:pPr>
              <w:adjustRightInd w:val="0"/>
              <w:snapToGrid w:val="0"/>
              <w:spacing w:line="240" w:lineRule="auto"/>
              <w:ind w:firstLine="0" w:firstLineChars="0"/>
              <w:jc w:val="center"/>
              <w:rPr>
                <w:sz w:val="18"/>
                <w:szCs w:val="18"/>
              </w:rPr>
            </w:pPr>
            <w:r>
              <w:rPr>
                <w:sz w:val="18"/>
                <w:szCs w:val="18"/>
              </w:rPr>
              <w:t>弃渣场尾部</w:t>
            </w:r>
          </w:p>
        </w:tc>
      </w:tr>
      <w:tr w14:paraId="5CFD21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60" w:type="pct"/>
            <w:shd w:val="clear" w:color="auto" w:fill="auto"/>
            <w:vAlign w:val="center"/>
          </w:tcPr>
          <w:p w14:paraId="4329904E">
            <w:pPr>
              <w:adjustRightInd w:val="0"/>
              <w:snapToGrid w:val="0"/>
              <w:spacing w:line="240" w:lineRule="auto"/>
              <w:ind w:firstLine="0" w:firstLineChars="0"/>
              <w:jc w:val="center"/>
              <w:rPr>
                <w:sz w:val="18"/>
                <w:szCs w:val="18"/>
              </w:rPr>
            </w:pPr>
            <w:r>
              <w:rPr>
                <w:sz w:val="18"/>
                <w:szCs w:val="18"/>
              </w:rPr>
              <w:t>12</w:t>
            </w:r>
          </w:p>
        </w:tc>
        <w:tc>
          <w:tcPr>
            <w:tcW w:w="1382" w:type="pct"/>
            <w:shd w:val="clear" w:color="auto" w:fill="auto"/>
            <w:vAlign w:val="center"/>
          </w:tcPr>
          <w:p w14:paraId="2C91CFFC">
            <w:pPr>
              <w:adjustRightInd w:val="0"/>
              <w:snapToGrid w:val="0"/>
              <w:spacing w:line="240" w:lineRule="auto"/>
              <w:ind w:firstLine="0" w:firstLineChars="0"/>
              <w:jc w:val="center"/>
              <w:rPr>
                <w:sz w:val="18"/>
                <w:szCs w:val="18"/>
              </w:rPr>
            </w:pPr>
            <w:r>
              <w:rPr>
                <w:sz w:val="18"/>
                <w:szCs w:val="18"/>
              </w:rPr>
              <w:t>总计</w:t>
            </w:r>
          </w:p>
        </w:tc>
        <w:tc>
          <w:tcPr>
            <w:tcW w:w="937" w:type="pct"/>
            <w:shd w:val="clear" w:color="auto" w:fill="auto"/>
            <w:vAlign w:val="center"/>
          </w:tcPr>
          <w:p w14:paraId="70E4D39B">
            <w:pPr>
              <w:adjustRightInd w:val="0"/>
              <w:snapToGrid w:val="0"/>
              <w:spacing w:line="240" w:lineRule="auto"/>
              <w:ind w:firstLine="0" w:firstLineChars="0"/>
              <w:jc w:val="center"/>
              <w:rPr>
                <w:sz w:val="18"/>
                <w:szCs w:val="18"/>
              </w:rPr>
            </w:pPr>
            <w:r>
              <w:rPr>
                <w:sz w:val="18"/>
                <w:szCs w:val="18"/>
              </w:rPr>
              <w:t>5.44</w:t>
            </w:r>
          </w:p>
        </w:tc>
        <w:tc>
          <w:tcPr>
            <w:tcW w:w="936" w:type="pct"/>
            <w:shd w:val="clear" w:color="auto" w:fill="auto"/>
            <w:vAlign w:val="center"/>
          </w:tcPr>
          <w:p w14:paraId="1596D214">
            <w:pPr>
              <w:adjustRightInd w:val="0"/>
              <w:snapToGrid w:val="0"/>
              <w:spacing w:line="240" w:lineRule="auto"/>
              <w:ind w:firstLine="0" w:firstLineChars="0"/>
              <w:jc w:val="center"/>
              <w:rPr>
                <w:sz w:val="18"/>
                <w:szCs w:val="18"/>
              </w:rPr>
            </w:pPr>
            <w:r>
              <w:rPr>
                <w:sz w:val="18"/>
                <w:szCs w:val="18"/>
              </w:rPr>
              <w:t>5.44</w:t>
            </w:r>
          </w:p>
        </w:tc>
        <w:tc>
          <w:tcPr>
            <w:tcW w:w="1285" w:type="pct"/>
            <w:shd w:val="clear" w:color="auto" w:fill="auto"/>
            <w:vAlign w:val="center"/>
          </w:tcPr>
          <w:p w14:paraId="6C24DB47">
            <w:pPr>
              <w:adjustRightInd w:val="0"/>
              <w:snapToGrid w:val="0"/>
              <w:spacing w:line="240" w:lineRule="auto"/>
              <w:ind w:firstLine="0" w:firstLineChars="0"/>
              <w:jc w:val="center"/>
              <w:rPr>
                <w:sz w:val="18"/>
                <w:szCs w:val="18"/>
              </w:rPr>
            </w:pPr>
          </w:p>
        </w:tc>
      </w:tr>
    </w:tbl>
    <w:p w14:paraId="23A64DCD">
      <w:pPr>
        <w:pStyle w:val="2"/>
        <w:ind w:firstLine="0" w:firstLineChars="0"/>
      </w:pPr>
    </w:p>
    <w:p w14:paraId="2443EBEE">
      <w:pPr>
        <w:tabs>
          <w:tab w:val="clear" w:pos="480"/>
        </w:tabs>
        <w:adjustRightInd w:val="0"/>
        <w:snapToGrid w:val="0"/>
        <w:spacing w:line="240" w:lineRule="auto"/>
        <w:ind w:firstLine="0" w:firstLineChars="0"/>
        <w:jc w:val="center"/>
        <w:rPr>
          <w:rFonts w:hAnsi="宋体"/>
          <w:b/>
        </w:rPr>
      </w:pPr>
      <w:r>
        <w:rPr>
          <w:rFonts w:hint="eastAsia" w:hAnsi="宋体"/>
          <w:b/>
        </w:rPr>
        <w:t>表</w:t>
      </w:r>
      <w:r>
        <w:rPr>
          <w:rFonts w:hAnsi="宋体"/>
          <w:b/>
        </w:rPr>
        <w:t>3.7</w:t>
      </w:r>
      <w:r>
        <w:rPr>
          <w:rFonts w:hint="eastAsia" w:hAnsi="宋体"/>
          <w:b/>
        </w:rPr>
        <w:t>-</w:t>
      </w:r>
      <w:r>
        <w:rPr>
          <w:rFonts w:hAnsi="宋体"/>
          <w:b/>
        </w:rPr>
        <w:t>2</w:t>
      </w:r>
      <w:r>
        <w:rPr>
          <w:rFonts w:hint="eastAsia" w:hAnsi="宋体"/>
          <w:b/>
        </w:rPr>
        <w:t>表土剥离与利用平衡表</w:t>
      </w:r>
    </w:p>
    <w:tbl>
      <w:tblPr>
        <w:tblStyle w:val="88"/>
        <w:tblW w:w="494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82"/>
        <w:gridCol w:w="1022"/>
        <w:gridCol w:w="901"/>
        <w:gridCol w:w="916"/>
        <w:gridCol w:w="1107"/>
        <w:gridCol w:w="799"/>
        <w:gridCol w:w="933"/>
        <w:gridCol w:w="841"/>
        <w:gridCol w:w="929"/>
      </w:tblGrid>
      <w:tr w14:paraId="038D19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188" w:type="pct"/>
            <w:gridSpan w:val="2"/>
            <w:vMerge w:val="restart"/>
            <w:shd w:val="clear" w:color="auto" w:fill="auto"/>
            <w:vAlign w:val="center"/>
          </w:tcPr>
          <w:p w14:paraId="5CBECEEB">
            <w:pPr>
              <w:widowControl/>
              <w:tabs>
                <w:tab w:val="clear" w:pos="480"/>
              </w:tabs>
              <w:adjustRightInd w:val="0"/>
              <w:snapToGrid w:val="0"/>
              <w:spacing w:line="240" w:lineRule="auto"/>
              <w:ind w:firstLine="0" w:firstLineChars="0"/>
              <w:jc w:val="center"/>
              <w:rPr>
                <w:kern w:val="0"/>
                <w:sz w:val="21"/>
                <w:szCs w:val="21"/>
              </w:rPr>
            </w:pPr>
            <w:r>
              <w:rPr>
                <w:kern w:val="0"/>
                <w:sz w:val="21"/>
                <w:szCs w:val="21"/>
              </w:rPr>
              <w:t>工程分区</w:t>
            </w:r>
          </w:p>
        </w:tc>
        <w:tc>
          <w:tcPr>
            <w:tcW w:w="534" w:type="pct"/>
            <w:shd w:val="clear" w:color="auto" w:fill="auto"/>
            <w:vAlign w:val="center"/>
          </w:tcPr>
          <w:p w14:paraId="1F14F5D3">
            <w:pPr>
              <w:widowControl/>
              <w:tabs>
                <w:tab w:val="clear" w:pos="480"/>
              </w:tabs>
              <w:adjustRightInd w:val="0"/>
              <w:snapToGrid w:val="0"/>
              <w:spacing w:line="240" w:lineRule="auto"/>
              <w:ind w:firstLine="0" w:firstLineChars="0"/>
              <w:jc w:val="center"/>
              <w:rPr>
                <w:kern w:val="0"/>
                <w:sz w:val="21"/>
                <w:szCs w:val="21"/>
              </w:rPr>
            </w:pPr>
            <w:r>
              <w:rPr>
                <w:kern w:val="0"/>
                <w:sz w:val="21"/>
                <w:szCs w:val="21"/>
              </w:rPr>
              <w:t>表土资源量</w:t>
            </w:r>
          </w:p>
        </w:tc>
        <w:tc>
          <w:tcPr>
            <w:tcW w:w="1199" w:type="pct"/>
            <w:gridSpan w:val="2"/>
            <w:shd w:val="clear" w:color="auto" w:fill="auto"/>
            <w:vAlign w:val="center"/>
          </w:tcPr>
          <w:p w14:paraId="02275B13">
            <w:pPr>
              <w:widowControl/>
              <w:tabs>
                <w:tab w:val="clear" w:pos="480"/>
              </w:tabs>
              <w:adjustRightInd w:val="0"/>
              <w:snapToGrid w:val="0"/>
              <w:spacing w:line="240" w:lineRule="auto"/>
              <w:ind w:firstLine="0" w:firstLineChars="0"/>
              <w:jc w:val="center"/>
              <w:rPr>
                <w:kern w:val="0"/>
                <w:sz w:val="21"/>
                <w:szCs w:val="21"/>
              </w:rPr>
            </w:pPr>
            <w:r>
              <w:rPr>
                <w:kern w:val="0"/>
                <w:sz w:val="21"/>
                <w:szCs w:val="21"/>
              </w:rPr>
              <w:t>需采取植物措施面积</w:t>
            </w:r>
          </w:p>
        </w:tc>
        <w:tc>
          <w:tcPr>
            <w:tcW w:w="1026" w:type="pct"/>
            <w:gridSpan w:val="2"/>
            <w:shd w:val="clear" w:color="auto" w:fill="auto"/>
            <w:noWrap/>
            <w:vAlign w:val="center"/>
          </w:tcPr>
          <w:p w14:paraId="3ADD9CF4">
            <w:pPr>
              <w:widowControl/>
              <w:tabs>
                <w:tab w:val="clear" w:pos="480"/>
              </w:tabs>
              <w:adjustRightInd w:val="0"/>
              <w:snapToGrid w:val="0"/>
              <w:spacing w:line="240" w:lineRule="auto"/>
              <w:ind w:firstLine="0" w:firstLineChars="0"/>
              <w:jc w:val="center"/>
              <w:rPr>
                <w:kern w:val="0"/>
                <w:sz w:val="21"/>
                <w:szCs w:val="21"/>
              </w:rPr>
            </w:pPr>
            <w:r>
              <w:rPr>
                <w:kern w:val="0"/>
                <w:sz w:val="21"/>
                <w:szCs w:val="21"/>
              </w:rPr>
              <w:t>表土利用</w:t>
            </w:r>
          </w:p>
        </w:tc>
        <w:tc>
          <w:tcPr>
            <w:tcW w:w="499" w:type="pct"/>
            <w:vMerge w:val="restart"/>
            <w:shd w:val="clear" w:color="auto" w:fill="auto"/>
            <w:vAlign w:val="center"/>
          </w:tcPr>
          <w:p w14:paraId="62DB0732">
            <w:pPr>
              <w:widowControl/>
              <w:tabs>
                <w:tab w:val="clear" w:pos="480"/>
              </w:tabs>
              <w:adjustRightInd w:val="0"/>
              <w:snapToGrid w:val="0"/>
              <w:spacing w:line="240" w:lineRule="auto"/>
              <w:ind w:firstLine="0" w:firstLineChars="0"/>
              <w:jc w:val="center"/>
              <w:rPr>
                <w:kern w:val="0"/>
                <w:sz w:val="21"/>
                <w:szCs w:val="21"/>
              </w:rPr>
            </w:pPr>
            <w:r>
              <w:rPr>
                <w:kern w:val="0"/>
                <w:sz w:val="21"/>
                <w:szCs w:val="21"/>
              </w:rPr>
              <w:t>剥离量万m</w:t>
            </w:r>
            <w:r>
              <w:rPr>
                <w:kern w:val="0"/>
                <w:sz w:val="21"/>
                <w:szCs w:val="21"/>
                <w:vertAlign w:val="superscript"/>
              </w:rPr>
              <w:t>3</w:t>
            </w:r>
            <w:r>
              <w:rPr>
                <w:kern w:val="0"/>
                <w:sz w:val="21"/>
                <w:szCs w:val="21"/>
              </w:rPr>
              <w:t>)</w:t>
            </w:r>
          </w:p>
        </w:tc>
        <w:tc>
          <w:tcPr>
            <w:tcW w:w="551" w:type="pct"/>
            <w:vMerge w:val="restart"/>
            <w:shd w:val="clear" w:color="auto" w:fill="auto"/>
            <w:vAlign w:val="center"/>
          </w:tcPr>
          <w:p w14:paraId="07AFEFBF">
            <w:pPr>
              <w:widowControl/>
              <w:tabs>
                <w:tab w:val="clear" w:pos="480"/>
              </w:tabs>
              <w:adjustRightInd w:val="0"/>
              <w:snapToGrid w:val="0"/>
              <w:spacing w:line="240" w:lineRule="auto"/>
              <w:ind w:firstLine="0" w:firstLineChars="0"/>
              <w:jc w:val="center"/>
              <w:rPr>
                <w:kern w:val="0"/>
                <w:sz w:val="21"/>
                <w:szCs w:val="21"/>
              </w:rPr>
            </w:pPr>
            <w:r>
              <w:rPr>
                <w:kern w:val="0"/>
                <w:sz w:val="21"/>
                <w:szCs w:val="21"/>
              </w:rPr>
              <w:t>堆放面积(hm</w:t>
            </w:r>
            <w:r>
              <w:rPr>
                <w:kern w:val="0"/>
                <w:sz w:val="21"/>
                <w:szCs w:val="21"/>
                <w:vertAlign w:val="superscript"/>
              </w:rPr>
              <w:t>2</w:t>
            </w:r>
            <w:r>
              <w:rPr>
                <w:kern w:val="0"/>
                <w:sz w:val="21"/>
                <w:szCs w:val="21"/>
              </w:rPr>
              <w:t>)</w:t>
            </w:r>
          </w:p>
        </w:tc>
      </w:tr>
      <w:tr w14:paraId="7FF274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1188" w:type="pct"/>
            <w:gridSpan w:val="2"/>
            <w:vMerge w:val="continue"/>
            <w:shd w:val="clear" w:color="auto" w:fill="auto"/>
            <w:vAlign w:val="center"/>
          </w:tcPr>
          <w:p w14:paraId="5706D712">
            <w:pPr>
              <w:widowControl/>
              <w:tabs>
                <w:tab w:val="clear" w:pos="480"/>
              </w:tabs>
              <w:adjustRightInd w:val="0"/>
              <w:snapToGrid w:val="0"/>
              <w:spacing w:line="240" w:lineRule="auto"/>
              <w:ind w:firstLine="0" w:firstLineChars="0"/>
              <w:jc w:val="center"/>
              <w:rPr>
                <w:kern w:val="0"/>
                <w:sz w:val="21"/>
                <w:szCs w:val="21"/>
              </w:rPr>
            </w:pPr>
          </w:p>
        </w:tc>
        <w:tc>
          <w:tcPr>
            <w:tcW w:w="534" w:type="pct"/>
            <w:shd w:val="clear" w:color="auto" w:fill="auto"/>
            <w:vAlign w:val="center"/>
          </w:tcPr>
          <w:p w14:paraId="3C75B517">
            <w:pPr>
              <w:widowControl/>
              <w:tabs>
                <w:tab w:val="clear" w:pos="480"/>
              </w:tabs>
              <w:adjustRightInd w:val="0"/>
              <w:snapToGrid w:val="0"/>
              <w:spacing w:line="240" w:lineRule="auto"/>
              <w:ind w:firstLine="0" w:firstLineChars="0"/>
              <w:jc w:val="center"/>
              <w:rPr>
                <w:kern w:val="0"/>
                <w:sz w:val="21"/>
                <w:szCs w:val="21"/>
              </w:rPr>
            </w:pPr>
            <w:r>
              <w:rPr>
                <w:kern w:val="0"/>
                <w:sz w:val="21"/>
                <w:szCs w:val="21"/>
              </w:rPr>
              <w:t>(万m</w:t>
            </w:r>
            <w:r>
              <w:rPr>
                <w:kern w:val="0"/>
                <w:sz w:val="21"/>
                <w:szCs w:val="21"/>
                <w:vertAlign w:val="superscript"/>
              </w:rPr>
              <w:t>3</w:t>
            </w:r>
            <w:r>
              <w:rPr>
                <w:kern w:val="0"/>
                <w:sz w:val="21"/>
                <w:szCs w:val="21"/>
              </w:rPr>
              <w:t>)</w:t>
            </w:r>
          </w:p>
        </w:tc>
        <w:tc>
          <w:tcPr>
            <w:tcW w:w="543" w:type="pct"/>
            <w:shd w:val="clear" w:color="auto" w:fill="auto"/>
            <w:vAlign w:val="center"/>
          </w:tcPr>
          <w:p w14:paraId="0AB10E3F">
            <w:pPr>
              <w:widowControl/>
              <w:tabs>
                <w:tab w:val="clear" w:pos="480"/>
              </w:tabs>
              <w:adjustRightInd w:val="0"/>
              <w:snapToGrid w:val="0"/>
              <w:spacing w:line="240" w:lineRule="auto"/>
              <w:ind w:firstLine="0" w:firstLineChars="0"/>
              <w:jc w:val="center"/>
              <w:rPr>
                <w:kern w:val="0"/>
                <w:sz w:val="21"/>
                <w:szCs w:val="21"/>
              </w:rPr>
            </w:pPr>
            <w:r>
              <w:rPr>
                <w:kern w:val="0"/>
                <w:sz w:val="21"/>
                <w:szCs w:val="21"/>
              </w:rPr>
              <w:t>投影面积(hm</w:t>
            </w:r>
            <w:r>
              <w:rPr>
                <w:kern w:val="0"/>
                <w:sz w:val="21"/>
                <w:szCs w:val="21"/>
                <w:vertAlign w:val="superscript"/>
              </w:rPr>
              <w:t>2</w:t>
            </w:r>
            <w:r>
              <w:rPr>
                <w:kern w:val="0"/>
                <w:sz w:val="21"/>
                <w:szCs w:val="21"/>
              </w:rPr>
              <w:t>)</w:t>
            </w:r>
          </w:p>
        </w:tc>
        <w:tc>
          <w:tcPr>
            <w:tcW w:w="655" w:type="pct"/>
            <w:shd w:val="clear" w:color="auto" w:fill="auto"/>
            <w:vAlign w:val="center"/>
          </w:tcPr>
          <w:p w14:paraId="457C4706">
            <w:pPr>
              <w:widowControl/>
              <w:tabs>
                <w:tab w:val="clear" w:pos="480"/>
              </w:tabs>
              <w:adjustRightInd w:val="0"/>
              <w:snapToGrid w:val="0"/>
              <w:spacing w:line="240" w:lineRule="auto"/>
              <w:ind w:firstLine="0" w:firstLineChars="0"/>
              <w:jc w:val="center"/>
              <w:rPr>
                <w:kern w:val="0"/>
                <w:sz w:val="21"/>
                <w:szCs w:val="21"/>
              </w:rPr>
            </w:pPr>
            <w:r>
              <w:rPr>
                <w:kern w:val="0"/>
                <w:sz w:val="21"/>
                <w:szCs w:val="21"/>
              </w:rPr>
              <w:t>坡面积(hm</w:t>
            </w:r>
            <w:r>
              <w:rPr>
                <w:kern w:val="0"/>
                <w:sz w:val="21"/>
                <w:szCs w:val="21"/>
                <w:vertAlign w:val="superscript"/>
              </w:rPr>
              <w:t>2</w:t>
            </w:r>
            <w:r>
              <w:rPr>
                <w:kern w:val="0"/>
                <w:sz w:val="21"/>
                <w:szCs w:val="21"/>
              </w:rPr>
              <w:t>)</w:t>
            </w:r>
          </w:p>
        </w:tc>
        <w:tc>
          <w:tcPr>
            <w:tcW w:w="473" w:type="pct"/>
            <w:shd w:val="clear" w:color="auto" w:fill="auto"/>
            <w:vAlign w:val="center"/>
          </w:tcPr>
          <w:p w14:paraId="4BBD9D9A">
            <w:pPr>
              <w:widowControl/>
              <w:tabs>
                <w:tab w:val="clear" w:pos="480"/>
              </w:tabs>
              <w:adjustRightInd w:val="0"/>
              <w:snapToGrid w:val="0"/>
              <w:spacing w:line="240" w:lineRule="auto"/>
              <w:ind w:firstLine="0" w:firstLineChars="0"/>
              <w:jc w:val="center"/>
              <w:rPr>
                <w:kern w:val="0"/>
                <w:sz w:val="21"/>
                <w:szCs w:val="21"/>
              </w:rPr>
            </w:pPr>
            <w:r>
              <w:rPr>
                <w:kern w:val="0"/>
                <w:sz w:val="21"/>
                <w:szCs w:val="21"/>
              </w:rPr>
              <w:t>回填量(万m</w:t>
            </w:r>
            <w:r>
              <w:rPr>
                <w:kern w:val="0"/>
                <w:sz w:val="21"/>
                <w:szCs w:val="21"/>
                <w:vertAlign w:val="superscript"/>
              </w:rPr>
              <w:t>3</w:t>
            </w:r>
            <w:r>
              <w:rPr>
                <w:kern w:val="0"/>
                <w:sz w:val="21"/>
                <w:szCs w:val="21"/>
              </w:rPr>
              <w:t>)</w:t>
            </w:r>
          </w:p>
        </w:tc>
        <w:tc>
          <w:tcPr>
            <w:tcW w:w="553" w:type="pct"/>
            <w:shd w:val="clear" w:color="auto" w:fill="auto"/>
            <w:vAlign w:val="center"/>
          </w:tcPr>
          <w:p w14:paraId="4453F06A">
            <w:pPr>
              <w:widowControl/>
              <w:tabs>
                <w:tab w:val="clear" w:pos="480"/>
              </w:tabs>
              <w:adjustRightInd w:val="0"/>
              <w:snapToGrid w:val="0"/>
              <w:spacing w:line="240" w:lineRule="auto"/>
              <w:ind w:firstLine="0" w:firstLineChars="0"/>
              <w:jc w:val="center"/>
              <w:rPr>
                <w:kern w:val="0"/>
                <w:sz w:val="21"/>
                <w:szCs w:val="21"/>
              </w:rPr>
            </w:pPr>
            <w:r>
              <w:rPr>
                <w:kern w:val="0"/>
                <w:sz w:val="21"/>
                <w:szCs w:val="21"/>
              </w:rPr>
              <w:t>回填厚度(m)</w:t>
            </w:r>
          </w:p>
        </w:tc>
        <w:tc>
          <w:tcPr>
            <w:tcW w:w="499" w:type="pct"/>
            <w:vMerge w:val="continue"/>
            <w:shd w:val="clear" w:color="auto" w:fill="auto"/>
            <w:vAlign w:val="center"/>
          </w:tcPr>
          <w:p w14:paraId="633AF9AF">
            <w:pPr>
              <w:widowControl/>
              <w:tabs>
                <w:tab w:val="clear" w:pos="480"/>
              </w:tabs>
              <w:adjustRightInd w:val="0"/>
              <w:snapToGrid w:val="0"/>
              <w:spacing w:line="240" w:lineRule="auto"/>
              <w:ind w:firstLine="0" w:firstLineChars="0"/>
              <w:jc w:val="center"/>
              <w:rPr>
                <w:kern w:val="0"/>
                <w:sz w:val="21"/>
                <w:szCs w:val="21"/>
              </w:rPr>
            </w:pPr>
          </w:p>
        </w:tc>
        <w:tc>
          <w:tcPr>
            <w:tcW w:w="551" w:type="pct"/>
            <w:vMerge w:val="continue"/>
            <w:shd w:val="clear" w:color="auto" w:fill="auto"/>
            <w:vAlign w:val="center"/>
          </w:tcPr>
          <w:p w14:paraId="68898CFB">
            <w:pPr>
              <w:widowControl/>
              <w:tabs>
                <w:tab w:val="clear" w:pos="480"/>
              </w:tabs>
              <w:adjustRightInd w:val="0"/>
              <w:snapToGrid w:val="0"/>
              <w:spacing w:line="240" w:lineRule="auto"/>
              <w:ind w:firstLine="0" w:firstLineChars="0"/>
              <w:jc w:val="center"/>
              <w:rPr>
                <w:kern w:val="0"/>
                <w:sz w:val="21"/>
                <w:szCs w:val="21"/>
              </w:rPr>
            </w:pPr>
          </w:p>
        </w:tc>
      </w:tr>
      <w:tr w14:paraId="7BDA2B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188" w:type="pct"/>
            <w:gridSpan w:val="2"/>
            <w:shd w:val="clear" w:color="auto" w:fill="auto"/>
            <w:vAlign w:val="center"/>
          </w:tcPr>
          <w:p w14:paraId="1364256F">
            <w:pPr>
              <w:widowControl/>
              <w:tabs>
                <w:tab w:val="clear" w:pos="480"/>
              </w:tabs>
              <w:adjustRightInd w:val="0"/>
              <w:snapToGrid w:val="0"/>
              <w:spacing w:line="240" w:lineRule="auto"/>
              <w:ind w:firstLine="0" w:firstLineChars="0"/>
              <w:jc w:val="center"/>
              <w:rPr>
                <w:kern w:val="0"/>
                <w:sz w:val="21"/>
                <w:szCs w:val="21"/>
              </w:rPr>
            </w:pPr>
            <w:r>
              <w:rPr>
                <w:kern w:val="0"/>
                <w:sz w:val="21"/>
                <w:szCs w:val="21"/>
              </w:rPr>
              <w:t>风电机组区</w:t>
            </w:r>
          </w:p>
        </w:tc>
        <w:tc>
          <w:tcPr>
            <w:tcW w:w="534" w:type="pct"/>
            <w:shd w:val="clear" w:color="auto" w:fill="auto"/>
            <w:vAlign w:val="center"/>
          </w:tcPr>
          <w:p w14:paraId="03FCD23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0.70 </w:t>
            </w:r>
          </w:p>
        </w:tc>
        <w:tc>
          <w:tcPr>
            <w:tcW w:w="543" w:type="pct"/>
            <w:shd w:val="clear" w:color="auto" w:fill="auto"/>
            <w:vAlign w:val="center"/>
          </w:tcPr>
          <w:p w14:paraId="1518647D">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3.00 </w:t>
            </w:r>
          </w:p>
        </w:tc>
        <w:tc>
          <w:tcPr>
            <w:tcW w:w="655" w:type="pct"/>
            <w:shd w:val="clear" w:color="auto" w:fill="auto"/>
            <w:vAlign w:val="center"/>
          </w:tcPr>
          <w:p w14:paraId="63D3DC36">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3.12 </w:t>
            </w:r>
          </w:p>
        </w:tc>
        <w:tc>
          <w:tcPr>
            <w:tcW w:w="473" w:type="pct"/>
            <w:shd w:val="clear" w:color="auto" w:fill="auto"/>
            <w:vAlign w:val="center"/>
          </w:tcPr>
          <w:p w14:paraId="51B3E46C">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0.70 </w:t>
            </w:r>
          </w:p>
        </w:tc>
        <w:tc>
          <w:tcPr>
            <w:tcW w:w="553" w:type="pct"/>
            <w:shd w:val="clear" w:color="auto" w:fill="auto"/>
            <w:vAlign w:val="center"/>
          </w:tcPr>
          <w:p w14:paraId="7D4EF725">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0.20 </w:t>
            </w:r>
          </w:p>
        </w:tc>
        <w:tc>
          <w:tcPr>
            <w:tcW w:w="499" w:type="pct"/>
            <w:shd w:val="clear" w:color="auto" w:fill="auto"/>
            <w:vAlign w:val="center"/>
          </w:tcPr>
          <w:p w14:paraId="596C469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0.70 </w:t>
            </w:r>
          </w:p>
        </w:tc>
        <w:tc>
          <w:tcPr>
            <w:tcW w:w="551" w:type="pct"/>
            <w:shd w:val="clear" w:color="auto" w:fill="auto"/>
            <w:vAlign w:val="center"/>
          </w:tcPr>
          <w:p w14:paraId="29DC19E5">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0.40 </w:t>
            </w:r>
          </w:p>
        </w:tc>
      </w:tr>
      <w:tr w14:paraId="10250A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82" w:type="pct"/>
            <w:vMerge w:val="restart"/>
            <w:shd w:val="clear" w:color="auto" w:fill="auto"/>
            <w:vAlign w:val="center"/>
          </w:tcPr>
          <w:p w14:paraId="7BBB0866">
            <w:pPr>
              <w:widowControl/>
              <w:tabs>
                <w:tab w:val="clear" w:pos="480"/>
              </w:tabs>
              <w:adjustRightInd w:val="0"/>
              <w:snapToGrid w:val="0"/>
              <w:spacing w:line="240" w:lineRule="auto"/>
              <w:ind w:firstLine="0" w:firstLineChars="0"/>
              <w:jc w:val="center"/>
              <w:rPr>
                <w:kern w:val="0"/>
                <w:sz w:val="21"/>
                <w:szCs w:val="21"/>
              </w:rPr>
            </w:pPr>
            <w:r>
              <w:rPr>
                <w:kern w:val="0"/>
                <w:sz w:val="21"/>
                <w:szCs w:val="21"/>
              </w:rPr>
              <w:t>交通道路区</w:t>
            </w:r>
          </w:p>
        </w:tc>
        <w:tc>
          <w:tcPr>
            <w:tcW w:w="605" w:type="pct"/>
            <w:shd w:val="clear" w:color="auto" w:fill="auto"/>
            <w:vAlign w:val="center"/>
          </w:tcPr>
          <w:p w14:paraId="513E2784">
            <w:pPr>
              <w:widowControl/>
              <w:tabs>
                <w:tab w:val="clear" w:pos="480"/>
              </w:tabs>
              <w:adjustRightInd w:val="0"/>
              <w:snapToGrid w:val="0"/>
              <w:spacing w:line="240" w:lineRule="auto"/>
              <w:ind w:firstLine="0" w:firstLineChars="0"/>
              <w:jc w:val="center"/>
              <w:rPr>
                <w:kern w:val="0"/>
                <w:sz w:val="21"/>
                <w:szCs w:val="21"/>
              </w:rPr>
            </w:pPr>
            <w:r>
              <w:rPr>
                <w:kern w:val="0"/>
                <w:sz w:val="21"/>
                <w:szCs w:val="21"/>
              </w:rPr>
              <w:t>改建道路</w:t>
            </w:r>
          </w:p>
        </w:tc>
        <w:tc>
          <w:tcPr>
            <w:tcW w:w="534" w:type="pct"/>
            <w:shd w:val="clear" w:color="auto" w:fill="auto"/>
            <w:vAlign w:val="center"/>
          </w:tcPr>
          <w:p w14:paraId="587ED389">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0.90 </w:t>
            </w:r>
          </w:p>
        </w:tc>
        <w:tc>
          <w:tcPr>
            <w:tcW w:w="543" w:type="pct"/>
            <w:shd w:val="clear" w:color="auto" w:fill="auto"/>
            <w:vAlign w:val="center"/>
          </w:tcPr>
          <w:p w14:paraId="14860DC8">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1.00 </w:t>
            </w:r>
          </w:p>
        </w:tc>
        <w:tc>
          <w:tcPr>
            <w:tcW w:w="655" w:type="pct"/>
            <w:shd w:val="clear" w:color="auto" w:fill="auto"/>
            <w:vAlign w:val="center"/>
          </w:tcPr>
          <w:p w14:paraId="75CB716B">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1.50 </w:t>
            </w:r>
          </w:p>
        </w:tc>
        <w:tc>
          <w:tcPr>
            <w:tcW w:w="473" w:type="pct"/>
            <w:shd w:val="clear" w:color="auto" w:fill="auto"/>
            <w:vAlign w:val="center"/>
          </w:tcPr>
          <w:p w14:paraId="18CB05D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0.90 </w:t>
            </w:r>
          </w:p>
        </w:tc>
        <w:tc>
          <w:tcPr>
            <w:tcW w:w="553" w:type="pct"/>
            <w:shd w:val="clear" w:color="auto" w:fill="auto"/>
            <w:vAlign w:val="center"/>
          </w:tcPr>
          <w:p w14:paraId="3FAAE4CA">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0.20 </w:t>
            </w:r>
          </w:p>
        </w:tc>
        <w:tc>
          <w:tcPr>
            <w:tcW w:w="499" w:type="pct"/>
            <w:shd w:val="clear" w:color="auto" w:fill="auto"/>
            <w:vAlign w:val="center"/>
          </w:tcPr>
          <w:p w14:paraId="1A17E643">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0.90 </w:t>
            </w:r>
          </w:p>
        </w:tc>
        <w:tc>
          <w:tcPr>
            <w:tcW w:w="551" w:type="pct"/>
            <w:shd w:val="clear" w:color="auto" w:fill="auto"/>
            <w:vAlign w:val="center"/>
          </w:tcPr>
          <w:p w14:paraId="21E959C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0.50 </w:t>
            </w:r>
          </w:p>
        </w:tc>
      </w:tr>
      <w:tr w14:paraId="742614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9" w:hRule="atLeast"/>
        </w:trPr>
        <w:tc>
          <w:tcPr>
            <w:tcW w:w="582" w:type="pct"/>
            <w:vMerge w:val="continue"/>
            <w:shd w:val="clear" w:color="auto" w:fill="auto"/>
            <w:vAlign w:val="center"/>
          </w:tcPr>
          <w:p w14:paraId="781250A2">
            <w:pPr>
              <w:widowControl/>
              <w:tabs>
                <w:tab w:val="clear" w:pos="480"/>
              </w:tabs>
              <w:adjustRightInd w:val="0"/>
              <w:snapToGrid w:val="0"/>
              <w:spacing w:line="240" w:lineRule="auto"/>
              <w:ind w:firstLine="0" w:firstLineChars="0"/>
              <w:jc w:val="center"/>
              <w:rPr>
                <w:kern w:val="0"/>
                <w:sz w:val="21"/>
                <w:szCs w:val="21"/>
              </w:rPr>
            </w:pPr>
          </w:p>
        </w:tc>
        <w:tc>
          <w:tcPr>
            <w:tcW w:w="605" w:type="pct"/>
            <w:shd w:val="clear" w:color="auto" w:fill="auto"/>
            <w:vAlign w:val="center"/>
          </w:tcPr>
          <w:p w14:paraId="71AC4465">
            <w:pPr>
              <w:widowControl/>
              <w:tabs>
                <w:tab w:val="clear" w:pos="480"/>
              </w:tabs>
              <w:adjustRightInd w:val="0"/>
              <w:snapToGrid w:val="0"/>
              <w:spacing w:line="240" w:lineRule="auto"/>
              <w:ind w:firstLine="0" w:firstLineChars="0"/>
              <w:jc w:val="center"/>
              <w:rPr>
                <w:kern w:val="0"/>
                <w:sz w:val="21"/>
                <w:szCs w:val="21"/>
              </w:rPr>
            </w:pPr>
            <w:r>
              <w:rPr>
                <w:kern w:val="0"/>
                <w:sz w:val="21"/>
                <w:szCs w:val="21"/>
              </w:rPr>
              <w:t>新建道路</w:t>
            </w:r>
          </w:p>
        </w:tc>
        <w:tc>
          <w:tcPr>
            <w:tcW w:w="534" w:type="pct"/>
            <w:shd w:val="clear" w:color="auto" w:fill="auto"/>
            <w:vAlign w:val="center"/>
          </w:tcPr>
          <w:p w14:paraId="78C8C61B">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3.17 </w:t>
            </w:r>
          </w:p>
        </w:tc>
        <w:tc>
          <w:tcPr>
            <w:tcW w:w="543" w:type="pct"/>
            <w:shd w:val="clear" w:color="auto" w:fill="auto"/>
            <w:vAlign w:val="center"/>
          </w:tcPr>
          <w:p w14:paraId="4964FDE8">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12.04 </w:t>
            </w:r>
          </w:p>
        </w:tc>
        <w:tc>
          <w:tcPr>
            <w:tcW w:w="655" w:type="pct"/>
            <w:shd w:val="clear" w:color="auto" w:fill="auto"/>
            <w:vAlign w:val="center"/>
          </w:tcPr>
          <w:p w14:paraId="426D901D">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12.70 </w:t>
            </w:r>
          </w:p>
        </w:tc>
        <w:tc>
          <w:tcPr>
            <w:tcW w:w="473" w:type="pct"/>
            <w:shd w:val="clear" w:color="auto" w:fill="auto"/>
            <w:vAlign w:val="center"/>
          </w:tcPr>
          <w:p w14:paraId="003E726B">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3.17 </w:t>
            </w:r>
          </w:p>
        </w:tc>
        <w:tc>
          <w:tcPr>
            <w:tcW w:w="553" w:type="pct"/>
            <w:shd w:val="clear" w:color="auto" w:fill="auto"/>
            <w:vAlign w:val="center"/>
          </w:tcPr>
          <w:p w14:paraId="76B82A17">
            <w:pPr>
              <w:widowControl/>
              <w:tabs>
                <w:tab w:val="clear" w:pos="480"/>
              </w:tabs>
              <w:adjustRightInd w:val="0"/>
              <w:snapToGrid w:val="0"/>
              <w:spacing w:line="240" w:lineRule="auto"/>
              <w:ind w:firstLine="0" w:firstLineChars="0"/>
              <w:jc w:val="center"/>
              <w:rPr>
                <w:kern w:val="0"/>
                <w:sz w:val="21"/>
                <w:szCs w:val="21"/>
              </w:rPr>
            </w:pPr>
            <w:r>
              <w:rPr>
                <w:kern w:val="0"/>
                <w:sz w:val="21"/>
                <w:szCs w:val="21"/>
              </w:rPr>
              <w:t>0.05~0.2</w:t>
            </w:r>
          </w:p>
        </w:tc>
        <w:tc>
          <w:tcPr>
            <w:tcW w:w="499" w:type="pct"/>
            <w:shd w:val="clear" w:color="auto" w:fill="auto"/>
            <w:vAlign w:val="center"/>
          </w:tcPr>
          <w:p w14:paraId="1233AF8B">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3.17 </w:t>
            </w:r>
          </w:p>
        </w:tc>
        <w:tc>
          <w:tcPr>
            <w:tcW w:w="551" w:type="pct"/>
            <w:shd w:val="clear" w:color="auto" w:fill="auto"/>
            <w:vAlign w:val="center"/>
          </w:tcPr>
          <w:p w14:paraId="63E21AAC">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1.80 </w:t>
            </w:r>
          </w:p>
        </w:tc>
      </w:tr>
      <w:tr w14:paraId="2029BF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188" w:type="pct"/>
            <w:gridSpan w:val="2"/>
            <w:shd w:val="clear" w:color="auto" w:fill="auto"/>
            <w:vAlign w:val="center"/>
          </w:tcPr>
          <w:p w14:paraId="73F2E7D0">
            <w:pPr>
              <w:widowControl/>
              <w:tabs>
                <w:tab w:val="clear" w:pos="480"/>
              </w:tabs>
              <w:adjustRightInd w:val="0"/>
              <w:snapToGrid w:val="0"/>
              <w:spacing w:line="240" w:lineRule="auto"/>
              <w:ind w:firstLine="0" w:firstLineChars="0"/>
              <w:jc w:val="center"/>
              <w:rPr>
                <w:kern w:val="0"/>
                <w:sz w:val="21"/>
                <w:szCs w:val="21"/>
              </w:rPr>
            </w:pPr>
            <w:r>
              <w:rPr>
                <w:kern w:val="0"/>
                <w:sz w:val="21"/>
                <w:szCs w:val="21"/>
              </w:rPr>
              <w:t>升压站区</w:t>
            </w:r>
          </w:p>
        </w:tc>
        <w:tc>
          <w:tcPr>
            <w:tcW w:w="534" w:type="pct"/>
            <w:shd w:val="clear" w:color="auto" w:fill="auto"/>
            <w:vAlign w:val="center"/>
          </w:tcPr>
          <w:p w14:paraId="48B409BA">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0.08 </w:t>
            </w:r>
          </w:p>
        </w:tc>
        <w:tc>
          <w:tcPr>
            <w:tcW w:w="543" w:type="pct"/>
            <w:shd w:val="clear" w:color="auto" w:fill="auto"/>
            <w:vAlign w:val="center"/>
          </w:tcPr>
          <w:p w14:paraId="3DE60574">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0.19 </w:t>
            </w:r>
          </w:p>
        </w:tc>
        <w:tc>
          <w:tcPr>
            <w:tcW w:w="655" w:type="pct"/>
            <w:shd w:val="clear" w:color="auto" w:fill="auto"/>
            <w:vAlign w:val="center"/>
          </w:tcPr>
          <w:p w14:paraId="3C6C07A9">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0.12 </w:t>
            </w:r>
          </w:p>
        </w:tc>
        <w:tc>
          <w:tcPr>
            <w:tcW w:w="473" w:type="pct"/>
            <w:shd w:val="clear" w:color="auto" w:fill="auto"/>
            <w:vAlign w:val="center"/>
          </w:tcPr>
          <w:p w14:paraId="176EB40A">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0.08 </w:t>
            </w:r>
          </w:p>
        </w:tc>
        <w:tc>
          <w:tcPr>
            <w:tcW w:w="553" w:type="pct"/>
            <w:shd w:val="clear" w:color="auto" w:fill="auto"/>
            <w:vAlign w:val="center"/>
          </w:tcPr>
          <w:p w14:paraId="0CFDAEB7">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0.20 </w:t>
            </w:r>
          </w:p>
        </w:tc>
        <w:tc>
          <w:tcPr>
            <w:tcW w:w="499" w:type="pct"/>
            <w:shd w:val="clear" w:color="auto" w:fill="auto"/>
            <w:vAlign w:val="center"/>
          </w:tcPr>
          <w:p w14:paraId="7B24561A">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0.08 </w:t>
            </w:r>
          </w:p>
        </w:tc>
        <w:tc>
          <w:tcPr>
            <w:tcW w:w="551" w:type="pct"/>
            <w:shd w:val="clear" w:color="auto" w:fill="auto"/>
            <w:vAlign w:val="center"/>
          </w:tcPr>
          <w:p w14:paraId="3C08296B">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0.04 </w:t>
            </w:r>
          </w:p>
        </w:tc>
      </w:tr>
      <w:tr w14:paraId="6C334E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82" w:type="pct"/>
            <w:vMerge w:val="restart"/>
            <w:shd w:val="clear" w:color="auto" w:fill="auto"/>
            <w:vAlign w:val="center"/>
          </w:tcPr>
          <w:p w14:paraId="7C91F1CA">
            <w:pPr>
              <w:widowControl/>
              <w:tabs>
                <w:tab w:val="clear" w:pos="480"/>
              </w:tabs>
              <w:adjustRightInd w:val="0"/>
              <w:snapToGrid w:val="0"/>
              <w:spacing w:line="240" w:lineRule="auto"/>
              <w:ind w:firstLine="0" w:firstLineChars="0"/>
              <w:jc w:val="center"/>
              <w:rPr>
                <w:kern w:val="0"/>
                <w:sz w:val="21"/>
                <w:szCs w:val="21"/>
              </w:rPr>
            </w:pPr>
            <w:r>
              <w:rPr>
                <w:kern w:val="0"/>
                <w:sz w:val="21"/>
                <w:szCs w:val="21"/>
              </w:rPr>
              <w:t>集电线路区</w:t>
            </w:r>
          </w:p>
        </w:tc>
        <w:tc>
          <w:tcPr>
            <w:tcW w:w="605" w:type="pct"/>
            <w:shd w:val="clear" w:color="auto" w:fill="auto"/>
            <w:vAlign w:val="center"/>
          </w:tcPr>
          <w:p w14:paraId="05F5BD76">
            <w:pPr>
              <w:widowControl/>
              <w:tabs>
                <w:tab w:val="clear" w:pos="480"/>
              </w:tabs>
              <w:adjustRightInd w:val="0"/>
              <w:snapToGrid w:val="0"/>
              <w:spacing w:line="240" w:lineRule="auto"/>
              <w:ind w:firstLine="0" w:firstLineChars="0"/>
              <w:jc w:val="center"/>
              <w:rPr>
                <w:kern w:val="0"/>
                <w:sz w:val="21"/>
                <w:szCs w:val="21"/>
              </w:rPr>
            </w:pPr>
            <w:r>
              <w:rPr>
                <w:kern w:val="0"/>
                <w:sz w:val="21"/>
                <w:szCs w:val="21"/>
              </w:rPr>
              <w:t>直埋电缆</w:t>
            </w:r>
          </w:p>
        </w:tc>
        <w:tc>
          <w:tcPr>
            <w:tcW w:w="534" w:type="pct"/>
            <w:shd w:val="clear" w:color="auto" w:fill="auto"/>
            <w:vAlign w:val="center"/>
          </w:tcPr>
          <w:p w14:paraId="3F71FAB6">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543" w:type="pct"/>
            <w:shd w:val="clear" w:color="auto" w:fill="auto"/>
            <w:vAlign w:val="center"/>
          </w:tcPr>
          <w:p w14:paraId="12ABDD5B">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655" w:type="pct"/>
            <w:shd w:val="clear" w:color="auto" w:fill="auto"/>
            <w:vAlign w:val="center"/>
          </w:tcPr>
          <w:p w14:paraId="6657993D">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473" w:type="pct"/>
            <w:shd w:val="clear" w:color="auto" w:fill="auto"/>
            <w:vAlign w:val="center"/>
          </w:tcPr>
          <w:p w14:paraId="499EA74E">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553" w:type="pct"/>
            <w:shd w:val="clear" w:color="auto" w:fill="auto"/>
            <w:vAlign w:val="center"/>
          </w:tcPr>
          <w:p w14:paraId="6685359F">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499" w:type="pct"/>
            <w:shd w:val="clear" w:color="auto" w:fill="auto"/>
            <w:vAlign w:val="center"/>
          </w:tcPr>
          <w:p w14:paraId="1F67103F">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551" w:type="pct"/>
            <w:shd w:val="clear" w:color="auto" w:fill="auto"/>
            <w:vAlign w:val="center"/>
          </w:tcPr>
          <w:p w14:paraId="4FE7018D">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r>
      <w:tr w14:paraId="281409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82" w:type="pct"/>
            <w:vMerge w:val="continue"/>
            <w:shd w:val="clear" w:color="auto" w:fill="auto"/>
            <w:vAlign w:val="center"/>
          </w:tcPr>
          <w:p w14:paraId="075EDFA7">
            <w:pPr>
              <w:widowControl/>
              <w:tabs>
                <w:tab w:val="clear" w:pos="480"/>
              </w:tabs>
              <w:adjustRightInd w:val="0"/>
              <w:snapToGrid w:val="0"/>
              <w:spacing w:line="240" w:lineRule="auto"/>
              <w:ind w:firstLine="0" w:firstLineChars="0"/>
              <w:jc w:val="center"/>
              <w:rPr>
                <w:kern w:val="0"/>
                <w:sz w:val="21"/>
                <w:szCs w:val="21"/>
              </w:rPr>
            </w:pPr>
          </w:p>
        </w:tc>
        <w:tc>
          <w:tcPr>
            <w:tcW w:w="605" w:type="pct"/>
            <w:shd w:val="clear" w:color="auto" w:fill="auto"/>
            <w:vAlign w:val="center"/>
          </w:tcPr>
          <w:p w14:paraId="5DB6CD2D">
            <w:pPr>
              <w:widowControl/>
              <w:tabs>
                <w:tab w:val="clear" w:pos="480"/>
              </w:tabs>
              <w:adjustRightInd w:val="0"/>
              <w:snapToGrid w:val="0"/>
              <w:spacing w:line="240" w:lineRule="auto"/>
              <w:ind w:firstLine="0" w:firstLineChars="0"/>
              <w:jc w:val="center"/>
              <w:rPr>
                <w:kern w:val="0"/>
                <w:sz w:val="21"/>
                <w:szCs w:val="21"/>
              </w:rPr>
            </w:pPr>
            <w:r>
              <w:rPr>
                <w:kern w:val="0"/>
                <w:sz w:val="21"/>
                <w:szCs w:val="21"/>
              </w:rPr>
              <w:t>架空线路</w:t>
            </w:r>
          </w:p>
        </w:tc>
        <w:tc>
          <w:tcPr>
            <w:tcW w:w="534" w:type="pct"/>
            <w:shd w:val="clear" w:color="auto" w:fill="auto"/>
            <w:vAlign w:val="center"/>
          </w:tcPr>
          <w:p w14:paraId="48EA2A70">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0.04 </w:t>
            </w:r>
          </w:p>
        </w:tc>
        <w:tc>
          <w:tcPr>
            <w:tcW w:w="543" w:type="pct"/>
            <w:shd w:val="clear" w:color="auto" w:fill="auto"/>
            <w:vAlign w:val="center"/>
          </w:tcPr>
          <w:p w14:paraId="5A6AE486">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0.13 </w:t>
            </w:r>
          </w:p>
        </w:tc>
        <w:tc>
          <w:tcPr>
            <w:tcW w:w="655" w:type="pct"/>
            <w:shd w:val="clear" w:color="auto" w:fill="auto"/>
            <w:vAlign w:val="center"/>
          </w:tcPr>
          <w:p w14:paraId="51CDE0B7">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473" w:type="pct"/>
            <w:shd w:val="clear" w:color="auto" w:fill="auto"/>
            <w:vAlign w:val="center"/>
          </w:tcPr>
          <w:p w14:paraId="6232A5DE">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0.04 </w:t>
            </w:r>
          </w:p>
        </w:tc>
        <w:tc>
          <w:tcPr>
            <w:tcW w:w="553" w:type="pct"/>
            <w:shd w:val="clear" w:color="auto" w:fill="auto"/>
            <w:vAlign w:val="center"/>
          </w:tcPr>
          <w:p w14:paraId="4C122A3D">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0.30 </w:t>
            </w:r>
          </w:p>
        </w:tc>
        <w:tc>
          <w:tcPr>
            <w:tcW w:w="499" w:type="pct"/>
            <w:shd w:val="clear" w:color="auto" w:fill="auto"/>
            <w:vAlign w:val="center"/>
          </w:tcPr>
          <w:p w14:paraId="6FEB31E9">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0.04 </w:t>
            </w:r>
          </w:p>
        </w:tc>
        <w:tc>
          <w:tcPr>
            <w:tcW w:w="551" w:type="pct"/>
            <w:shd w:val="clear" w:color="auto" w:fill="auto"/>
            <w:vAlign w:val="center"/>
          </w:tcPr>
          <w:p w14:paraId="2CE6A9FD">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0.05 </w:t>
            </w:r>
          </w:p>
        </w:tc>
      </w:tr>
      <w:tr w14:paraId="033BF4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188" w:type="pct"/>
            <w:gridSpan w:val="2"/>
            <w:shd w:val="clear" w:color="auto" w:fill="auto"/>
            <w:vAlign w:val="center"/>
          </w:tcPr>
          <w:p w14:paraId="23C05539">
            <w:pPr>
              <w:widowControl/>
              <w:tabs>
                <w:tab w:val="clear" w:pos="480"/>
              </w:tabs>
              <w:adjustRightInd w:val="0"/>
              <w:snapToGrid w:val="0"/>
              <w:spacing w:line="240" w:lineRule="auto"/>
              <w:ind w:firstLine="0" w:firstLineChars="0"/>
              <w:jc w:val="center"/>
              <w:rPr>
                <w:kern w:val="0"/>
                <w:sz w:val="21"/>
                <w:szCs w:val="21"/>
              </w:rPr>
            </w:pPr>
            <w:r>
              <w:rPr>
                <w:kern w:val="0"/>
                <w:sz w:val="21"/>
                <w:szCs w:val="21"/>
              </w:rPr>
              <w:t>施工临建区</w:t>
            </w:r>
          </w:p>
        </w:tc>
        <w:tc>
          <w:tcPr>
            <w:tcW w:w="534" w:type="pct"/>
            <w:shd w:val="clear" w:color="auto" w:fill="auto"/>
            <w:vAlign w:val="center"/>
          </w:tcPr>
          <w:p w14:paraId="2492391C">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0.12 </w:t>
            </w:r>
          </w:p>
        </w:tc>
        <w:tc>
          <w:tcPr>
            <w:tcW w:w="543" w:type="pct"/>
            <w:shd w:val="clear" w:color="auto" w:fill="auto"/>
            <w:vAlign w:val="center"/>
          </w:tcPr>
          <w:p w14:paraId="18A5B30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0.40 </w:t>
            </w:r>
          </w:p>
        </w:tc>
        <w:tc>
          <w:tcPr>
            <w:tcW w:w="655" w:type="pct"/>
            <w:shd w:val="clear" w:color="auto" w:fill="auto"/>
            <w:vAlign w:val="center"/>
          </w:tcPr>
          <w:p w14:paraId="27D0D9F3">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0.40 </w:t>
            </w:r>
          </w:p>
        </w:tc>
        <w:tc>
          <w:tcPr>
            <w:tcW w:w="473" w:type="pct"/>
            <w:shd w:val="clear" w:color="auto" w:fill="auto"/>
            <w:vAlign w:val="center"/>
          </w:tcPr>
          <w:p w14:paraId="1245F5AE">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0.12 </w:t>
            </w:r>
          </w:p>
        </w:tc>
        <w:tc>
          <w:tcPr>
            <w:tcW w:w="553" w:type="pct"/>
            <w:shd w:val="clear" w:color="auto" w:fill="auto"/>
            <w:vAlign w:val="center"/>
          </w:tcPr>
          <w:p w14:paraId="20EEC2BE">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0.30 </w:t>
            </w:r>
          </w:p>
        </w:tc>
        <w:tc>
          <w:tcPr>
            <w:tcW w:w="499" w:type="pct"/>
            <w:shd w:val="clear" w:color="auto" w:fill="auto"/>
            <w:vAlign w:val="center"/>
          </w:tcPr>
          <w:p w14:paraId="02B1C526">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0.12 </w:t>
            </w:r>
          </w:p>
        </w:tc>
        <w:tc>
          <w:tcPr>
            <w:tcW w:w="551" w:type="pct"/>
            <w:shd w:val="clear" w:color="auto" w:fill="auto"/>
            <w:vAlign w:val="center"/>
          </w:tcPr>
          <w:p w14:paraId="78E4F946">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0.10 </w:t>
            </w:r>
          </w:p>
        </w:tc>
      </w:tr>
      <w:tr w14:paraId="158BFD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188" w:type="pct"/>
            <w:gridSpan w:val="2"/>
            <w:shd w:val="clear" w:color="auto" w:fill="auto"/>
            <w:vAlign w:val="center"/>
          </w:tcPr>
          <w:p w14:paraId="2E25B61C">
            <w:pPr>
              <w:widowControl/>
              <w:tabs>
                <w:tab w:val="clear" w:pos="480"/>
              </w:tabs>
              <w:adjustRightInd w:val="0"/>
              <w:snapToGrid w:val="0"/>
              <w:spacing w:line="240" w:lineRule="auto"/>
              <w:ind w:firstLine="0" w:firstLineChars="0"/>
              <w:jc w:val="center"/>
              <w:rPr>
                <w:kern w:val="0"/>
                <w:sz w:val="21"/>
                <w:szCs w:val="21"/>
              </w:rPr>
            </w:pPr>
            <w:r>
              <w:rPr>
                <w:kern w:val="0"/>
                <w:sz w:val="21"/>
                <w:szCs w:val="21"/>
              </w:rPr>
              <w:t>弃渣场区</w:t>
            </w:r>
          </w:p>
        </w:tc>
        <w:tc>
          <w:tcPr>
            <w:tcW w:w="534" w:type="pct"/>
            <w:shd w:val="clear" w:color="auto" w:fill="auto"/>
            <w:vAlign w:val="center"/>
          </w:tcPr>
          <w:p w14:paraId="77C82B49">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0.43 </w:t>
            </w:r>
          </w:p>
        </w:tc>
        <w:tc>
          <w:tcPr>
            <w:tcW w:w="543" w:type="pct"/>
            <w:shd w:val="clear" w:color="auto" w:fill="auto"/>
            <w:vAlign w:val="center"/>
          </w:tcPr>
          <w:p w14:paraId="55317B9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3.40 </w:t>
            </w:r>
          </w:p>
        </w:tc>
        <w:tc>
          <w:tcPr>
            <w:tcW w:w="655" w:type="pct"/>
            <w:shd w:val="clear" w:color="auto" w:fill="auto"/>
            <w:vAlign w:val="center"/>
          </w:tcPr>
          <w:p w14:paraId="665E40D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5.03 </w:t>
            </w:r>
          </w:p>
        </w:tc>
        <w:tc>
          <w:tcPr>
            <w:tcW w:w="473" w:type="pct"/>
            <w:shd w:val="clear" w:color="auto" w:fill="auto"/>
            <w:vAlign w:val="center"/>
          </w:tcPr>
          <w:p w14:paraId="48E97548">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0.43 </w:t>
            </w:r>
          </w:p>
        </w:tc>
        <w:tc>
          <w:tcPr>
            <w:tcW w:w="553" w:type="pct"/>
            <w:shd w:val="clear" w:color="auto" w:fill="auto"/>
            <w:vAlign w:val="center"/>
          </w:tcPr>
          <w:p w14:paraId="3F451F73">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0.30 </w:t>
            </w:r>
          </w:p>
        </w:tc>
        <w:tc>
          <w:tcPr>
            <w:tcW w:w="499" w:type="pct"/>
            <w:shd w:val="clear" w:color="auto" w:fill="auto"/>
            <w:vAlign w:val="center"/>
          </w:tcPr>
          <w:p w14:paraId="59D465E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0.43 </w:t>
            </w:r>
          </w:p>
        </w:tc>
        <w:tc>
          <w:tcPr>
            <w:tcW w:w="551" w:type="pct"/>
            <w:shd w:val="clear" w:color="auto" w:fill="auto"/>
            <w:vAlign w:val="center"/>
          </w:tcPr>
          <w:p w14:paraId="4455402E">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0.30 </w:t>
            </w:r>
          </w:p>
        </w:tc>
      </w:tr>
      <w:tr w14:paraId="3F42F5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188" w:type="pct"/>
            <w:gridSpan w:val="2"/>
            <w:shd w:val="clear" w:color="auto" w:fill="auto"/>
            <w:vAlign w:val="center"/>
          </w:tcPr>
          <w:p w14:paraId="368BDA94">
            <w:pPr>
              <w:widowControl/>
              <w:tabs>
                <w:tab w:val="clear" w:pos="480"/>
              </w:tabs>
              <w:adjustRightInd w:val="0"/>
              <w:snapToGrid w:val="0"/>
              <w:spacing w:line="240" w:lineRule="auto"/>
              <w:ind w:firstLine="0" w:firstLineChars="0"/>
              <w:jc w:val="center"/>
              <w:rPr>
                <w:kern w:val="0"/>
                <w:sz w:val="21"/>
                <w:szCs w:val="21"/>
              </w:rPr>
            </w:pPr>
            <w:r>
              <w:rPr>
                <w:kern w:val="0"/>
                <w:sz w:val="21"/>
                <w:szCs w:val="21"/>
              </w:rPr>
              <w:t>合计</w:t>
            </w:r>
          </w:p>
        </w:tc>
        <w:tc>
          <w:tcPr>
            <w:tcW w:w="534" w:type="pct"/>
            <w:shd w:val="clear" w:color="auto" w:fill="auto"/>
            <w:vAlign w:val="center"/>
          </w:tcPr>
          <w:p w14:paraId="2E4D220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5.44 </w:t>
            </w:r>
          </w:p>
        </w:tc>
        <w:tc>
          <w:tcPr>
            <w:tcW w:w="543" w:type="pct"/>
            <w:shd w:val="clear" w:color="auto" w:fill="auto"/>
            <w:vAlign w:val="center"/>
          </w:tcPr>
          <w:p w14:paraId="601E49B7">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20.16 </w:t>
            </w:r>
          </w:p>
        </w:tc>
        <w:tc>
          <w:tcPr>
            <w:tcW w:w="655" w:type="pct"/>
            <w:shd w:val="clear" w:color="auto" w:fill="auto"/>
            <w:vAlign w:val="center"/>
          </w:tcPr>
          <w:p w14:paraId="04FEEB05">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22.87 </w:t>
            </w:r>
          </w:p>
        </w:tc>
        <w:tc>
          <w:tcPr>
            <w:tcW w:w="473" w:type="pct"/>
            <w:shd w:val="clear" w:color="auto" w:fill="auto"/>
            <w:vAlign w:val="center"/>
          </w:tcPr>
          <w:p w14:paraId="428AC3C2">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5.44 </w:t>
            </w:r>
          </w:p>
        </w:tc>
        <w:tc>
          <w:tcPr>
            <w:tcW w:w="553" w:type="pct"/>
            <w:shd w:val="clear" w:color="auto" w:fill="auto"/>
            <w:vAlign w:val="center"/>
          </w:tcPr>
          <w:p w14:paraId="6084B201">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0.00 </w:t>
            </w:r>
          </w:p>
        </w:tc>
        <w:tc>
          <w:tcPr>
            <w:tcW w:w="499" w:type="pct"/>
            <w:shd w:val="clear" w:color="auto" w:fill="auto"/>
            <w:vAlign w:val="center"/>
          </w:tcPr>
          <w:p w14:paraId="5DADC9F8">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5.44 </w:t>
            </w:r>
          </w:p>
        </w:tc>
        <w:tc>
          <w:tcPr>
            <w:tcW w:w="551" w:type="pct"/>
            <w:shd w:val="clear" w:color="auto" w:fill="auto"/>
            <w:vAlign w:val="center"/>
          </w:tcPr>
          <w:p w14:paraId="6F2A27BA">
            <w:pPr>
              <w:widowControl/>
              <w:tabs>
                <w:tab w:val="clear" w:pos="480"/>
              </w:tabs>
              <w:adjustRightInd w:val="0"/>
              <w:snapToGrid w:val="0"/>
              <w:spacing w:line="240" w:lineRule="auto"/>
              <w:ind w:firstLine="0" w:firstLineChars="0"/>
              <w:jc w:val="center"/>
              <w:rPr>
                <w:kern w:val="0"/>
                <w:sz w:val="21"/>
                <w:szCs w:val="21"/>
              </w:rPr>
            </w:pPr>
            <w:r>
              <w:rPr>
                <w:kern w:val="0"/>
                <w:sz w:val="21"/>
                <w:szCs w:val="21"/>
              </w:rPr>
              <w:t xml:space="preserve">3.19 </w:t>
            </w:r>
          </w:p>
        </w:tc>
      </w:tr>
    </w:tbl>
    <w:p w14:paraId="06CB04AB">
      <w:pPr>
        <w:pStyle w:val="2"/>
        <w:ind w:firstLine="199" w:firstLineChars="95"/>
      </w:pPr>
    </w:p>
    <w:p w14:paraId="357EC37A">
      <w:pPr>
        <w:pStyle w:val="2"/>
        <w:ind w:firstLine="0" w:firstLineChars="0"/>
      </w:pPr>
      <w:r>
        <w:drawing>
          <wp:inline distT="0" distB="0" distL="114300" distR="114300">
            <wp:extent cx="5277485" cy="4234815"/>
            <wp:effectExtent l="0" t="0" r="0" b="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0"/>
                    <a:stretch>
                      <a:fillRect/>
                    </a:stretch>
                  </pic:blipFill>
                  <pic:spPr>
                    <a:xfrm>
                      <a:off x="0" y="0"/>
                      <a:ext cx="5277485" cy="4235285"/>
                    </a:xfrm>
                    <a:prstGeom prst="rect">
                      <a:avLst/>
                    </a:prstGeom>
                    <a:noFill/>
                    <a:ln>
                      <a:noFill/>
                    </a:ln>
                  </pic:spPr>
                </pic:pic>
              </a:graphicData>
            </a:graphic>
          </wp:inline>
        </w:drawing>
      </w:r>
    </w:p>
    <w:p w14:paraId="5B1DF15E">
      <w:pPr>
        <w:ind w:firstLine="0" w:firstLineChars="0"/>
        <w:jc w:val="center"/>
        <w:rPr>
          <w:b/>
          <w:bCs/>
          <w:kern w:val="0"/>
          <w:szCs w:val="22"/>
        </w:rPr>
      </w:pPr>
      <w:r>
        <w:rPr>
          <w:rFonts w:hint="eastAsia"/>
          <w:b/>
          <w:bCs/>
          <w:kern w:val="0"/>
          <w:szCs w:val="22"/>
        </w:rPr>
        <w:t>图</w:t>
      </w:r>
      <w:r>
        <w:rPr>
          <w:b/>
          <w:bCs/>
          <w:kern w:val="0"/>
          <w:szCs w:val="22"/>
        </w:rPr>
        <w:t xml:space="preserve">3.7-2  </w:t>
      </w:r>
      <w:r>
        <w:rPr>
          <w:rFonts w:hint="eastAsia"/>
          <w:b/>
          <w:bCs/>
          <w:kern w:val="0"/>
          <w:szCs w:val="22"/>
        </w:rPr>
        <w:t xml:space="preserve">本项目表土流向图 </w:t>
      </w:r>
      <w:r>
        <w:rPr>
          <w:b/>
          <w:bCs/>
          <w:kern w:val="0"/>
          <w:szCs w:val="22"/>
        </w:rPr>
        <w:t xml:space="preserve"> </w:t>
      </w:r>
      <w:r>
        <w:rPr>
          <w:rFonts w:hint="eastAsia"/>
          <w:b/>
          <w:bCs/>
          <w:kern w:val="0"/>
          <w:szCs w:val="22"/>
        </w:rPr>
        <w:t>单位：万m</w:t>
      </w:r>
      <w:r>
        <w:rPr>
          <w:b/>
          <w:bCs/>
          <w:kern w:val="0"/>
          <w:szCs w:val="22"/>
          <w:vertAlign w:val="superscript"/>
        </w:rPr>
        <w:t>3</w:t>
      </w:r>
    </w:p>
    <w:p w14:paraId="26C17905">
      <w:pPr>
        <w:adjustRightInd w:val="0"/>
        <w:snapToGrid w:val="0"/>
        <w:ind w:firstLine="480"/>
      </w:pPr>
      <w:r>
        <w:rPr>
          <w:rFonts w:hint="eastAsia"/>
        </w:rPr>
        <w:t>环评要求，建设单位在</w:t>
      </w:r>
      <w:r>
        <w:t>3#~4#</w:t>
      </w:r>
      <w:r>
        <w:rPr>
          <w:rFonts w:hint="eastAsia"/>
        </w:rPr>
        <w:t>临近饮用水水源保护区的路段的道路和风机平台施工过程中产生的表土严禁堆置于该路段和风机平台。</w:t>
      </w:r>
    </w:p>
    <w:p w14:paraId="674C6E6F">
      <w:pPr>
        <w:adjustRightInd w:val="0"/>
        <w:snapToGrid w:val="0"/>
        <w:ind w:firstLine="480"/>
      </w:pPr>
      <w:r>
        <w:rPr>
          <w:rFonts w:hint="eastAsia"/>
        </w:rPr>
        <w:t>（</w:t>
      </w:r>
      <w:r>
        <w:t>4</w:t>
      </w:r>
      <w:r>
        <w:rPr>
          <w:rFonts w:hint="eastAsia"/>
        </w:rPr>
        <w:t>）弃渣场</w:t>
      </w:r>
    </w:p>
    <w:p w14:paraId="7A358C4F">
      <w:pPr>
        <w:adjustRightInd w:val="0"/>
        <w:snapToGrid w:val="0"/>
        <w:ind w:firstLine="480"/>
      </w:pPr>
      <w:r>
        <w:t>本项目弃渣来源主要为安装平台、风机基础、箱变基础场地平整及道路的土石方开挖。根据《衡阳县杉桥风电场项目水土保持方案报告书》，本项目弃渣总量为</w:t>
      </w:r>
      <w:r>
        <w:rPr>
          <w:rFonts w:hint="eastAsia"/>
        </w:rPr>
        <w:t>16.45</w:t>
      </w:r>
      <w:r>
        <w:t xml:space="preserve"> 万m</w:t>
      </w:r>
      <w:r>
        <w:rPr>
          <w:vertAlign w:val="superscript"/>
        </w:rPr>
        <w:t>3</w:t>
      </w:r>
      <w:r>
        <w:t>，项目施工过程中设置</w:t>
      </w:r>
      <w:r>
        <w:rPr>
          <w:rFonts w:hint="eastAsia"/>
        </w:rPr>
        <w:t>8</w:t>
      </w:r>
      <w:r>
        <w:t>个弃渣场。弃渣场总占地面积共计为5.0hm</w:t>
      </w:r>
      <w:r>
        <w:rPr>
          <w:vertAlign w:val="superscript"/>
        </w:rPr>
        <w:t>2</w:t>
      </w:r>
      <w:r>
        <w:t>。</w:t>
      </w:r>
    </w:p>
    <w:p w14:paraId="7354B9CB">
      <w:pPr>
        <w:adjustRightInd w:val="0"/>
        <w:snapToGrid w:val="0"/>
        <w:ind w:firstLine="480"/>
      </w:pPr>
      <w:r>
        <w:t>根据实际调查情况，项目施工过程各弃渣场基本情况详见表2.5-3。为保证弃渣场的稳定安全，需对弃渣进行防护和压坡处理，以免发生弃渣场滑坡等地质灾害。各弃渣场规划堆渣坡比均为1:2。</w:t>
      </w:r>
    </w:p>
    <w:p w14:paraId="14688DC5">
      <w:pPr>
        <w:tabs>
          <w:tab w:val="clear" w:pos="480"/>
        </w:tabs>
        <w:spacing w:line="240" w:lineRule="auto"/>
        <w:ind w:firstLine="0" w:firstLineChars="0"/>
        <w:jc w:val="center"/>
        <w:rPr>
          <w:b/>
          <w:bCs/>
          <w:kern w:val="0"/>
          <w:szCs w:val="22"/>
        </w:rPr>
      </w:pPr>
      <w:r>
        <w:rPr>
          <w:b/>
          <w:bCs/>
          <w:kern w:val="0"/>
          <w:szCs w:val="22"/>
        </w:rPr>
        <w:t>表3.7-3  各弃渣场弃渣来源表单位：万m</w:t>
      </w:r>
      <w:r>
        <w:rPr>
          <w:b/>
          <w:bCs/>
          <w:kern w:val="0"/>
          <w:szCs w:val="22"/>
          <w:vertAlign w:val="superscript"/>
        </w:rPr>
        <w:t>3</w:t>
      </w:r>
    </w:p>
    <w:tbl>
      <w:tblPr>
        <w:tblStyle w:val="88"/>
        <w:tblW w:w="503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832"/>
        <w:gridCol w:w="3617"/>
        <w:gridCol w:w="846"/>
        <w:gridCol w:w="1575"/>
        <w:gridCol w:w="677"/>
      </w:tblGrid>
      <w:tr w14:paraId="50F359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vMerge w:val="restart"/>
            <w:tcBorders>
              <w:tl2br w:val="nil"/>
              <w:tr2bl w:val="nil"/>
            </w:tcBorders>
            <w:shd w:val="clear" w:color="auto" w:fill="auto"/>
            <w:vAlign w:val="center"/>
          </w:tcPr>
          <w:p w14:paraId="0A137D23">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渣场名称</w:t>
            </w:r>
          </w:p>
        </w:tc>
        <w:tc>
          <w:tcPr>
            <w:tcW w:w="2587" w:type="pct"/>
            <w:gridSpan w:val="2"/>
            <w:tcBorders>
              <w:tl2br w:val="nil"/>
              <w:tr2bl w:val="nil"/>
            </w:tcBorders>
            <w:shd w:val="clear" w:color="auto" w:fill="auto"/>
            <w:vAlign w:val="center"/>
          </w:tcPr>
          <w:p w14:paraId="28B44E88">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交通道路区</w:t>
            </w:r>
          </w:p>
        </w:tc>
        <w:tc>
          <w:tcPr>
            <w:tcW w:w="1408" w:type="pct"/>
            <w:gridSpan w:val="2"/>
            <w:tcBorders>
              <w:tl2br w:val="nil"/>
              <w:tr2bl w:val="nil"/>
            </w:tcBorders>
            <w:shd w:val="clear" w:color="auto" w:fill="auto"/>
            <w:vAlign w:val="center"/>
          </w:tcPr>
          <w:p w14:paraId="28356E55">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风电机组区</w:t>
            </w:r>
          </w:p>
        </w:tc>
        <w:tc>
          <w:tcPr>
            <w:tcW w:w="393" w:type="pct"/>
            <w:vMerge w:val="restart"/>
            <w:tcBorders>
              <w:tl2br w:val="nil"/>
              <w:tr2bl w:val="nil"/>
            </w:tcBorders>
            <w:shd w:val="clear" w:color="auto" w:fill="auto"/>
            <w:vAlign w:val="center"/>
          </w:tcPr>
          <w:p w14:paraId="24D66BD4">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合计</w:t>
            </w:r>
          </w:p>
        </w:tc>
      </w:tr>
      <w:tr w14:paraId="0C5E72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vMerge w:val="continue"/>
            <w:tcBorders>
              <w:tl2br w:val="nil"/>
              <w:tr2bl w:val="nil"/>
            </w:tcBorders>
            <w:shd w:val="clear" w:color="auto" w:fill="auto"/>
            <w:vAlign w:val="center"/>
          </w:tcPr>
          <w:p w14:paraId="22B54B58">
            <w:pPr>
              <w:widowControl/>
              <w:adjustRightInd w:val="0"/>
              <w:snapToGrid w:val="0"/>
              <w:ind w:firstLine="0" w:firstLineChars="0"/>
              <w:rPr>
                <w:sz w:val="20"/>
                <w:szCs w:val="20"/>
              </w:rPr>
            </w:pPr>
          </w:p>
        </w:tc>
        <w:tc>
          <w:tcPr>
            <w:tcW w:w="484" w:type="pct"/>
            <w:tcBorders>
              <w:tl2br w:val="nil"/>
              <w:tr2bl w:val="nil"/>
            </w:tcBorders>
            <w:shd w:val="clear" w:color="auto" w:fill="auto"/>
            <w:vAlign w:val="center"/>
          </w:tcPr>
          <w:p w14:paraId="2018322F">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弃渣量</w:t>
            </w:r>
          </w:p>
        </w:tc>
        <w:tc>
          <w:tcPr>
            <w:tcW w:w="2103" w:type="pct"/>
            <w:tcBorders>
              <w:tl2br w:val="nil"/>
              <w:tr2bl w:val="nil"/>
            </w:tcBorders>
            <w:shd w:val="clear" w:color="auto" w:fill="auto"/>
            <w:vAlign w:val="center"/>
          </w:tcPr>
          <w:p w14:paraId="5B49E5ED">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来源</w:t>
            </w:r>
          </w:p>
        </w:tc>
        <w:tc>
          <w:tcPr>
            <w:tcW w:w="492" w:type="pct"/>
            <w:tcBorders>
              <w:tl2br w:val="nil"/>
              <w:tr2bl w:val="nil"/>
            </w:tcBorders>
            <w:shd w:val="clear" w:color="auto" w:fill="auto"/>
            <w:vAlign w:val="center"/>
          </w:tcPr>
          <w:p w14:paraId="3D069F6C">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弃渣量</w:t>
            </w:r>
          </w:p>
        </w:tc>
        <w:tc>
          <w:tcPr>
            <w:tcW w:w="915" w:type="pct"/>
            <w:tcBorders>
              <w:tl2br w:val="nil"/>
              <w:tr2bl w:val="nil"/>
            </w:tcBorders>
            <w:shd w:val="clear" w:color="auto" w:fill="auto"/>
            <w:vAlign w:val="center"/>
          </w:tcPr>
          <w:p w14:paraId="421EC268">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来源</w:t>
            </w:r>
          </w:p>
        </w:tc>
        <w:tc>
          <w:tcPr>
            <w:tcW w:w="393" w:type="pct"/>
            <w:vMerge w:val="continue"/>
            <w:tcBorders>
              <w:tl2br w:val="nil"/>
              <w:tr2bl w:val="nil"/>
            </w:tcBorders>
            <w:shd w:val="clear" w:color="auto" w:fill="auto"/>
            <w:vAlign w:val="center"/>
          </w:tcPr>
          <w:p w14:paraId="3114F742">
            <w:pPr>
              <w:widowControl/>
              <w:adjustRightInd w:val="0"/>
              <w:snapToGrid w:val="0"/>
              <w:ind w:firstLine="0" w:firstLineChars="0"/>
              <w:rPr>
                <w:sz w:val="20"/>
                <w:szCs w:val="20"/>
              </w:rPr>
            </w:pPr>
          </w:p>
        </w:tc>
      </w:tr>
      <w:tr w14:paraId="3FEE8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1E6AA5D1">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Z1</w:t>
            </w:r>
          </w:p>
        </w:tc>
        <w:tc>
          <w:tcPr>
            <w:tcW w:w="484" w:type="pct"/>
            <w:tcBorders>
              <w:tl2br w:val="nil"/>
              <w:tr2bl w:val="nil"/>
            </w:tcBorders>
            <w:shd w:val="clear" w:color="auto" w:fill="auto"/>
            <w:vAlign w:val="center"/>
          </w:tcPr>
          <w:p w14:paraId="7C68089B">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0.27</w:t>
            </w:r>
          </w:p>
        </w:tc>
        <w:tc>
          <w:tcPr>
            <w:tcW w:w="2103" w:type="pct"/>
            <w:tcBorders>
              <w:tl2br w:val="nil"/>
              <w:tr2bl w:val="nil"/>
            </w:tcBorders>
            <w:shd w:val="clear" w:color="auto" w:fill="auto"/>
            <w:vAlign w:val="center"/>
          </w:tcPr>
          <w:p w14:paraId="3E1F1FAA">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进场改建道路</w:t>
            </w:r>
          </w:p>
        </w:tc>
        <w:tc>
          <w:tcPr>
            <w:tcW w:w="492" w:type="pct"/>
            <w:tcBorders>
              <w:tl2br w:val="nil"/>
              <w:tr2bl w:val="nil"/>
            </w:tcBorders>
            <w:shd w:val="clear" w:color="auto" w:fill="auto"/>
            <w:vAlign w:val="center"/>
          </w:tcPr>
          <w:p w14:paraId="4B0E9240">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0.00</w:t>
            </w:r>
          </w:p>
        </w:tc>
        <w:tc>
          <w:tcPr>
            <w:tcW w:w="915" w:type="pct"/>
            <w:tcBorders>
              <w:tl2br w:val="nil"/>
              <w:tr2bl w:val="nil"/>
            </w:tcBorders>
            <w:shd w:val="clear" w:color="auto" w:fill="auto"/>
            <w:vAlign w:val="center"/>
          </w:tcPr>
          <w:p w14:paraId="090D84C2">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w:t>
            </w:r>
          </w:p>
        </w:tc>
        <w:tc>
          <w:tcPr>
            <w:tcW w:w="393" w:type="pct"/>
            <w:tcBorders>
              <w:tl2br w:val="nil"/>
              <w:tr2bl w:val="nil"/>
            </w:tcBorders>
            <w:shd w:val="clear" w:color="auto" w:fill="auto"/>
            <w:vAlign w:val="center"/>
          </w:tcPr>
          <w:p w14:paraId="66AAC258">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0.27</w:t>
            </w:r>
          </w:p>
        </w:tc>
      </w:tr>
      <w:tr w14:paraId="66C82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3D040535">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Z2、Z3</w:t>
            </w:r>
          </w:p>
        </w:tc>
        <w:tc>
          <w:tcPr>
            <w:tcW w:w="484" w:type="pct"/>
            <w:tcBorders>
              <w:tl2br w:val="nil"/>
              <w:tr2bl w:val="nil"/>
            </w:tcBorders>
            <w:shd w:val="clear" w:color="auto" w:fill="auto"/>
            <w:vAlign w:val="center"/>
          </w:tcPr>
          <w:p w14:paraId="5E489413">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2.23</w:t>
            </w:r>
          </w:p>
        </w:tc>
        <w:tc>
          <w:tcPr>
            <w:tcW w:w="2103" w:type="pct"/>
            <w:tcBorders>
              <w:tl2br w:val="nil"/>
              <w:tr2bl w:val="nil"/>
            </w:tcBorders>
            <w:shd w:val="clear" w:color="auto" w:fill="auto"/>
            <w:vAlign w:val="center"/>
          </w:tcPr>
          <w:p w14:paraId="2165843B">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Z2-Z3弃渣场主干道</w:t>
            </w:r>
          </w:p>
        </w:tc>
        <w:tc>
          <w:tcPr>
            <w:tcW w:w="492" w:type="pct"/>
            <w:tcBorders>
              <w:tl2br w:val="nil"/>
              <w:tr2bl w:val="nil"/>
            </w:tcBorders>
            <w:shd w:val="clear" w:color="auto" w:fill="auto"/>
            <w:vAlign w:val="center"/>
          </w:tcPr>
          <w:p w14:paraId="4E8E916B">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0.52</w:t>
            </w:r>
          </w:p>
        </w:tc>
        <w:tc>
          <w:tcPr>
            <w:tcW w:w="915" w:type="pct"/>
            <w:tcBorders>
              <w:tl2br w:val="nil"/>
              <w:tr2bl w:val="nil"/>
            </w:tcBorders>
            <w:shd w:val="clear" w:color="auto" w:fill="auto"/>
            <w:vAlign w:val="center"/>
          </w:tcPr>
          <w:p w14:paraId="4E6D825F">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7#风机</w:t>
            </w:r>
          </w:p>
        </w:tc>
        <w:tc>
          <w:tcPr>
            <w:tcW w:w="393" w:type="pct"/>
            <w:tcBorders>
              <w:tl2br w:val="nil"/>
              <w:tr2bl w:val="nil"/>
            </w:tcBorders>
            <w:shd w:val="clear" w:color="auto" w:fill="auto"/>
            <w:vAlign w:val="center"/>
          </w:tcPr>
          <w:p w14:paraId="5A2F61CF">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2.75</w:t>
            </w:r>
          </w:p>
        </w:tc>
      </w:tr>
      <w:tr w14:paraId="51E340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26897610">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Z4</w:t>
            </w:r>
          </w:p>
        </w:tc>
        <w:tc>
          <w:tcPr>
            <w:tcW w:w="484" w:type="pct"/>
            <w:tcBorders>
              <w:tl2br w:val="nil"/>
              <w:tr2bl w:val="nil"/>
            </w:tcBorders>
            <w:shd w:val="clear" w:color="auto" w:fill="auto"/>
            <w:vAlign w:val="center"/>
          </w:tcPr>
          <w:p w14:paraId="02831C9B">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0.73</w:t>
            </w:r>
          </w:p>
        </w:tc>
        <w:tc>
          <w:tcPr>
            <w:tcW w:w="2103" w:type="pct"/>
            <w:tcBorders>
              <w:tl2br w:val="nil"/>
              <w:tr2bl w:val="nil"/>
            </w:tcBorders>
            <w:shd w:val="clear" w:color="auto" w:fill="auto"/>
            <w:vAlign w:val="center"/>
          </w:tcPr>
          <w:p w14:paraId="7AED2326">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1#风机支路</w:t>
            </w:r>
          </w:p>
        </w:tc>
        <w:tc>
          <w:tcPr>
            <w:tcW w:w="492" w:type="pct"/>
            <w:tcBorders>
              <w:tl2br w:val="nil"/>
              <w:tr2bl w:val="nil"/>
            </w:tcBorders>
            <w:shd w:val="clear" w:color="auto" w:fill="auto"/>
            <w:vAlign w:val="center"/>
          </w:tcPr>
          <w:p w14:paraId="766A5586">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0.52</w:t>
            </w:r>
          </w:p>
        </w:tc>
        <w:tc>
          <w:tcPr>
            <w:tcW w:w="915" w:type="pct"/>
            <w:tcBorders>
              <w:tl2br w:val="nil"/>
              <w:tr2bl w:val="nil"/>
            </w:tcBorders>
            <w:shd w:val="clear" w:color="auto" w:fill="auto"/>
            <w:vAlign w:val="center"/>
          </w:tcPr>
          <w:p w14:paraId="685FFC06">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1#风机</w:t>
            </w:r>
          </w:p>
        </w:tc>
        <w:tc>
          <w:tcPr>
            <w:tcW w:w="393" w:type="pct"/>
            <w:tcBorders>
              <w:tl2br w:val="nil"/>
              <w:tr2bl w:val="nil"/>
            </w:tcBorders>
            <w:shd w:val="clear" w:color="auto" w:fill="auto"/>
            <w:vAlign w:val="center"/>
          </w:tcPr>
          <w:p w14:paraId="4554663E">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1.25</w:t>
            </w:r>
          </w:p>
        </w:tc>
      </w:tr>
      <w:tr w14:paraId="033E49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1623B389">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Z5</w:t>
            </w:r>
          </w:p>
        </w:tc>
        <w:tc>
          <w:tcPr>
            <w:tcW w:w="484" w:type="pct"/>
            <w:tcBorders>
              <w:tl2br w:val="nil"/>
              <w:tr2bl w:val="nil"/>
            </w:tcBorders>
            <w:shd w:val="clear" w:color="auto" w:fill="auto"/>
            <w:vAlign w:val="center"/>
          </w:tcPr>
          <w:p w14:paraId="72AB46AA">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1.65</w:t>
            </w:r>
          </w:p>
        </w:tc>
        <w:tc>
          <w:tcPr>
            <w:tcW w:w="2103" w:type="pct"/>
            <w:tcBorders>
              <w:tl2br w:val="nil"/>
              <w:tr2bl w:val="nil"/>
            </w:tcBorders>
            <w:shd w:val="clear" w:color="auto" w:fill="auto"/>
            <w:vAlign w:val="center"/>
          </w:tcPr>
          <w:p w14:paraId="2FC2D4EE">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Z4-Z5弃渣场主干道、2#风机支路、3#风机支路</w:t>
            </w:r>
          </w:p>
        </w:tc>
        <w:tc>
          <w:tcPr>
            <w:tcW w:w="492" w:type="pct"/>
            <w:tcBorders>
              <w:tl2br w:val="nil"/>
              <w:tr2bl w:val="nil"/>
            </w:tcBorders>
            <w:shd w:val="clear" w:color="auto" w:fill="auto"/>
            <w:vAlign w:val="center"/>
          </w:tcPr>
          <w:p w14:paraId="606F7AF6">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1.04</w:t>
            </w:r>
          </w:p>
        </w:tc>
        <w:tc>
          <w:tcPr>
            <w:tcW w:w="915" w:type="pct"/>
            <w:tcBorders>
              <w:tl2br w:val="nil"/>
              <w:tr2bl w:val="nil"/>
            </w:tcBorders>
            <w:shd w:val="clear" w:color="auto" w:fill="auto"/>
            <w:vAlign w:val="center"/>
          </w:tcPr>
          <w:p w14:paraId="2FCD1AAA">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2#~3#风机</w:t>
            </w:r>
          </w:p>
        </w:tc>
        <w:tc>
          <w:tcPr>
            <w:tcW w:w="393" w:type="pct"/>
            <w:tcBorders>
              <w:tl2br w:val="nil"/>
              <w:tr2bl w:val="nil"/>
            </w:tcBorders>
            <w:shd w:val="clear" w:color="auto" w:fill="auto"/>
            <w:vAlign w:val="center"/>
          </w:tcPr>
          <w:p w14:paraId="6A84C9CA">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2.69</w:t>
            </w:r>
          </w:p>
        </w:tc>
      </w:tr>
      <w:tr w14:paraId="2098F3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0783D0E2">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Z6</w:t>
            </w:r>
          </w:p>
        </w:tc>
        <w:tc>
          <w:tcPr>
            <w:tcW w:w="484" w:type="pct"/>
            <w:tcBorders>
              <w:tl2br w:val="nil"/>
              <w:tr2bl w:val="nil"/>
            </w:tcBorders>
            <w:shd w:val="clear" w:color="auto" w:fill="auto"/>
            <w:vAlign w:val="center"/>
          </w:tcPr>
          <w:p w14:paraId="66F12AF2">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2.24</w:t>
            </w:r>
          </w:p>
        </w:tc>
        <w:tc>
          <w:tcPr>
            <w:tcW w:w="2103" w:type="pct"/>
            <w:tcBorders>
              <w:tl2br w:val="nil"/>
              <w:tr2bl w:val="nil"/>
            </w:tcBorders>
            <w:shd w:val="clear" w:color="auto" w:fill="auto"/>
            <w:vAlign w:val="center"/>
          </w:tcPr>
          <w:p w14:paraId="4D096344">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Z6弃渣场主干道、4#风机支路</w:t>
            </w:r>
          </w:p>
        </w:tc>
        <w:tc>
          <w:tcPr>
            <w:tcW w:w="492" w:type="pct"/>
            <w:tcBorders>
              <w:tl2br w:val="nil"/>
              <w:tr2bl w:val="nil"/>
            </w:tcBorders>
            <w:shd w:val="clear" w:color="auto" w:fill="auto"/>
            <w:vAlign w:val="center"/>
          </w:tcPr>
          <w:p w14:paraId="7C31FEB1">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1.04</w:t>
            </w:r>
          </w:p>
        </w:tc>
        <w:tc>
          <w:tcPr>
            <w:tcW w:w="915" w:type="pct"/>
            <w:tcBorders>
              <w:tl2br w:val="nil"/>
              <w:tr2bl w:val="nil"/>
            </w:tcBorders>
            <w:shd w:val="clear" w:color="auto" w:fill="auto"/>
            <w:vAlign w:val="center"/>
          </w:tcPr>
          <w:p w14:paraId="2504C816">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4#~5#风机</w:t>
            </w:r>
          </w:p>
        </w:tc>
        <w:tc>
          <w:tcPr>
            <w:tcW w:w="393" w:type="pct"/>
            <w:tcBorders>
              <w:tl2br w:val="nil"/>
              <w:tr2bl w:val="nil"/>
            </w:tcBorders>
            <w:shd w:val="clear" w:color="auto" w:fill="auto"/>
            <w:vAlign w:val="center"/>
          </w:tcPr>
          <w:p w14:paraId="437CAA2A">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3.28</w:t>
            </w:r>
          </w:p>
        </w:tc>
      </w:tr>
      <w:tr w14:paraId="3A85A7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26C68629">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Z7</w:t>
            </w:r>
          </w:p>
        </w:tc>
        <w:tc>
          <w:tcPr>
            <w:tcW w:w="484" w:type="pct"/>
            <w:tcBorders>
              <w:tl2br w:val="nil"/>
              <w:tr2bl w:val="nil"/>
            </w:tcBorders>
            <w:shd w:val="clear" w:color="auto" w:fill="auto"/>
            <w:vAlign w:val="center"/>
          </w:tcPr>
          <w:p w14:paraId="2915883F">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2.02</w:t>
            </w:r>
          </w:p>
        </w:tc>
        <w:tc>
          <w:tcPr>
            <w:tcW w:w="2103" w:type="pct"/>
            <w:tcBorders>
              <w:tl2br w:val="nil"/>
              <w:tr2bl w:val="nil"/>
            </w:tcBorders>
            <w:shd w:val="clear" w:color="auto" w:fill="auto"/>
            <w:vAlign w:val="center"/>
          </w:tcPr>
          <w:p w14:paraId="3A1898F3">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Z7-6#风机道路</w:t>
            </w:r>
          </w:p>
        </w:tc>
        <w:tc>
          <w:tcPr>
            <w:tcW w:w="492" w:type="pct"/>
            <w:tcBorders>
              <w:tl2br w:val="nil"/>
              <w:tr2bl w:val="nil"/>
            </w:tcBorders>
            <w:shd w:val="clear" w:color="auto" w:fill="auto"/>
            <w:vAlign w:val="center"/>
          </w:tcPr>
          <w:p w14:paraId="5CB087BB">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0.52</w:t>
            </w:r>
          </w:p>
        </w:tc>
        <w:tc>
          <w:tcPr>
            <w:tcW w:w="915" w:type="pct"/>
            <w:tcBorders>
              <w:tl2br w:val="nil"/>
              <w:tr2bl w:val="nil"/>
            </w:tcBorders>
            <w:shd w:val="clear" w:color="auto" w:fill="auto"/>
            <w:vAlign w:val="center"/>
          </w:tcPr>
          <w:p w14:paraId="7B53E885">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6#风机</w:t>
            </w:r>
          </w:p>
        </w:tc>
        <w:tc>
          <w:tcPr>
            <w:tcW w:w="393" w:type="pct"/>
            <w:tcBorders>
              <w:tl2br w:val="nil"/>
              <w:tr2bl w:val="nil"/>
            </w:tcBorders>
            <w:shd w:val="clear" w:color="auto" w:fill="auto"/>
            <w:vAlign w:val="center"/>
          </w:tcPr>
          <w:p w14:paraId="5D0C437B">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2.54</w:t>
            </w:r>
          </w:p>
        </w:tc>
      </w:tr>
      <w:tr w14:paraId="46BD9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347C1B63">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Z8</w:t>
            </w:r>
          </w:p>
        </w:tc>
        <w:tc>
          <w:tcPr>
            <w:tcW w:w="484" w:type="pct"/>
            <w:tcBorders>
              <w:tl2br w:val="nil"/>
              <w:tr2bl w:val="nil"/>
            </w:tcBorders>
            <w:shd w:val="clear" w:color="auto" w:fill="auto"/>
            <w:vAlign w:val="center"/>
          </w:tcPr>
          <w:p w14:paraId="18336747">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2.12</w:t>
            </w:r>
          </w:p>
        </w:tc>
        <w:tc>
          <w:tcPr>
            <w:tcW w:w="2103" w:type="pct"/>
            <w:tcBorders>
              <w:tl2br w:val="nil"/>
              <w:tr2bl w:val="nil"/>
            </w:tcBorders>
            <w:shd w:val="clear" w:color="auto" w:fill="auto"/>
            <w:vAlign w:val="center"/>
          </w:tcPr>
          <w:p w14:paraId="070DDF1F">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Z8-8#风机道路、9#-10#风机支路</w:t>
            </w:r>
          </w:p>
        </w:tc>
        <w:tc>
          <w:tcPr>
            <w:tcW w:w="492" w:type="pct"/>
            <w:tcBorders>
              <w:tl2br w:val="nil"/>
              <w:tr2bl w:val="nil"/>
            </w:tcBorders>
            <w:shd w:val="clear" w:color="auto" w:fill="auto"/>
            <w:vAlign w:val="center"/>
          </w:tcPr>
          <w:p w14:paraId="3A3550F3">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1.56</w:t>
            </w:r>
          </w:p>
        </w:tc>
        <w:tc>
          <w:tcPr>
            <w:tcW w:w="915" w:type="pct"/>
            <w:tcBorders>
              <w:tl2br w:val="nil"/>
              <w:tr2bl w:val="nil"/>
            </w:tcBorders>
            <w:shd w:val="clear" w:color="auto" w:fill="auto"/>
            <w:vAlign w:val="center"/>
          </w:tcPr>
          <w:p w14:paraId="2A6F45F5">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8#-10#风机</w:t>
            </w:r>
          </w:p>
        </w:tc>
        <w:tc>
          <w:tcPr>
            <w:tcW w:w="393" w:type="pct"/>
            <w:tcBorders>
              <w:tl2br w:val="nil"/>
              <w:tr2bl w:val="nil"/>
            </w:tcBorders>
            <w:shd w:val="clear" w:color="auto" w:fill="auto"/>
            <w:vAlign w:val="center"/>
          </w:tcPr>
          <w:p w14:paraId="09DB8D04">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3.68</w:t>
            </w:r>
          </w:p>
        </w:tc>
      </w:tr>
      <w:tr w14:paraId="76320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9" w:type="pct"/>
            <w:tcBorders>
              <w:tl2br w:val="nil"/>
              <w:tr2bl w:val="nil"/>
            </w:tcBorders>
            <w:shd w:val="clear" w:color="auto" w:fill="auto"/>
            <w:vAlign w:val="center"/>
          </w:tcPr>
          <w:p w14:paraId="717419DC">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合计</w:t>
            </w:r>
          </w:p>
        </w:tc>
        <w:tc>
          <w:tcPr>
            <w:tcW w:w="484" w:type="pct"/>
            <w:tcBorders>
              <w:tl2br w:val="nil"/>
              <w:tr2bl w:val="nil"/>
            </w:tcBorders>
            <w:shd w:val="clear" w:color="auto" w:fill="auto"/>
            <w:vAlign w:val="center"/>
          </w:tcPr>
          <w:p w14:paraId="0E110C74">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11.26</w:t>
            </w:r>
          </w:p>
        </w:tc>
        <w:tc>
          <w:tcPr>
            <w:tcW w:w="2103" w:type="pct"/>
            <w:tcBorders>
              <w:tl2br w:val="nil"/>
              <w:tr2bl w:val="nil"/>
            </w:tcBorders>
            <w:shd w:val="clear" w:color="auto" w:fill="auto"/>
            <w:vAlign w:val="center"/>
          </w:tcPr>
          <w:p w14:paraId="3F17779C">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p>
        </w:tc>
        <w:tc>
          <w:tcPr>
            <w:tcW w:w="492" w:type="pct"/>
            <w:tcBorders>
              <w:tl2br w:val="nil"/>
              <w:tr2bl w:val="nil"/>
            </w:tcBorders>
            <w:shd w:val="clear" w:color="auto" w:fill="auto"/>
            <w:vAlign w:val="center"/>
          </w:tcPr>
          <w:p w14:paraId="025481BA">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5.20</w:t>
            </w:r>
          </w:p>
        </w:tc>
        <w:tc>
          <w:tcPr>
            <w:tcW w:w="915" w:type="pct"/>
            <w:tcBorders>
              <w:tl2br w:val="nil"/>
              <w:tr2bl w:val="nil"/>
            </w:tcBorders>
            <w:shd w:val="clear" w:color="auto" w:fill="auto"/>
            <w:vAlign w:val="center"/>
          </w:tcPr>
          <w:p w14:paraId="7F017F2E">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p>
        </w:tc>
        <w:tc>
          <w:tcPr>
            <w:tcW w:w="393" w:type="pct"/>
            <w:tcBorders>
              <w:tl2br w:val="nil"/>
              <w:tr2bl w:val="nil"/>
            </w:tcBorders>
            <w:shd w:val="clear" w:color="auto" w:fill="auto"/>
            <w:vAlign w:val="center"/>
          </w:tcPr>
          <w:p w14:paraId="7778F3E8">
            <w:pPr>
              <w:pStyle w:val="81"/>
              <w:adjustRightInd w:val="0"/>
              <w:snapToGrid w:val="0"/>
              <w:spacing w:before="0" w:beforeAutospacing="0" w:after="0" w:afterAutospacing="0"/>
              <w:ind w:firstLine="0" w:firstLineChars="0"/>
              <w:jc w:val="center"/>
              <w:rPr>
                <w:rFonts w:ascii="Times New Roman" w:hAnsi="Times New Roman" w:eastAsia="宋体" w:cs="Times New Roman"/>
                <w:sz w:val="20"/>
                <w:szCs w:val="20"/>
              </w:rPr>
            </w:pPr>
            <w:r>
              <w:rPr>
                <w:rFonts w:ascii="Times New Roman" w:hAnsi="Times New Roman" w:eastAsia="宋体" w:cs="Times New Roman"/>
                <w:sz w:val="20"/>
                <w:szCs w:val="20"/>
                <w:lang w:bidi="ar"/>
              </w:rPr>
              <w:t>16.46</w:t>
            </w:r>
          </w:p>
        </w:tc>
      </w:tr>
    </w:tbl>
    <w:p w14:paraId="31411BE9">
      <w:pPr>
        <w:adjustRightInd w:val="0"/>
        <w:snapToGrid w:val="0"/>
        <w:ind w:firstLine="482"/>
        <w:jc w:val="center"/>
        <w:rPr>
          <w:b/>
          <w:bCs/>
        </w:rPr>
        <w:sectPr>
          <w:pgSz w:w="11905" w:h="16838"/>
          <w:pgMar w:top="1440" w:right="1797" w:bottom="1440" w:left="1797" w:header="851" w:footer="992" w:gutter="0"/>
          <w:cols w:space="0" w:num="1"/>
          <w:docGrid w:type="lines" w:linePitch="333" w:charSpace="0"/>
        </w:sectPr>
      </w:pPr>
    </w:p>
    <w:p w14:paraId="784E6D08">
      <w:pPr>
        <w:adjustRightInd w:val="0"/>
        <w:snapToGrid w:val="0"/>
        <w:ind w:firstLine="482"/>
        <w:jc w:val="center"/>
        <w:rPr>
          <w:b/>
          <w:bCs/>
        </w:rPr>
      </w:pPr>
      <w:r>
        <w:rPr>
          <w:rFonts w:hint="eastAsia"/>
          <w:b/>
          <w:bCs/>
        </w:rPr>
        <w:t>表3.7-4  弃渣场基本情况表</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30"/>
        <w:gridCol w:w="2956"/>
        <w:gridCol w:w="756"/>
        <w:gridCol w:w="1231"/>
        <w:gridCol w:w="1231"/>
        <w:gridCol w:w="1075"/>
        <w:gridCol w:w="1231"/>
        <w:gridCol w:w="1231"/>
        <w:gridCol w:w="1001"/>
        <w:gridCol w:w="1001"/>
        <w:gridCol w:w="1231"/>
      </w:tblGrid>
      <w:tr w14:paraId="627325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11" w:hRule="atLeast"/>
        </w:trPr>
        <w:tc>
          <w:tcPr>
            <w:tcW w:w="434" w:type="pct"/>
            <w:vMerge w:val="restart"/>
            <w:tcBorders>
              <w:tl2br w:val="nil"/>
              <w:tr2bl w:val="nil"/>
            </w:tcBorders>
            <w:shd w:val="clear" w:color="auto" w:fill="auto"/>
            <w:vAlign w:val="center"/>
          </w:tcPr>
          <w:p w14:paraId="73B9D34D">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渣场编号</w:t>
            </w:r>
          </w:p>
        </w:tc>
        <w:tc>
          <w:tcPr>
            <w:tcW w:w="1042" w:type="pct"/>
            <w:vMerge w:val="restart"/>
            <w:tcBorders>
              <w:tl2br w:val="nil"/>
              <w:tr2bl w:val="nil"/>
            </w:tcBorders>
            <w:shd w:val="clear" w:color="auto" w:fill="auto"/>
            <w:vAlign w:val="center"/>
          </w:tcPr>
          <w:p w14:paraId="3AEC1381">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位置</w:t>
            </w:r>
          </w:p>
        </w:tc>
        <w:tc>
          <w:tcPr>
            <w:tcW w:w="267" w:type="pct"/>
            <w:vMerge w:val="restart"/>
            <w:tcBorders>
              <w:tl2br w:val="nil"/>
              <w:tr2bl w:val="nil"/>
            </w:tcBorders>
            <w:shd w:val="clear" w:color="auto" w:fill="auto"/>
            <w:vAlign w:val="center"/>
          </w:tcPr>
          <w:p w14:paraId="0DB5105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地形</w:t>
            </w:r>
          </w:p>
        </w:tc>
        <w:tc>
          <w:tcPr>
            <w:tcW w:w="434" w:type="pct"/>
            <w:vMerge w:val="restart"/>
            <w:tcBorders>
              <w:tl2br w:val="nil"/>
              <w:tr2bl w:val="nil"/>
            </w:tcBorders>
            <w:shd w:val="clear" w:color="auto" w:fill="auto"/>
            <w:vAlign w:val="center"/>
          </w:tcPr>
          <w:p w14:paraId="763F755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渣场类型</w:t>
            </w:r>
          </w:p>
        </w:tc>
        <w:tc>
          <w:tcPr>
            <w:tcW w:w="434" w:type="pct"/>
            <w:tcBorders>
              <w:tl2br w:val="nil"/>
              <w:tr2bl w:val="nil"/>
            </w:tcBorders>
            <w:shd w:val="clear" w:color="auto" w:fill="auto"/>
            <w:vAlign w:val="center"/>
          </w:tcPr>
          <w:p w14:paraId="7B86B31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集雨面积</w:t>
            </w:r>
          </w:p>
        </w:tc>
        <w:tc>
          <w:tcPr>
            <w:tcW w:w="379" w:type="pct"/>
            <w:tcBorders>
              <w:tl2br w:val="nil"/>
              <w:tr2bl w:val="nil"/>
            </w:tcBorders>
            <w:shd w:val="clear" w:color="auto" w:fill="auto"/>
            <w:vAlign w:val="center"/>
          </w:tcPr>
          <w:p w14:paraId="7990B99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高程</w:t>
            </w:r>
          </w:p>
        </w:tc>
        <w:tc>
          <w:tcPr>
            <w:tcW w:w="434" w:type="pct"/>
            <w:tcBorders>
              <w:tl2br w:val="nil"/>
              <w:tr2bl w:val="nil"/>
            </w:tcBorders>
            <w:shd w:val="clear" w:color="auto" w:fill="auto"/>
            <w:vAlign w:val="center"/>
          </w:tcPr>
          <w:p w14:paraId="402CC00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最大堆高</w:t>
            </w:r>
          </w:p>
        </w:tc>
        <w:tc>
          <w:tcPr>
            <w:tcW w:w="434" w:type="pct"/>
            <w:vMerge w:val="restart"/>
            <w:tcBorders>
              <w:tl2br w:val="nil"/>
              <w:tr2bl w:val="nil"/>
            </w:tcBorders>
            <w:shd w:val="clear" w:color="auto" w:fill="auto"/>
            <w:vAlign w:val="center"/>
          </w:tcPr>
          <w:p w14:paraId="0FCFB539">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渣场等级</w:t>
            </w:r>
          </w:p>
        </w:tc>
        <w:tc>
          <w:tcPr>
            <w:tcW w:w="353" w:type="pct"/>
            <w:tcBorders>
              <w:tl2br w:val="nil"/>
              <w:tr2bl w:val="nil"/>
            </w:tcBorders>
            <w:shd w:val="clear" w:color="auto" w:fill="auto"/>
            <w:vAlign w:val="center"/>
          </w:tcPr>
          <w:p w14:paraId="2E67F5A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容量</w:t>
            </w:r>
          </w:p>
        </w:tc>
        <w:tc>
          <w:tcPr>
            <w:tcW w:w="353" w:type="pct"/>
            <w:tcBorders>
              <w:tl2br w:val="nil"/>
              <w:tr2bl w:val="nil"/>
            </w:tcBorders>
            <w:shd w:val="clear" w:color="auto" w:fill="auto"/>
            <w:vAlign w:val="center"/>
          </w:tcPr>
          <w:p w14:paraId="6548702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弃渣量</w:t>
            </w:r>
          </w:p>
        </w:tc>
        <w:tc>
          <w:tcPr>
            <w:tcW w:w="434" w:type="pct"/>
            <w:vMerge w:val="restart"/>
            <w:tcBorders>
              <w:tl2br w:val="nil"/>
              <w:tr2bl w:val="nil"/>
            </w:tcBorders>
            <w:shd w:val="clear" w:color="auto" w:fill="auto"/>
            <w:vAlign w:val="center"/>
          </w:tcPr>
          <w:p w14:paraId="270413AA">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占地类型</w:t>
            </w:r>
          </w:p>
        </w:tc>
      </w:tr>
      <w:tr w14:paraId="63F4E8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434" w:type="pct"/>
            <w:vMerge w:val="continue"/>
            <w:tcBorders>
              <w:tl2br w:val="nil"/>
              <w:tr2bl w:val="nil"/>
            </w:tcBorders>
            <w:shd w:val="clear" w:color="auto" w:fill="auto"/>
            <w:vAlign w:val="center"/>
          </w:tcPr>
          <w:p w14:paraId="767CB534">
            <w:pPr>
              <w:widowControl/>
              <w:adjustRightInd w:val="0"/>
              <w:snapToGrid w:val="0"/>
              <w:ind w:firstLine="0" w:firstLineChars="0"/>
              <w:rPr>
                <w:sz w:val="18"/>
                <w:szCs w:val="18"/>
              </w:rPr>
            </w:pPr>
          </w:p>
        </w:tc>
        <w:tc>
          <w:tcPr>
            <w:tcW w:w="1042" w:type="pct"/>
            <w:vMerge w:val="continue"/>
            <w:tcBorders>
              <w:tl2br w:val="nil"/>
              <w:tr2bl w:val="nil"/>
            </w:tcBorders>
            <w:shd w:val="clear" w:color="auto" w:fill="auto"/>
            <w:vAlign w:val="center"/>
          </w:tcPr>
          <w:p w14:paraId="29408666">
            <w:pPr>
              <w:widowControl/>
              <w:adjustRightInd w:val="0"/>
              <w:snapToGrid w:val="0"/>
              <w:ind w:firstLine="0" w:firstLineChars="0"/>
              <w:rPr>
                <w:sz w:val="18"/>
                <w:szCs w:val="18"/>
              </w:rPr>
            </w:pPr>
          </w:p>
        </w:tc>
        <w:tc>
          <w:tcPr>
            <w:tcW w:w="267" w:type="pct"/>
            <w:vMerge w:val="continue"/>
            <w:tcBorders>
              <w:tl2br w:val="nil"/>
              <w:tr2bl w:val="nil"/>
            </w:tcBorders>
            <w:shd w:val="clear" w:color="auto" w:fill="auto"/>
            <w:vAlign w:val="center"/>
          </w:tcPr>
          <w:p w14:paraId="2B70D04C">
            <w:pPr>
              <w:widowControl/>
              <w:adjustRightInd w:val="0"/>
              <w:snapToGrid w:val="0"/>
              <w:ind w:firstLine="0" w:firstLineChars="0"/>
              <w:rPr>
                <w:sz w:val="18"/>
                <w:szCs w:val="18"/>
              </w:rPr>
            </w:pPr>
          </w:p>
        </w:tc>
        <w:tc>
          <w:tcPr>
            <w:tcW w:w="434" w:type="pct"/>
            <w:vMerge w:val="continue"/>
            <w:tcBorders>
              <w:tl2br w:val="nil"/>
              <w:tr2bl w:val="nil"/>
            </w:tcBorders>
            <w:shd w:val="clear" w:color="auto" w:fill="auto"/>
            <w:vAlign w:val="center"/>
          </w:tcPr>
          <w:p w14:paraId="21F3B3E6">
            <w:pPr>
              <w:widowControl/>
              <w:adjustRightInd w:val="0"/>
              <w:snapToGrid w:val="0"/>
              <w:ind w:firstLine="0" w:firstLineChars="0"/>
              <w:rPr>
                <w:sz w:val="18"/>
                <w:szCs w:val="18"/>
              </w:rPr>
            </w:pPr>
          </w:p>
        </w:tc>
        <w:tc>
          <w:tcPr>
            <w:tcW w:w="434" w:type="pct"/>
            <w:tcBorders>
              <w:tl2br w:val="nil"/>
              <w:tr2bl w:val="nil"/>
            </w:tcBorders>
            <w:shd w:val="clear" w:color="auto" w:fill="auto"/>
            <w:vAlign w:val="center"/>
          </w:tcPr>
          <w:p w14:paraId="1D49528D">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(hm</w:t>
            </w:r>
            <w:r>
              <w:rPr>
                <w:rFonts w:ascii="Times New Roman" w:hAnsi="Times New Roman" w:eastAsia="宋体" w:cs="Times New Roman"/>
                <w:sz w:val="18"/>
                <w:szCs w:val="18"/>
                <w:vertAlign w:val="superscript"/>
                <w:lang w:bidi="ar"/>
              </w:rPr>
              <w:t>2</w:t>
            </w:r>
            <w:r>
              <w:rPr>
                <w:rFonts w:ascii="Times New Roman" w:hAnsi="Times New Roman" w:eastAsia="宋体" w:cs="Times New Roman"/>
                <w:sz w:val="18"/>
                <w:szCs w:val="18"/>
                <w:lang w:bidi="ar"/>
              </w:rPr>
              <w:t>)</w:t>
            </w:r>
          </w:p>
        </w:tc>
        <w:tc>
          <w:tcPr>
            <w:tcW w:w="379" w:type="pct"/>
            <w:tcBorders>
              <w:tl2br w:val="nil"/>
              <w:tr2bl w:val="nil"/>
            </w:tcBorders>
            <w:shd w:val="clear" w:color="auto" w:fill="auto"/>
            <w:vAlign w:val="center"/>
          </w:tcPr>
          <w:p w14:paraId="20F0B67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(m)</w:t>
            </w:r>
          </w:p>
        </w:tc>
        <w:tc>
          <w:tcPr>
            <w:tcW w:w="434" w:type="pct"/>
            <w:tcBorders>
              <w:tl2br w:val="nil"/>
              <w:tr2bl w:val="nil"/>
            </w:tcBorders>
            <w:shd w:val="clear" w:color="auto" w:fill="auto"/>
            <w:vAlign w:val="center"/>
          </w:tcPr>
          <w:p w14:paraId="4D9441B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(m)</w:t>
            </w:r>
          </w:p>
        </w:tc>
        <w:tc>
          <w:tcPr>
            <w:tcW w:w="434" w:type="pct"/>
            <w:vMerge w:val="continue"/>
            <w:tcBorders>
              <w:tl2br w:val="nil"/>
              <w:tr2bl w:val="nil"/>
            </w:tcBorders>
            <w:shd w:val="clear" w:color="auto" w:fill="auto"/>
            <w:vAlign w:val="center"/>
          </w:tcPr>
          <w:p w14:paraId="4BA96DC2">
            <w:pPr>
              <w:widowControl/>
              <w:adjustRightInd w:val="0"/>
              <w:snapToGrid w:val="0"/>
              <w:ind w:firstLine="0" w:firstLineChars="0"/>
              <w:rPr>
                <w:sz w:val="18"/>
                <w:szCs w:val="18"/>
              </w:rPr>
            </w:pPr>
          </w:p>
        </w:tc>
        <w:tc>
          <w:tcPr>
            <w:tcW w:w="353" w:type="pct"/>
            <w:tcBorders>
              <w:tl2br w:val="nil"/>
              <w:tr2bl w:val="nil"/>
            </w:tcBorders>
            <w:shd w:val="clear" w:color="auto" w:fill="auto"/>
            <w:vAlign w:val="center"/>
          </w:tcPr>
          <w:p w14:paraId="3DE47D6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(万m</w:t>
            </w:r>
            <w:r>
              <w:rPr>
                <w:rFonts w:ascii="Times New Roman" w:hAnsi="Times New Roman" w:eastAsia="宋体" w:cs="Times New Roman"/>
                <w:sz w:val="18"/>
                <w:szCs w:val="18"/>
                <w:vertAlign w:val="superscript"/>
                <w:lang w:bidi="ar"/>
              </w:rPr>
              <w:t>3</w:t>
            </w:r>
            <w:r>
              <w:rPr>
                <w:rFonts w:ascii="Times New Roman" w:hAnsi="Times New Roman" w:eastAsia="宋体" w:cs="Times New Roman"/>
                <w:sz w:val="18"/>
                <w:szCs w:val="18"/>
                <w:lang w:bidi="ar"/>
              </w:rPr>
              <w:t>)</w:t>
            </w:r>
          </w:p>
        </w:tc>
        <w:tc>
          <w:tcPr>
            <w:tcW w:w="353" w:type="pct"/>
            <w:tcBorders>
              <w:tl2br w:val="nil"/>
              <w:tr2bl w:val="nil"/>
            </w:tcBorders>
            <w:shd w:val="clear" w:color="auto" w:fill="auto"/>
            <w:vAlign w:val="center"/>
          </w:tcPr>
          <w:p w14:paraId="01AA93C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(万m</w:t>
            </w:r>
            <w:r>
              <w:rPr>
                <w:rFonts w:ascii="Times New Roman" w:hAnsi="Times New Roman" w:eastAsia="宋体" w:cs="Times New Roman"/>
                <w:sz w:val="18"/>
                <w:szCs w:val="18"/>
                <w:vertAlign w:val="superscript"/>
                <w:lang w:bidi="ar"/>
              </w:rPr>
              <w:t>3</w:t>
            </w:r>
            <w:r>
              <w:rPr>
                <w:rFonts w:ascii="Times New Roman" w:hAnsi="Times New Roman" w:eastAsia="宋体" w:cs="Times New Roman"/>
                <w:sz w:val="18"/>
                <w:szCs w:val="18"/>
                <w:lang w:bidi="ar"/>
              </w:rPr>
              <w:t>)</w:t>
            </w:r>
          </w:p>
        </w:tc>
        <w:tc>
          <w:tcPr>
            <w:tcW w:w="434" w:type="pct"/>
            <w:vMerge w:val="continue"/>
            <w:tcBorders>
              <w:tl2br w:val="nil"/>
              <w:tr2bl w:val="nil"/>
            </w:tcBorders>
            <w:shd w:val="clear" w:color="auto" w:fill="auto"/>
            <w:vAlign w:val="center"/>
          </w:tcPr>
          <w:p w14:paraId="07F52E11">
            <w:pPr>
              <w:widowControl/>
              <w:adjustRightInd w:val="0"/>
              <w:snapToGrid w:val="0"/>
              <w:ind w:firstLine="0" w:firstLineChars="0"/>
              <w:rPr>
                <w:sz w:val="18"/>
                <w:szCs w:val="18"/>
              </w:rPr>
            </w:pPr>
          </w:p>
        </w:tc>
      </w:tr>
      <w:tr w14:paraId="54A23D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458FA6B5">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Z1</w:t>
            </w:r>
          </w:p>
        </w:tc>
        <w:tc>
          <w:tcPr>
            <w:tcW w:w="1042" w:type="pct"/>
            <w:tcBorders>
              <w:tl2br w:val="nil"/>
              <w:tr2bl w:val="nil"/>
            </w:tcBorders>
            <w:shd w:val="clear" w:color="auto" w:fill="auto"/>
            <w:vAlign w:val="center"/>
          </w:tcPr>
          <w:p w14:paraId="32FB453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北侧改建道路处沟道</w:t>
            </w:r>
          </w:p>
        </w:tc>
        <w:tc>
          <w:tcPr>
            <w:tcW w:w="267" w:type="pct"/>
            <w:tcBorders>
              <w:tl2br w:val="nil"/>
              <w:tr2bl w:val="nil"/>
            </w:tcBorders>
            <w:shd w:val="clear" w:color="auto" w:fill="auto"/>
            <w:vAlign w:val="center"/>
          </w:tcPr>
          <w:p w14:paraId="6C9A680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7A95BEB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5DC25B2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2.25</w:t>
            </w:r>
          </w:p>
        </w:tc>
        <w:tc>
          <w:tcPr>
            <w:tcW w:w="379" w:type="pct"/>
            <w:tcBorders>
              <w:tl2br w:val="nil"/>
              <w:tr2bl w:val="nil"/>
            </w:tcBorders>
            <w:shd w:val="clear" w:color="auto" w:fill="auto"/>
            <w:vAlign w:val="center"/>
          </w:tcPr>
          <w:p w14:paraId="042FDDE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169-188</w:t>
            </w:r>
          </w:p>
        </w:tc>
        <w:tc>
          <w:tcPr>
            <w:tcW w:w="434" w:type="pct"/>
            <w:tcBorders>
              <w:tl2br w:val="nil"/>
              <w:tr2bl w:val="nil"/>
            </w:tcBorders>
            <w:shd w:val="clear" w:color="auto" w:fill="auto"/>
            <w:vAlign w:val="center"/>
          </w:tcPr>
          <w:p w14:paraId="3B61C97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19</w:t>
            </w:r>
          </w:p>
        </w:tc>
        <w:tc>
          <w:tcPr>
            <w:tcW w:w="434" w:type="pct"/>
            <w:tcBorders>
              <w:tl2br w:val="nil"/>
              <w:tr2bl w:val="nil"/>
            </w:tcBorders>
            <w:shd w:val="clear" w:color="auto" w:fill="auto"/>
            <w:vAlign w:val="center"/>
          </w:tcPr>
          <w:p w14:paraId="317B3B3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5级</w:t>
            </w:r>
          </w:p>
        </w:tc>
        <w:tc>
          <w:tcPr>
            <w:tcW w:w="353" w:type="pct"/>
            <w:tcBorders>
              <w:tl2br w:val="nil"/>
              <w:tr2bl w:val="nil"/>
            </w:tcBorders>
            <w:shd w:val="clear" w:color="auto" w:fill="auto"/>
            <w:vAlign w:val="center"/>
          </w:tcPr>
          <w:p w14:paraId="5F9C7EE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3.0 </w:t>
            </w:r>
          </w:p>
        </w:tc>
        <w:tc>
          <w:tcPr>
            <w:tcW w:w="353" w:type="pct"/>
            <w:tcBorders>
              <w:tl2br w:val="nil"/>
              <w:tr2bl w:val="nil"/>
            </w:tcBorders>
            <w:shd w:val="clear" w:color="auto" w:fill="auto"/>
            <w:noWrap/>
            <w:vAlign w:val="center"/>
          </w:tcPr>
          <w:p w14:paraId="11BD6BC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0.27 </w:t>
            </w:r>
          </w:p>
        </w:tc>
        <w:tc>
          <w:tcPr>
            <w:tcW w:w="434" w:type="pct"/>
            <w:tcBorders>
              <w:tl2br w:val="nil"/>
              <w:tr2bl w:val="nil"/>
            </w:tcBorders>
            <w:shd w:val="clear" w:color="auto" w:fill="auto"/>
            <w:vAlign w:val="center"/>
          </w:tcPr>
          <w:p w14:paraId="2ADBFDB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4B197B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6F0D5CE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Z2</w:t>
            </w:r>
          </w:p>
        </w:tc>
        <w:tc>
          <w:tcPr>
            <w:tcW w:w="1042" w:type="pct"/>
            <w:tcBorders>
              <w:tl2br w:val="nil"/>
              <w:tr2bl w:val="nil"/>
            </w:tcBorders>
            <w:shd w:val="clear" w:color="auto" w:fill="auto"/>
            <w:vAlign w:val="center"/>
          </w:tcPr>
          <w:p w14:paraId="6EB154A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7#风机西北侧800m处</w:t>
            </w:r>
          </w:p>
        </w:tc>
        <w:tc>
          <w:tcPr>
            <w:tcW w:w="267" w:type="pct"/>
            <w:tcBorders>
              <w:tl2br w:val="nil"/>
              <w:tr2bl w:val="nil"/>
            </w:tcBorders>
            <w:shd w:val="clear" w:color="auto" w:fill="auto"/>
            <w:vAlign w:val="center"/>
          </w:tcPr>
          <w:p w14:paraId="2409123D">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0B0D6EFA">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1D6724D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6.58</w:t>
            </w:r>
          </w:p>
        </w:tc>
        <w:tc>
          <w:tcPr>
            <w:tcW w:w="379" w:type="pct"/>
            <w:tcBorders>
              <w:tl2br w:val="nil"/>
              <w:tr2bl w:val="nil"/>
            </w:tcBorders>
            <w:shd w:val="clear" w:color="auto" w:fill="auto"/>
            <w:vAlign w:val="center"/>
          </w:tcPr>
          <w:p w14:paraId="18FE2D65">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249-268</w:t>
            </w:r>
          </w:p>
        </w:tc>
        <w:tc>
          <w:tcPr>
            <w:tcW w:w="434" w:type="pct"/>
            <w:tcBorders>
              <w:tl2br w:val="nil"/>
              <w:tr2bl w:val="nil"/>
            </w:tcBorders>
            <w:shd w:val="clear" w:color="auto" w:fill="auto"/>
            <w:vAlign w:val="center"/>
          </w:tcPr>
          <w:p w14:paraId="6A203FE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19</w:t>
            </w:r>
          </w:p>
        </w:tc>
        <w:tc>
          <w:tcPr>
            <w:tcW w:w="434" w:type="pct"/>
            <w:tcBorders>
              <w:tl2br w:val="nil"/>
              <w:tr2bl w:val="nil"/>
            </w:tcBorders>
            <w:shd w:val="clear" w:color="auto" w:fill="auto"/>
            <w:vAlign w:val="center"/>
          </w:tcPr>
          <w:p w14:paraId="723F597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5级</w:t>
            </w:r>
          </w:p>
        </w:tc>
        <w:tc>
          <w:tcPr>
            <w:tcW w:w="353" w:type="pct"/>
            <w:tcBorders>
              <w:tl2br w:val="nil"/>
              <w:tr2bl w:val="nil"/>
            </w:tcBorders>
            <w:shd w:val="clear" w:color="auto" w:fill="auto"/>
            <w:vAlign w:val="center"/>
          </w:tcPr>
          <w:p w14:paraId="0357924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1.6 </w:t>
            </w:r>
          </w:p>
        </w:tc>
        <w:tc>
          <w:tcPr>
            <w:tcW w:w="353" w:type="pct"/>
            <w:tcBorders>
              <w:tl2br w:val="nil"/>
              <w:tr2bl w:val="nil"/>
            </w:tcBorders>
            <w:shd w:val="clear" w:color="auto" w:fill="auto"/>
            <w:noWrap/>
            <w:vAlign w:val="center"/>
          </w:tcPr>
          <w:p w14:paraId="51929CA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1.17 </w:t>
            </w:r>
          </w:p>
        </w:tc>
        <w:tc>
          <w:tcPr>
            <w:tcW w:w="434" w:type="pct"/>
            <w:tcBorders>
              <w:tl2br w:val="nil"/>
              <w:tr2bl w:val="nil"/>
            </w:tcBorders>
            <w:shd w:val="clear" w:color="auto" w:fill="auto"/>
            <w:vAlign w:val="center"/>
          </w:tcPr>
          <w:p w14:paraId="0090B91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4EAE5A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2BB4F5E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Z3</w:t>
            </w:r>
          </w:p>
        </w:tc>
        <w:tc>
          <w:tcPr>
            <w:tcW w:w="1042" w:type="pct"/>
            <w:tcBorders>
              <w:tl2br w:val="nil"/>
              <w:tr2bl w:val="nil"/>
            </w:tcBorders>
            <w:shd w:val="clear" w:color="auto" w:fill="auto"/>
            <w:vAlign w:val="center"/>
          </w:tcPr>
          <w:p w14:paraId="5849FE4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7#风机西北侧400m处</w:t>
            </w:r>
          </w:p>
        </w:tc>
        <w:tc>
          <w:tcPr>
            <w:tcW w:w="267" w:type="pct"/>
            <w:tcBorders>
              <w:tl2br w:val="nil"/>
              <w:tr2bl w:val="nil"/>
            </w:tcBorders>
            <w:shd w:val="clear" w:color="auto" w:fill="auto"/>
            <w:vAlign w:val="center"/>
          </w:tcPr>
          <w:p w14:paraId="29ABAF99">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3A7C4BF6">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洼地型</w:t>
            </w:r>
          </w:p>
        </w:tc>
        <w:tc>
          <w:tcPr>
            <w:tcW w:w="434" w:type="pct"/>
            <w:tcBorders>
              <w:tl2br w:val="nil"/>
              <w:tr2bl w:val="nil"/>
            </w:tcBorders>
            <w:shd w:val="clear" w:color="auto" w:fill="auto"/>
            <w:vAlign w:val="center"/>
          </w:tcPr>
          <w:p w14:paraId="4D7AEBD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3.45</w:t>
            </w:r>
          </w:p>
        </w:tc>
        <w:tc>
          <w:tcPr>
            <w:tcW w:w="379" w:type="pct"/>
            <w:tcBorders>
              <w:tl2br w:val="nil"/>
              <w:tr2bl w:val="nil"/>
            </w:tcBorders>
            <w:shd w:val="clear" w:color="auto" w:fill="auto"/>
            <w:vAlign w:val="center"/>
          </w:tcPr>
          <w:p w14:paraId="7FB772C5">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252-270</w:t>
            </w:r>
          </w:p>
        </w:tc>
        <w:tc>
          <w:tcPr>
            <w:tcW w:w="434" w:type="pct"/>
            <w:tcBorders>
              <w:tl2br w:val="nil"/>
              <w:tr2bl w:val="nil"/>
            </w:tcBorders>
            <w:shd w:val="clear" w:color="auto" w:fill="auto"/>
            <w:vAlign w:val="center"/>
          </w:tcPr>
          <w:p w14:paraId="3BBAE89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18</w:t>
            </w:r>
          </w:p>
        </w:tc>
        <w:tc>
          <w:tcPr>
            <w:tcW w:w="434" w:type="pct"/>
            <w:tcBorders>
              <w:tl2br w:val="nil"/>
              <w:tr2bl w:val="nil"/>
            </w:tcBorders>
            <w:shd w:val="clear" w:color="auto" w:fill="auto"/>
            <w:vAlign w:val="center"/>
          </w:tcPr>
          <w:p w14:paraId="0C7936B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4级</w:t>
            </w:r>
          </w:p>
        </w:tc>
        <w:tc>
          <w:tcPr>
            <w:tcW w:w="353" w:type="pct"/>
            <w:tcBorders>
              <w:tl2br w:val="nil"/>
              <w:tr2bl w:val="nil"/>
            </w:tcBorders>
            <w:shd w:val="clear" w:color="auto" w:fill="auto"/>
            <w:vAlign w:val="center"/>
          </w:tcPr>
          <w:p w14:paraId="213569E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1.6 </w:t>
            </w:r>
          </w:p>
        </w:tc>
        <w:tc>
          <w:tcPr>
            <w:tcW w:w="353" w:type="pct"/>
            <w:tcBorders>
              <w:tl2br w:val="nil"/>
              <w:tr2bl w:val="nil"/>
            </w:tcBorders>
            <w:shd w:val="clear" w:color="auto" w:fill="auto"/>
            <w:noWrap/>
            <w:vAlign w:val="center"/>
          </w:tcPr>
          <w:p w14:paraId="192D28E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1.58 </w:t>
            </w:r>
          </w:p>
        </w:tc>
        <w:tc>
          <w:tcPr>
            <w:tcW w:w="434" w:type="pct"/>
            <w:tcBorders>
              <w:tl2br w:val="nil"/>
              <w:tr2bl w:val="nil"/>
            </w:tcBorders>
            <w:shd w:val="clear" w:color="auto" w:fill="auto"/>
            <w:vAlign w:val="center"/>
          </w:tcPr>
          <w:p w14:paraId="7485DE4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23E682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11DBB6A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Z4</w:t>
            </w:r>
          </w:p>
        </w:tc>
        <w:tc>
          <w:tcPr>
            <w:tcW w:w="1042" w:type="pct"/>
            <w:tcBorders>
              <w:tl2br w:val="nil"/>
              <w:tr2bl w:val="nil"/>
            </w:tcBorders>
            <w:shd w:val="clear" w:color="auto" w:fill="auto"/>
            <w:vAlign w:val="center"/>
          </w:tcPr>
          <w:p w14:paraId="34FA6AF9">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1#风机南侧1000m处沟道</w:t>
            </w:r>
          </w:p>
        </w:tc>
        <w:tc>
          <w:tcPr>
            <w:tcW w:w="267" w:type="pct"/>
            <w:tcBorders>
              <w:tl2br w:val="nil"/>
              <w:tr2bl w:val="nil"/>
            </w:tcBorders>
            <w:shd w:val="clear" w:color="auto" w:fill="auto"/>
            <w:vAlign w:val="center"/>
          </w:tcPr>
          <w:p w14:paraId="05E6B18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7E35E83A">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751AE4E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1.8</w:t>
            </w:r>
          </w:p>
        </w:tc>
        <w:tc>
          <w:tcPr>
            <w:tcW w:w="379" w:type="pct"/>
            <w:tcBorders>
              <w:tl2br w:val="nil"/>
              <w:tr2bl w:val="nil"/>
            </w:tcBorders>
            <w:shd w:val="clear" w:color="auto" w:fill="auto"/>
            <w:vAlign w:val="center"/>
          </w:tcPr>
          <w:p w14:paraId="23CBE75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324-340</w:t>
            </w:r>
          </w:p>
        </w:tc>
        <w:tc>
          <w:tcPr>
            <w:tcW w:w="434" w:type="pct"/>
            <w:tcBorders>
              <w:tl2br w:val="nil"/>
              <w:tr2bl w:val="nil"/>
            </w:tcBorders>
            <w:shd w:val="clear" w:color="auto" w:fill="auto"/>
            <w:vAlign w:val="center"/>
          </w:tcPr>
          <w:p w14:paraId="60775085">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16</w:t>
            </w:r>
          </w:p>
        </w:tc>
        <w:tc>
          <w:tcPr>
            <w:tcW w:w="434" w:type="pct"/>
            <w:tcBorders>
              <w:tl2br w:val="nil"/>
              <w:tr2bl w:val="nil"/>
            </w:tcBorders>
            <w:shd w:val="clear" w:color="auto" w:fill="auto"/>
            <w:vAlign w:val="center"/>
          </w:tcPr>
          <w:p w14:paraId="5C58DC9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5级</w:t>
            </w:r>
          </w:p>
        </w:tc>
        <w:tc>
          <w:tcPr>
            <w:tcW w:w="353" w:type="pct"/>
            <w:tcBorders>
              <w:tl2br w:val="nil"/>
              <w:tr2bl w:val="nil"/>
            </w:tcBorders>
            <w:shd w:val="clear" w:color="auto" w:fill="auto"/>
            <w:vAlign w:val="center"/>
          </w:tcPr>
          <w:p w14:paraId="5812E09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1.3 </w:t>
            </w:r>
          </w:p>
        </w:tc>
        <w:tc>
          <w:tcPr>
            <w:tcW w:w="353" w:type="pct"/>
            <w:tcBorders>
              <w:tl2br w:val="nil"/>
              <w:tr2bl w:val="nil"/>
            </w:tcBorders>
            <w:shd w:val="clear" w:color="auto" w:fill="auto"/>
            <w:noWrap/>
            <w:vAlign w:val="center"/>
          </w:tcPr>
          <w:p w14:paraId="673E33D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1.25 </w:t>
            </w:r>
          </w:p>
        </w:tc>
        <w:tc>
          <w:tcPr>
            <w:tcW w:w="434" w:type="pct"/>
            <w:tcBorders>
              <w:tl2br w:val="nil"/>
              <w:tr2bl w:val="nil"/>
            </w:tcBorders>
            <w:shd w:val="clear" w:color="auto" w:fill="auto"/>
            <w:vAlign w:val="center"/>
          </w:tcPr>
          <w:p w14:paraId="5857305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0F7F2C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5D1ADD8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Z5</w:t>
            </w:r>
          </w:p>
        </w:tc>
        <w:tc>
          <w:tcPr>
            <w:tcW w:w="1042" w:type="pct"/>
            <w:tcBorders>
              <w:tl2br w:val="nil"/>
              <w:tr2bl w:val="nil"/>
            </w:tcBorders>
            <w:shd w:val="clear" w:color="auto" w:fill="auto"/>
            <w:vAlign w:val="center"/>
          </w:tcPr>
          <w:p w14:paraId="6AB0ED4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3#风机西南侧300m处</w:t>
            </w:r>
          </w:p>
        </w:tc>
        <w:tc>
          <w:tcPr>
            <w:tcW w:w="267" w:type="pct"/>
            <w:tcBorders>
              <w:tl2br w:val="nil"/>
              <w:tr2bl w:val="nil"/>
            </w:tcBorders>
            <w:shd w:val="clear" w:color="auto" w:fill="auto"/>
            <w:vAlign w:val="center"/>
          </w:tcPr>
          <w:p w14:paraId="208B1B2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139D6BA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1937C04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3.5</w:t>
            </w:r>
          </w:p>
        </w:tc>
        <w:tc>
          <w:tcPr>
            <w:tcW w:w="379" w:type="pct"/>
            <w:tcBorders>
              <w:tl2br w:val="nil"/>
              <w:tr2bl w:val="nil"/>
            </w:tcBorders>
            <w:shd w:val="clear" w:color="auto" w:fill="auto"/>
            <w:vAlign w:val="center"/>
          </w:tcPr>
          <w:p w14:paraId="0AD76E9C">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351-370</w:t>
            </w:r>
          </w:p>
        </w:tc>
        <w:tc>
          <w:tcPr>
            <w:tcW w:w="434" w:type="pct"/>
            <w:tcBorders>
              <w:tl2br w:val="nil"/>
              <w:tr2bl w:val="nil"/>
            </w:tcBorders>
            <w:shd w:val="clear" w:color="auto" w:fill="auto"/>
            <w:vAlign w:val="center"/>
          </w:tcPr>
          <w:p w14:paraId="05BB06D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19</w:t>
            </w:r>
          </w:p>
        </w:tc>
        <w:tc>
          <w:tcPr>
            <w:tcW w:w="434" w:type="pct"/>
            <w:tcBorders>
              <w:tl2br w:val="nil"/>
              <w:tr2bl w:val="nil"/>
            </w:tcBorders>
            <w:shd w:val="clear" w:color="auto" w:fill="auto"/>
            <w:vAlign w:val="center"/>
          </w:tcPr>
          <w:p w14:paraId="7302AB2A">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5级</w:t>
            </w:r>
          </w:p>
        </w:tc>
        <w:tc>
          <w:tcPr>
            <w:tcW w:w="353" w:type="pct"/>
            <w:tcBorders>
              <w:tl2br w:val="nil"/>
              <w:tr2bl w:val="nil"/>
            </w:tcBorders>
            <w:shd w:val="clear" w:color="auto" w:fill="auto"/>
            <w:vAlign w:val="center"/>
          </w:tcPr>
          <w:p w14:paraId="486D5F85">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2.8 </w:t>
            </w:r>
          </w:p>
        </w:tc>
        <w:tc>
          <w:tcPr>
            <w:tcW w:w="353" w:type="pct"/>
            <w:tcBorders>
              <w:tl2br w:val="nil"/>
              <w:tr2bl w:val="nil"/>
            </w:tcBorders>
            <w:shd w:val="clear" w:color="auto" w:fill="auto"/>
            <w:noWrap/>
            <w:vAlign w:val="center"/>
          </w:tcPr>
          <w:p w14:paraId="26F6557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2.69 </w:t>
            </w:r>
          </w:p>
        </w:tc>
        <w:tc>
          <w:tcPr>
            <w:tcW w:w="434" w:type="pct"/>
            <w:tcBorders>
              <w:tl2br w:val="nil"/>
              <w:tr2bl w:val="nil"/>
            </w:tcBorders>
            <w:shd w:val="clear" w:color="auto" w:fill="auto"/>
            <w:vAlign w:val="center"/>
          </w:tcPr>
          <w:p w14:paraId="533ABD5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399213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1CCF2F5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Z6</w:t>
            </w:r>
          </w:p>
        </w:tc>
        <w:tc>
          <w:tcPr>
            <w:tcW w:w="1042" w:type="pct"/>
            <w:tcBorders>
              <w:tl2br w:val="nil"/>
              <w:tr2bl w:val="nil"/>
            </w:tcBorders>
            <w:shd w:val="clear" w:color="auto" w:fill="auto"/>
            <w:vAlign w:val="center"/>
          </w:tcPr>
          <w:p w14:paraId="5358DB46">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升压站南侧500m处沟道</w:t>
            </w:r>
          </w:p>
        </w:tc>
        <w:tc>
          <w:tcPr>
            <w:tcW w:w="267" w:type="pct"/>
            <w:tcBorders>
              <w:tl2br w:val="nil"/>
              <w:tr2bl w:val="nil"/>
            </w:tcBorders>
            <w:shd w:val="clear" w:color="auto" w:fill="auto"/>
            <w:vAlign w:val="center"/>
          </w:tcPr>
          <w:p w14:paraId="12E0FA21">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5BE8747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7FC8E71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7.85</w:t>
            </w:r>
          </w:p>
        </w:tc>
        <w:tc>
          <w:tcPr>
            <w:tcW w:w="379" w:type="pct"/>
            <w:tcBorders>
              <w:tl2br w:val="nil"/>
              <w:tr2bl w:val="nil"/>
            </w:tcBorders>
            <w:shd w:val="clear" w:color="auto" w:fill="auto"/>
            <w:vAlign w:val="center"/>
          </w:tcPr>
          <w:p w14:paraId="5955A8A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369-388</w:t>
            </w:r>
          </w:p>
        </w:tc>
        <w:tc>
          <w:tcPr>
            <w:tcW w:w="434" w:type="pct"/>
            <w:tcBorders>
              <w:tl2br w:val="nil"/>
              <w:tr2bl w:val="nil"/>
            </w:tcBorders>
            <w:shd w:val="clear" w:color="auto" w:fill="auto"/>
            <w:vAlign w:val="center"/>
          </w:tcPr>
          <w:p w14:paraId="463500E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19</w:t>
            </w:r>
          </w:p>
        </w:tc>
        <w:tc>
          <w:tcPr>
            <w:tcW w:w="434" w:type="pct"/>
            <w:tcBorders>
              <w:tl2br w:val="nil"/>
              <w:tr2bl w:val="nil"/>
            </w:tcBorders>
            <w:shd w:val="clear" w:color="auto" w:fill="auto"/>
            <w:vAlign w:val="center"/>
          </w:tcPr>
          <w:p w14:paraId="7A6FF0F5">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5级</w:t>
            </w:r>
          </w:p>
        </w:tc>
        <w:tc>
          <w:tcPr>
            <w:tcW w:w="353" w:type="pct"/>
            <w:tcBorders>
              <w:tl2br w:val="nil"/>
              <w:tr2bl w:val="nil"/>
            </w:tcBorders>
            <w:shd w:val="clear" w:color="auto" w:fill="auto"/>
            <w:vAlign w:val="center"/>
          </w:tcPr>
          <w:p w14:paraId="337BE7C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3.5 </w:t>
            </w:r>
          </w:p>
        </w:tc>
        <w:tc>
          <w:tcPr>
            <w:tcW w:w="353" w:type="pct"/>
            <w:tcBorders>
              <w:tl2br w:val="nil"/>
              <w:tr2bl w:val="nil"/>
            </w:tcBorders>
            <w:shd w:val="clear" w:color="auto" w:fill="auto"/>
            <w:noWrap/>
            <w:vAlign w:val="center"/>
          </w:tcPr>
          <w:p w14:paraId="3378ACF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3.28 </w:t>
            </w:r>
          </w:p>
        </w:tc>
        <w:tc>
          <w:tcPr>
            <w:tcW w:w="434" w:type="pct"/>
            <w:tcBorders>
              <w:tl2br w:val="nil"/>
              <w:tr2bl w:val="nil"/>
            </w:tcBorders>
            <w:shd w:val="clear" w:color="auto" w:fill="auto"/>
            <w:vAlign w:val="center"/>
          </w:tcPr>
          <w:p w14:paraId="3790657C">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4A58A6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33F56F2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Z7</w:t>
            </w:r>
          </w:p>
        </w:tc>
        <w:tc>
          <w:tcPr>
            <w:tcW w:w="1042" w:type="pct"/>
            <w:tcBorders>
              <w:tl2br w:val="nil"/>
              <w:tr2bl w:val="nil"/>
            </w:tcBorders>
            <w:shd w:val="clear" w:color="auto" w:fill="auto"/>
            <w:vAlign w:val="center"/>
          </w:tcPr>
          <w:p w14:paraId="69B4DBB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5#风机东侧1000m处</w:t>
            </w:r>
          </w:p>
        </w:tc>
        <w:tc>
          <w:tcPr>
            <w:tcW w:w="267" w:type="pct"/>
            <w:tcBorders>
              <w:tl2br w:val="nil"/>
              <w:tr2bl w:val="nil"/>
            </w:tcBorders>
            <w:shd w:val="clear" w:color="auto" w:fill="auto"/>
            <w:vAlign w:val="center"/>
          </w:tcPr>
          <w:p w14:paraId="5A5CF09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3A85A74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346FC01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w:t>
            </w:r>
          </w:p>
        </w:tc>
        <w:tc>
          <w:tcPr>
            <w:tcW w:w="379" w:type="pct"/>
            <w:tcBorders>
              <w:tl2br w:val="nil"/>
              <w:tr2bl w:val="nil"/>
            </w:tcBorders>
            <w:shd w:val="clear" w:color="auto" w:fill="auto"/>
            <w:vAlign w:val="center"/>
          </w:tcPr>
          <w:p w14:paraId="3E27FB2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388-407</w:t>
            </w:r>
          </w:p>
        </w:tc>
        <w:tc>
          <w:tcPr>
            <w:tcW w:w="434" w:type="pct"/>
            <w:tcBorders>
              <w:tl2br w:val="nil"/>
              <w:tr2bl w:val="nil"/>
            </w:tcBorders>
            <w:shd w:val="clear" w:color="auto" w:fill="auto"/>
            <w:vAlign w:val="center"/>
          </w:tcPr>
          <w:p w14:paraId="1EDB031A">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19</w:t>
            </w:r>
          </w:p>
        </w:tc>
        <w:tc>
          <w:tcPr>
            <w:tcW w:w="434" w:type="pct"/>
            <w:tcBorders>
              <w:tl2br w:val="nil"/>
              <w:tr2bl w:val="nil"/>
            </w:tcBorders>
            <w:shd w:val="clear" w:color="auto" w:fill="auto"/>
            <w:vAlign w:val="center"/>
          </w:tcPr>
          <w:p w14:paraId="5312C08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5级</w:t>
            </w:r>
          </w:p>
        </w:tc>
        <w:tc>
          <w:tcPr>
            <w:tcW w:w="353" w:type="pct"/>
            <w:tcBorders>
              <w:tl2br w:val="nil"/>
              <w:tr2bl w:val="nil"/>
            </w:tcBorders>
            <w:shd w:val="clear" w:color="auto" w:fill="auto"/>
            <w:vAlign w:val="center"/>
          </w:tcPr>
          <w:p w14:paraId="1171E5B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2.6 </w:t>
            </w:r>
          </w:p>
        </w:tc>
        <w:tc>
          <w:tcPr>
            <w:tcW w:w="353" w:type="pct"/>
            <w:tcBorders>
              <w:tl2br w:val="nil"/>
              <w:tr2bl w:val="nil"/>
            </w:tcBorders>
            <w:shd w:val="clear" w:color="auto" w:fill="auto"/>
            <w:noWrap/>
            <w:vAlign w:val="center"/>
          </w:tcPr>
          <w:p w14:paraId="5985BCE6">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2.54 </w:t>
            </w:r>
          </w:p>
        </w:tc>
        <w:tc>
          <w:tcPr>
            <w:tcW w:w="434" w:type="pct"/>
            <w:tcBorders>
              <w:tl2br w:val="nil"/>
              <w:tr2bl w:val="nil"/>
            </w:tcBorders>
            <w:shd w:val="clear" w:color="auto" w:fill="auto"/>
            <w:vAlign w:val="center"/>
          </w:tcPr>
          <w:p w14:paraId="7AAC983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309CA2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0" w:hRule="atLeast"/>
        </w:trPr>
        <w:tc>
          <w:tcPr>
            <w:tcW w:w="434" w:type="pct"/>
            <w:tcBorders>
              <w:tl2br w:val="nil"/>
              <w:tr2bl w:val="nil"/>
            </w:tcBorders>
            <w:shd w:val="clear" w:color="auto" w:fill="auto"/>
            <w:vAlign w:val="center"/>
          </w:tcPr>
          <w:p w14:paraId="45F027C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Z8</w:t>
            </w:r>
          </w:p>
        </w:tc>
        <w:tc>
          <w:tcPr>
            <w:tcW w:w="1042" w:type="pct"/>
            <w:tcBorders>
              <w:tl2br w:val="nil"/>
              <w:tr2bl w:val="nil"/>
            </w:tcBorders>
            <w:shd w:val="clear" w:color="auto" w:fill="auto"/>
            <w:vAlign w:val="center"/>
          </w:tcPr>
          <w:p w14:paraId="2933787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9#风机西北侧200m处</w:t>
            </w:r>
          </w:p>
        </w:tc>
        <w:tc>
          <w:tcPr>
            <w:tcW w:w="267" w:type="pct"/>
            <w:tcBorders>
              <w:tl2br w:val="nil"/>
              <w:tr2bl w:val="nil"/>
            </w:tcBorders>
            <w:shd w:val="clear" w:color="auto" w:fill="auto"/>
            <w:vAlign w:val="center"/>
          </w:tcPr>
          <w:p w14:paraId="36A0CE96">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山凹</w:t>
            </w:r>
          </w:p>
        </w:tc>
        <w:tc>
          <w:tcPr>
            <w:tcW w:w="434" w:type="pct"/>
            <w:tcBorders>
              <w:tl2br w:val="nil"/>
              <w:tr2bl w:val="nil"/>
            </w:tcBorders>
            <w:shd w:val="clear" w:color="auto" w:fill="auto"/>
            <w:vAlign w:val="center"/>
          </w:tcPr>
          <w:p w14:paraId="52221F2B">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沟道型</w:t>
            </w:r>
          </w:p>
        </w:tc>
        <w:tc>
          <w:tcPr>
            <w:tcW w:w="434" w:type="pct"/>
            <w:tcBorders>
              <w:tl2br w:val="nil"/>
              <w:tr2bl w:val="nil"/>
            </w:tcBorders>
            <w:shd w:val="clear" w:color="auto" w:fill="auto"/>
            <w:vAlign w:val="center"/>
          </w:tcPr>
          <w:p w14:paraId="021283D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1.75</w:t>
            </w:r>
          </w:p>
        </w:tc>
        <w:tc>
          <w:tcPr>
            <w:tcW w:w="379" w:type="pct"/>
            <w:tcBorders>
              <w:tl2br w:val="nil"/>
              <w:tr2bl w:val="nil"/>
            </w:tcBorders>
            <w:shd w:val="clear" w:color="auto" w:fill="auto"/>
            <w:vAlign w:val="center"/>
          </w:tcPr>
          <w:p w14:paraId="1B57E8E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351-370</w:t>
            </w:r>
          </w:p>
        </w:tc>
        <w:tc>
          <w:tcPr>
            <w:tcW w:w="434" w:type="pct"/>
            <w:tcBorders>
              <w:tl2br w:val="nil"/>
              <w:tr2bl w:val="nil"/>
            </w:tcBorders>
            <w:shd w:val="clear" w:color="auto" w:fill="auto"/>
            <w:vAlign w:val="center"/>
          </w:tcPr>
          <w:p w14:paraId="168EC90E">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19</w:t>
            </w:r>
          </w:p>
        </w:tc>
        <w:tc>
          <w:tcPr>
            <w:tcW w:w="434" w:type="pct"/>
            <w:tcBorders>
              <w:tl2br w:val="nil"/>
              <w:tr2bl w:val="nil"/>
            </w:tcBorders>
            <w:shd w:val="clear" w:color="auto" w:fill="auto"/>
            <w:vAlign w:val="center"/>
          </w:tcPr>
          <w:p w14:paraId="7EC3CE1D">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353" w:type="pct"/>
            <w:tcBorders>
              <w:tl2br w:val="nil"/>
              <w:tr2bl w:val="nil"/>
            </w:tcBorders>
            <w:shd w:val="clear" w:color="auto" w:fill="auto"/>
            <w:vAlign w:val="center"/>
          </w:tcPr>
          <w:p w14:paraId="38C718E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3.8 </w:t>
            </w:r>
          </w:p>
        </w:tc>
        <w:tc>
          <w:tcPr>
            <w:tcW w:w="353" w:type="pct"/>
            <w:tcBorders>
              <w:tl2br w:val="nil"/>
              <w:tr2bl w:val="nil"/>
            </w:tcBorders>
            <w:shd w:val="clear" w:color="auto" w:fill="auto"/>
            <w:noWrap/>
            <w:vAlign w:val="center"/>
          </w:tcPr>
          <w:p w14:paraId="49145FF7">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3.68 </w:t>
            </w:r>
          </w:p>
        </w:tc>
        <w:tc>
          <w:tcPr>
            <w:tcW w:w="434" w:type="pct"/>
            <w:tcBorders>
              <w:tl2br w:val="nil"/>
              <w:tr2bl w:val="nil"/>
            </w:tcBorders>
            <w:shd w:val="clear" w:color="auto" w:fill="auto"/>
            <w:vAlign w:val="center"/>
          </w:tcPr>
          <w:p w14:paraId="2DB26A16">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林地</w:t>
            </w:r>
          </w:p>
        </w:tc>
      </w:tr>
      <w:tr w14:paraId="142492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477" w:type="pct"/>
            <w:gridSpan w:val="2"/>
            <w:tcBorders>
              <w:tl2br w:val="nil"/>
              <w:tr2bl w:val="nil"/>
            </w:tcBorders>
            <w:shd w:val="clear" w:color="auto" w:fill="auto"/>
            <w:vAlign w:val="center"/>
          </w:tcPr>
          <w:p w14:paraId="040AB1A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合计</w:t>
            </w:r>
          </w:p>
        </w:tc>
        <w:tc>
          <w:tcPr>
            <w:tcW w:w="267" w:type="pct"/>
            <w:tcBorders>
              <w:tl2br w:val="nil"/>
              <w:tr2bl w:val="nil"/>
            </w:tcBorders>
            <w:shd w:val="clear" w:color="auto" w:fill="auto"/>
            <w:vAlign w:val="center"/>
          </w:tcPr>
          <w:p w14:paraId="294CF834">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434" w:type="pct"/>
            <w:tcBorders>
              <w:tl2br w:val="nil"/>
              <w:tr2bl w:val="nil"/>
            </w:tcBorders>
            <w:shd w:val="clear" w:color="auto" w:fill="auto"/>
            <w:vAlign w:val="center"/>
          </w:tcPr>
          <w:p w14:paraId="08DABBC2">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434" w:type="pct"/>
            <w:tcBorders>
              <w:tl2br w:val="nil"/>
              <w:tr2bl w:val="nil"/>
            </w:tcBorders>
            <w:shd w:val="clear" w:color="auto" w:fill="auto"/>
            <w:vAlign w:val="center"/>
          </w:tcPr>
          <w:p w14:paraId="4A61C549">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379" w:type="pct"/>
            <w:tcBorders>
              <w:tl2br w:val="nil"/>
              <w:tr2bl w:val="nil"/>
            </w:tcBorders>
            <w:shd w:val="clear" w:color="auto" w:fill="auto"/>
            <w:vAlign w:val="center"/>
          </w:tcPr>
          <w:p w14:paraId="23DA6A1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434" w:type="pct"/>
            <w:tcBorders>
              <w:tl2br w:val="nil"/>
              <w:tr2bl w:val="nil"/>
            </w:tcBorders>
            <w:shd w:val="clear" w:color="auto" w:fill="auto"/>
            <w:vAlign w:val="center"/>
          </w:tcPr>
          <w:p w14:paraId="0D25F09F">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434" w:type="pct"/>
            <w:tcBorders>
              <w:tl2br w:val="nil"/>
              <w:tr2bl w:val="nil"/>
            </w:tcBorders>
            <w:shd w:val="clear" w:color="auto" w:fill="auto"/>
            <w:vAlign w:val="center"/>
          </w:tcPr>
          <w:p w14:paraId="038CB093">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c>
          <w:tcPr>
            <w:tcW w:w="353" w:type="pct"/>
            <w:tcBorders>
              <w:tl2br w:val="nil"/>
              <w:tr2bl w:val="nil"/>
            </w:tcBorders>
            <w:shd w:val="clear" w:color="auto" w:fill="auto"/>
            <w:vAlign w:val="center"/>
          </w:tcPr>
          <w:p w14:paraId="475E9C58">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20.22</w:t>
            </w:r>
          </w:p>
        </w:tc>
        <w:tc>
          <w:tcPr>
            <w:tcW w:w="353" w:type="pct"/>
            <w:tcBorders>
              <w:tl2br w:val="nil"/>
              <w:tr2bl w:val="nil"/>
            </w:tcBorders>
            <w:shd w:val="clear" w:color="auto" w:fill="auto"/>
            <w:vAlign w:val="center"/>
          </w:tcPr>
          <w:p w14:paraId="13A0A481">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r>
              <w:rPr>
                <w:rFonts w:ascii="Times New Roman" w:hAnsi="Times New Roman" w:eastAsia="宋体" w:cs="Times New Roman"/>
                <w:sz w:val="18"/>
                <w:szCs w:val="18"/>
                <w:lang w:bidi="ar"/>
              </w:rPr>
              <w:t xml:space="preserve">16.45 </w:t>
            </w:r>
          </w:p>
        </w:tc>
        <w:tc>
          <w:tcPr>
            <w:tcW w:w="434" w:type="pct"/>
            <w:tcBorders>
              <w:tl2br w:val="nil"/>
              <w:tr2bl w:val="nil"/>
            </w:tcBorders>
            <w:shd w:val="clear" w:color="auto" w:fill="auto"/>
            <w:vAlign w:val="center"/>
          </w:tcPr>
          <w:p w14:paraId="14D395C0">
            <w:pPr>
              <w:pStyle w:val="81"/>
              <w:adjustRightInd w:val="0"/>
              <w:snapToGrid w:val="0"/>
              <w:spacing w:before="0" w:beforeAutospacing="0" w:after="0" w:afterAutospacing="0"/>
              <w:ind w:firstLine="0" w:firstLineChars="0"/>
              <w:jc w:val="center"/>
              <w:rPr>
                <w:rFonts w:ascii="Times New Roman" w:hAnsi="Times New Roman" w:eastAsia="宋体" w:cs="Times New Roman"/>
                <w:sz w:val="18"/>
                <w:szCs w:val="18"/>
              </w:rPr>
            </w:pPr>
          </w:p>
        </w:tc>
      </w:tr>
    </w:tbl>
    <w:p w14:paraId="1E060182">
      <w:pPr>
        <w:adjustRightInd w:val="0"/>
        <w:snapToGrid w:val="0"/>
        <w:ind w:firstLine="480"/>
        <w:sectPr>
          <w:pgSz w:w="16838" w:h="11905" w:orient="landscape"/>
          <w:pgMar w:top="1797" w:right="1440" w:bottom="1797" w:left="1440" w:header="851" w:footer="992" w:gutter="0"/>
          <w:cols w:space="0" w:num="1"/>
          <w:docGrid w:type="lines" w:linePitch="333" w:charSpace="0"/>
        </w:sectPr>
      </w:pPr>
      <w:bookmarkStart w:id="93" w:name="_Toc116977988"/>
    </w:p>
    <w:p w14:paraId="5A1B21CE">
      <w:pPr>
        <w:adjustRightInd w:val="0"/>
        <w:snapToGrid w:val="0"/>
        <w:ind w:firstLine="480"/>
      </w:pPr>
      <w:r>
        <w:rPr>
          <w:rFonts w:hint="eastAsia"/>
        </w:rPr>
        <w:t>根据调查发现，《衡阳县杉桥风电场项目水土保持方案报告书》书所设的8个弃渣场均不在衡阳县岣嵝乡环洞村山溪水饮用水水源保护区汇水范围内，对该饮用水水源保护区影响较小。</w:t>
      </w:r>
    </w:p>
    <w:p w14:paraId="5DECAF74">
      <w:pPr>
        <w:pStyle w:val="4"/>
        <w:tabs>
          <w:tab w:val="clear" w:pos="480"/>
          <w:tab w:val="clear" w:pos="630"/>
        </w:tabs>
        <w:adjustRightInd w:val="0"/>
        <w:snapToGrid w:val="0"/>
        <w:spacing w:before="0" w:after="0"/>
        <w:rPr>
          <w:sz w:val="30"/>
          <w:szCs w:val="30"/>
          <w:lang w:val="en-US"/>
        </w:rPr>
      </w:pPr>
      <w:bookmarkStart w:id="94" w:name="_Toc143799371"/>
      <w:r>
        <w:rPr>
          <w:sz w:val="30"/>
          <w:szCs w:val="30"/>
          <w:lang w:val="en-US"/>
        </w:rPr>
        <w:t>3.8</w:t>
      </w:r>
      <w:r>
        <w:rPr>
          <w:rFonts w:hint="eastAsia"/>
          <w:sz w:val="30"/>
          <w:szCs w:val="30"/>
          <w:lang w:val="en-US"/>
        </w:rPr>
        <w:t>劳动定员</w:t>
      </w:r>
      <w:bookmarkEnd w:id="93"/>
      <w:bookmarkEnd w:id="94"/>
    </w:p>
    <w:p w14:paraId="5C13EA41">
      <w:pPr>
        <w:adjustRightInd w:val="0"/>
        <w:snapToGrid w:val="0"/>
        <w:ind w:firstLine="480"/>
      </w:pPr>
      <w:r>
        <w:t>本工程运行期生产定员为10 人，主要负责风电场管理、安全检查、风力发电机组定检、日常维护等工作。</w:t>
      </w:r>
    </w:p>
    <w:p w14:paraId="030E95C9">
      <w:pPr>
        <w:pStyle w:val="4"/>
        <w:tabs>
          <w:tab w:val="clear" w:pos="480"/>
          <w:tab w:val="clear" w:pos="630"/>
        </w:tabs>
        <w:adjustRightInd w:val="0"/>
        <w:snapToGrid w:val="0"/>
        <w:spacing w:before="0" w:after="0"/>
        <w:rPr>
          <w:sz w:val="30"/>
          <w:szCs w:val="30"/>
          <w:lang w:val="en-US"/>
        </w:rPr>
      </w:pPr>
      <w:bookmarkStart w:id="95" w:name="_Toc143799372"/>
      <w:bookmarkStart w:id="96" w:name="_Toc116977989"/>
      <w:r>
        <w:rPr>
          <w:sz w:val="30"/>
          <w:szCs w:val="30"/>
          <w:lang w:val="en-US"/>
        </w:rPr>
        <w:t>3.9</w:t>
      </w:r>
      <w:r>
        <w:rPr>
          <w:rFonts w:hint="eastAsia"/>
          <w:sz w:val="30"/>
          <w:szCs w:val="30"/>
          <w:lang w:val="en-US"/>
        </w:rPr>
        <w:t>项目投资</w:t>
      </w:r>
      <w:bookmarkEnd w:id="95"/>
      <w:bookmarkEnd w:id="96"/>
    </w:p>
    <w:p w14:paraId="6194EF26">
      <w:pPr>
        <w:adjustRightInd w:val="0"/>
        <w:snapToGrid w:val="0"/>
        <w:ind w:firstLine="480"/>
      </w:pPr>
      <w:bookmarkStart w:id="97" w:name="_Hlk142921197"/>
      <w:r>
        <w:t>本工程静态投资37432.29万元，单位千瓦静态投资7486.46元/kW。工程动态投37954.51万元，单位千瓦动态投资7590.90元/kW。</w:t>
      </w:r>
      <w:bookmarkEnd w:id="97"/>
      <w:r>
        <w:rPr>
          <w:rFonts w:hint="eastAsia"/>
        </w:rPr>
        <w:t>。</w:t>
      </w:r>
    </w:p>
    <w:p w14:paraId="29A76850">
      <w:pPr>
        <w:pStyle w:val="4"/>
        <w:tabs>
          <w:tab w:val="clear" w:pos="480"/>
          <w:tab w:val="clear" w:pos="630"/>
        </w:tabs>
        <w:adjustRightInd w:val="0"/>
        <w:snapToGrid w:val="0"/>
        <w:spacing w:before="0" w:after="0"/>
        <w:rPr>
          <w:sz w:val="30"/>
          <w:szCs w:val="30"/>
          <w:lang w:val="en-US"/>
        </w:rPr>
      </w:pPr>
      <w:bookmarkStart w:id="98" w:name="_Toc116977990"/>
      <w:bookmarkStart w:id="99" w:name="_Toc143799373"/>
      <w:r>
        <w:rPr>
          <w:sz w:val="30"/>
          <w:szCs w:val="30"/>
          <w:lang w:val="en-US"/>
        </w:rPr>
        <w:t>3.10</w:t>
      </w:r>
      <w:r>
        <w:rPr>
          <w:rFonts w:hint="eastAsia"/>
          <w:sz w:val="30"/>
          <w:szCs w:val="30"/>
          <w:lang w:val="en-US"/>
        </w:rPr>
        <w:t>项目施工工期</w:t>
      </w:r>
      <w:bookmarkEnd w:id="98"/>
      <w:bookmarkEnd w:id="99"/>
    </w:p>
    <w:p w14:paraId="165997F0">
      <w:pPr>
        <w:adjustRightInd w:val="0"/>
        <w:snapToGrid w:val="0"/>
        <w:ind w:firstLine="480"/>
      </w:pPr>
      <w:r>
        <w:rPr>
          <w:rFonts w:hint="eastAsia"/>
        </w:rPr>
        <w:t>工程建设总工期为</w:t>
      </w:r>
      <w:r>
        <w:t xml:space="preserve">12 </w:t>
      </w:r>
      <w:r>
        <w:rPr>
          <w:rFonts w:hint="eastAsia"/>
        </w:rPr>
        <w:t>个月，工程筹建期</w:t>
      </w:r>
      <w:r>
        <w:t xml:space="preserve">2 </w:t>
      </w:r>
      <w:r>
        <w:rPr>
          <w:rFonts w:hint="eastAsia"/>
        </w:rPr>
        <w:t>个月。</w:t>
      </w:r>
    </w:p>
    <w:p w14:paraId="0626819F">
      <w:pPr>
        <w:tabs>
          <w:tab w:val="clear" w:pos="480"/>
        </w:tabs>
        <w:adjustRightInd w:val="0"/>
        <w:snapToGrid w:val="0"/>
        <w:ind w:firstLine="480"/>
      </w:pPr>
    </w:p>
    <w:p w14:paraId="0E47636B">
      <w:pPr>
        <w:tabs>
          <w:tab w:val="clear" w:pos="480"/>
        </w:tabs>
        <w:adjustRightInd w:val="0"/>
        <w:snapToGrid w:val="0"/>
        <w:ind w:firstLine="600"/>
        <w:rPr>
          <w:sz w:val="30"/>
          <w:szCs w:val="30"/>
        </w:rPr>
      </w:pPr>
    </w:p>
    <w:p w14:paraId="63BDAB41">
      <w:pPr>
        <w:ind w:firstLine="480"/>
      </w:pPr>
    </w:p>
    <w:p w14:paraId="7E5FBCF8">
      <w:pPr>
        <w:pStyle w:val="2"/>
        <w:ind w:firstLine="420"/>
      </w:pPr>
    </w:p>
    <w:p w14:paraId="39E16690">
      <w:pPr>
        <w:ind w:firstLine="480"/>
      </w:pPr>
    </w:p>
    <w:p w14:paraId="17286E84">
      <w:pPr>
        <w:pStyle w:val="2"/>
        <w:ind w:firstLine="420"/>
      </w:pPr>
    </w:p>
    <w:p w14:paraId="05248D62">
      <w:pPr>
        <w:pStyle w:val="2"/>
        <w:ind w:firstLine="420"/>
      </w:pPr>
    </w:p>
    <w:p w14:paraId="66508A64">
      <w:pPr>
        <w:ind w:firstLine="480"/>
      </w:pPr>
    </w:p>
    <w:p w14:paraId="3ADA1B76">
      <w:pPr>
        <w:pStyle w:val="2"/>
        <w:ind w:firstLine="420"/>
      </w:pPr>
    </w:p>
    <w:p w14:paraId="30004062">
      <w:pPr>
        <w:ind w:firstLine="480"/>
        <w:sectPr>
          <w:pgSz w:w="11905" w:h="16838"/>
          <w:pgMar w:top="1440" w:right="1797" w:bottom="1440" w:left="1797" w:header="851" w:footer="992" w:gutter="0"/>
          <w:cols w:space="0" w:num="1"/>
          <w:docGrid w:type="lines" w:linePitch="333" w:charSpace="0"/>
        </w:sectPr>
      </w:pPr>
    </w:p>
    <w:p w14:paraId="59D1F823">
      <w:pPr>
        <w:pStyle w:val="3"/>
        <w:tabs>
          <w:tab w:val="clear" w:pos="480"/>
        </w:tabs>
        <w:adjustRightInd w:val="0"/>
        <w:snapToGrid w:val="0"/>
        <w:spacing w:before="0" w:after="0"/>
        <w:jc w:val="center"/>
        <w:rPr>
          <w:rFonts w:ascii="Times New Roman" w:eastAsia="宋体"/>
          <w:bCs w:val="0"/>
          <w:sz w:val="32"/>
          <w:szCs w:val="32"/>
          <w:lang w:val="en-US"/>
        </w:rPr>
      </w:pPr>
      <w:r>
        <w:rPr>
          <w:rFonts w:hint="eastAsia" w:ascii="Times New Roman" w:eastAsia="宋体"/>
          <w:bCs w:val="0"/>
          <w:sz w:val="32"/>
          <w:szCs w:val="32"/>
          <w:lang w:val="en-US"/>
        </w:rPr>
        <w:t xml:space="preserve">  </w:t>
      </w:r>
      <w:bookmarkStart w:id="100" w:name="_Toc116977991"/>
      <w:bookmarkStart w:id="101" w:name="_Toc143799374"/>
      <w:r>
        <w:rPr>
          <w:rFonts w:ascii="Times New Roman" w:eastAsia="宋体"/>
          <w:bCs w:val="0"/>
          <w:sz w:val="32"/>
          <w:szCs w:val="32"/>
          <w:lang w:val="en-US"/>
        </w:rPr>
        <w:t>4</w:t>
      </w:r>
      <w:r>
        <w:rPr>
          <w:rFonts w:hint="eastAsia" w:ascii="Times New Roman" w:eastAsia="宋体"/>
          <w:bCs w:val="0"/>
          <w:sz w:val="32"/>
          <w:szCs w:val="32"/>
          <w:lang w:val="en-US"/>
        </w:rPr>
        <w:t>工程分析</w:t>
      </w:r>
      <w:bookmarkEnd w:id="100"/>
      <w:bookmarkEnd w:id="101"/>
    </w:p>
    <w:p w14:paraId="67293BF1">
      <w:pPr>
        <w:pStyle w:val="4"/>
        <w:tabs>
          <w:tab w:val="clear" w:pos="480"/>
          <w:tab w:val="clear" w:pos="630"/>
        </w:tabs>
        <w:spacing w:before="0" w:after="0"/>
        <w:rPr>
          <w:sz w:val="30"/>
          <w:szCs w:val="30"/>
          <w:lang w:val="en-US"/>
        </w:rPr>
      </w:pPr>
      <w:bookmarkStart w:id="102" w:name="_Toc143799375"/>
      <w:bookmarkStart w:id="103" w:name="_Toc116977992"/>
      <w:r>
        <w:rPr>
          <w:sz w:val="30"/>
          <w:szCs w:val="30"/>
          <w:lang w:val="en-US"/>
        </w:rPr>
        <w:t>4.1</w:t>
      </w:r>
      <w:r>
        <w:rPr>
          <w:rFonts w:hint="eastAsia"/>
          <w:sz w:val="30"/>
          <w:szCs w:val="30"/>
          <w:lang w:val="en-US"/>
        </w:rPr>
        <w:t>施工期工程分析</w:t>
      </w:r>
      <w:bookmarkEnd w:id="102"/>
      <w:bookmarkEnd w:id="103"/>
    </w:p>
    <w:p w14:paraId="33ED759A">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4.1.1</w:t>
      </w:r>
      <w:r>
        <w:rPr>
          <w:rFonts w:hint="eastAsia" w:ascii="Times New Roman" w:eastAsia="宋体"/>
          <w:sz w:val="28"/>
          <w:szCs w:val="28"/>
          <w:lang w:val="en-US"/>
        </w:rPr>
        <w:t>施工流程</w:t>
      </w:r>
    </w:p>
    <w:p w14:paraId="37C561BF">
      <w:pPr>
        <w:tabs>
          <w:tab w:val="clear" w:pos="480"/>
        </w:tabs>
        <w:adjustRightInd w:val="0"/>
        <w:snapToGrid w:val="0"/>
        <w:ind w:firstLine="480"/>
      </w:pPr>
      <w:r>
        <w:rPr>
          <w:rFonts w:hint="eastAsia"/>
        </w:rPr>
        <w:t>本项目施工过程主要工艺流程及产污环节点见下图。</w:t>
      </w:r>
    </w:p>
    <w:p w14:paraId="2A43BD32">
      <w:pPr>
        <w:tabs>
          <w:tab w:val="clear" w:pos="480"/>
        </w:tabs>
        <w:adjustRightInd w:val="0"/>
        <w:snapToGrid w:val="0"/>
        <w:ind w:firstLine="0" w:firstLineChars="0"/>
      </w:pPr>
      <w:r>
        <w:object>
          <v:shape id="_x0000_i1025" o:spt="75" type="#_x0000_t75" style="height:459pt;width:399.75pt;" o:ole="t" filled="f" o:preferrelative="t" stroked="f" coordsize="21600,21600">
            <v:path/>
            <v:fill on="f" focussize="0,0"/>
            <v:stroke on="f" joinstyle="miter"/>
            <v:imagedata r:id="rId22" o:title=""/>
            <o:lock v:ext="edit" aspectratio="t"/>
            <w10:wrap type="none"/>
            <w10:anchorlock/>
          </v:shape>
          <o:OLEObject Type="Embed" ProgID="Visio.Drawing.11" ShapeID="_x0000_i1025" DrawAspect="Content" ObjectID="_1468075725" r:id="rId21">
            <o:LockedField>false</o:LockedField>
          </o:OLEObject>
        </w:object>
      </w:r>
    </w:p>
    <w:p w14:paraId="03BDF4B8">
      <w:pPr>
        <w:tabs>
          <w:tab w:val="clear" w:pos="480"/>
        </w:tabs>
        <w:adjustRightInd w:val="0"/>
        <w:snapToGrid w:val="0"/>
        <w:ind w:firstLineChars="83"/>
        <w:jc w:val="center"/>
        <w:rPr>
          <w:b/>
          <w:bCs/>
        </w:rPr>
      </w:pPr>
      <w:r>
        <w:rPr>
          <w:rFonts w:hint="eastAsia"/>
          <w:b/>
          <w:bCs/>
        </w:rPr>
        <w:t>图4</w:t>
      </w:r>
      <w:r>
        <w:rPr>
          <w:b/>
          <w:bCs/>
        </w:rPr>
        <w:t>.1</w:t>
      </w:r>
      <w:r>
        <w:rPr>
          <w:rFonts w:hint="eastAsia"/>
          <w:b/>
          <w:bCs/>
        </w:rPr>
        <w:t>-</w:t>
      </w:r>
      <w:r>
        <w:rPr>
          <w:b/>
          <w:bCs/>
        </w:rPr>
        <w:t xml:space="preserve">1  </w:t>
      </w:r>
      <w:r>
        <w:rPr>
          <w:rFonts w:hint="eastAsia"/>
          <w:b/>
          <w:bCs/>
        </w:rPr>
        <w:t>项目施工工艺流程图</w:t>
      </w:r>
    </w:p>
    <w:p w14:paraId="2961EA3F">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4.1.2</w:t>
      </w:r>
      <w:r>
        <w:rPr>
          <w:rFonts w:hint="eastAsia" w:ascii="Times New Roman" w:eastAsia="宋体"/>
          <w:sz w:val="28"/>
          <w:szCs w:val="28"/>
          <w:lang w:val="en-US"/>
        </w:rPr>
        <w:t>施工工艺</w:t>
      </w:r>
    </w:p>
    <w:p w14:paraId="2C643D97">
      <w:pPr>
        <w:adjustRightInd w:val="0"/>
        <w:snapToGrid w:val="0"/>
        <w:ind w:firstLine="480"/>
      </w:pPr>
      <w:r>
        <w:rPr>
          <w:rFonts w:hint="eastAsia"/>
        </w:rPr>
        <w:t>（1）风机及箱式变压器施工</w:t>
      </w:r>
    </w:p>
    <w:p w14:paraId="1C9BA75E">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风机基础施工</w:t>
      </w:r>
    </w:p>
    <w:p w14:paraId="1A708F00">
      <w:pPr>
        <w:adjustRightInd w:val="0"/>
        <w:snapToGrid w:val="0"/>
        <w:ind w:firstLine="480"/>
      </w:pPr>
      <w:r>
        <w:rPr>
          <w:rFonts w:hint="eastAsia"/>
        </w:rPr>
        <w:t>场地平整之后，进行风机基础基坑的开挖。基础开挖前，按照图纸要求进行测量、放线，准确定位后进行土石方开挖。基础土石方开挖采用推土机或反铲分层剥离，尽量避免基底土方扰动，基坑底部采用人工清底。基坑开挖以钢筋混凝土结构尺寸每边各加宽</w:t>
      </w:r>
      <w:r>
        <w:t>1.0m</w:t>
      </w:r>
      <w:r>
        <w:rPr>
          <w:rFonts w:hint="eastAsia"/>
        </w:rPr>
        <w:t>，为防止脱落土石滑下影响施工，开挖按</w:t>
      </w:r>
      <w:r>
        <w:t xml:space="preserve">1:1 </w:t>
      </w:r>
      <w:r>
        <w:rPr>
          <w:rFonts w:hint="eastAsia"/>
        </w:rPr>
        <w:t>放坡，开挖出底面后经人工清理验收完成后，再浇筑厚度</w:t>
      </w:r>
      <w:r>
        <w:t xml:space="preserve">100mm </w:t>
      </w:r>
      <w:r>
        <w:rPr>
          <w:rFonts w:hint="eastAsia"/>
        </w:rPr>
        <w:t>的</w:t>
      </w:r>
      <w:r>
        <w:t xml:space="preserve">C15 </w:t>
      </w:r>
      <w:r>
        <w:rPr>
          <w:rFonts w:hint="eastAsia"/>
        </w:rPr>
        <w:t>混凝土垫层。在其上进行基础混凝土施工，风机基础混凝土强度为</w:t>
      </w:r>
      <w:r>
        <w:t>C40</w:t>
      </w:r>
      <w:r>
        <w:rPr>
          <w:rFonts w:hint="eastAsia"/>
        </w:rPr>
        <w:t>，施工需架设模板、绑扎钢筋并浇筑混凝土，其尺寸和钢筋的布置严格按照设计图纸要求进行。混凝土必须一次浇筑完成，不允许有施工接缝。</w:t>
      </w:r>
    </w:p>
    <w:p w14:paraId="6B2AC246">
      <w:pPr>
        <w:adjustRightInd w:val="0"/>
        <w:snapToGrid w:val="0"/>
        <w:ind w:firstLine="480"/>
      </w:pPr>
      <w:r>
        <w:rPr>
          <w:rFonts w:hint="eastAsia"/>
        </w:rPr>
        <w:t>风电机组基础混凝土采用薄层连续浇筑形式，层厚</w:t>
      </w:r>
      <w:r>
        <w:t>500mm</w:t>
      </w:r>
      <w:r>
        <w:rPr>
          <w:rFonts w:hint="eastAsia"/>
        </w:rPr>
        <w:t>。混凝土熟料采用搅拌车运至浇筑点，泵送混凝土入仓，人工振捣浇筑。风电机组基础混凝土施工工艺流程如下：浇筑仓面准备</w:t>
      </w:r>
      <w:r>
        <w:t>(</w:t>
      </w:r>
      <w:r>
        <w:rPr>
          <w:rFonts w:hint="eastAsia"/>
        </w:rPr>
        <w:t>立模、绑钢筋、基础环安装</w:t>
      </w:r>
      <w:r>
        <w:t>)→</w:t>
      </w:r>
      <w:r>
        <w:rPr>
          <w:rFonts w:hint="eastAsia"/>
        </w:rPr>
        <w:t>质检及仓面验收</w:t>
      </w:r>
      <w:r>
        <w:t>→</w:t>
      </w:r>
      <w:r>
        <w:rPr>
          <w:rFonts w:hint="eastAsia"/>
        </w:rPr>
        <w:t>混凝土配料</w:t>
      </w:r>
      <w:r>
        <w:t>→</w:t>
      </w:r>
      <w:r>
        <w:rPr>
          <w:rFonts w:hint="eastAsia"/>
        </w:rPr>
        <w:t>混凝土搅拌</w:t>
      </w:r>
      <w:r>
        <w:t>→</w:t>
      </w:r>
      <w:r>
        <w:rPr>
          <w:rFonts w:hint="eastAsia"/>
        </w:rPr>
        <w:t>搅拌车运输</w:t>
      </w:r>
      <w:r>
        <w:t>→</w:t>
      </w:r>
      <w:r>
        <w:rPr>
          <w:rFonts w:hint="eastAsia"/>
        </w:rPr>
        <w:t>泵送混凝土入仓</w:t>
      </w:r>
      <w:r>
        <w:t>→</w:t>
      </w:r>
      <w:r>
        <w:rPr>
          <w:rFonts w:hint="eastAsia"/>
        </w:rPr>
        <w:t>平仓振捣</w:t>
      </w:r>
      <w:r>
        <w:t>→</w:t>
      </w:r>
      <w:r>
        <w:rPr>
          <w:rFonts w:hint="eastAsia"/>
        </w:rPr>
        <w:t>洒水养护</w:t>
      </w:r>
      <w:r>
        <w:t>→</w:t>
      </w:r>
      <w:r>
        <w:rPr>
          <w:rFonts w:hint="eastAsia"/>
        </w:rPr>
        <w:t>拆模</w:t>
      </w:r>
      <w:r>
        <w:t>→</w:t>
      </w:r>
      <w:r>
        <w:rPr>
          <w:rFonts w:hint="eastAsia"/>
        </w:rPr>
        <w:t>质量检查</w:t>
      </w:r>
      <w:r>
        <w:t>→</w:t>
      </w:r>
      <w:r>
        <w:rPr>
          <w:rFonts w:hint="eastAsia"/>
        </w:rPr>
        <w:t>修补缺陷。</w:t>
      </w:r>
    </w:p>
    <w:p w14:paraId="626BD803">
      <w:pPr>
        <w:adjustRightInd w:val="0"/>
        <w:snapToGrid w:val="0"/>
        <w:ind w:firstLine="480"/>
      </w:pPr>
      <w:r>
        <w:rPr>
          <w:rFonts w:hint="eastAsia"/>
        </w:rPr>
        <w:t>混凝土施工中应用测量仪器经常测量，以保证基础埋筒的上法兰平整度为</w:t>
      </w:r>
      <w:r>
        <w:t xml:space="preserve">±2mm </w:t>
      </w:r>
      <w:r>
        <w:rPr>
          <w:rFonts w:hint="eastAsia"/>
        </w:rPr>
        <w:t>的精度要求。施工结束后混凝土表面必须遮盖养护，防止表面出现裂缝。浇筑混凝土后，进行基坑的回填。回填土要求分层夯实，分层厚度</w:t>
      </w:r>
      <w:r>
        <w:t>20cm</w:t>
      </w:r>
      <w:r>
        <w:rPr>
          <w:rFonts w:hint="eastAsia"/>
        </w:rPr>
        <w:t>～</w:t>
      </w:r>
      <w:r>
        <w:t>30cm</w:t>
      </w:r>
      <w:r>
        <w:rPr>
          <w:rFonts w:hint="eastAsia"/>
        </w:rPr>
        <w:t>，密实度达到</w:t>
      </w:r>
      <w:r>
        <w:t xml:space="preserve">0.95 </w:t>
      </w:r>
      <w:r>
        <w:rPr>
          <w:rFonts w:hint="eastAsia"/>
        </w:rPr>
        <w:t>以上，回填土石料要求密度大于</w:t>
      </w:r>
      <w:r>
        <w:t>1.8t/m</w:t>
      </w:r>
      <w:r>
        <w:rPr>
          <w:vertAlign w:val="superscript"/>
        </w:rPr>
        <w:t>3</w:t>
      </w:r>
      <w:r>
        <w:rPr>
          <w:rFonts w:hint="eastAsia"/>
        </w:rPr>
        <w:t>，填至风机基础顶面下</w:t>
      </w:r>
      <w:r>
        <w:t>10cm</w:t>
      </w:r>
      <w:r>
        <w:rPr>
          <w:rFonts w:hint="eastAsia"/>
        </w:rPr>
        <w:t>，并设置</w:t>
      </w:r>
      <w:r>
        <w:t>1%</w:t>
      </w:r>
      <w:r>
        <w:rPr>
          <w:rFonts w:hint="eastAsia"/>
        </w:rPr>
        <w:t>的排水坡度。</w:t>
      </w:r>
    </w:p>
    <w:p w14:paraId="5E4ACA2C">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箱式变压器基础施工</w:t>
      </w:r>
    </w:p>
    <w:p w14:paraId="763AE714">
      <w:pPr>
        <w:adjustRightInd w:val="0"/>
        <w:snapToGrid w:val="0"/>
        <w:ind w:firstLine="480"/>
      </w:pPr>
      <w:r>
        <w:rPr>
          <w:rFonts w:hint="eastAsia"/>
        </w:rPr>
        <w:t>箱式变压器的基础采用混凝土基础。首先用小型挖掘机进行基础开挖，并辅以人工修正基坑边坡，基础开挖完工后，应将基坑清理干净，进行验收。基坑验收完毕后，根据地质情况对基础做出处理。浇筑基础混凝土时，先浇筑</w:t>
      </w:r>
      <w:r>
        <w:t xml:space="preserve">100mm </w:t>
      </w:r>
      <w:r>
        <w:rPr>
          <w:rFonts w:hint="eastAsia"/>
        </w:rPr>
        <w:t>厚度的</w:t>
      </w:r>
      <w:r>
        <w:t xml:space="preserve">C15 </w:t>
      </w:r>
      <w:r>
        <w:rPr>
          <w:rFonts w:hint="eastAsia"/>
        </w:rPr>
        <w:t>混凝土垫层，待混凝土达到设计强度后，再进行绑扎钢筋、架设模板，浇筑</w:t>
      </w:r>
      <w:r>
        <w:t xml:space="preserve">C30 </w:t>
      </w:r>
      <w:r>
        <w:rPr>
          <w:rFonts w:hint="eastAsia"/>
        </w:rPr>
        <w:t>基础混凝土。</w:t>
      </w:r>
    </w:p>
    <w:p w14:paraId="4CBFD616">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风机安装</w:t>
      </w:r>
    </w:p>
    <w:p w14:paraId="7684F284">
      <w:pPr>
        <w:adjustRightInd w:val="0"/>
        <w:snapToGrid w:val="0"/>
        <w:ind w:firstLine="480"/>
      </w:pPr>
      <w:r>
        <w:rPr>
          <w:rFonts w:hint="eastAsia"/>
        </w:rPr>
        <w:t>本项目共布置安装</w:t>
      </w:r>
      <w:r>
        <w:t>10</w:t>
      </w:r>
      <w:r>
        <w:rPr>
          <w:rFonts w:hint="eastAsia"/>
        </w:rPr>
        <w:t>台风电机组。风机轮毂中心高度1</w:t>
      </w:r>
      <w:r>
        <w:t>15m</w:t>
      </w:r>
      <w:r>
        <w:rPr>
          <w:rFonts w:hint="eastAsia"/>
        </w:rPr>
        <w:t>，叶轮直径为2</w:t>
      </w:r>
      <w:r>
        <w:t>00m</w:t>
      </w:r>
      <w:r>
        <w:rPr>
          <w:rFonts w:hint="eastAsia"/>
        </w:rPr>
        <w:t>；最长件为风机叶片，长度为</w:t>
      </w:r>
      <w:r>
        <w:t>100m</w:t>
      </w:r>
      <w:r>
        <w:rPr>
          <w:rFonts w:hint="eastAsia"/>
        </w:rPr>
        <w:t>。根据已建风电工程风机吊装经验及总进度安排，采用一套起吊设备进行安装。主吊设备采用</w:t>
      </w:r>
      <w:r>
        <w:t xml:space="preserve">800t </w:t>
      </w:r>
      <w:r>
        <w:rPr>
          <w:rFonts w:hint="eastAsia"/>
        </w:rPr>
        <w:t>履带式起重机，辅吊采用</w:t>
      </w:r>
      <w:r>
        <w:t xml:space="preserve">150t </w:t>
      </w:r>
      <w:r>
        <w:rPr>
          <w:rFonts w:hint="eastAsia"/>
        </w:rPr>
        <w:t>汽车式起重机。</w:t>
      </w:r>
    </w:p>
    <w:p w14:paraId="65589AB3">
      <w:pPr>
        <w:adjustRightInd w:val="0"/>
        <w:snapToGrid w:val="0"/>
        <w:ind w:firstLine="480"/>
      </w:pPr>
      <w:r>
        <w:rPr>
          <w:rFonts w:hint="eastAsia"/>
        </w:rPr>
        <w:t>a</w:t>
      </w:r>
      <w:r>
        <w:t xml:space="preserve"> </w:t>
      </w:r>
      <w:r>
        <w:rPr>
          <w:rFonts w:hint="eastAsia"/>
        </w:rPr>
        <w:t>塔筒安装</w:t>
      </w:r>
    </w:p>
    <w:p w14:paraId="1333C2D6">
      <w:pPr>
        <w:adjustRightInd w:val="0"/>
        <w:snapToGrid w:val="0"/>
        <w:ind w:firstLine="480"/>
      </w:pPr>
      <w:r>
        <w:rPr>
          <w:rFonts w:hint="eastAsia"/>
        </w:rPr>
        <w:t>塔筒安装前，应掌握安装期间工程区气象条件，以确保安装作业安全。安装时，先利用起重机提升下塔筒，慢慢将塔筒竖立，使塔筒的下端准确</w:t>
      </w:r>
      <w:r>
        <w:rPr>
          <w:rFonts w:hint="eastAsia"/>
          <w:lang w:eastAsia="zh-CN"/>
        </w:rPr>
        <w:t>坐落在</w:t>
      </w:r>
      <w:r>
        <w:rPr>
          <w:rFonts w:hint="eastAsia"/>
        </w:rPr>
        <w:t>基础法兰钢管上，按设计要求连接法兰盘，做到牢固可靠。上塔筒的安装方法与下塔筒相同。</w:t>
      </w:r>
    </w:p>
    <w:p w14:paraId="43C63E3E">
      <w:pPr>
        <w:adjustRightInd w:val="0"/>
        <w:snapToGrid w:val="0"/>
        <w:ind w:firstLine="480"/>
      </w:pPr>
      <w:r>
        <w:t>b</w:t>
      </w:r>
      <w:r>
        <w:rPr>
          <w:rFonts w:hint="eastAsia"/>
        </w:rPr>
        <w:t>风力发电机组安装</w:t>
      </w:r>
    </w:p>
    <w:p w14:paraId="274EBAB3">
      <w:pPr>
        <w:adjustRightInd w:val="0"/>
        <w:snapToGrid w:val="0"/>
        <w:ind w:firstLine="480"/>
      </w:pPr>
      <w:r>
        <w:rPr>
          <w:rFonts w:hint="eastAsia"/>
        </w:rPr>
        <w:t>风速是影响风力发电机组安装的主要因素之一，当风速超</w:t>
      </w:r>
      <w:r>
        <w:t xml:space="preserve">12 m/s </w:t>
      </w:r>
      <w:r>
        <w:rPr>
          <w:rFonts w:hint="eastAsia"/>
        </w:rPr>
        <w:t>时，不允许安装风力发电机。在与当地气象部门密切联系的同时，现场设置风力观测站，以便现场施工人员做出可靠判断，确保风力发电机组安装顺利进行。</w:t>
      </w:r>
    </w:p>
    <w:p w14:paraId="125D2744">
      <w:pPr>
        <w:adjustRightInd w:val="0"/>
        <w:snapToGrid w:val="0"/>
        <w:ind w:firstLine="480"/>
      </w:pPr>
      <w:r>
        <w:rPr>
          <w:rFonts w:hint="eastAsia"/>
        </w:rPr>
        <w:t>机舱安装时，施工人员站在塔架平台上，利用吊车提升机舱，机舱提起至安装高度后，再慢慢下落，机舱应完全坐在塔架法兰盘上，按设计要求连结法兰盘。转子叶片和轮毂在地面组装好后，利用起重机整体提升，轮毂法兰和机舱法兰按设计要求联结。上述作业完成并经验收合格后，移去施工设施，进行风力发电机组调试，完毕后投入运行。</w:t>
      </w:r>
    </w:p>
    <w:p w14:paraId="1AB8250F">
      <w:pPr>
        <w:adjustRightInd w:val="0"/>
        <w:snapToGrid w:val="0"/>
        <w:ind w:firstLine="480"/>
      </w:pPr>
      <w:r>
        <w:t>c</w:t>
      </w:r>
      <w:r>
        <w:rPr>
          <w:rFonts w:hint="eastAsia"/>
        </w:rPr>
        <w:t>安装平台及吊装示意图</w:t>
      </w:r>
    </w:p>
    <w:p w14:paraId="2572839F">
      <w:pPr>
        <w:pStyle w:val="21"/>
        <w:adjustRightInd w:val="0"/>
        <w:snapToGrid w:val="0"/>
        <w:spacing w:before="120" w:beforeLines="50"/>
        <w:ind w:firstLine="0" w:firstLineChars="0"/>
        <w:jc w:val="left"/>
        <w:rPr>
          <w:kern w:val="28"/>
        </w:rPr>
      </w:pPr>
      <w:r>
        <w:rPr>
          <w:kern w:val="28"/>
        </w:rPr>
        <w:drawing>
          <wp:inline distT="0" distB="0" distL="0" distR="0">
            <wp:extent cx="2209800" cy="2381250"/>
            <wp:effectExtent l="0" t="0" r="0" b="0"/>
            <wp:docPr id="237" name="图片 237" descr="1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12_副本"/>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209800" cy="2381250"/>
                    </a:xfrm>
                    <a:prstGeom prst="rect">
                      <a:avLst/>
                    </a:prstGeom>
                    <a:noFill/>
                    <a:ln>
                      <a:noFill/>
                    </a:ln>
                  </pic:spPr>
                </pic:pic>
              </a:graphicData>
            </a:graphic>
          </wp:inline>
        </w:drawing>
      </w:r>
      <w:r>
        <w:rPr>
          <w:kern w:val="0"/>
        </w:rPr>
        <w:drawing>
          <wp:inline distT="0" distB="0" distL="0" distR="0">
            <wp:extent cx="2476500" cy="2381250"/>
            <wp:effectExtent l="0" t="0" r="0" b="0"/>
            <wp:docPr id="12" name="图片 12" descr="RG8RRJS3AGY7(W1W$Z}$}~A"/>
            <wp:cNvGraphicFramePr/>
            <a:graphic xmlns:a="http://schemas.openxmlformats.org/drawingml/2006/main">
              <a:graphicData uri="http://schemas.openxmlformats.org/drawingml/2006/picture">
                <pic:pic xmlns:pic="http://schemas.openxmlformats.org/drawingml/2006/picture">
                  <pic:nvPicPr>
                    <pic:cNvPr id="12" name="图片 12" descr="RG8RRJS3AGY7(W1W$Z}$}~A"/>
                    <pic:cNvPicPr>
                      <a:picLocks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a:xfrm>
                      <a:off x="0" y="0"/>
                      <a:ext cx="2476500" cy="2381250"/>
                    </a:xfrm>
                    <a:prstGeom prst="rect">
                      <a:avLst/>
                    </a:prstGeom>
                    <a:noFill/>
                    <a:ln>
                      <a:noFill/>
                    </a:ln>
                  </pic:spPr>
                </pic:pic>
              </a:graphicData>
            </a:graphic>
          </wp:inline>
        </w:drawing>
      </w:r>
    </w:p>
    <w:p w14:paraId="35303611">
      <w:pPr>
        <w:pStyle w:val="21"/>
        <w:adjustRightInd w:val="0"/>
        <w:snapToGrid w:val="0"/>
        <w:spacing w:before="120" w:beforeLines="50"/>
        <w:ind w:firstLine="482"/>
        <w:jc w:val="center"/>
        <w:rPr>
          <w:rFonts w:ascii="宋体" w:hAnsi="宋体" w:cs="宋体"/>
          <w:b/>
          <w:bCs/>
          <w:kern w:val="28"/>
        </w:rPr>
      </w:pPr>
      <w:r>
        <w:rPr>
          <w:rFonts w:hint="eastAsia" w:ascii="宋体" w:hAnsi="宋体" w:cs="宋体"/>
          <w:b/>
          <w:bCs/>
          <w:kern w:val="28"/>
        </w:rPr>
        <w:t>图</w:t>
      </w:r>
      <w:r>
        <w:rPr>
          <w:rFonts w:ascii="宋体" w:hAnsi="宋体" w:cs="宋体"/>
          <w:b/>
          <w:bCs/>
          <w:kern w:val="28"/>
        </w:rPr>
        <w:t>4.1</w:t>
      </w:r>
      <w:r>
        <w:rPr>
          <w:rFonts w:hint="eastAsia" w:ascii="宋体" w:hAnsi="宋体" w:cs="宋体"/>
          <w:b/>
          <w:bCs/>
          <w:kern w:val="28"/>
        </w:rPr>
        <w:t>-</w:t>
      </w:r>
      <w:r>
        <w:rPr>
          <w:rFonts w:ascii="宋体" w:hAnsi="宋体" w:cs="宋体"/>
          <w:b/>
          <w:bCs/>
          <w:kern w:val="28"/>
        </w:rPr>
        <w:t>2</w:t>
      </w:r>
      <w:r>
        <w:rPr>
          <w:rFonts w:hint="eastAsia" w:ascii="宋体" w:hAnsi="宋体" w:cs="宋体"/>
          <w:b/>
          <w:bCs/>
          <w:kern w:val="28"/>
        </w:rPr>
        <w:t xml:space="preserve"> 安装平台示意图              图</w:t>
      </w:r>
      <w:r>
        <w:rPr>
          <w:rFonts w:ascii="宋体" w:hAnsi="宋体" w:cs="宋体"/>
          <w:b/>
          <w:bCs/>
          <w:kern w:val="28"/>
        </w:rPr>
        <w:t>4.</w:t>
      </w:r>
      <w:r>
        <w:rPr>
          <w:rFonts w:hint="eastAsia" w:ascii="宋体" w:hAnsi="宋体" w:cs="宋体"/>
          <w:b/>
          <w:bCs/>
          <w:kern w:val="28"/>
        </w:rPr>
        <w:t>1-</w:t>
      </w:r>
      <w:r>
        <w:rPr>
          <w:rFonts w:ascii="宋体" w:hAnsi="宋体" w:cs="宋体"/>
          <w:b/>
          <w:bCs/>
          <w:kern w:val="28"/>
        </w:rPr>
        <w:t>3</w:t>
      </w:r>
      <w:r>
        <w:rPr>
          <w:rFonts w:hint="eastAsia" w:ascii="宋体" w:hAnsi="宋体" w:cs="宋体"/>
          <w:b/>
          <w:bCs/>
          <w:kern w:val="28"/>
        </w:rPr>
        <w:t xml:space="preserve"> 吊装示意图</w:t>
      </w:r>
    </w:p>
    <w:p w14:paraId="1596F2B6">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箱式变压器安装</w:t>
      </w:r>
    </w:p>
    <w:p w14:paraId="5AE9DCFF">
      <w:pPr>
        <w:adjustRightInd w:val="0"/>
        <w:snapToGrid w:val="0"/>
        <w:ind w:firstLine="480"/>
      </w:pPr>
      <w:r>
        <w:t>a</w:t>
      </w:r>
      <w:r>
        <w:rPr>
          <w:rFonts w:hint="eastAsia"/>
        </w:rPr>
        <w:t>安装前的准备电缆应在箱式变压器就位前敷设好，并且经过检验是无电的。开箱验收检查产品是否有损伤、变形和断裂。按装箱清单检查附件和专用工具是否齐全，在确认无误后方可按安装要求进行安装。</w:t>
      </w:r>
    </w:p>
    <w:p w14:paraId="58D01B45">
      <w:pPr>
        <w:adjustRightInd w:val="0"/>
        <w:snapToGrid w:val="0"/>
        <w:ind w:firstLine="480"/>
      </w:pPr>
      <w:r>
        <w:t>b</w:t>
      </w:r>
      <w:r>
        <w:rPr>
          <w:rFonts w:hint="eastAsia"/>
        </w:rPr>
        <w:t>安装时靠近箱体顶部有用于装卸的吊钩，起吊钢缆拉伸时与垂直线间的角度不能超过</w:t>
      </w:r>
      <w:r>
        <w:t>30°</w:t>
      </w:r>
      <w:r>
        <w:rPr>
          <w:rFonts w:hint="eastAsia"/>
        </w:rPr>
        <w:t>，如有必要，应用横杆支撑钢缆，以免造成箱变结构或起吊钩的变形。箱变大部分重量集中在装有铁心、绕组和绝缘油的箱体中的变压器，高低压终端箱内大部分是空的，重量相对较轻，使用吊钩或起重机不当可能造成箱变或其附件的损坏，或引起人员伤害。在安装完毕后，接上试验电缆插头，按国家有关试验规程进行试验。</w:t>
      </w:r>
    </w:p>
    <w:p w14:paraId="42B310D7">
      <w:pPr>
        <w:adjustRightInd w:val="0"/>
        <w:snapToGrid w:val="0"/>
        <w:ind w:firstLine="480"/>
      </w:pPr>
      <w:r>
        <w:rPr>
          <w:rFonts w:hint="eastAsia"/>
        </w:rPr>
        <w:t>（</w:t>
      </w:r>
      <w:r>
        <w:t>2</w:t>
      </w:r>
      <w:r>
        <w:rPr>
          <w:rFonts w:hint="eastAsia"/>
        </w:rPr>
        <w:t>）1</w:t>
      </w:r>
      <w:r>
        <w:t>10</w:t>
      </w:r>
      <w:r>
        <w:rPr>
          <w:rFonts w:hint="eastAsia"/>
        </w:rPr>
        <w:t>k</w:t>
      </w:r>
      <w:r>
        <w:t>V</w:t>
      </w:r>
      <w:r>
        <w:rPr>
          <w:rFonts w:hint="eastAsia"/>
        </w:rPr>
        <w:t>升压站施工</w:t>
      </w:r>
    </w:p>
    <w:p w14:paraId="6A99DBB9">
      <w:pPr>
        <w:adjustRightInd w:val="0"/>
        <w:snapToGrid w:val="0"/>
        <w:ind w:firstLine="480"/>
      </w:pPr>
      <w:r>
        <w:rPr>
          <w:rFonts w:hint="eastAsia"/>
        </w:rPr>
        <w:t>本风电场</w:t>
      </w:r>
      <w:r>
        <w:t>110kV</w:t>
      </w:r>
      <w:r>
        <w:rPr>
          <w:rFonts w:hint="eastAsia"/>
        </w:rPr>
        <w:t>升压站内建筑物包含综合控制楼、</w:t>
      </w:r>
      <w:r>
        <w:t>SVG</w:t>
      </w:r>
      <w:r>
        <w:rPr>
          <w:rFonts w:hint="eastAsia"/>
        </w:rPr>
        <w:t>控制室、水泵房等建</w:t>
      </w:r>
      <w:r>
        <w:t>(</w:t>
      </w:r>
      <w:r>
        <w:rPr>
          <w:rFonts w:hint="eastAsia"/>
        </w:rPr>
        <w:t>构</w:t>
      </w:r>
      <w:r>
        <w:t>)</w:t>
      </w:r>
      <w:r>
        <w:rPr>
          <w:rFonts w:hint="eastAsia"/>
        </w:rPr>
        <w:t>筑物。基础土石方开挖边坡按</w:t>
      </w:r>
      <w:r>
        <w:t>1</w:t>
      </w:r>
      <w:r>
        <w:rPr>
          <w:rFonts w:hint="eastAsia"/>
        </w:rPr>
        <w:t>∶</w:t>
      </w:r>
      <w:r>
        <w:t>1</w:t>
      </w:r>
      <w:r>
        <w:rPr>
          <w:rFonts w:hint="eastAsia"/>
        </w:rPr>
        <w:t>控制，采用推土机或反铲剥离集料，一次开挖到位，尽量避免基底土方扰动，基坑底部留</w:t>
      </w:r>
      <w:r>
        <w:t>30cm</w:t>
      </w:r>
      <w:r>
        <w:rPr>
          <w:rFonts w:hint="eastAsia"/>
        </w:rPr>
        <w:t>保护层，采用人工开挖。开挖的土方运往施工临时堆渣区堆放，用于土方回填。升压站建筑施工时在建筑物下部结构铺设平面低脚手架仓面，在上部结构处铺设立体高脚手架仓面，由人工胶轮车在高低脚手架上将混凝土利用溜筒倒入仓面，人工平仓，振捣器振捣。</w:t>
      </w:r>
    </w:p>
    <w:p w14:paraId="2B8F3D52">
      <w:pPr>
        <w:adjustRightInd w:val="0"/>
        <w:snapToGrid w:val="0"/>
        <w:ind w:firstLine="480"/>
      </w:pPr>
      <w:r>
        <w:rPr>
          <w:rFonts w:hint="eastAsia"/>
        </w:rPr>
        <w:t>施工顺序大致为：施工准备→场地平整、碾压→基础开挖→基础施工→梁、板、柱混凝土浇筑→砖墙砌筑→电气管线敷设及室内外装修→电气设备入室。具体施工要求遵照有关工民建施工技术规范执行。</w:t>
      </w:r>
    </w:p>
    <w:p w14:paraId="313048F5">
      <w:pPr>
        <w:adjustRightInd w:val="0"/>
        <w:snapToGrid w:val="0"/>
        <w:ind w:firstLine="480"/>
      </w:pPr>
      <w:r>
        <w:rPr>
          <w:rFonts w:hint="eastAsia"/>
        </w:rPr>
        <w:t>（</w:t>
      </w:r>
      <w:r>
        <w:t>3</w:t>
      </w:r>
      <w:r>
        <w:rPr>
          <w:rFonts w:hint="eastAsia"/>
        </w:rPr>
        <w:t>）道路施工</w:t>
      </w:r>
    </w:p>
    <w:p w14:paraId="246BB480">
      <w:pPr>
        <w:adjustRightInd w:val="0"/>
        <w:snapToGrid w:val="0"/>
        <w:ind w:firstLine="480"/>
      </w:pPr>
      <w:r>
        <w:rPr>
          <w:rFonts w:hint="eastAsia"/>
        </w:rPr>
        <w:t>①路基工程</w:t>
      </w:r>
    </w:p>
    <w:p w14:paraId="52F84FA4">
      <w:pPr>
        <w:adjustRightInd w:val="0"/>
        <w:snapToGrid w:val="0"/>
        <w:ind w:firstLine="480"/>
      </w:pPr>
      <w:r>
        <w:rPr>
          <w:rFonts w:hint="eastAsia"/>
        </w:rPr>
        <w:t>道路施工方式分半挖半填道路及一般填方道路。对于半挖半填道路路基施工，挖方侧需先修筑截、排水沟，填方侧修筑挡墙，根据设计断面对挖方侧开挖的土方填至回填侧，采用合适的边坡形式及坡度。路基填土应控制好土的最佳含水量，以保证路基的压实度符合有关规范要求，路基在填筑过程中，采用分层填筑压实法。一般填方道路施工时，先清除表层杂物，按照道路设计宽度进行平整压实。</w:t>
      </w:r>
    </w:p>
    <w:p w14:paraId="1B1428D0">
      <w:pPr>
        <w:adjustRightInd w:val="0"/>
        <w:snapToGrid w:val="0"/>
        <w:ind w:firstLine="480"/>
      </w:pPr>
      <w:r>
        <w:rPr>
          <w:rFonts w:hint="eastAsia"/>
        </w:rPr>
        <w:t>施工程序为清表（表土集中临时堆放）→截、排水沟放样→开挖截、排水沟→路基填筑、边坡开挖→路基防护。</w:t>
      </w:r>
    </w:p>
    <w:p w14:paraId="6F6E6C0E">
      <w:pPr>
        <w:adjustRightInd w:val="0"/>
        <w:snapToGrid w:val="0"/>
        <w:ind w:firstLine="480"/>
      </w:pPr>
      <w:r>
        <w:rPr>
          <w:rFonts w:hint="eastAsia"/>
        </w:rPr>
        <w:t>②路面工程</w:t>
      </w:r>
    </w:p>
    <w:p w14:paraId="7A3453A3">
      <w:pPr>
        <w:adjustRightInd w:val="0"/>
        <w:snapToGrid w:val="0"/>
        <w:ind w:firstLine="480"/>
      </w:pPr>
      <w:r>
        <w:rPr>
          <w:rFonts w:hint="eastAsia"/>
        </w:rPr>
        <w:t>由于本项目设计直埋电缆沿着进场道路路肩位置敷设，因此在路基填筑平整工程施工完毕后，在路肩位置布设直埋电缆工程，待直埋电缆工程施工完毕后，对进场道路进行路面工程施工。</w:t>
      </w:r>
    </w:p>
    <w:p w14:paraId="44798C7A">
      <w:pPr>
        <w:adjustRightInd w:val="0"/>
        <w:snapToGrid w:val="0"/>
        <w:ind w:firstLine="480"/>
      </w:pPr>
      <w:r>
        <w:rPr>
          <w:rFonts w:hint="eastAsia"/>
        </w:rPr>
        <w:t>本项目新建进场道路采用泥结碎石路面，泥结石路面结构分为面层及基层两层，面层为</w:t>
      </w:r>
      <w:r>
        <w:t>10cm</w:t>
      </w:r>
      <w:r>
        <w:rPr>
          <w:rFonts w:hint="eastAsia"/>
        </w:rPr>
        <w:t>泥结石结构，路基碾压平整后作为基层使用。本项目泥结碎石层采用灌浆法施工。施工程序为堆料及摊铺→稳压→灌泥浆→碾压→铺封层。</w:t>
      </w:r>
    </w:p>
    <w:p w14:paraId="060EEC55">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排水工程</w:t>
      </w:r>
    </w:p>
    <w:p w14:paraId="058D1B5A">
      <w:pPr>
        <w:adjustRightInd w:val="0"/>
        <w:snapToGrid w:val="0"/>
        <w:ind w:firstLine="480"/>
      </w:pPr>
      <w:r>
        <w:rPr>
          <w:rFonts w:hint="eastAsia"/>
        </w:rPr>
        <w:t xml:space="preserve">路基、路面排水系统根据《公路路基设计规范》有关规定结合沿地质及降雨强度等因素，以边沟排水为主。对于半挖半填路段，在挖方侧设置有浆砌石排水沟，采用 </w:t>
      </w:r>
      <w:r>
        <w:t xml:space="preserve">0.4×0.4m </w:t>
      </w:r>
      <w:r>
        <w:rPr>
          <w:rFonts w:hint="eastAsia"/>
        </w:rPr>
        <w:t>的浆砌石矩形断面。</w:t>
      </w:r>
    </w:p>
    <w:p w14:paraId="115EEE17">
      <w:pPr>
        <w:adjustRightInd w:val="0"/>
        <w:snapToGrid w:val="0"/>
        <w:ind w:firstLine="480"/>
      </w:pPr>
      <w:r>
        <w:rPr>
          <w:rFonts w:hint="eastAsia"/>
        </w:rPr>
        <w:t>（4）集电线路施工</w:t>
      </w:r>
    </w:p>
    <w:p w14:paraId="01E0AA26">
      <w:pPr>
        <w:adjustRightInd w:val="0"/>
        <w:snapToGrid w:val="0"/>
        <w:ind w:firstLine="480"/>
      </w:pPr>
      <w:r>
        <w:t>本项目风电场10台风机通过4回35kV集电线路接入110kV升压站，项目新建35kV 直埋电缆线路13.5km，新建架空输电线路长度9.0km。电缆沿场内道路及现有道路周边直埋敷设，少部分路段不沿道路敷设，局部采用拉管敷设。</w:t>
      </w:r>
    </w:p>
    <w:p w14:paraId="22EC135A">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直埋电缆线施工</w:t>
      </w:r>
    </w:p>
    <w:p w14:paraId="55AF293B">
      <w:pPr>
        <w:adjustRightInd w:val="0"/>
        <w:snapToGrid w:val="0"/>
        <w:ind w:firstLine="480"/>
      </w:pPr>
      <w:r>
        <w:rPr>
          <w:rFonts w:hint="eastAsia"/>
        </w:rPr>
        <w:t>风力发电机到风机升压变的连接电缆采用电缆直埋敷设方式，直埋敷设的埋深为</w:t>
      </w:r>
      <w:r>
        <w:t>950mm</w:t>
      </w:r>
      <w:r>
        <w:rPr>
          <w:rFonts w:hint="eastAsia"/>
        </w:rPr>
        <w:t>，沟底铺设细砂或筛过的土，且全长以砖活水泥板遮盖。</w:t>
      </w:r>
    </w:p>
    <w:p w14:paraId="3BCD9C7E">
      <w:pPr>
        <w:adjustRightInd w:val="0"/>
        <w:snapToGrid w:val="0"/>
        <w:ind w:firstLine="480"/>
      </w:pPr>
      <w:r>
        <w:rPr>
          <w:rFonts w:hint="eastAsia"/>
        </w:rPr>
        <w:t>电缆沟开挖前先对表土进行剥离，将表土堆放在电缆沟一侧的施工区，然后上面堆放基坑土，以备回填。电缆沟开挖的土方堆放于开挖沟的一侧施工为人工施工。施工至设计高程并清理槽底，确保无砾石或其它坚硬物。在沟底敷设</w:t>
      </w:r>
      <w:r>
        <w:t>10cm</w:t>
      </w:r>
      <w:r>
        <w:rPr>
          <w:rFonts w:hint="eastAsia"/>
        </w:rPr>
        <w:t>的砂层，在砂层上沿电缆全长铺设</w:t>
      </w:r>
      <w:r>
        <w:t>5cm</w:t>
      </w:r>
      <w:r>
        <w:rPr>
          <w:rFonts w:hint="eastAsia"/>
        </w:rPr>
        <w:t>厚，宽度为不小于电缆两侧各</w:t>
      </w:r>
      <w:r>
        <w:t>5cm</w:t>
      </w:r>
      <w:r>
        <w:rPr>
          <w:rFonts w:hint="eastAsia"/>
        </w:rPr>
        <w:t>的素混凝土预制板，再进行电缆埋设。电缆埋设完毕后盖上电缆沟盖板，再用砂回填将盖板盖住，摊平，分层回填基坑土和表土，人工夯实。</w:t>
      </w:r>
    </w:p>
    <w:p w14:paraId="59F9625E">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架空输电线施工</w:t>
      </w:r>
    </w:p>
    <w:p w14:paraId="4F3F8CC2">
      <w:pPr>
        <w:adjustRightInd w:val="0"/>
        <w:snapToGrid w:val="0"/>
        <w:ind w:firstLine="480"/>
      </w:pPr>
      <w:r>
        <w:rPr>
          <w:rFonts w:hint="eastAsia"/>
        </w:rPr>
        <w:t xml:space="preserve">架空线路先施工塔基，待杆塔竖立起来后，最后安装上部电线。架空电线 </w:t>
      </w:r>
      <w:r>
        <w:t>35kV</w:t>
      </w:r>
      <w:r>
        <w:rPr>
          <w:rFonts w:hint="eastAsia"/>
        </w:rPr>
        <w:t>角钢塔按照有关规定施工，分节拼装。安装合格后，即可分区分组架设电线。</w:t>
      </w:r>
    </w:p>
    <w:p w14:paraId="5407DBCC">
      <w:pPr>
        <w:adjustRightInd w:val="0"/>
        <w:snapToGrid w:val="0"/>
        <w:ind w:firstLine="480"/>
      </w:pPr>
      <w:r>
        <w:rPr>
          <w:rFonts w:hint="eastAsia"/>
        </w:rPr>
        <w:t>a施工场地布设</w:t>
      </w:r>
    </w:p>
    <w:p w14:paraId="4C87FB79">
      <w:pPr>
        <w:adjustRightInd w:val="0"/>
        <w:snapToGrid w:val="0"/>
        <w:ind w:firstLine="480"/>
      </w:pPr>
      <w:r>
        <w:rPr>
          <w:rFonts w:hint="eastAsia"/>
        </w:rPr>
        <w:t xml:space="preserve">将进行架线施工的架空输电线路划分成若干段，在每一段的一端布设张力场，在另一端布设牵引场。本项目 </w:t>
      </w:r>
      <w:r>
        <w:t xml:space="preserve">35kV </w:t>
      </w:r>
      <w:r>
        <w:rPr>
          <w:rFonts w:hint="eastAsia"/>
        </w:rPr>
        <w:t>牵张场占地面积较小，可计入架空线路区临时占地，当靠近风电场道路时，可直接利用路基空地进行施工。对于架空线路施工可直接利用风电场先期修建的场内道路进行运输，当与场内道路相距较远时，直接将灌草砍伐或压倒，并计入架空线路区临时占地，后期进行平整恢复。</w:t>
      </w:r>
    </w:p>
    <w:p w14:paraId="17C72D0C">
      <w:pPr>
        <w:adjustRightInd w:val="0"/>
        <w:snapToGrid w:val="0"/>
        <w:ind w:firstLine="480"/>
      </w:pPr>
      <w:r>
        <w:rPr>
          <w:rFonts w:hint="eastAsia"/>
        </w:rPr>
        <w:t>b塔基基础施工</w:t>
      </w:r>
    </w:p>
    <w:p w14:paraId="4F17E1E7">
      <w:pPr>
        <w:adjustRightInd w:val="0"/>
        <w:snapToGrid w:val="0"/>
        <w:ind w:firstLine="480"/>
      </w:pPr>
      <w:r>
        <w:rPr>
          <w:rFonts w:hint="eastAsia"/>
        </w:rPr>
        <w:t>在确保安全和质量的前提下，塔基基坑应尽量减少开挖的范围，避免不必要的开挖或过多地破坏原状土，有利水土保持要求和塔基边坡的稳定。地质比较稳定的塔位，在设计允许的前提下，基础底板尽量采用以土代模的施工方法，减少土石方开挖量。</w:t>
      </w:r>
    </w:p>
    <w:p w14:paraId="62422BC4">
      <w:pPr>
        <w:adjustRightInd w:val="0"/>
        <w:snapToGrid w:val="0"/>
        <w:ind w:firstLine="480"/>
      </w:pPr>
      <w:r>
        <w:rPr>
          <w:rFonts w:hint="eastAsia"/>
        </w:rPr>
        <w:t>基坑开挖前要熟悉被开挖基坑的设计资料，了解基坑尺寸。杆塔基础的坑深，应以设计图纸的施工基面为基准，若设计无施工基面要求时，应以杆塔中心桩地面为基础。</w:t>
      </w:r>
    </w:p>
    <w:p w14:paraId="1F95D7AB">
      <w:pPr>
        <w:adjustRightInd w:val="0"/>
        <w:snapToGrid w:val="0"/>
        <w:ind w:firstLine="480"/>
      </w:pPr>
      <w:r>
        <w:rPr>
          <w:rFonts w:hint="eastAsia"/>
        </w:rPr>
        <w:t>基坑开挖尽量保持坑壁成型完好，并做好弃土的处理，避免坑内积水以影响周围环境和破坏植被，基础坑开挖好后应尽快浇筑混凝土。然后进行土方回填，同时做好基面及基坑的排水工作。易积水或冲刷的杆塔基础，应在基坑的外围修筑临时排水沟，防止塌坑及影响基础的施工；或采用单个基坑开挖后先浇筑混凝土基础以及基坑周围采用明沟排水法或井点降水法进行开挖施工；在交通条件许可的塔位采用挖掘机突击挖掘的方式，以缩短挖坑的时间，避免坑壁坍塌。</w:t>
      </w:r>
    </w:p>
    <w:p w14:paraId="527F9050">
      <w:pPr>
        <w:adjustRightInd w:val="0"/>
        <w:snapToGrid w:val="0"/>
        <w:ind w:firstLine="480"/>
      </w:pPr>
      <w:r>
        <w:rPr>
          <w:rFonts w:hint="eastAsia"/>
        </w:rPr>
        <w:t>为减少砂石含泥量，保证混凝土强度，砂石与地面应隔离堆放，地面先铺一层塑料布，然后再进行材料堆放。基础拆模后，经监理验收合格回填时，回填土按要求进行分层夯实，并清除掺杂的草、树根等杂物。</w:t>
      </w:r>
    </w:p>
    <w:p w14:paraId="02D03B10">
      <w:pPr>
        <w:adjustRightInd w:val="0"/>
        <w:snapToGrid w:val="0"/>
        <w:ind w:firstLine="480"/>
      </w:pPr>
      <w:r>
        <w:rPr>
          <w:rFonts w:hint="eastAsia"/>
        </w:rPr>
        <w:t>线路塔基基础工程施工流程图见下图</w:t>
      </w:r>
      <w:r>
        <w:t xml:space="preserve"> </w:t>
      </w:r>
      <w:r>
        <w:rPr>
          <w:rFonts w:hint="eastAsia"/>
        </w:rPr>
        <w:t>。</w:t>
      </w:r>
    </w:p>
    <w:p w14:paraId="09767ACE">
      <w:pPr>
        <w:tabs>
          <w:tab w:val="clear" w:pos="480"/>
        </w:tabs>
        <w:adjustRightInd w:val="0"/>
        <w:snapToGrid w:val="0"/>
        <w:ind w:firstLine="0" w:firstLineChars="0"/>
        <w:jc w:val="center"/>
      </w:pPr>
      <w:r>
        <w:object>
          <v:shape id="_x0000_i1026" o:spt="75" type="#_x0000_t75" style="height:103.5pt;width:362.25pt;" o:ole="t" filled="f" o:preferrelative="t" stroked="f" coordsize="21600,21600">
            <v:path/>
            <v:fill on="f" focussize="0,0"/>
            <v:stroke on="f" joinstyle="miter"/>
            <v:imagedata r:id="rId27" o:title=""/>
            <o:lock v:ext="edit" aspectratio="t"/>
            <w10:wrap type="none"/>
            <w10:anchorlock/>
          </v:shape>
          <o:OLEObject Type="Embed" ProgID="Visio.Drawing.11" ShapeID="_x0000_i1026" DrawAspect="Content" ObjectID="_1468075726" r:id="rId26">
            <o:LockedField>false</o:LockedField>
          </o:OLEObject>
        </w:object>
      </w:r>
    </w:p>
    <w:p w14:paraId="2151E7D6">
      <w:pPr>
        <w:tabs>
          <w:tab w:val="clear" w:pos="480"/>
        </w:tabs>
        <w:adjustRightInd w:val="0"/>
        <w:snapToGrid w:val="0"/>
        <w:ind w:firstLine="0" w:firstLineChars="0"/>
        <w:jc w:val="center"/>
        <w:rPr>
          <w:b/>
          <w:bCs/>
        </w:rPr>
      </w:pPr>
      <w:r>
        <w:rPr>
          <w:rFonts w:hint="eastAsia"/>
          <w:b/>
          <w:bCs/>
        </w:rPr>
        <w:t>图4</w:t>
      </w:r>
      <w:r>
        <w:rPr>
          <w:b/>
          <w:bCs/>
        </w:rPr>
        <w:t>.1</w:t>
      </w:r>
      <w:r>
        <w:rPr>
          <w:rFonts w:hint="eastAsia"/>
          <w:b/>
          <w:bCs/>
        </w:rPr>
        <w:t>-</w:t>
      </w:r>
      <w:r>
        <w:rPr>
          <w:b/>
          <w:bCs/>
        </w:rPr>
        <w:t xml:space="preserve">4  </w:t>
      </w:r>
      <w:r>
        <w:rPr>
          <w:rFonts w:hint="eastAsia"/>
          <w:b/>
          <w:bCs/>
        </w:rPr>
        <w:t>线路塔基础施工流程图</w:t>
      </w:r>
    </w:p>
    <w:p w14:paraId="5E37D3A6">
      <w:pPr>
        <w:adjustRightInd w:val="0"/>
        <w:snapToGrid w:val="0"/>
        <w:ind w:firstLine="480"/>
      </w:pPr>
      <w:r>
        <w:rPr>
          <w:rFonts w:hint="eastAsia"/>
        </w:rPr>
        <w:t>c铁塔组立及架线施工</w:t>
      </w:r>
    </w:p>
    <w:p w14:paraId="1EBF6CDF">
      <w:pPr>
        <w:adjustRightInd w:val="0"/>
        <w:snapToGrid w:val="0"/>
        <w:ind w:firstLine="480"/>
      </w:pPr>
      <w:r>
        <w:t>i</w:t>
      </w:r>
      <w:r>
        <w:rPr>
          <w:rFonts w:hint="eastAsia"/>
        </w:rPr>
        <w:t>）铁塔组立</w:t>
      </w:r>
    </w:p>
    <w:p w14:paraId="30C075D6">
      <w:pPr>
        <w:adjustRightInd w:val="0"/>
        <w:snapToGrid w:val="0"/>
        <w:ind w:firstLine="480"/>
      </w:pPr>
      <w:r>
        <w:rPr>
          <w:rFonts w:hint="eastAsia"/>
        </w:rPr>
        <w:t>工程所用直线塔或耐张塔根据铁塔结构特点及自垂采用悬浮摇臂抱杆或落地通天摇臂抱杆分解组立。</w:t>
      </w:r>
    </w:p>
    <w:p w14:paraId="62756FE0">
      <w:pPr>
        <w:adjustRightInd w:val="0"/>
        <w:snapToGrid w:val="0"/>
        <w:ind w:firstLine="480"/>
      </w:pPr>
      <w:r>
        <w:t>ii</w:t>
      </w:r>
      <w:r>
        <w:rPr>
          <w:rFonts w:hint="eastAsia"/>
        </w:rPr>
        <w:t>）架线及附件安装</w:t>
      </w:r>
    </w:p>
    <w:p w14:paraId="4E51DC1C">
      <w:pPr>
        <w:adjustRightInd w:val="0"/>
        <w:snapToGrid w:val="0"/>
        <w:ind w:firstLine="480"/>
      </w:pPr>
      <w:r>
        <w:rPr>
          <w:rFonts w:hint="eastAsia"/>
        </w:rPr>
        <w:t>导线应采用张力牵引放线，防止导线磨损，所以每回线路都要设置张力场和牵引场（即牵张场地）。一般将进行架线施工的架空输电线路划分成若干段，在每一段的一端布设导线轴、线轴架、主张力机及其他有关设备材料，组成一个作业场地，叫做张力场；在另一端布设牵引绳、钢绳卷车、主牵引机及其他有关设备材料，组成另一个作业场地，叫做牵引场。</w:t>
      </w:r>
    </w:p>
    <w:p w14:paraId="3576020D">
      <w:pPr>
        <w:adjustRightInd w:val="0"/>
        <w:snapToGrid w:val="0"/>
        <w:ind w:firstLine="480"/>
      </w:pPr>
      <w:r>
        <w:rPr>
          <w:rFonts w:hint="eastAsia"/>
        </w:rPr>
        <w:t xml:space="preserve">张力放线后应尽快进行架线，一般以张力放线施工阶段作紧线段，以直线塔为紧线操作塔。紧线完毕后应尽快进行耐张塔的附件安装和直线塔的线夹安装、防振金具和间隔棒的安装。线路放线施工示意图见图 </w:t>
      </w:r>
      <w:r>
        <w:t>4.1</w:t>
      </w:r>
      <w:r>
        <w:rPr>
          <w:rFonts w:hint="eastAsia"/>
        </w:rPr>
        <w:t>-</w:t>
      </w:r>
      <w:r>
        <w:t>4</w:t>
      </w:r>
      <w:r>
        <w:rPr>
          <w:rFonts w:hint="eastAsia"/>
        </w:rPr>
        <w:t xml:space="preserve">，架线施工流程图见图 </w:t>
      </w:r>
      <w:r>
        <w:t>4.1</w:t>
      </w:r>
      <w:r>
        <w:rPr>
          <w:rFonts w:hint="eastAsia"/>
        </w:rPr>
        <w:t>-</w:t>
      </w:r>
      <w:r>
        <w:t>5</w:t>
      </w:r>
      <w:r>
        <w:rPr>
          <w:rFonts w:hint="eastAsia"/>
        </w:rPr>
        <w:t>。</w:t>
      </w:r>
    </w:p>
    <w:p w14:paraId="0B398B70">
      <w:pPr>
        <w:pStyle w:val="2"/>
        <w:ind w:firstLine="0" w:firstLineChars="0"/>
      </w:pPr>
      <w:r>
        <w:rPr>
          <w:rFonts w:hint="eastAsia"/>
        </w:rPr>
        <w:drawing>
          <wp:inline distT="0" distB="0" distL="0" distR="0">
            <wp:extent cx="5277485" cy="2014855"/>
            <wp:effectExtent l="0" t="0" r="0" b="444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277485" cy="2014855"/>
                    </a:xfrm>
                    <a:prstGeom prst="rect">
                      <a:avLst/>
                    </a:prstGeom>
                  </pic:spPr>
                </pic:pic>
              </a:graphicData>
            </a:graphic>
          </wp:inline>
        </w:drawing>
      </w:r>
    </w:p>
    <w:p w14:paraId="39A6EB94">
      <w:pPr>
        <w:tabs>
          <w:tab w:val="clear" w:pos="480"/>
        </w:tabs>
        <w:adjustRightInd w:val="0"/>
        <w:snapToGrid w:val="0"/>
        <w:ind w:firstLine="0" w:firstLineChars="0"/>
        <w:rPr>
          <w:sz w:val="21"/>
          <w:szCs w:val="21"/>
        </w:rPr>
      </w:pPr>
      <w:r>
        <w:rPr>
          <w:sz w:val="21"/>
          <w:szCs w:val="21"/>
        </w:rPr>
        <w:t>1-</w:t>
      </w:r>
      <w:r>
        <w:rPr>
          <w:rFonts w:hint="eastAsia"/>
          <w:sz w:val="21"/>
          <w:szCs w:val="21"/>
        </w:rPr>
        <w:t>导线；</w:t>
      </w:r>
      <w:r>
        <w:rPr>
          <w:sz w:val="21"/>
          <w:szCs w:val="21"/>
        </w:rPr>
        <w:t>2-</w:t>
      </w:r>
      <w:r>
        <w:rPr>
          <w:rFonts w:hint="eastAsia"/>
          <w:sz w:val="21"/>
          <w:szCs w:val="21"/>
        </w:rPr>
        <w:t>线轴；</w:t>
      </w:r>
      <w:r>
        <w:rPr>
          <w:sz w:val="21"/>
          <w:szCs w:val="21"/>
        </w:rPr>
        <w:t>3-</w:t>
      </w:r>
      <w:r>
        <w:rPr>
          <w:rFonts w:hint="eastAsia"/>
          <w:sz w:val="21"/>
          <w:szCs w:val="21"/>
        </w:rPr>
        <w:t>主张力机；</w:t>
      </w:r>
      <w:r>
        <w:rPr>
          <w:sz w:val="21"/>
          <w:szCs w:val="21"/>
        </w:rPr>
        <w:t>4-</w:t>
      </w:r>
      <w:r>
        <w:rPr>
          <w:rFonts w:hint="eastAsia"/>
          <w:sz w:val="21"/>
          <w:szCs w:val="21"/>
        </w:rPr>
        <w:t>线轴架；</w:t>
      </w:r>
      <w:r>
        <w:rPr>
          <w:sz w:val="21"/>
          <w:szCs w:val="21"/>
        </w:rPr>
        <w:t>5-</w:t>
      </w:r>
      <w:r>
        <w:rPr>
          <w:rFonts w:hint="eastAsia"/>
          <w:sz w:val="21"/>
          <w:szCs w:val="21"/>
        </w:rPr>
        <w:t>钢绳卷车；</w:t>
      </w:r>
      <w:r>
        <w:rPr>
          <w:sz w:val="21"/>
          <w:szCs w:val="21"/>
        </w:rPr>
        <w:t>6-</w:t>
      </w:r>
      <w:r>
        <w:rPr>
          <w:rFonts w:hint="eastAsia"/>
          <w:sz w:val="21"/>
          <w:szCs w:val="21"/>
        </w:rPr>
        <w:t>主牵引机；</w:t>
      </w:r>
      <w:r>
        <w:rPr>
          <w:sz w:val="21"/>
          <w:szCs w:val="21"/>
        </w:rPr>
        <w:t>7-</w:t>
      </w:r>
      <w:r>
        <w:rPr>
          <w:rFonts w:hint="eastAsia"/>
          <w:sz w:val="21"/>
          <w:szCs w:val="21"/>
        </w:rPr>
        <w:t>牵引绳；</w:t>
      </w:r>
      <w:r>
        <w:rPr>
          <w:sz w:val="21"/>
          <w:szCs w:val="21"/>
        </w:rPr>
        <w:t>8-</w:t>
      </w:r>
      <w:r>
        <w:rPr>
          <w:rFonts w:hint="eastAsia"/>
          <w:sz w:val="21"/>
          <w:szCs w:val="21"/>
        </w:rPr>
        <w:t>放线滑车</w:t>
      </w:r>
    </w:p>
    <w:p w14:paraId="53A866D4">
      <w:pPr>
        <w:tabs>
          <w:tab w:val="clear" w:pos="480"/>
        </w:tabs>
        <w:adjustRightInd w:val="0"/>
        <w:snapToGrid w:val="0"/>
        <w:ind w:firstLine="0" w:firstLineChars="0"/>
        <w:jc w:val="center"/>
        <w:rPr>
          <w:b/>
          <w:bCs/>
        </w:rPr>
      </w:pPr>
      <w:r>
        <w:rPr>
          <w:rFonts w:hint="eastAsia"/>
          <w:b/>
          <w:bCs/>
        </w:rPr>
        <w:t>图</w:t>
      </w:r>
      <w:r>
        <w:rPr>
          <w:b/>
          <w:bCs/>
        </w:rPr>
        <w:t>4.1</w:t>
      </w:r>
      <w:r>
        <w:rPr>
          <w:rFonts w:hint="eastAsia"/>
          <w:b/>
          <w:bCs/>
        </w:rPr>
        <w:t>-</w:t>
      </w:r>
      <w:r>
        <w:rPr>
          <w:b/>
          <w:bCs/>
        </w:rPr>
        <w:t>5</w:t>
      </w:r>
      <w:r>
        <w:rPr>
          <w:rFonts w:hint="eastAsia"/>
          <w:b/>
          <w:bCs/>
        </w:rPr>
        <w:t>张力放线施工段布置图</w:t>
      </w:r>
    </w:p>
    <w:p w14:paraId="7E7DB997">
      <w:pPr>
        <w:tabs>
          <w:tab w:val="clear" w:pos="480"/>
        </w:tabs>
        <w:adjustRightInd w:val="0"/>
        <w:snapToGrid w:val="0"/>
        <w:ind w:firstLine="0" w:firstLineChars="0"/>
      </w:pPr>
      <w:r>
        <w:object>
          <v:shape id="_x0000_i1027" o:spt="75" type="#_x0000_t75" style="height:289.5pt;width:412.5pt;" o:ole="t" filled="f" o:preferrelative="t" stroked="f" coordsize="21600,21600">
            <v:path/>
            <v:fill on="f" focussize="0,0"/>
            <v:stroke on="f" joinstyle="miter"/>
            <v:imagedata r:id="rId30" o:title=""/>
            <o:lock v:ext="edit" aspectratio="t"/>
            <w10:wrap type="none"/>
            <w10:anchorlock/>
          </v:shape>
          <o:OLEObject Type="Embed" ProgID="Visio.Drawing.11" ShapeID="_x0000_i1027" DrawAspect="Content" ObjectID="_1468075727" r:id="rId29">
            <o:LockedField>false</o:LockedField>
          </o:OLEObject>
        </w:object>
      </w:r>
    </w:p>
    <w:p w14:paraId="3845C93F">
      <w:pPr>
        <w:tabs>
          <w:tab w:val="clear" w:pos="480"/>
        </w:tabs>
        <w:adjustRightInd w:val="0"/>
        <w:snapToGrid w:val="0"/>
        <w:ind w:firstLine="0" w:firstLineChars="0"/>
        <w:jc w:val="center"/>
        <w:rPr>
          <w:b/>
          <w:bCs/>
        </w:rPr>
      </w:pPr>
      <w:r>
        <w:rPr>
          <w:rFonts w:hint="eastAsia"/>
          <w:b/>
          <w:bCs/>
        </w:rPr>
        <w:t>图4</w:t>
      </w:r>
      <w:r>
        <w:rPr>
          <w:b/>
          <w:bCs/>
        </w:rPr>
        <w:t>.1</w:t>
      </w:r>
      <w:r>
        <w:rPr>
          <w:rFonts w:hint="eastAsia"/>
          <w:b/>
          <w:bCs/>
        </w:rPr>
        <w:t>-</w:t>
      </w:r>
      <w:r>
        <w:rPr>
          <w:b/>
          <w:bCs/>
        </w:rPr>
        <w:t xml:space="preserve">6  </w:t>
      </w:r>
      <w:r>
        <w:rPr>
          <w:rFonts w:hint="eastAsia"/>
          <w:b/>
          <w:bCs/>
        </w:rPr>
        <w:t>架线施工流程图</w:t>
      </w:r>
    </w:p>
    <w:p w14:paraId="6846453C">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4.1.3</w:t>
      </w:r>
      <w:r>
        <w:rPr>
          <w:rFonts w:hint="eastAsia" w:ascii="Times New Roman" w:eastAsia="宋体"/>
          <w:sz w:val="28"/>
          <w:szCs w:val="28"/>
          <w:lang w:val="en-US"/>
        </w:rPr>
        <w:t>施工布置</w:t>
      </w:r>
    </w:p>
    <w:p w14:paraId="6ADAF658">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4.1.3.1</w:t>
      </w:r>
      <w:r>
        <w:rPr>
          <w:rFonts w:hint="eastAsia" w:ascii="Times New Roman" w:eastAsia="宋体"/>
          <w:sz w:val="24"/>
          <w:szCs w:val="24"/>
        </w:rPr>
        <w:t>施工总体布置</w:t>
      </w:r>
    </w:p>
    <w:p w14:paraId="6D298F38">
      <w:pPr>
        <w:adjustRightInd w:val="0"/>
        <w:snapToGrid w:val="0"/>
        <w:ind w:firstLine="480"/>
      </w:pPr>
      <w:r>
        <w:rPr>
          <w:rFonts w:hint="eastAsia"/>
        </w:rPr>
        <w:t>施工总布置应综合考虑工程规模、施工方案及工期、造价等因素，按照因地制宜、因时制宜、有利生产、方便生活、易于管理、安全可靠的原则，在满足环保与水保要求的条件下布置生产生活区、施工仓库、供电供水、堆料场等。</w:t>
      </w:r>
    </w:p>
    <w:p w14:paraId="6E683DEB">
      <w:pPr>
        <w:adjustRightInd w:val="0"/>
        <w:snapToGrid w:val="0"/>
        <w:ind w:firstLine="480"/>
      </w:pPr>
      <w:r>
        <w:rPr>
          <w:rFonts w:hint="eastAsia"/>
        </w:rPr>
        <w:t>（1）施工用水</w:t>
      </w:r>
    </w:p>
    <w:p w14:paraId="301C53D6">
      <w:pPr>
        <w:adjustRightInd w:val="0"/>
        <w:snapToGrid w:val="0"/>
        <w:ind w:firstLine="480"/>
      </w:pPr>
      <w:r>
        <w:rPr>
          <w:rFonts w:hint="eastAsia"/>
        </w:rPr>
        <w:t>施工用水包括生产用水和生活用水两部分，临时生产生活区总供水量约</w:t>
      </w:r>
      <w:r>
        <w:t>100m</w:t>
      </w:r>
      <w:r>
        <w:rPr>
          <w:vertAlign w:val="superscript"/>
        </w:rPr>
        <w:t>3</w:t>
      </w:r>
      <w:r>
        <w:t>/d</w:t>
      </w:r>
      <w:r>
        <w:rPr>
          <w:rFonts w:hint="eastAsia"/>
        </w:rPr>
        <w:t>，其中生产用水</w:t>
      </w:r>
      <w:r>
        <w:t>82m</w:t>
      </w:r>
      <w:r>
        <w:rPr>
          <w:vertAlign w:val="superscript"/>
        </w:rPr>
        <w:t>3</w:t>
      </w:r>
      <w:r>
        <w:t>/d</w:t>
      </w:r>
      <w:r>
        <w:rPr>
          <w:rFonts w:hint="eastAsia"/>
        </w:rPr>
        <w:t>，生活用水</w:t>
      </w:r>
      <w:r>
        <w:t>18m</w:t>
      </w:r>
      <w:r>
        <w:rPr>
          <w:vertAlign w:val="superscript"/>
        </w:rPr>
        <w:t>3</w:t>
      </w:r>
      <w:r>
        <w:t>/d</w:t>
      </w:r>
      <w:r>
        <w:rPr>
          <w:rFonts w:hint="eastAsia"/>
        </w:rPr>
        <w:t>。本工程施工生产、生活用水及消防用水拟采用现场打井取水。井位选取在升压站生活区附近。可考虑在施工现场附近设置临时蓄水池。风机基础混凝土养护可采用水车拉水。</w:t>
      </w:r>
    </w:p>
    <w:p w14:paraId="49C90F22">
      <w:pPr>
        <w:adjustRightInd w:val="0"/>
        <w:snapToGrid w:val="0"/>
        <w:ind w:firstLine="480"/>
      </w:pPr>
      <w:r>
        <w:rPr>
          <w:rFonts w:hint="eastAsia"/>
        </w:rPr>
        <w:t>（2）施工用电</w:t>
      </w:r>
    </w:p>
    <w:p w14:paraId="415675C0">
      <w:pPr>
        <w:adjustRightInd w:val="0"/>
        <w:snapToGrid w:val="0"/>
        <w:ind w:firstLine="480"/>
      </w:pPr>
      <w:r>
        <w:rPr>
          <w:rFonts w:hint="eastAsia"/>
        </w:rPr>
        <w:t>本工程施工用电主要包括施工工厂、临时生活区用电及风机基础施工用电两部分。施工电源初步考虑从附近</w:t>
      </w:r>
      <w:r>
        <w:t xml:space="preserve">10kV </w:t>
      </w:r>
      <w:r>
        <w:rPr>
          <w:rFonts w:hint="eastAsia"/>
        </w:rPr>
        <w:t>线路引接，在升压站施工现场安装一台变压器，经变压器降压后引线至各施工用电点。</w:t>
      </w:r>
    </w:p>
    <w:p w14:paraId="2CF01DE5">
      <w:pPr>
        <w:adjustRightInd w:val="0"/>
        <w:snapToGrid w:val="0"/>
        <w:ind w:firstLine="480"/>
      </w:pPr>
      <w:r>
        <w:rPr>
          <w:rFonts w:hint="eastAsia"/>
        </w:rPr>
        <w:t>（3）施工通信</w:t>
      </w:r>
    </w:p>
    <w:p w14:paraId="12B79730">
      <w:pPr>
        <w:adjustRightInd w:val="0"/>
        <w:snapToGrid w:val="0"/>
        <w:ind w:firstLine="480"/>
      </w:pPr>
      <w:r>
        <w:rPr>
          <w:rFonts w:hint="eastAsia"/>
        </w:rPr>
        <w:t>风电场内部通信采用无线电通信方式解决。各风电机组施工现场的对外通信，采用无线电对讲机的通信方式。</w:t>
      </w:r>
    </w:p>
    <w:p w14:paraId="282FBA5F">
      <w:pPr>
        <w:adjustRightInd w:val="0"/>
        <w:snapToGrid w:val="0"/>
        <w:ind w:firstLine="480"/>
      </w:pPr>
      <w:r>
        <w:rPr>
          <w:rFonts w:hint="eastAsia"/>
        </w:rPr>
        <w:t>（4）地方建筑材料供应</w:t>
      </w:r>
    </w:p>
    <w:p w14:paraId="4A0D8F40">
      <w:pPr>
        <w:adjustRightInd w:val="0"/>
        <w:snapToGrid w:val="0"/>
        <w:ind w:firstLine="480"/>
      </w:pPr>
      <w:r>
        <w:rPr>
          <w:rFonts w:hint="eastAsia"/>
        </w:rPr>
        <w:t>砂料、粗骨料均可从周边城市购买。由于粗细骨料用量不大，且周边市场有足够的成品料可供应，故本工程不设砂石料加工系统，仅设砂石料堆场，位置紧靠混凝土系统布置。</w:t>
      </w:r>
    </w:p>
    <w:p w14:paraId="053D61B2">
      <w:pPr>
        <w:adjustRightInd w:val="0"/>
        <w:snapToGrid w:val="0"/>
        <w:ind w:firstLine="480"/>
      </w:pPr>
      <w:r>
        <w:rPr>
          <w:rFonts w:hint="eastAsia"/>
        </w:rPr>
        <w:t>砂石料按混凝土高峰期</w:t>
      </w:r>
      <w:r>
        <w:t>5</w:t>
      </w:r>
      <w:r>
        <w:rPr>
          <w:rFonts w:hint="eastAsia"/>
        </w:rPr>
        <w:t>天砂石骨料用量堆存，堆高</w:t>
      </w:r>
      <w:r>
        <w:t>3m</w:t>
      </w:r>
      <w:r>
        <w:rPr>
          <w:rFonts w:hint="eastAsia"/>
        </w:rPr>
        <w:t>～</w:t>
      </w:r>
      <w:r>
        <w:t>4m</w:t>
      </w:r>
      <w:r>
        <w:rPr>
          <w:rFonts w:hint="eastAsia"/>
        </w:rPr>
        <w:t>。砂石料堆场采用</w:t>
      </w:r>
      <w:r>
        <w:t>100mm</w:t>
      </w:r>
      <w:r>
        <w:rPr>
          <w:rFonts w:hint="eastAsia"/>
        </w:rPr>
        <w:t>厚</w:t>
      </w:r>
      <w:r>
        <w:t>C15</w:t>
      </w:r>
      <w:r>
        <w:rPr>
          <w:rFonts w:hint="eastAsia"/>
        </w:rPr>
        <w:t>砼地坪，下设</w:t>
      </w:r>
      <w:r>
        <w:t>100mm</w:t>
      </w:r>
      <w:r>
        <w:rPr>
          <w:rFonts w:hint="eastAsia"/>
        </w:rPr>
        <w:t>厚碎石垫层，砂石料场设</w:t>
      </w:r>
      <w:r>
        <w:t>0.5%</w:t>
      </w:r>
      <w:r>
        <w:rPr>
          <w:rFonts w:hint="eastAsia"/>
        </w:rPr>
        <w:t>排水坡度，坡向排水沟。</w:t>
      </w:r>
    </w:p>
    <w:p w14:paraId="1ED99C2B">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4.1.3.2</w:t>
      </w:r>
      <w:r>
        <w:rPr>
          <w:rFonts w:hint="eastAsia" w:ascii="Times New Roman" w:eastAsia="宋体"/>
          <w:sz w:val="24"/>
          <w:szCs w:val="24"/>
        </w:rPr>
        <w:t>施工布置</w:t>
      </w:r>
    </w:p>
    <w:p w14:paraId="1D48E16F">
      <w:pPr>
        <w:adjustRightInd w:val="0"/>
        <w:snapToGrid w:val="0"/>
        <w:ind w:firstLine="480"/>
      </w:pPr>
      <w:r>
        <w:t>（1）施工管理及生活区</w:t>
      </w:r>
    </w:p>
    <w:p w14:paraId="0FFD2190">
      <w:pPr>
        <w:adjustRightInd w:val="0"/>
        <w:snapToGrid w:val="0"/>
        <w:ind w:firstLine="480"/>
      </w:pPr>
      <w:r>
        <w:t>根据施工总进度安排，本工程施工期的平均人数为120 人，高峰人数为160 人。施工临时生活区布置在施工场地的一侧，临时生活区用地面积约1000m</w:t>
      </w:r>
      <w:r>
        <w:rPr>
          <w:vertAlign w:val="superscript"/>
        </w:rPr>
        <w:t>2</w:t>
      </w:r>
      <w:r>
        <w:t>。</w:t>
      </w:r>
    </w:p>
    <w:p w14:paraId="7CFD5AAA">
      <w:pPr>
        <w:adjustRightInd w:val="0"/>
        <w:snapToGrid w:val="0"/>
        <w:ind w:firstLine="480"/>
      </w:pPr>
      <w:r>
        <w:rPr>
          <w:rFonts w:hint="eastAsia"/>
        </w:rPr>
        <w:t>（</w:t>
      </w:r>
      <w:r>
        <w:t>2</w:t>
      </w:r>
      <w:r>
        <w:rPr>
          <w:rFonts w:hint="eastAsia"/>
        </w:rPr>
        <w:t>）施工工厂、仓库布置</w:t>
      </w:r>
    </w:p>
    <w:p w14:paraId="1E8C254B">
      <w:pPr>
        <w:adjustRightInd w:val="0"/>
        <w:snapToGrid w:val="0"/>
        <w:ind w:firstLine="480"/>
      </w:pPr>
      <w:r>
        <w:t>本项目施工期将施工工厂和仓库等设施和建筑布置在升压站附近，场区内主要布置辅助加工厂、材料设备仓库、临时房屋等。</w:t>
      </w:r>
    </w:p>
    <w:p w14:paraId="017F79B4">
      <w:pPr>
        <w:adjustRightInd w:val="0"/>
        <w:snapToGrid w:val="0"/>
        <w:ind w:firstLine="480"/>
      </w:pPr>
      <w:r>
        <w:fldChar w:fldCharType="begin"/>
      </w:r>
      <w:r>
        <w:instrText xml:space="preserve"> = 1 \* GB3 </w:instrText>
      </w:r>
      <w:r>
        <w:fldChar w:fldCharType="separate"/>
      </w:r>
      <w:r>
        <w:rPr>
          <w:rFonts w:hint="eastAsia"/>
        </w:rPr>
        <w:t>①</w:t>
      </w:r>
      <w:r>
        <w:fldChar w:fldCharType="end"/>
      </w:r>
      <w:r>
        <w:t>混凝土系统</w:t>
      </w:r>
    </w:p>
    <w:p w14:paraId="126C9E7F">
      <w:pPr>
        <w:adjustRightInd w:val="0"/>
        <w:snapToGrid w:val="0"/>
        <w:ind w:firstLine="480"/>
      </w:pPr>
      <w:r>
        <w:t>根据风机布置及场地条件，本工程混凝土采用商混。运距大约20km。</w:t>
      </w:r>
    </w:p>
    <w:p w14:paraId="6C093924">
      <w:pPr>
        <w:adjustRightInd w:val="0"/>
        <w:snapToGrid w:val="0"/>
        <w:ind w:firstLine="480"/>
      </w:pPr>
      <w:r>
        <w:fldChar w:fldCharType="begin"/>
      </w:r>
      <w:r>
        <w:instrText xml:space="preserve"> = 2 \* GB3 </w:instrText>
      </w:r>
      <w:r>
        <w:fldChar w:fldCharType="separate"/>
      </w:r>
      <w:r>
        <w:rPr>
          <w:rFonts w:hint="eastAsia"/>
        </w:rPr>
        <w:t>②</w:t>
      </w:r>
      <w:r>
        <w:fldChar w:fldCharType="end"/>
      </w:r>
      <w:r>
        <w:t>项目混凝土预制件</w:t>
      </w:r>
    </w:p>
    <w:p w14:paraId="38E1F89A">
      <w:pPr>
        <w:adjustRightInd w:val="0"/>
        <w:snapToGrid w:val="0"/>
        <w:ind w:firstLine="480"/>
      </w:pPr>
      <w:r>
        <w:t>混凝土预制件采用在当地采购的方式，现场不再另外设置混凝土预制件厂。</w:t>
      </w:r>
    </w:p>
    <w:p w14:paraId="500AF7FF">
      <w:pPr>
        <w:adjustRightInd w:val="0"/>
        <w:snapToGrid w:val="0"/>
        <w:ind w:firstLine="480"/>
      </w:pPr>
      <w:r>
        <w:fldChar w:fldCharType="begin"/>
      </w:r>
      <w:r>
        <w:instrText xml:space="preserve"> = 3 \* GB3 </w:instrText>
      </w:r>
      <w:r>
        <w:fldChar w:fldCharType="separate"/>
      </w:r>
      <w:r>
        <w:rPr>
          <w:rFonts w:hint="eastAsia"/>
        </w:rPr>
        <w:t>③</w:t>
      </w:r>
      <w:r>
        <w:fldChar w:fldCharType="end"/>
      </w:r>
      <w:r>
        <w:t>机械修配及综合加工厂</w:t>
      </w:r>
    </w:p>
    <w:p w14:paraId="4FD8D97D">
      <w:pPr>
        <w:adjustRightInd w:val="0"/>
        <w:snapToGrid w:val="0"/>
        <w:ind w:firstLine="480"/>
      </w:pPr>
      <w:r>
        <w:t>施工场地设置机械修配厂及综合加工系统(包括钢筋加工厂、木材加工厂)，综合加工厂布置在施工场地北侧。</w:t>
      </w:r>
    </w:p>
    <w:p w14:paraId="4D1C60CF">
      <w:pPr>
        <w:adjustRightInd w:val="0"/>
        <w:snapToGrid w:val="0"/>
        <w:ind w:firstLine="480"/>
      </w:pPr>
      <w:r>
        <w:t>机械修配场主要承担施工机械的小修及简单零件和金属构件的加工任务，大中修理委托衡阳市相关企业承担。</w:t>
      </w:r>
    </w:p>
    <w:p w14:paraId="54BABB37">
      <w:pPr>
        <w:adjustRightInd w:val="0"/>
        <w:snapToGrid w:val="0"/>
        <w:ind w:firstLine="480"/>
      </w:pPr>
      <w:r>
        <w:fldChar w:fldCharType="begin"/>
      </w:r>
      <w:r>
        <w:instrText xml:space="preserve"> = 4 \* GB3 </w:instrText>
      </w:r>
      <w:r>
        <w:fldChar w:fldCharType="separate"/>
      </w:r>
      <w:r>
        <w:rPr>
          <w:rFonts w:hint="eastAsia"/>
        </w:rPr>
        <w:t>④</w:t>
      </w:r>
      <w:r>
        <w:fldChar w:fldCharType="end"/>
      </w:r>
      <w:r>
        <w:t>仓库布置</w:t>
      </w:r>
    </w:p>
    <w:p w14:paraId="1AAD1AE7">
      <w:pPr>
        <w:adjustRightInd w:val="0"/>
        <w:snapToGrid w:val="0"/>
        <w:ind w:firstLine="480"/>
        <w:rPr>
          <w:kern w:val="0"/>
          <w:szCs w:val="22"/>
        </w:rPr>
      </w:pPr>
      <w:r>
        <w:t>本项目所需的仓库集中布置在施工场地上，主要设有水泥库、木材库、钢筋库、综合仓库、机械停放场及设备堆场。水泥库、木材库及钢筋库分别设在相应的加工工厂内。综合仓库包括临时的生产、生活用品仓库等</w:t>
      </w:r>
      <w:r>
        <w:rPr>
          <w:kern w:val="0"/>
          <w:szCs w:val="22"/>
        </w:rPr>
        <w:t>。</w:t>
      </w:r>
    </w:p>
    <w:p w14:paraId="7DEDD54C">
      <w:pPr>
        <w:tabs>
          <w:tab w:val="clear" w:pos="480"/>
        </w:tabs>
        <w:spacing w:line="240" w:lineRule="auto"/>
        <w:ind w:firstLine="0" w:firstLineChars="0"/>
        <w:jc w:val="center"/>
        <w:rPr>
          <w:b/>
          <w:bCs/>
          <w:kern w:val="0"/>
          <w:szCs w:val="22"/>
        </w:rPr>
      </w:pPr>
      <w:r>
        <w:rPr>
          <w:b/>
          <w:bCs/>
          <w:kern w:val="0"/>
          <w:szCs w:val="22"/>
        </w:rPr>
        <w:t>表4.1-1  施工临时设施用地面积一览表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28" w:type="dxa"/>
          <w:bottom w:w="0" w:type="dxa"/>
          <w:right w:w="28" w:type="dxa"/>
        </w:tblCellMar>
      </w:tblPr>
      <w:tblGrid>
        <w:gridCol w:w="823"/>
        <w:gridCol w:w="2221"/>
        <w:gridCol w:w="2746"/>
        <w:gridCol w:w="2912"/>
      </w:tblGrid>
      <w:tr w14:paraId="1C62CC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281CCC75">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序号</w:t>
            </w:r>
          </w:p>
        </w:tc>
        <w:tc>
          <w:tcPr>
            <w:tcW w:w="1276" w:type="pct"/>
            <w:vAlign w:val="center"/>
          </w:tcPr>
          <w:p w14:paraId="73DC641D">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项目名称</w:t>
            </w:r>
          </w:p>
        </w:tc>
        <w:tc>
          <w:tcPr>
            <w:tcW w:w="1578" w:type="pct"/>
            <w:vAlign w:val="center"/>
          </w:tcPr>
          <w:p w14:paraId="68F9B4E7">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用地面积（m</w:t>
            </w:r>
            <w:r>
              <w:rPr>
                <w:sz w:val="21"/>
                <w:szCs w:val="21"/>
                <w:vertAlign w:val="superscript"/>
              </w:rPr>
              <w:t>2</w:t>
            </w:r>
            <w:r>
              <w:rPr>
                <w:sz w:val="21"/>
                <w:szCs w:val="21"/>
              </w:rPr>
              <w:t>）</w:t>
            </w:r>
          </w:p>
        </w:tc>
        <w:tc>
          <w:tcPr>
            <w:tcW w:w="1673" w:type="pct"/>
            <w:vAlign w:val="center"/>
          </w:tcPr>
          <w:p w14:paraId="4E9DF23C">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备  注</w:t>
            </w:r>
          </w:p>
        </w:tc>
      </w:tr>
      <w:tr w14:paraId="1BE64C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15466965">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1</w:t>
            </w:r>
          </w:p>
        </w:tc>
        <w:tc>
          <w:tcPr>
            <w:tcW w:w="1276" w:type="pct"/>
            <w:vAlign w:val="center"/>
          </w:tcPr>
          <w:p w14:paraId="49461338">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综合加工厂</w:t>
            </w:r>
          </w:p>
        </w:tc>
        <w:tc>
          <w:tcPr>
            <w:tcW w:w="1578" w:type="pct"/>
            <w:vAlign w:val="center"/>
          </w:tcPr>
          <w:p w14:paraId="205C28C8">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750</w:t>
            </w:r>
          </w:p>
        </w:tc>
        <w:tc>
          <w:tcPr>
            <w:tcW w:w="1673" w:type="pct"/>
            <w:vAlign w:val="center"/>
          </w:tcPr>
          <w:p w14:paraId="0A95478B">
            <w:pPr>
              <w:tabs>
                <w:tab w:val="clear" w:pos="480"/>
              </w:tabs>
              <w:topLinePunct/>
              <w:autoSpaceDE w:val="0"/>
              <w:autoSpaceDN w:val="0"/>
              <w:adjustRightInd w:val="0"/>
              <w:snapToGrid w:val="0"/>
              <w:spacing w:line="240" w:lineRule="auto"/>
              <w:ind w:firstLine="0" w:firstLineChars="0"/>
              <w:jc w:val="center"/>
              <w:rPr>
                <w:sz w:val="21"/>
                <w:szCs w:val="21"/>
              </w:rPr>
            </w:pPr>
          </w:p>
        </w:tc>
      </w:tr>
      <w:tr w14:paraId="10AFA8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6D12B740">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2</w:t>
            </w:r>
          </w:p>
        </w:tc>
        <w:tc>
          <w:tcPr>
            <w:tcW w:w="1276" w:type="pct"/>
            <w:vAlign w:val="center"/>
          </w:tcPr>
          <w:p w14:paraId="020CF4C9">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综合仓库</w:t>
            </w:r>
          </w:p>
        </w:tc>
        <w:tc>
          <w:tcPr>
            <w:tcW w:w="1578" w:type="pct"/>
            <w:vAlign w:val="center"/>
          </w:tcPr>
          <w:p w14:paraId="4617711A">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500</w:t>
            </w:r>
          </w:p>
        </w:tc>
        <w:tc>
          <w:tcPr>
            <w:tcW w:w="1673" w:type="pct"/>
            <w:vAlign w:val="center"/>
          </w:tcPr>
          <w:p w14:paraId="0C5AC120">
            <w:pPr>
              <w:tabs>
                <w:tab w:val="clear" w:pos="480"/>
              </w:tabs>
              <w:topLinePunct/>
              <w:autoSpaceDE w:val="0"/>
              <w:autoSpaceDN w:val="0"/>
              <w:adjustRightInd w:val="0"/>
              <w:snapToGrid w:val="0"/>
              <w:spacing w:line="240" w:lineRule="auto"/>
              <w:ind w:firstLine="0" w:firstLineChars="0"/>
              <w:jc w:val="center"/>
              <w:rPr>
                <w:sz w:val="21"/>
                <w:szCs w:val="21"/>
              </w:rPr>
            </w:pPr>
          </w:p>
        </w:tc>
      </w:tr>
      <w:tr w14:paraId="2427B0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3DDEADC7">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3</w:t>
            </w:r>
          </w:p>
        </w:tc>
        <w:tc>
          <w:tcPr>
            <w:tcW w:w="1276" w:type="pct"/>
            <w:vAlign w:val="center"/>
          </w:tcPr>
          <w:p w14:paraId="22BD8F40">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机械停放场</w:t>
            </w:r>
          </w:p>
        </w:tc>
        <w:tc>
          <w:tcPr>
            <w:tcW w:w="1578" w:type="pct"/>
            <w:vAlign w:val="center"/>
          </w:tcPr>
          <w:p w14:paraId="5D2D4990">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400</w:t>
            </w:r>
          </w:p>
        </w:tc>
        <w:tc>
          <w:tcPr>
            <w:tcW w:w="1673" w:type="pct"/>
            <w:vAlign w:val="center"/>
          </w:tcPr>
          <w:p w14:paraId="2D6C05CF">
            <w:pPr>
              <w:tabs>
                <w:tab w:val="clear" w:pos="480"/>
              </w:tabs>
              <w:topLinePunct/>
              <w:autoSpaceDE w:val="0"/>
              <w:autoSpaceDN w:val="0"/>
              <w:adjustRightInd w:val="0"/>
              <w:snapToGrid w:val="0"/>
              <w:spacing w:line="240" w:lineRule="auto"/>
              <w:ind w:firstLine="0" w:firstLineChars="0"/>
              <w:jc w:val="center"/>
              <w:rPr>
                <w:sz w:val="21"/>
                <w:szCs w:val="21"/>
              </w:rPr>
            </w:pPr>
          </w:p>
        </w:tc>
      </w:tr>
      <w:tr w14:paraId="6F5F68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21B04046">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4</w:t>
            </w:r>
          </w:p>
        </w:tc>
        <w:tc>
          <w:tcPr>
            <w:tcW w:w="1276" w:type="pct"/>
            <w:vAlign w:val="center"/>
          </w:tcPr>
          <w:p w14:paraId="019E75DB">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施工管理区</w:t>
            </w:r>
          </w:p>
        </w:tc>
        <w:tc>
          <w:tcPr>
            <w:tcW w:w="1578" w:type="pct"/>
            <w:vAlign w:val="center"/>
          </w:tcPr>
          <w:p w14:paraId="371BFD6B">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400</w:t>
            </w:r>
          </w:p>
        </w:tc>
        <w:tc>
          <w:tcPr>
            <w:tcW w:w="1673" w:type="pct"/>
            <w:vAlign w:val="center"/>
          </w:tcPr>
          <w:p w14:paraId="47D5C7D1">
            <w:pPr>
              <w:tabs>
                <w:tab w:val="clear" w:pos="480"/>
              </w:tabs>
              <w:topLinePunct/>
              <w:autoSpaceDE w:val="0"/>
              <w:autoSpaceDN w:val="0"/>
              <w:adjustRightInd w:val="0"/>
              <w:snapToGrid w:val="0"/>
              <w:spacing w:line="240" w:lineRule="auto"/>
              <w:ind w:firstLine="0" w:firstLineChars="0"/>
              <w:jc w:val="center"/>
              <w:rPr>
                <w:sz w:val="21"/>
                <w:szCs w:val="21"/>
              </w:rPr>
            </w:pPr>
          </w:p>
        </w:tc>
      </w:tr>
      <w:tr w14:paraId="0E4B21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3A4B26AC">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5</w:t>
            </w:r>
          </w:p>
        </w:tc>
        <w:tc>
          <w:tcPr>
            <w:tcW w:w="1276" w:type="pct"/>
            <w:vAlign w:val="center"/>
          </w:tcPr>
          <w:p w14:paraId="70176508">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施工生活区</w:t>
            </w:r>
          </w:p>
        </w:tc>
        <w:tc>
          <w:tcPr>
            <w:tcW w:w="1578" w:type="pct"/>
            <w:vAlign w:val="center"/>
          </w:tcPr>
          <w:p w14:paraId="4C8BC7DC">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1000</w:t>
            </w:r>
          </w:p>
        </w:tc>
        <w:tc>
          <w:tcPr>
            <w:tcW w:w="1673" w:type="pct"/>
            <w:vAlign w:val="center"/>
          </w:tcPr>
          <w:p w14:paraId="297F28C0">
            <w:pPr>
              <w:tabs>
                <w:tab w:val="clear" w:pos="480"/>
              </w:tabs>
              <w:topLinePunct/>
              <w:autoSpaceDE w:val="0"/>
              <w:autoSpaceDN w:val="0"/>
              <w:adjustRightInd w:val="0"/>
              <w:snapToGrid w:val="0"/>
              <w:spacing w:line="240" w:lineRule="auto"/>
              <w:ind w:firstLine="0" w:firstLineChars="0"/>
              <w:jc w:val="center"/>
              <w:rPr>
                <w:sz w:val="21"/>
                <w:szCs w:val="21"/>
              </w:rPr>
            </w:pPr>
          </w:p>
        </w:tc>
      </w:tr>
      <w:tr w14:paraId="42E260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735D477C">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6</w:t>
            </w:r>
          </w:p>
        </w:tc>
        <w:tc>
          <w:tcPr>
            <w:tcW w:w="1276" w:type="pct"/>
            <w:vAlign w:val="center"/>
          </w:tcPr>
          <w:p w14:paraId="5C8C43DA">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道路及其他</w:t>
            </w:r>
          </w:p>
        </w:tc>
        <w:tc>
          <w:tcPr>
            <w:tcW w:w="1578" w:type="pct"/>
            <w:vAlign w:val="center"/>
          </w:tcPr>
          <w:p w14:paraId="0C13D9F1">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500</w:t>
            </w:r>
          </w:p>
        </w:tc>
        <w:tc>
          <w:tcPr>
            <w:tcW w:w="1673" w:type="pct"/>
            <w:vAlign w:val="center"/>
          </w:tcPr>
          <w:p w14:paraId="709C9A8F">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包括边坡、挡墙、排水沟等</w:t>
            </w:r>
          </w:p>
        </w:tc>
      </w:tr>
      <w:tr w14:paraId="409B2A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0189CA2D">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7</w:t>
            </w:r>
          </w:p>
        </w:tc>
        <w:tc>
          <w:tcPr>
            <w:tcW w:w="1276" w:type="pct"/>
            <w:vAlign w:val="center"/>
          </w:tcPr>
          <w:p w14:paraId="1E1DE296">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其他用房</w:t>
            </w:r>
          </w:p>
        </w:tc>
        <w:tc>
          <w:tcPr>
            <w:tcW w:w="1578" w:type="pct"/>
            <w:vAlign w:val="center"/>
          </w:tcPr>
          <w:p w14:paraId="7B8A5DD8">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450</w:t>
            </w:r>
          </w:p>
        </w:tc>
        <w:tc>
          <w:tcPr>
            <w:tcW w:w="1673" w:type="pct"/>
            <w:vAlign w:val="center"/>
          </w:tcPr>
          <w:p w14:paraId="063F2C82">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备用及应急使用</w:t>
            </w:r>
          </w:p>
        </w:tc>
      </w:tr>
      <w:tr w14:paraId="6B8333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73" w:type="pct"/>
            <w:vAlign w:val="center"/>
          </w:tcPr>
          <w:p w14:paraId="1BC7CCCE">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8</w:t>
            </w:r>
          </w:p>
        </w:tc>
        <w:tc>
          <w:tcPr>
            <w:tcW w:w="1276" w:type="pct"/>
            <w:vAlign w:val="center"/>
          </w:tcPr>
          <w:p w14:paraId="5B08CBFB">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合  计</w:t>
            </w:r>
          </w:p>
        </w:tc>
        <w:tc>
          <w:tcPr>
            <w:tcW w:w="1578" w:type="pct"/>
            <w:vAlign w:val="center"/>
          </w:tcPr>
          <w:p w14:paraId="7B865185">
            <w:pPr>
              <w:tabs>
                <w:tab w:val="clear" w:pos="480"/>
              </w:tabs>
              <w:topLinePunct/>
              <w:autoSpaceDE w:val="0"/>
              <w:autoSpaceDN w:val="0"/>
              <w:adjustRightInd w:val="0"/>
              <w:snapToGrid w:val="0"/>
              <w:spacing w:line="240" w:lineRule="auto"/>
              <w:ind w:firstLine="0" w:firstLineChars="0"/>
              <w:jc w:val="center"/>
              <w:rPr>
                <w:sz w:val="21"/>
                <w:szCs w:val="21"/>
              </w:rPr>
            </w:pPr>
            <w:r>
              <w:rPr>
                <w:sz w:val="21"/>
                <w:szCs w:val="21"/>
              </w:rPr>
              <w:t>4000</w:t>
            </w:r>
          </w:p>
        </w:tc>
        <w:tc>
          <w:tcPr>
            <w:tcW w:w="1673" w:type="pct"/>
            <w:vAlign w:val="center"/>
          </w:tcPr>
          <w:p w14:paraId="6AF24663">
            <w:pPr>
              <w:tabs>
                <w:tab w:val="clear" w:pos="480"/>
              </w:tabs>
              <w:topLinePunct/>
              <w:autoSpaceDE w:val="0"/>
              <w:autoSpaceDN w:val="0"/>
              <w:adjustRightInd w:val="0"/>
              <w:snapToGrid w:val="0"/>
              <w:spacing w:line="240" w:lineRule="auto"/>
              <w:ind w:firstLine="0" w:firstLineChars="0"/>
              <w:jc w:val="center"/>
              <w:rPr>
                <w:sz w:val="21"/>
                <w:szCs w:val="21"/>
              </w:rPr>
            </w:pPr>
          </w:p>
        </w:tc>
      </w:tr>
    </w:tbl>
    <w:p w14:paraId="235CD415">
      <w:pPr>
        <w:tabs>
          <w:tab w:val="clear" w:pos="480"/>
        </w:tabs>
        <w:ind w:firstLine="0" w:firstLineChars="0"/>
        <w:jc w:val="center"/>
        <w:rPr>
          <w:sz w:val="21"/>
        </w:rPr>
      </w:pPr>
      <w:r>
        <w:rPr>
          <w:sz w:val="21"/>
        </w:rPr>
        <w:drawing>
          <wp:inline distT="0" distB="0" distL="0" distR="0">
            <wp:extent cx="3997325" cy="2249805"/>
            <wp:effectExtent l="0" t="0" r="3175" b="0"/>
            <wp:docPr id="4455769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76949" name="图片 6"/>
                    <pic:cNvPicPr>
                      <a:picLocks noChangeAspect="1" noChangeArrowheads="1"/>
                    </pic:cNvPicPr>
                  </pic:nvPicPr>
                  <pic:blipFill>
                    <a:blip r:embed="rId31">
                      <a:extLst>
                        <a:ext uri="{28A0092B-C50C-407E-A947-70E740481C1C}">
                          <a14:useLocalDpi xmlns:a14="http://schemas.microsoft.com/office/drawing/2010/main" val="0"/>
                        </a:ext>
                      </a:extLst>
                    </a:blip>
                    <a:srcRect t="6700" b="7004"/>
                    <a:stretch>
                      <a:fillRect/>
                    </a:stretch>
                  </pic:blipFill>
                  <pic:spPr>
                    <a:xfrm>
                      <a:off x="0" y="0"/>
                      <a:ext cx="3997325" cy="2249805"/>
                    </a:xfrm>
                    <a:prstGeom prst="rect">
                      <a:avLst/>
                    </a:prstGeom>
                    <a:noFill/>
                    <a:ln>
                      <a:noFill/>
                    </a:ln>
                  </pic:spPr>
                </pic:pic>
              </a:graphicData>
            </a:graphic>
          </wp:inline>
        </w:drawing>
      </w:r>
    </w:p>
    <w:p w14:paraId="3B40DDDB">
      <w:pPr>
        <w:tabs>
          <w:tab w:val="clear" w:pos="480"/>
        </w:tabs>
        <w:ind w:firstLine="0" w:firstLineChars="0"/>
        <w:jc w:val="center"/>
        <w:rPr>
          <w:b/>
          <w:bCs/>
          <w:kern w:val="0"/>
          <w:szCs w:val="22"/>
        </w:rPr>
      </w:pPr>
      <w:r>
        <w:rPr>
          <w:b/>
          <w:bCs/>
          <w:kern w:val="0"/>
          <w:szCs w:val="22"/>
        </w:rPr>
        <w:t>图4.1-7 施工总平面布置图</w:t>
      </w:r>
    </w:p>
    <w:p w14:paraId="428BE530">
      <w:pPr>
        <w:pStyle w:val="4"/>
        <w:tabs>
          <w:tab w:val="clear" w:pos="480"/>
          <w:tab w:val="clear" w:pos="630"/>
        </w:tabs>
        <w:spacing w:before="0" w:after="0"/>
        <w:rPr>
          <w:sz w:val="30"/>
          <w:szCs w:val="30"/>
          <w:lang w:val="en-US"/>
        </w:rPr>
      </w:pPr>
      <w:bookmarkStart w:id="104" w:name="_Toc143799376"/>
      <w:bookmarkStart w:id="105" w:name="_Toc116977993"/>
      <w:r>
        <w:rPr>
          <w:sz w:val="30"/>
          <w:szCs w:val="30"/>
          <w:lang w:val="en-US"/>
        </w:rPr>
        <w:t>4.2</w:t>
      </w:r>
      <w:r>
        <w:rPr>
          <w:rFonts w:hint="eastAsia"/>
          <w:sz w:val="30"/>
          <w:szCs w:val="30"/>
          <w:lang w:val="en-US"/>
        </w:rPr>
        <w:t>运营期工艺流程及产污环节</w:t>
      </w:r>
      <w:bookmarkEnd w:id="104"/>
      <w:bookmarkEnd w:id="105"/>
    </w:p>
    <w:p w14:paraId="0BE438FC">
      <w:pPr>
        <w:adjustRightInd w:val="0"/>
        <w:snapToGrid w:val="0"/>
        <w:ind w:firstLine="480"/>
      </w:pPr>
      <w:r>
        <w:rPr>
          <w:rFonts w:hint="eastAsia"/>
        </w:rPr>
        <w:t>（1）风电场</w:t>
      </w:r>
    </w:p>
    <w:p w14:paraId="4D6AC728">
      <w:pPr>
        <w:adjustRightInd w:val="0"/>
        <w:snapToGrid w:val="0"/>
        <w:ind w:firstLine="480"/>
      </w:pPr>
      <w:r>
        <w:rPr>
          <w:rFonts w:hint="eastAsia"/>
        </w:rPr>
        <w:t xml:space="preserve">风电场运营期工艺流程为：风机叶片在风力带动下将风能转化成机械能，在齿轮箱和发电机作用下机械能转变成电能，发电机出口电压 </w:t>
      </w:r>
      <w:r>
        <w:t>0.69kV</w:t>
      </w:r>
      <w:r>
        <w:rPr>
          <w:rFonts w:hint="eastAsia"/>
        </w:rPr>
        <w:t xml:space="preserve">。发电机出口电能经箱式变压器升压至 </w:t>
      </w:r>
      <w:r>
        <w:t xml:space="preserve">35kV </w:t>
      </w:r>
      <w:r>
        <w:rPr>
          <w:rFonts w:hint="eastAsia"/>
        </w:rPr>
        <w:t xml:space="preserve">电压等级后由风电场集电线路送入 </w:t>
      </w:r>
      <w:r>
        <w:t xml:space="preserve">110kV  </w:t>
      </w:r>
      <w:r>
        <w:rPr>
          <w:rFonts w:hint="eastAsia"/>
        </w:rPr>
        <w:t>升压站，然后以一回1</w:t>
      </w:r>
      <w:r>
        <w:t>10</w:t>
      </w:r>
      <w:r>
        <w:rPr>
          <w:rFonts w:hint="eastAsia"/>
        </w:rPr>
        <w:t>k</w:t>
      </w:r>
      <w:r>
        <w:t>V</w:t>
      </w:r>
      <w:r>
        <w:rPr>
          <w:rFonts w:hint="eastAsia"/>
        </w:rPr>
        <w:t>接入对侧变压器。本工程最终接入系统方案以电网公司接入系统批复意见为准。（外送输电线路不在本次评价范围之内）。风电场工艺流程示意图见图</w:t>
      </w:r>
      <w:r>
        <w:t>4.2</w:t>
      </w:r>
      <w:r>
        <w:rPr>
          <w:rFonts w:hint="eastAsia"/>
        </w:rPr>
        <w:t>-</w:t>
      </w:r>
      <w:r>
        <w:t>1</w:t>
      </w:r>
      <w:r>
        <w:rPr>
          <w:rFonts w:hint="eastAsia"/>
        </w:rPr>
        <w:t>（图中虚线部分不属于</w:t>
      </w:r>
      <w:r>
        <w:rPr>
          <w:rFonts w:hint="eastAsia"/>
          <w:lang w:eastAsia="zh-CN"/>
        </w:rPr>
        <w:t>本次</w:t>
      </w:r>
      <w:r>
        <w:rPr>
          <w:rFonts w:hint="eastAsia"/>
        </w:rPr>
        <w:t>环境影响评价范畴）</w:t>
      </w:r>
    </w:p>
    <w:p w14:paraId="1467186F">
      <w:pPr>
        <w:adjustRightInd w:val="0"/>
        <w:snapToGrid w:val="0"/>
        <w:ind w:firstLine="480"/>
      </w:pPr>
      <w:r>
        <w:rPr>
          <w:rFonts w:hint="eastAsia"/>
        </w:rPr>
        <w:t>风通过风力发电机组将风能转化为电能，然后通过电缆将电量先送到安装在机组附近的箱式变压器，升压后再通过电力电缆输送到与风电场配套的变电所，再次升压后通过高压线路把电送到当地的电力系统。工艺如下：</w:t>
      </w:r>
    </w:p>
    <w:p w14:paraId="52211810">
      <w:pPr>
        <w:adjustRightInd w:val="0"/>
        <w:snapToGrid w:val="0"/>
        <w:ind w:firstLine="480"/>
      </w:pPr>
      <w:bookmarkStart w:id="106" w:name="_Hlk116114686"/>
      <w:r>
        <w:rPr>
          <w:rFonts w:hint="eastAsia"/>
        </w:rPr>
        <w:t>风</w:t>
      </w:r>
      <w:r>
        <w:t>→</w:t>
      </w:r>
      <w:r>
        <w:rPr>
          <w:rFonts w:hint="eastAsia"/>
        </w:rPr>
        <w:t>风力发电机</w:t>
      </w:r>
      <w:r>
        <w:t>→</w:t>
      </w:r>
      <w:r>
        <w:rPr>
          <w:rFonts w:hint="eastAsia"/>
        </w:rPr>
        <w:t>箱式变压器</w:t>
      </w:r>
      <w:r>
        <w:t>→</w:t>
      </w:r>
      <w:r>
        <w:rPr>
          <w:rFonts w:hint="eastAsia"/>
        </w:rPr>
        <w:t>变电所</w:t>
      </w:r>
      <w:r>
        <w:t>→</w:t>
      </w:r>
      <w:r>
        <w:rPr>
          <w:rFonts w:hint="eastAsia"/>
        </w:rPr>
        <w:t>高压线路</w:t>
      </w:r>
      <w:r>
        <w:t>→</w:t>
      </w:r>
      <w:r>
        <w:rPr>
          <w:rFonts w:hint="eastAsia"/>
        </w:rPr>
        <w:t>电力系统</w:t>
      </w:r>
      <w:bookmarkEnd w:id="106"/>
      <w:r>
        <w:rPr>
          <w:rFonts w:hint="eastAsia"/>
        </w:rPr>
        <w:t>。</w:t>
      </w:r>
    </w:p>
    <w:p w14:paraId="5AA5116D">
      <w:pPr>
        <w:pStyle w:val="2"/>
        <w:ind w:firstLine="0" w:firstLineChars="0"/>
      </w:pPr>
      <w:r>
        <w:drawing>
          <wp:inline distT="0" distB="0" distL="0" distR="0">
            <wp:extent cx="5277485" cy="2658110"/>
            <wp:effectExtent l="0" t="0" r="0" b="762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2"/>
                    <a:stretch>
                      <a:fillRect/>
                    </a:stretch>
                  </pic:blipFill>
                  <pic:spPr>
                    <a:xfrm>
                      <a:off x="0" y="0"/>
                      <a:ext cx="5277485" cy="2658110"/>
                    </a:xfrm>
                    <a:prstGeom prst="rect">
                      <a:avLst/>
                    </a:prstGeom>
                  </pic:spPr>
                </pic:pic>
              </a:graphicData>
            </a:graphic>
          </wp:inline>
        </w:drawing>
      </w:r>
    </w:p>
    <w:p w14:paraId="099A66DB">
      <w:pPr>
        <w:ind w:firstLineChars="83"/>
        <w:jc w:val="center"/>
        <w:rPr>
          <w:b/>
          <w:bCs/>
        </w:rPr>
      </w:pPr>
      <w:r>
        <w:rPr>
          <w:rFonts w:hint="eastAsia"/>
          <w:b/>
          <w:bCs/>
        </w:rPr>
        <w:t>图4</w:t>
      </w:r>
      <w:r>
        <w:rPr>
          <w:b/>
          <w:bCs/>
        </w:rPr>
        <w:t>.2</w:t>
      </w:r>
      <w:r>
        <w:rPr>
          <w:rFonts w:hint="eastAsia"/>
          <w:b/>
          <w:bCs/>
        </w:rPr>
        <w:t>-</w:t>
      </w:r>
      <w:r>
        <w:rPr>
          <w:b/>
          <w:bCs/>
        </w:rPr>
        <w:t xml:space="preserve">1  </w:t>
      </w:r>
      <w:r>
        <w:rPr>
          <w:rFonts w:hint="eastAsia"/>
          <w:b/>
          <w:bCs/>
        </w:rPr>
        <w:t>运营期工艺流程及产污环节图</w:t>
      </w:r>
    </w:p>
    <w:p w14:paraId="03689463">
      <w:pPr>
        <w:adjustRightInd w:val="0"/>
        <w:snapToGrid w:val="0"/>
        <w:ind w:firstLine="480"/>
      </w:pPr>
      <w:r>
        <w:rPr>
          <w:rFonts w:hint="eastAsia"/>
        </w:rPr>
        <w:t>（2）升压站</w:t>
      </w:r>
    </w:p>
    <w:p w14:paraId="5E114F9D">
      <w:pPr>
        <w:adjustRightInd w:val="0"/>
        <w:snapToGrid w:val="0"/>
        <w:ind w:firstLine="480"/>
      </w:pPr>
      <w:r>
        <w:rPr>
          <w:rFonts w:hint="eastAsia"/>
        </w:rPr>
        <w:t>衡阳县杉桥风电场工程110kV升压站运行过程中只是存在电压的变化和电流的传输现象，没有其他生产活动存在，整个过程中无原材料、中间产品、副产品、产品存在，也不存在产品的生产过程。电荷或者带电导体周围存在着电场，有规则地运动的电荷或者流过电流的导体周围存在着磁场，因此本工程在运营期由于电能的存在将会产生工频电场、工频磁场以及噪声。</w:t>
      </w:r>
    </w:p>
    <w:p w14:paraId="592815F9">
      <w:pPr>
        <w:tabs>
          <w:tab w:val="clear" w:pos="480"/>
        </w:tabs>
        <w:adjustRightInd w:val="0"/>
        <w:snapToGrid w:val="0"/>
        <w:spacing w:line="240" w:lineRule="auto"/>
        <w:ind w:firstLine="0" w:firstLineChars="0"/>
        <w:rPr>
          <w:rFonts w:ascii="黑体" w:hAnsi="黑体" w:eastAsia="黑体"/>
          <w:sz w:val="21"/>
          <w:szCs w:val="21"/>
        </w:rPr>
      </w:pPr>
      <w:r>
        <w:rPr>
          <w:rFonts w:ascii="黑体" w:hAnsi="黑体" w:eastAsia="黑体"/>
          <w:sz w:val="21"/>
          <w:szCs w:val="21"/>
        </w:rPr>
        <w:object>
          <v:shape id="_x0000_i1028" o:spt="75" type="#_x0000_t75" style="height:169.5pt;width:419.25pt;" o:ole="t" filled="f" o:preferrelative="t" stroked="f" coordsize="21600,21600">
            <v:path/>
            <v:fill on="f" focussize="0,0"/>
            <v:stroke on="f" joinstyle="miter"/>
            <v:imagedata r:id="rId34" o:title=""/>
            <o:lock v:ext="edit" aspectratio="t"/>
            <w10:wrap type="none"/>
            <w10:anchorlock/>
          </v:shape>
          <o:OLEObject Type="Embed" ProgID="Visio.Drawing.11" ShapeID="_x0000_i1028" DrawAspect="Content" ObjectID="_1468075728" r:id="rId33">
            <o:LockedField>false</o:LockedField>
          </o:OLEObject>
        </w:object>
      </w:r>
    </w:p>
    <w:p w14:paraId="71DFC66C">
      <w:pPr>
        <w:tabs>
          <w:tab w:val="clear" w:pos="480"/>
        </w:tabs>
        <w:adjustRightInd w:val="0"/>
        <w:snapToGrid w:val="0"/>
        <w:ind w:firstLineChars="83"/>
        <w:jc w:val="center"/>
        <w:rPr>
          <w:b/>
          <w:bCs/>
        </w:rPr>
      </w:pPr>
      <w:r>
        <w:rPr>
          <w:rFonts w:hint="eastAsia"/>
          <w:b/>
          <w:bCs/>
        </w:rPr>
        <w:t>图</w:t>
      </w:r>
      <w:r>
        <w:rPr>
          <w:b/>
          <w:bCs/>
        </w:rPr>
        <w:t xml:space="preserve">4.2-2  </w:t>
      </w:r>
      <w:r>
        <w:rPr>
          <w:rFonts w:hint="eastAsia"/>
          <w:b/>
          <w:bCs/>
        </w:rPr>
        <w:t>110kV升压站运营期工艺流程图</w:t>
      </w:r>
    </w:p>
    <w:p w14:paraId="30CC1CB0">
      <w:pPr>
        <w:pStyle w:val="4"/>
        <w:tabs>
          <w:tab w:val="clear" w:pos="480"/>
          <w:tab w:val="clear" w:pos="630"/>
        </w:tabs>
        <w:spacing w:before="0" w:after="0"/>
        <w:rPr>
          <w:sz w:val="30"/>
          <w:szCs w:val="30"/>
          <w:lang w:val="en-US"/>
        </w:rPr>
      </w:pPr>
      <w:bookmarkStart w:id="107" w:name="_Toc116977994"/>
      <w:bookmarkStart w:id="108" w:name="_Toc143799377"/>
      <w:r>
        <w:rPr>
          <w:sz w:val="30"/>
          <w:szCs w:val="30"/>
          <w:lang w:val="en-US"/>
        </w:rPr>
        <w:t>4.3</w:t>
      </w:r>
      <w:r>
        <w:rPr>
          <w:rFonts w:hint="eastAsia"/>
          <w:sz w:val="30"/>
          <w:szCs w:val="30"/>
          <w:lang w:val="en-US"/>
        </w:rPr>
        <w:t>污染源分析</w:t>
      </w:r>
      <w:bookmarkEnd w:id="107"/>
      <w:bookmarkEnd w:id="108"/>
    </w:p>
    <w:p w14:paraId="217564B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4.3.1</w:t>
      </w:r>
      <w:r>
        <w:rPr>
          <w:rFonts w:hint="eastAsia" w:ascii="Times New Roman" w:eastAsia="宋体"/>
          <w:sz w:val="28"/>
          <w:szCs w:val="28"/>
          <w:lang w:val="en-US"/>
        </w:rPr>
        <w:t>施工期污染源分析</w:t>
      </w:r>
    </w:p>
    <w:p w14:paraId="2FA616C7">
      <w:pPr>
        <w:adjustRightInd w:val="0"/>
        <w:snapToGrid w:val="0"/>
        <w:ind w:firstLine="480"/>
      </w:pPr>
      <w:r>
        <w:rPr>
          <w:rFonts w:hint="eastAsia"/>
        </w:rPr>
        <w:t>风电场主要工程内容主要包括</w:t>
      </w:r>
      <w:r>
        <w:t xml:space="preserve">3 </w:t>
      </w:r>
      <w:r>
        <w:rPr>
          <w:rFonts w:hint="eastAsia"/>
        </w:rPr>
        <w:t>部分：道路工程、主体工程及临时工程，其中道路工程主要</w:t>
      </w:r>
      <w:r>
        <w:t>新建</w:t>
      </w:r>
      <w:r>
        <w:rPr>
          <w:rFonts w:hint="eastAsia"/>
        </w:rPr>
        <w:t>场内</w:t>
      </w:r>
      <w:r>
        <w:t>道路16.4km，</w:t>
      </w:r>
      <w:r>
        <w:rPr>
          <w:rFonts w:hint="eastAsia"/>
        </w:rPr>
        <w:t>改建场内道路4</w:t>
      </w:r>
      <w:r>
        <w:t>.1</w:t>
      </w:r>
      <w:r>
        <w:rPr>
          <w:rFonts w:hint="eastAsia"/>
        </w:rPr>
        <w:t>km，改建进场</w:t>
      </w:r>
      <w:r>
        <w:t>道路10km</w:t>
      </w:r>
      <w:r>
        <w:rPr>
          <w:rFonts w:hint="eastAsia"/>
        </w:rPr>
        <w:t>，这一工程会产生一定的扬尘、噪声、植被破坏及水土流失的影响；主体工程包括风机基础建设、风机安装及集电线路敷设，这一工程会产生一定的扬尘、噪声、废水、植被破坏及水土流失的影响，临时工程包括施工临时设施及施工生产生活区，这一工程会产生一定的扬尘、噪声、粉尘、噪声等，施工人员还会产生一定的废气、废水及生活垃圾。</w:t>
      </w:r>
    </w:p>
    <w:p w14:paraId="11C496A7">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4.3.1.1</w:t>
      </w:r>
      <w:r>
        <w:rPr>
          <w:rFonts w:hint="eastAsia" w:ascii="Times New Roman" w:eastAsia="宋体"/>
          <w:sz w:val="24"/>
          <w:szCs w:val="24"/>
        </w:rPr>
        <w:t>废气</w:t>
      </w:r>
    </w:p>
    <w:p w14:paraId="3DD44DA6">
      <w:pPr>
        <w:tabs>
          <w:tab w:val="clear" w:pos="480"/>
        </w:tabs>
        <w:adjustRightInd w:val="0"/>
        <w:snapToGrid w:val="0"/>
        <w:ind w:firstLine="480"/>
      </w:pPr>
      <w:r>
        <w:fldChar w:fldCharType="begin"/>
      </w:r>
      <w:r>
        <w:instrText xml:space="preserve"> = 1 \* GB3 </w:instrText>
      </w:r>
      <w:r>
        <w:fldChar w:fldCharType="separate"/>
      </w:r>
      <w:r>
        <w:rPr>
          <w:rFonts w:hint="eastAsia"/>
        </w:rPr>
        <w:t>①</w:t>
      </w:r>
      <w:r>
        <w:fldChar w:fldCharType="end"/>
      </w:r>
      <w:r>
        <w:rPr>
          <w:rFonts w:hint="eastAsia"/>
        </w:rPr>
        <w:t>施工扬尘</w:t>
      </w:r>
    </w:p>
    <w:p w14:paraId="14B3B000">
      <w:pPr>
        <w:tabs>
          <w:tab w:val="clear" w:pos="480"/>
        </w:tabs>
        <w:adjustRightInd w:val="0"/>
        <w:snapToGrid w:val="0"/>
        <w:ind w:firstLine="480"/>
      </w:pPr>
      <w:r>
        <w:rPr>
          <w:rFonts w:hint="eastAsia"/>
        </w:rPr>
        <w:t>本项目对大气环境的影响主要发生在施工期，在基础土石方开挖、堆放、回填和清运过程中及建筑材料运输、装卸、堆放、取料、搅拌等过程中均可能产生扬尘污染及爆破产生的粉尘，短期内将使局部区域空气中的</w:t>
      </w:r>
      <w:r>
        <w:t>TSP</w:t>
      </w:r>
      <w:r>
        <w:rPr>
          <w:rFonts w:hint="eastAsia"/>
        </w:rPr>
        <w:t>增加；各种施工车辆排放废气的主要污染物为</w:t>
      </w:r>
      <w:r>
        <w:t>CxHy</w:t>
      </w:r>
      <w:r>
        <w:rPr>
          <w:rFonts w:hint="eastAsia"/>
        </w:rPr>
        <w:t>、</w:t>
      </w:r>
      <w:r>
        <w:t>CO</w:t>
      </w:r>
      <w:r>
        <w:rPr>
          <w:rFonts w:hint="eastAsia"/>
        </w:rPr>
        <w:t>、</w:t>
      </w:r>
      <w:r>
        <w:t>NOx</w:t>
      </w:r>
      <w:r>
        <w:rPr>
          <w:rFonts w:hint="eastAsia"/>
        </w:rPr>
        <w:t>等。同时施工垃圾堆放和清运过程也将对局部的大气环境造成一定不良影响。</w:t>
      </w:r>
    </w:p>
    <w:p w14:paraId="4C73A98B">
      <w:pPr>
        <w:tabs>
          <w:tab w:val="clear" w:pos="480"/>
        </w:tabs>
        <w:adjustRightInd w:val="0"/>
        <w:snapToGrid w:val="0"/>
        <w:ind w:firstLine="480"/>
      </w:pPr>
      <w:r>
        <w:rPr>
          <w:rFonts w:hint="eastAsia"/>
        </w:rPr>
        <w:t>施工扬尘和粉尘量的大小与施工条件、管理水平、机械化程度、施工季节、土质和气象等诸多因素有关，较难确定。根据同类项目现场实测结果进行类比，风机基础开挖施工现场的</w:t>
      </w:r>
      <w:r>
        <w:t>TSP</w:t>
      </w:r>
      <w:r>
        <w:rPr>
          <w:rFonts w:hint="eastAsia"/>
        </w:rPr>
        <w:t>日均浓度在</w:t>
      </w:r>
      <w:r>
        <w:t>0.12mg/m</w:t>
      </w:r>
      <w:r>
        <w:rPr>
          <w:vertAlign w:val="superscript"/>
        </w:rPr>
        <w:t>3</w:t>
      </w:r>
      <w:r>
        <w:rPr>
          <w:rFonts w:hint="eastAsia"/>
        </w:rPr>
        <w:t>～</w:t>
      </w:r>
      <w:r>
        <w:t>0.16mg/m</w:t>
      </w:r>
      <w:r>
        <w:rPr>
          <w:vertAlign w:val="superscript"/>
        </w:rPr>
        <w:t>3</w:t>
      </w:r>
      <w:r>
        <w:rPr>
          <w:rFonts w:hint="eastAsia"/>
        </w:rPr>
        <w:t>之间，距离施工现场</w:t>
      </w:r>
      <w:r>
        <w:t>50m</w:t>
      </w:r>
      <w:r>
        <w:rPr>
          <w:rFonts w:hint="eastAsia"/>
        </w:rPr>
        <w:t>的浓度为</w:t>
      </w:r>
      <w:r>
        <w:t>0.014mg/m</w:t>
      </w:r>
      <w:r>
        <w:rPr>
          <w:vertAlign w:val="superscript"/>
        </w:rPr>
        <w:t>3</w:t>
      </w:r>
      <w:r>
        <w:rPr>
          <w:rFonts w:hint="eastAsia"/>
        </w:rPr>
        <w:t>～</w:t>
      </w:r>
      <w:r>
        <w:t>0.056mg/m</w:t>
      </w:r>
      <w:r>
        <w:rPr>
          <w:vertAlign w:val="superscript"/>
        </w:rPr>
        <w:t>3</w:t>
      </w:r>
      <w:r>
        <w:rPr>
          <w:rFonts w:hint="eastAsia"/>
        </w:rPr>
        <w:t>之间。</w:t>
      </w:r>
    </w:p>
    <w:p w14:paraId="0C3C2685">
      <w:pPr>
        <w:tabs>
          <w:tab w:val="clear" w:pos="480"/>
        </w:tabs>
        <w:adjustRightInd w:val="0"/>
        <w:snapToGrid w:val="0"/>
        <w:ind w:firstLine="480"/>
      </w:pPr>
      <w:r>
        <w:fldChar w:fldCharType="begin"/>
      </w:r>
      <w:r>
        <w:instrText xml:space="preserve"> = 2 \* GB3 </w:instrText>
      </w:r>
      <w:r>
        <w:fldChar w:fldCharType="separate"/>
      </w:r>
      <w:r>
        <w:rPr>
          <w:rFonts w:hint="eastAsia"/>
        </w:rPr>
        <w:t>②</w:t>
      </w:r>
      <w:r>
        <w:fldChar w:fldCharType="end"/>
      </w:r>
      <w:r>
        <w:rPr>
          <w:rFonts w:hint="eastAsia"/>
        </w:rPr>
        <w:t>道路扬尘</w:t>
      </w:r>
    </w:p>
    <w:p w14:paraId="7A9E7ACE">
      <w:pPr>
        <w:tabs>
          <w:tab w:val="clear" w:pos="480"/>
        </w:tabs>
        <w:adjustRightInd w:val="0"/>
        <w:snapToGrid w:val="0"/>
        <w:ind w:firstLine="480"/>
      </w:pPr>
      <w:r>
        <w:rPr>
          <w:rFonts w:hint="eastAsia"/>
        </w:rPr>
        <w:t>项目施工期间交通运输将产生扬尘，汽车产生的道路扬尘量与车速、车型、车流量、风速、道路表面积尘量、尘土湿度等因素有关。根据交通</w:t>
      </w:r>
      <w:r>
        <w:rPr>
          <w:rFonts w:hint="eastAsia"/>
          <w:lang w:val="en-US" w:eastAsia="zh-CN"/>
        </w:rPr>
        <w:t>运输</w:t>
      </w:r>
      <w:r>
        <w:rPr>
          <w:rFonts w:hint="eastAsia"/>
        </w:rPr>
        <w:t>部公路研究所对施工现场车辆扬尘监测结果，下风向</w:t>
      </w:r>
      <w:r>
        <w:t xml:space="preserve"> 150m</w:t>
      </w:r>
      <w:r>
        <w:rPr>
          <w:rFonts w:hint="eastAsia"/>
        </w:rPr>
        <w:t>处的扬尘瞬时浓度可达到</w:t>
      </w:r>
      <w:r>
        <w:t>3.49mg/m</w:t>
      </w:r>
      <w:r>
        <w:rPr>
          <w:vertAlign w:val="superscript"/>
        </w:rPr>
        <w:t>3</w:t>
      </w:r>
      <w:r>
        <w:rPr>
          <w:rFonts w:hint="eastAsia"/>
        </w:rPr>
        <w:t>。此外物料拉运或堆放过程中，因遮盖不严密而产生粉尘污染。</w:t>
      </w:r>
    </w:p>
    <w:p w14:paraId="2CDA1D69">
      <w:pPr>
        <w:tabs>
          <w:tab w:val="clear" w:pos="480"/>
        </w:tabs>
        <w:adjustRightInd w:val="0"/>
        <w:snapToGrid w:val="0"/>
        <w:ind w:firstLine="480"/>
      </w:pPr>
      <w:r>
        <w:fldChar w:fldCharType="begin"/>
      </w:r>
      <w:r>
        <w:instrText xml:space="preserve"> = 3 \* GB3 </w:instrText>
      </w:r>
      <w:r>
        <w:fldChar w:fldCharType="separate"/>
      </w:r>
      <w:r>
        <w:rPr>
          <w:rFonts w:hint="eastAsia"/>
        </w:rPr>
        <w:t>③</w:t>
      </w:r>
      <w:r>
        <w:fldChar w:fldCharType="end"/>
      </w:r>
      <w:r>
        <w:rPr>
          <w:rFonts w:hint="eastAsia"/>
        </w:rPr>
        <w:t>爆破废气</w:t>
      </w:r>
    </w:p>
    <w:p w14:paraId="46A70043">
      <w:pPr>
        <w:tabs>
          <w:tab w:val="clear" w:pos="480"/>
        </w:tabs>
        <w:adjustRightInd w:val="0"/>
        <w:snapToGrid w:val="0"/>
        <w:ind w:firstLine="480"/>
      </w:pPr>
      <w:r>
        <w:rPr>
          <w:rFonts w:hint="eastAsia"/>
        </w:rPr>
        <w:t>修建道路石方爆破时使用炸药会释放出一定量的废气，主要为粉尘、</w:t>
      </w:r>
      <w:r>
        <w:t>NOx</w:t>
      </w:r>
      <w:r>
        <w:rPr>
          <w:rFonts w:hint="eastAsia"/>
        </w:rPr>
        <w:t>及少量</w:t>
      </w:r>
      <w:r>
        <w:t>CO</w:t>
      </w:r>
      <w:r>
        <w:rPr>
          <w:rFonts w:hint="eastAsia"/>
        </w:rPr>
        <w:t>、</w:t>
      </w:r>
      <w:r>
        <w:t>CO</w:t>
      </w:r>
      <w:r>
        <w:rPr>
          <w:vertAlign w:val="subscript"/>
        </w:rPr>
        <w:t>2</w:t>
      </w:r>
      <w:r>
        <w:rPr>
          <w:rFonts w:hint="eastAsia"/>
        </w:rPr>
        <w:t>和</w:t>
      </w:r>
      <w:r>
        <w:t>N</w:t>
      </w:r>
      <w:r>
        <w:rPr>
          <w:vertAlign w:val="subscript"/>
        </w:rPr>
        <w:t>2</w:t>
      </w:r>
      <w:r>
        <w:rPr>
          <w:rFonts w:hint="eastAsia"/>
        </w:rPr>
        <w:t>等，对大气环境具有潜在危害。其中粉尘是爆破产生量最大的污染物。但修建道路施工规模很小，爆破使用的炸药量少，爆破采用差微式爆破，工期短，对施工区周边大气环境质量不会产生较大不利影响。</w:t>
      </w:r>
    </w:p>
    <w:p w14:paraId="0FC1F03F">
      <w:pPr>
        <w:adjustRightInd w:val="0"/>
        <w:snapToGrid w:val="0"/>
        <w:ind w:firstLine="480"/>
      </w:pPr>
      <w:r>
        <w:fldChar w:fldCharType="begin"/>
      </w:r>
      <w:r>
        <w:instrText xml:space="preserve"> = 4 \* GB3 </w:instrText>
      </w:r>
      <w:r>
        <w:fldChar w:fldCharType="separate"/>
      </w:r>
      <w:r>
        <w:rPr>
          <w:rFonts w:hint="eastAsia"/>
        </w:rPr>
        <w:t>④</w:t>
      </w:r>
      <w:r>
        <w:fldChar w:fldCharType="end"/>
      </w:r>
      <w:r>
        <w:rPr>
          <w:rFonts w:hint="eastAsia"/>
        </w:rPr>
        <w:t>混凝土搅拌站粉尘</w:t>
      </w:r>
    </w:p>
    <w:p w14:paraId="1E2A5590">
      <w:pPr>
        <w:adjustRightInd w:val="0"/>
        <w:snapToGrid w:val="0"/>
        <w:ind w:firstLine="480"/>
      </w:pPr>
      <w:r>
        <w:rPr>
          <w:rFonts w:hint="eastAsia"/>
        </w:rPr>
        <w:t>本项目施工期间不设混凝土搅拌站，项目使用商品混凝土，因此，本项目无混凝土搅拌粉尘产生。</w:t>
      </w:r>
    </w:p>
    <w:p w14:paraId="59214363">
      <w:pPr>
        <w:adjustRightInd w:val="0"/>
        <w:snapToGrid w:val="0"/>
        <w:ind w:firstLine="480"/>
      </w:pPr>
      <w:r>
        <w:fldChar w:fldCharType="begin"/>
      </w:r>
      <w:r>
        <w:instrText xml:space="preserve"> = 5 \* GB3 </w:instrText>
      </w:r>
      <w:r>
        <w:fldChar w:fldCharType="separate"/>
      </w:r>
      <w:r>
        <w:rPr>
          <w:rFonts w:hint="eastAsia"/>
        </w:rPr>
        <w:t>⑤</w:t>
      </w:r>
      <w:r>
        <w:fldChar w:fldCharType="end"/>
      </w:r>
      <w:r>
        <w:rPr>
          <w:rFonts w:hint="eastAsia"/>
        </w:rPr>
        <w:t>有机废气</w:t>
      </w:r>
    </w:p>
    <w:p w14:paraId="6C231124">
      <w:pPr>
        <w:adjustRightInd w:val="0"/>
        <w:snapToGrid w:val="0"/>
        <w:ind w:firstLine="480"/>
      </w:pPr>
      <w:r>
        <w:t>a.</w:t>
      </w:r>
      <w:r>
        <w:rPr>
          <w:rFonts w:hint="eastAsia"/>
        </w:rPr>
        <w:t>燃油废气</w:t>
      </w:r>
    </w:p>
    <w:p w14:paraId="18558CAA">
      <w:pPr>
        <w:adjustRightInd w:val="0"/>
        <w:snapToGrid w:val="0"/>
        <w:ind w:firstLine="480"/>
      </w:pPr>
      <w:r>
        <w:rPr>
          <w:rFonts w:hint="eastAsia"/>
        </w:rPr>
        <w:t>施工车辆、打桩机、挖土机等因燃油产生的二氧化硫、氮氧化物、一氧化碳、烃类等污染物以及施工人员生活燃气产生的</w:t>
      </w:r>
      <w:r>
        <w:t>CO</w:t>
      </w:r>
      <w:r>
        <w:rPr>
          <w:rFonts w:hint="eastAsia"/>
        </w:rPr>
        <w:t>、</w:t>
      </w:r>
      <w:r>
        <w:t>THC</w:t>
      </w:r>
      <w:r>
        <w:rPr>
          <w:rFonts w:hint="eastAsia"/>
        </w:rPr>
        <w:t>、</w:t>
      </w:r>
      <w:r>
        <w:t>NOx</w:t>
      </w:r>
      <w:r>
        <w:rPr>
          <w:rFonts w:hint="eastAsia"/>
        </w:rPr>
        <w:t>等大气污染物会对大气环境造成不良影响。但这种污染源较分散且为流动性，污染物排放量不大，表现为间歇性特征，因此影响是短期和局部的，随着施工的结束而消除。</w:t>
      </w:r>
    </w:p>
    <w:p w14:paraId="25020F88">
      <w:pPr>
        <w:adjustRightInd w:val="0"/>
        <w:snapToGrid w:val="0"/>
        <w:ind w:firstLine="480"/>
      </w:pPr>
      <w:r>
        <w:rPr>
          <w:rFonts w:hint="eastAsia"/>
        </w:rPr>
        <w:t>根据类似项目施工现场监测结果，施工车辆为</w:t>
      </w:r>
      <w:r>
        <w:t>8~15</w:t>
      </w:r>
      <w:r>
        <w:rPr>
          <w:rFonts w:hint="eastAsia"/>
        </w:rPr>
        <w:t>吨以上的大型车辆，一般大型工程车辆污染物排放量为：</w:t>
      </w:r>
      <w:r>
        <w:t>CO</w:t>
      </w:r>
      <w:r>
        <w:rPr>
          <w:rFonts w:hint="eastAsia"/>
        </w:rPr>
        <w:t>：</w:t>
      </w:r>
      <w:r>
        <w:t>5.25g/</w:t>
      </w:r>
      <w:r>
        <w:rPr>
          <w:rFonts w:hint="eastAsia"/>
        </w:rPr>
        <w:t>辆</w:t>
      </w:r>
      <w:r>
        <w:t>·km</w:t>
      </w:r>
      <w:r>
        <w:rPr>
          <w:rFonts w:hint="eastAsia"/>
        </w:rPr>
        <w:t>；</w:t>
      </w:r>
      <w:r>
        <w:t>THC</w:t>
      </w:r>
      <w:r>
        <w:rPr>
          <w:rFonts w:hint="eastAsia"/>
        </w:rPr>
        <w:t>（总碳氢化合物）：</w:t>
      </w:r>
      <w:r>
        <w:t>2.08g/</w:t>
      </w:r>
      <w:r>
        <w:rPr>
          <w:rFonts w:hint="eastAsia"/>
        </w:rPr>
        <w:t>辆</w:t>
      </w:r>
      <w:r>
        <w:t>·km</w:t>
      </w:r>
      <w:r>
        <w:rPr>
          <w:rFonts w:hint="eastAsia"/>
        </w:rPr>
        <w:t>；</w:t>
      </w:r>
      <w:r>
        <w:t xml:space="preserve">NOx </w:t>
      </w:r>
      <w:r>
        <w:rPr>
          <w:rFonts w:hint="eastAsia"/>
        </w:rPr>
        <w:t>：</w:t>
      </w:r>
      <w:r>
        <w:t>10.44g/</w:t>
      </w:r>
      <w:r>
        <w:rPr>
          <w:rFonts w:hint="eastAsia"/>
        </w:rPr>
        <w:t>辆</w:t>
      </w:r>
      <w:r>
        <w:t>·km</w:t>
      </w:r>
      <w:r>
        <w:rPr>
          <w:rFonts w:hint="eastAsia"/>
        </w:rPr>
        <w:t>。</w:t>
      </w:r>
    </w:p>
    <w:p w14:paraId="5B1A899B">
      <w:pPr>
        <w:adjustRightInd w:val="0"/>
        <w:snapToGrid w:val="0"/>
        <w:ind w:firstLine="480"/>
      </w:pPr>
      <w:r>
        <w:t>b.</w:t>
      </w:r>
      <w:r>
        <w:rPr>
          <w:rFonts w:hint="eastAsia"/>
        </w:rPr>
        <w:t>装修废气</w:t>
      </w:r>
    </w:p>
    <w:p w14:paraId="241DD7CD">
      <w:pPr>
        <w:adjustRightInd w:val="0"/>
        <w:snapToGrid w:val="0"/>
        <w:ind w:firstLine="480"/>
      </w:pPr>
      <w:r>
        <w:rPr>
          <w:rFonts w:hint="eastAsia"/>
        </w:rPr>
        <w:t>升压站室内装修阶段对环境产生污染的材料主要是人造板、饰面人造板以及油漆等有机溶剂</w:t>
      </w:r>
      <w:r>
        <w:t>(</w:t>
      </w:r>
      <w:r>
        <w:rPr>
          <w:rFonts w:hint="eastAsia"/>
        </w:rPr>
        <w:t>主要有溶剂型涂料、溶剂型胶粘剂，水性阻燃剂、防水剂、防腐剂、防虫剂等</w:t>
      </w:r>
      <w:r>
        <w:t>)</w:t>
      </w:r>
      <w:r>
        <w:rPr>
          <w:rFonts w:hint="eastAsia"/>
        </w:rPr>
        <w:t>。其主要污染因子为甲苯和二甲苯，此外还有极少量的汽油、丁醇和丙醇等。</w:t>
      </w:r>
    </w:p>
    <w:p w14:paraId="27EC9ACE">
      <w:pPr>
        <w:adjustRightInd w:val="0"/>
        <w:snapToGrid w:val="0"/>
        <w:ind w:firstLine="480"/>
      </w:pPr>
      <w:r>
        <w:rPr>
          <w:rFonts w:hint="eastAsia"/>
        </w:rPr>
        <w:t>升压站装修阶段向周围环境空气排放的甲苯和二甲苯排放时间和部位不能十分明确。因此，在装修期间，应加强室内的通风换气，装修完成以后，也应每天进行通风换气一至二个月后才能投入使用。由于装修时采用的三合板和油漆中含有的甲醛、甲苯、二甲苯等有毒有害物质的挥发时间长，所以投入使用后也要注意室内空气的流畅。油漆废气对大气的影响主要表现在施工后期，主要影响为现场施工人员，对项目周边环境空气的影响小。</w:t>
      </w:r>
    </w:p>
    <w:p w14:paraId="3AFBA7AE">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4.3.1.2</w:t>
      </w:r>
      <w:r>
        <w:rPr>
          <w:rFonts w:hint="eastAsia" w:ascii="Times New Roman" w:eastAsia="宋体"/>
          <w:sz w:val="24"/>
          <w:szCs w:val="24"/>
        </w:rPr>
        <w:t>废水</w:t>
      </w:r>
    </w:p>
    <w:p w14:paraId="635C85B1">
      <w:pPr>
        <w:adjustRightInd w:val="0"/>
        <w:snapToGrid w:val="0"/>
        <w:ind w:firstLine="480"/>
      </w:pPr>
      <w:r>
        <w:rPr>
          <w:rFonts w:hint="eastAsia"/>
        </w:rPr>
        <w:t>（1）生产废水</w:t>
      </w:r>
    </w:p>
    <w:p w14:paraId="6F81BC14">
      <w:pPr>
        <w:adjustRightInd w:val="0"/>
        <w:snapToGrid w:val="0"/>
        <w:ind w:firstLine="480"/>
      </w:pPr>
      <w:r>
        <w:rPr>
          <w:rFonts w:hint="eastAsia"/>
        </w:rPr>
        <w:t>生产废水主要包括土建施工废水、机械冲洗废水等。</w:t>
      </w:r>
    </w:p>
    <w:p w14:paraId="5F1930DE">
      <w:pPr>
        <w:adjustRightInd w:val="0"/>
        <w:snapToGrid w:val="0"/>
        <w:ind w:firstLine="480"/>
      </w:pPr>
      <w:r>
        <w:rPr>
          <w:rFonts w:hint="eastAsia"/>
        </w:rPr>
        <w:t xml:space="preserve">项目土建施工过程会产生少量施工废水，该部分废水经沉淀后回用；项目冲洗废水主要为机械设备和运输车辆的清洗废水，机械冲洗用水量约 </w:t>
      </w:r>
      <w:r>
        <w:t>12m</w:t>
      </w:r>
      <w:r>
        <w:rPr>
          <w:vertAlign w:val="superscript"/>
        </w:rPr>
        <w:t>3</w:t>
      </w:r>
      <w:r>
        <w:t>/d</w:t>
      </w:r>
      <w:r>
        <w:rPr>
          <w:rFonts w:hint="eastAsia"/>
        </w:rPr>
        <w:t xml:space="preserve">，其废水排放按 </w:t>
      </w:r>
      <w:r>
        <w:t>90</w:t>
      </w:r>
      <w:r>
        <w:rPr>
          <w:rFonts w:hint="eastAsia"/>
        </w:rPr>
        <w:t xml:space="preserve">％计算，则机械冲洗废水产生量约为 </w:t>
      </w:r>
      <w:r>
        <w:t>10.8m</w:t>
      </w:r>
      <w:r>
        <w:rPr>
          <w:vertAlign w:val="superscript"/>
        </w:rPr>
        <w:t>3</w:t>
      </w:r>
      <w:r>
        <w:t>/d</w:t>
      </w:r>
      <w:r>
        <w:rPr>
          <w:rFonts w:hint="eastAsia"/>
        </w:rPr>
        <w:t xml:space="preserve">。生产废水中的主要污染物为 </w:t>
      </w:r>
      <w:r>
        <w:t xml:space="preserve">SS </w:t>
      </w:r>
      <w:r>
        <w:rPr>
          <w:rFonts w:hint="eastAsia"/>
        </w:rPr>
        <w:t>和石油类。施工现场设沉砂池，经沉淀处理后回用于生产或洒水降尘，不外排。</w:t>
      </w:r>
    </w:p>
    <w:p w14:paraId="64749A2D">
      <w:pPr>
        <w:adjustRightInd w:val="0"/>
        <w:snapToGrid w:val="0"/>
        <w:ind w:firstLine="480"/>
      </w:pPr>
      <w:r>
        <w:rPr>
          <w:rFonts w:hint="eastAsia"/>
        </w:rPr>
        <w:t>（</w:t>
      </w:r>
      <w:r>
        <w:t>2</w:t>
      </w:r>
      <w:r>
        <w:rPr>
          <w:rFonts w:hint="eastAsia"/>
        </w:rPr>
        <w:t>）生活废水</w:t>
      </w:r>
    </w:p>
    <w:p w14:paraId="684B8EE8">
      <w:pPr>
        <w:adjustRightInd w:val="0"/>
        <w:snapToGrid w:val="0"/>
        <w:ind w:firstLine="480"/>
      </w:pPr>
      <w:r>
        <w:rPr>
          <w:rFonts w:hint="eastAsia"/>
        </w:rPr>
        <w:t xml:space="preserve">本工程施工期的平均人数为 </w:t>
      </w:r>
      <w:r>
        <w:t xml:space="preserve">120 </w:t>
      </w:r>
      <w:r>
        <w:rPr>
          <w:rFonts w:hint="eastAsia"/>
        </w:rPr>
        <w:t xml:space="preserve">人，高峰人数为 </w:t>
      </w:r>
      <w:r>
        <w:t xml:space="preserve">160 </w:t>
      </w:r>
      <w:r>
        <w:rPr>
          <w:rFonts w:hint="eastAsia"/>
        </w:rPr>
        <w:t xml:space="preserve">人。生活用水按 </w:t>
      </w:r>
      <w:r>
        <w:t>120L/(</w:t>
      </w:r>
      <w:r>
        <w:rPr>
          <w:rFonts w:hint="eastAsia"/>
        </w:rPr>
        <w:t>人</w:t>
      </w:r>
      <w:r>
        <w:t>·d)</w:t>
      </w:r>
      <w:r>
        <w:rPr>
          <w:rFonts w:hint="eastAsia"/>
        </w:rPr>
        <w:t xml:space="preserve">考虑，施工期高峰日用水量约 </w:t>
      </w:r>
      <w:r>
        <w:t>19.2m</w:t>
      </w:r>
      <w:r>
        <w:rPr>
          <w:vertAlign w:val="superscript"/>
        </w:rPr>
        <w:t>3</w:t>
      </w:r>
      <w:r>
        <w:t>/d</w:t>
      </w:r>
      <w:r>
        <w:rPr>
          <w:rFonts w:hint="eastAsia"/>
        </w:rPr>
        <w:t xml:space="preserve">，生活污水排放系数取 </w:t>
      </w:r>
      <w:r>
        <w:t>0.8</w:t>
      </w:r>
      <w:r>
        <w:rPr>
          <w:rFonts w:hint="eastAsia"/>
        </w:rPr>
        <w:t>，则施工期每天污水产生量</w:t>
      </w:r>
      <w:r>
        <w:t>15.36m</w:t>
      </w:r>
      <w:r>
        <w:rPr>
          <w:vertAlign w:val="superscript"/>
        </w:rPr>
        <w:t>3</w:t>
      </w:r>
      <w:r>
        <w:t>/d</w:t>
      </w:r>
      <w:r>
        <w:rPr>
          <w:rFonts w:hint="eastAsia"/>
        </w:rPr>
        <w:t>。施工人员产生的生活污水主要污染物为</w:t>
      </w:r>
      <w:r>
        <w:t>BOD</w:t>
      </w:r>
      <w:r>
        <w:rPr>
          <w:vertAlign w:val="subscript"/>
        </w:rPr>
        <w:t>5</w:t>
      </w:r>
      <w:r>
        <w:rPr>
          <w:rFonts w:hint="eastAsia"/>
        </w:rPr>
        <w:t>、</w:t>
      </w:r>
      <w:r>
        <w:t>CODCr</w:t>
      </w:r>
      <w:r>
        <w:rPr>
          <w:rFonts w:hint="eastAsia"/>
        </w:rPr>
        <w:t>、氨氮和悬浮物，其浓度较低。本项目施工期生活污水经化粪池处理后用于周边林地施肥，不外排。</w:t>
      </w:r>
    </w:p>
    <w:p w14:paraId="35B63CF6">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4.3.1.3</w:t>
      </w:r>
      <w:r>
        <w:rPr>
          <w:rFonts w:hint="eastAsia" w:ascii="Times New Roman" w:eastAsia="宋体"/>
          <w:sz w:val="24"/>
          <w:szCs w:val="24"/>
        </w:rPr>
        <w:t>噪声</w:t>
      </w:r>
    </w:p>
    <w:p w14:paraId="2B4D8BAD">
      <w:pPr>
        <w:adjustRightInd w:val="0"/>
        <w:snapToGrid w:val="0"/>
        <w:ind w:firstLine="480"/>
      </w:pPr>
      <w:r>
        <w:rPr>
          <w:rFonts w:hint="eastAsia"/>
        </w:rPr>
        <w:t>风电场工程的噪声主要包括交通运输噪声、施工机械噪声以及爆破噪声。</w:t>
      </w:r>
    </w:p>
    <w:p w14:paraId="58F42B50">
      <w:pPr>
        <w:adjustRightInd w:val="0"/>
        <w:snapToGrid w:val="0"/>
        <w:ind w:firstLine="480"/>
      </w:pPr>
      <w:r>
        <w:rPr>
          <w:rFonts w:hint="eastAsia"/>
        </w:rPr>
        <w:t>（</w:t>
      </w:r>
      <w:r>
        <w:t>1</w:t>
      </w:r>
      <w:r>
        <w:rPr>
          <w:rFonts w:hint="eastAsia"/>
        </w:rPr>
        <w:t>）施工机械噪声</w:t>
      </w:r>
    </w:p>
    <w:p w14:paraId="2A2E7022">
      <w:pPr>
        <w:adjustRightInd w:val="0"/>
        <w:snapToGrid w:val="0"/>
        <w:ind w:firstLine="480"/>
      </w:pPr>
      <w:r>
        <w:rPr>
          <w:rFonts w:hint="eastAsia"/>
        </w:rPr>
        <w:t xml:space="preserve">拟建电场工程施工机械主要有挖掘机、装载机、推土机、钻机、运输车辆、压路机、发电机等，机械运行时噪声源强在 </w:t>
      </w:r>
      <w:r>
        <w:t>82</w:t>
      </w:r>
      <w:r>
        <w:rPr>
          <w:rFonts w:hint="eastAsia"/>
        </w:rPr>
        <w:t>～</w:t>
      </w:r>
      <w:r>
        <w:t xml:space="preserve">105dB </w:t>
      </w:r>
      <w:r>
        <w:rPr>
          <w:rFonts w:hint="eastAsia"/>
        </w:rPr>
        <w:t>之间。</w:t>
      </w:r>
    </w:p>
    <w:p w14:paraId="52909A8C">
      <w:pPr>
        <w:tabs>
          <w:tab w:val="clear" w:pos="480"/>
        </w:tabs>
        <w:adjustRightInd w:val="0"/>
        <w:snapToGrid w:val="0"/>
        <w:spacing w:line="240" w:lineRule="auto"/>
        <w:ind w:firstLine="0" w:firstLineChars="0"/>
        <w:jc w:val="center"/>
        <w:rPr>
          <w:b/>
          <w:bCs/>
        </w:rPr>
      </w:pPr>
      <w:r>
        <w:rPr>
          <w:rFonts w:hint="eastAsia"/>
          <w:b/>
          <w:bCs/>
        </w:rPr>
        <w:t>表</w:t>
      </w:r>
      <w:r>
        <w:rPr>
          <w:b/>
          <w:bCs/>
        </w:rPr>
        <w:t>4.3</w:t>
      </w:r>
      <w:r>
        <w:rPr>
          <w:rFonts w:hint="eastAsia"/>
          <w:b/>
          <w:bCs/>
        </w:rPr>
        <w:t>-</w:t>
      </w:r>
      <w:r>
        <w:rPr>
          <w:b/>
          <w:bCs/>
        </w:rPr>
        <w:t xml:space="preserve">1 </w:t>
      </w:r>
      <w:r>
        <w:rPr>
          <w:rFonts w:hint="eastAsia"/>
          <w:b/>
          <w:bCs/>
        </w:rPr>
        <w:t>施工期噪声源强一览表</w:t>
      </w:r>
    </w:p>
    <w:tbl>
      <w:tblPr>
        <w:tblStyle w:val="3673"/>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20"/>
        <w:gridCol w:w="2313"/>
        <w:gridCol w:w="2993"/>
        <w:gridCol w:w="2450"/>
      </w:tblGrid>
      <w:tr w14:paraId="59F32F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1085D0AB">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序号</w:t>
            </w:r>
          </w:p>
        </w:tc>
        <w:tc>
          <w:tcPr>
            <w:tcW w:w="1333" w:type="pct"/>
            <w:vAlign w:val="center"/>
          </w:tcPr>
          <w:p w14:paraId="78A2E17F">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机械类型</w:t>
            </w:r>
          </w:p>
        </w:tc>
        <w:tc>
          <w:tcPr>
            <w:tcW w:w="1725" w:type="pct"/>
            <w:vAlign w:val="center"/>
          </w:tcPr>
          <w:p w14:paraId="1BB1B9E1">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zh-CN"/>
              </w:rPr>
            </w:pPr>
            <w:r>
              <w:rPr>
                <w:rFonts w:ascii="Calibri" w:hAnsi="Calibri" w:eastAsia="Times New Roman"/>
                <w:kern w:val="0"/>
                <w:sz w:val="21"/>
                <w:szCs w:val="22"/>
                <w:lang w:eastAsia="zh-CN"/>
              </w:rPr>
              <w:t>测点距施工机械距离（m）</w:t>
            </w:r>
          </w:p>
        </w:tc>
        <w:tc>
          <w:tcPr>
            <w:tcW w:w="1412" w:type="pct"/>
            <w:vAlign w:val="center"/>
          </w:tcPr>
          <w:p w14:paraId="0C34A038">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zh-CN"/>
              </w:rPr>
            </w:pPr>
            <w:r>
              <w:rPr>
                <w:rFonts w:ascii="Calibri" w:hAnsi="Calibri" w:eastAsia="Times New Roman"/>
                <w:kern w:val="0"/>
                <w:sz w:val="21"/>
                <w:szCs w:val="22"/>
                <w:lang w:eastAsia="zh-CN"/>
              </w:rPr>
              <w:t>最大声级Lmax（dB）</w:t>
            </w:r>
          </w:p>
        </w:tc>
      </w:tr>
      <w:tr w14:paraId="2FB65D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6177F30E">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w:t>
            </w:r>
          </w:p>
        </w:tc>
        <w:tc>
          <w:tcPr>
            <w:tcW w:w="1333" w:type="pct"/>
            <w:vAlign w:val="center"/>
          </w:tcPr>
          <w:p w14:paraId="51B454AC">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挖掘机</w:t>
            </w:r>
          </w:p>
        </w:tc>
        <w:tc>
          <w:tcPr>
            <w:tcW w:w="1725" w:type="pct"/>
            <w:vAlign w:val="center"/>
          </w:tcPr>
          <w:p w14:paraId="0E213C9B">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412" w:type="pct"/>
            <w:vAlign w:val="center"/>
          </w:tcPr>
          <w:p w14:paraId="2C1EABED">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87</w:t>
            </w:r>
          </w:p>
        </w:tc>
      </w:tr>
      <w:tr w14:paraId="34A718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02324AEC">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2</w:t>
            </w:r>
          </w:p>
        </w:tc>
        <w:tc>
          <w:tcPr>
            <w:tcW w:w="1333" w:type="pct"/>
            <w:vAlign w:val="center"/>
          </w:tcPr>
          <w:p w14:paraId="5E70EF03">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轮式装载机</w:t>
            </w:r>
          </w:p>
        </w:tc>
        <w:tc>
          <w:tcPr>
            <w:tcW w:w="1725" w:type="pct"/>
            <w:vAlign w:val="center"/>
          </w:tcPr>
          <w:p w14:paraId="2D8E3789">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412" w:type="pct"/>
            <w:vAlign w:val="center"/>
          </w:tcPr>
          <w:p w14:paraId="43F54D66">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90</w:t>
            </w:r>
          </w:p>
        </w:tc>
      </w:tr>
      <w:tr w14:paraId="7D9F74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0967778F">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3</w:t>
            </w:r>
          </w:p>
        </w:tc>
        <w:tc>
          <w:tcPr>
            <w:tcW w:w="1333" w:type="pct"/>
            <w:vAlign w:val="center"/>
          </w:tcPr>
          <w:p w14:paraId="6162517C">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推土机</w:t>
            </w:r>
          </w:p>
        </w:tc>
        <w:tc>
          <w:tcPr>
            <w:tcW w:w="1725" w:type="pct"/>
            <w:vAlign w:val="center"/>
          </w:tcPr>
          <w:p w14:paraId="13DCE627">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412" w:type="pct"/>
            <w:vAlign w:val="center"/>
          </w:tcPr>
          <w:p w14:paraId="1C76336C">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86</w:t>
            </w:r>
          </w:p>
        </w:tc>
      </w:tr>
      <w:tr w14:paraId="1E191E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6936CAD0">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4</w:t>
            </w:r>
          </w:p>
        </w:tc>
        <w:tc>
          <w:tcPr>
            <w:tcW w:w="1333" w:type="pct"/>
            <w:vAlign w:val="center"/>
          </w:tcPr>
          <w:p w14:paraId="760F69A5">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压路机</w:t>
            </w:r>
          </w:p>
        </w:tc>
        <w:tc>
          <w:tcPr>
            <w:tcW w:w="1725" w:type="pct"/>
            <w:vAlign w:val="center"/>
          </w:tcPr>
          <w:p w14:paraId="4854E836">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412" w:type="pct"/>
            <w:vAlign w:val="center"/>
          </w:tcPr>
          <w:p w14:paraId="7C5D3076">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86</w:t>
            </w:r>
          </w:p>
        </w:tc>
      </w:tr>
      <w:tr w14:paraId="00ED50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44BB6802">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333" w:type="pct"/>
            <w:vAlign w:val="center"/>
          </w:tcPr>
          <w:p w14:paraId="6491EA4B">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发电机</w:t>
            </w:r>
          </w:p>
        </w:tc>
        <w:tc>
          <w:tcPr>
            <w:tcW w:w="1725" w:type="pct"/>
            <w:vAlign w:val="center"/>
          </w:tcPr>
          <w:p w14:paraId="4CD629B8">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w:t>
            </w:r>
          </w:p>
        </w:tc>
        <w:tc>
          <w:tcPr>
            <w:tcW w:w="1412" w:type="pct"/>
            <w:vAlign w:val="center"/>
          </w:tcPr>
          <w:p w14:paraId="4F0B55F4">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95</w:t>
            </w:r>
          </w:p>
        </w:tc>
      </w:tr>
      <w:tr w14:paraId="010FE9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2B44760C">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6</w:t>
            </w:r>
          </w:p>
        </w:tc>
        <w:tc>
          <w:tcPr>
            <w:tcW w:w="1333" w:type="pct"/>
            <w:vAlign w:val="center"/>
          </w:tcPr>
          <w:p w14:paraId="7C716793">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卷扬机</w:t>
            </w:r>
          </w:p>
        </w:tc>
        <w:tc>
          <w:tcPr>
            <w:tcW w:w="1725" w:type="pct"/>
            <w:vAlign w:val="center"/>
          </w:tcPr>
          <w:p w14:paraId="259F671B">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412" w:type="pct"/>
            <w:vAlign w:val="center"/>
          </w:tcPr>
          <w:p w14:paraId="6F4339DE">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102</w:t>
            </w:r>
          </w:p>
        </w:tc>
      </w:tr>
      <w:tr w14:paraId="35E351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5A75AE99">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7</w:t>
            </w:r>
          </w:p>
        </w:tc>
        <w:tc>
          <w:tcPr>
            <w:tcW w:w="1333" w:type="pct"/>
            <w:vAlign w:val="center"/>
          </w:tcPr>
          <w:p w14:paraId="6FB800F1">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压缩机</w:t>
            </w:r>
          </w:p>
        </w:tc>
        <w:tc>
          <w:tcPr>
            <w:tcW w:w="1725" w:type="pct"/>
            <w:vAlign w:val="center"/>
          </w:tcPr>
          <w:p w14:paraId="01090F4C">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5</w:t>
            </w:r>
          </w:p>
        </w:tc>
        <w:tc>
          <w:tcPr>
            <w:tcW w:w="1412" w:type="pct"/>
            <w:vAlign w:val="center"/>
          </w:tcPr>
          <w:p w14:paraId="539C7FE5">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102</w:t>
            </w:r>
          </w:p>
        </w:tc>
      </w:tr>
      <w:tr w14:paraId="4D1D70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6CB1007B">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8</w:t>
            </w:r>
          </w:p>
        </w:tc>
        <w:tc>
          <w:tcPr>
            <w:tcW w:w="1333" w:type="pct"/>
            <w:vAlign w:val="center"/>
          </w:tcPr>
          <w:p w14:paraId="5D6C4EAA">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手风钻</w:t>
            </w:r>
          </w:p>
        </w:tc>
        <w:tc>
          <w:tcPr>
            <w:tcW w:w="1725" w:type="pct"/>
            <w:vAlign w:val="center"/>
          </w:tcPr>
          <w:p w14:paraId="1F12C3D3">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w:t>
            </w:r>
          </w:p>
        </w:tc>
        <w:tc>
          <w:tcPr>
            <w:tcW w:w="1412" w:type="pct"/>
            <w:vAlign w:val="center"/>
          </w:tcPr>
          <w:p w14:paraId="2DEF36FE">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105</w:t>
            </w:r>
          </w:p>
        </w:tc>
      </w:tr>
      <w:tr w14:paraId="040322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7D7ABA8E">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9</w:t>
            </w:r>
          </w:p>
        </w:tc>
        <w:tc>
          <w:tcPr>
            <w:tcW w:w="1333" w:type="pct"/>
            <w:vAlign w:val="center"/>
          </w:tcPr>
          <w:p w14:paraId="6853C6C1">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hint="eastAsia" w:ascii="宋体" w:hAnsi="宋体" w:eastAsia="Times New Roman" w:cs="宋体"/>
                <w:kern w:val="0"/>
                <w:sz w:val="21"/>
                <w:szCs w:val="22"/>
                <w:lang w:eastAsia="en-US"/>
              </w:rPr>
              <w:t>吊车</w:t>
            </w:r>
          </w:p>
        </w:tc>
        <w:tc>
          <w:tcPr>
            <w:tcW w:w="1725" w:type="pct"/>
            <w:vAlign w:val="center"/>
          </w:tcPr>
          <w:p w14:paraId="70FCCCFA">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5</w:t>
            </w:r>
          </w:p>
        </w:tc>
        <w:tc>
          <w:tcPr>
            <w:tcW w:w="1412" w:type="pct"/>
            <w:vAlign w:val="center"/>
          </w:tcPr>
          <w:p w14:paraId="2D507E1E">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8</w:t>
            </w:r>
            <w:r>
              <w:rPr>
                <w:rFonts w:ascii="Calibri" w:hAnsi="Calibri" w:eastAsiaTheme="minorEastAsia"/>
                <w:kern w:val="0"/>
                <w:sz w:val="21"/>
                <w:szCs w:val="22"/>
                <w:lang w:eastAsia="en-US"/>
              </w:rPr>
              <w:t>5</w:t>
            </w:r>
          </w:p>
        </w:tc>
      </w:tr>
      <w:tr w14:paraId="16A6D8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07600318">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1</w:t>
            </w:r>
            <w:r>
              <w:rPr>
                <w:rFonts w:ascii="Calibri" w:hAnsi="Calibri" w:eastAsiaTheme="minorEastAsia"/>
                <w:kern w:val="0"/>
                <w:sz w:val="21"/>
                <w:szCs w:val="22"/>
                <w:lang w:eastAsia="en-US"/>
              </w:rPr>
              <w:t>0</w:t>
            </w:r>
          </w:p>
        </w:tc>
        <w:tc>
          <w:tcPr>
            <w:tcW w:w="1333" w:type="pct"/>
            <w:vAlign w:val="center"/>
          </w:tcPr>
          <w:p w14:paraId="09636226">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hint="eastAsia" w:ascii="宋体" w:hAnsi="宋体" w:eastAsia="Times New Roman" w:cs="宋体"/>
                <w:kern w:val="0"/>
                <w:sz w:val="21"/>
                <w:szCs w:val="22"/>
                <w:lang w:eastAsia="en-US"/>
              </w:rPr>
              <w:t>叶片运输车</w:t>
            </w:r>
          </w:p>
        </w:tc>
        <w:tc>
          <w:tcPr>
            <w:tcW w:w="1725" w:type="pct"/>
            <w:vAlign w:val="center"/>
          </w:tcPr>
          <w:p w14:paraId="44B908A6">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5</w:t>
            </w:r>
          </w:p>
        </w:tc>
        <w:tc>
          <w:tcPr>
            <w:tcW w:w="1412" w:type="pct"/>
            <w:vAlign w:val="center"/>
          </w:tcPr>
          <w:p w14:paraId="098D8EAA">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9</w:t>
            </w:r>
            <w:r>
              <w:rPr>
                <w:rFonts w:ascii="Calibri" w:hAnsi="Calibri" w:eastAsiaTheme="minorEastAsia"/>
                <w:kern w:val="0"/>
                <w:sz w:val="21"/>
                <w:szCs w:val="22"/>
                <w:lang w:eastAsia="en-US"/>
              </w:rPr>
              <w:t>0</w:t>
            </w:r>
          </w:p>
        </w:tc>
      </w:tr>
      <w:tr w14:paraId="668BC5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19D5A15B">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1</w:t>
            </w:r>
            <w:r>
              <w:rPr>
                <w:rFonts w:ascii="Calibri" w:hAnsi="Calibri" w:eastAsiaTheme="minorEastAsia"/>
                <w:kern w:val="0"/>
                <w:sz w:val="21"/>
                <w:szCs w:val="22"/>
                <w:lang w:eastAsia="en-US"/>
              </w:rPr>
              <w:t>1</w:t>
            </w:r>
          </w:p>
        </w:tc>
        <w:tc>
          <w:tcPr>
            <w:tcW w:w="1333" w:type="pct"/>
            <w:vAlign w:val="center"/>
          </w:tcPr>
          <w:p w14:paraId="339BD99B">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hint="eastAsia" w:ascii="宋体" w:hAnsi="宋体" w:eastAsia="Times New Roman" w:cs="宋体"/>
                <w:kern w:val="0"/>
                <w:sz w:val="21"/>
                <w:szCs w:val="22"/>
                <w:lang w:eastAsia="en-US"/>
              </w:rPr>
              <w:t>拖车</w:t>
            </w:r>
          </w:p>
        </w:tc>
        <w:tc>
          <w:tcPr>
            <w:tcW w:w="1725" w:type="pct"/>
            <w:vAlign w:val="center"/>
          </w:tcPr>
          <w:p w14:paraId="7CF7D5F6">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5</w:t>
            </w:r>
          </w:p>
        </w:tc>
        <w:tc>
          <w:tcPr>
            <w:tcW w:w="1412" w:type="pct"/>
            <w:vAlign w:val="center"/>
          </w:tcPr>
          <w:p w14:paraId="4AD84995">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8</w:t>
            </w:r>
            <w:r>
              <w:rPr>
                <w:rFonts w:ascii="Calibri" w:hAnsi="Calibri" w:eastAsiaTheme="minorEastAsia"/>
                <w:kern w:val="0"/>
                <w:sz w:val="21"/>
                <w:szCs w:val="22"/>
                <w:lang w:eastAsia="en-US"/>
              </w:rPr>
              <w:t>5</w:t>
            </w:r>
          </w:p>
        </w:tc>
      </w:tr>
      <w:tr w14:paraId="4558A1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0" w:type="pct"/>
            <w:vAlign w:val="center"/>
          </w:tcPr>
          <w:p w14:paraId="1B32052E">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1</w:t>
            </w:r>
            <w:r>
              <w:rPr>
                <w:rFonts w:ascii="Calibri" w:hAnsi="Calibri" w:eastAsiaTheme="minorEastAsia"/>
                <w:kern w:val="0"/>
                <w:sz w:val="21"/>
                <w:szCs w:val="22"/>
                <w:lang w:eastAsia="en-US"/>
              </w:rPr>
              <w:t>2</w:t>
            </w:r>
          </w:p>
        </w:tc>
        <w:tc>
          <w:tcPr>
            <w:tcW w:w="1333" w:type="pct"/>
            <w:vAlign w:val="center"/>
          </w:tcPr>
          <w:p w14:paraId="68FD660A">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hint="eastAsia" w:ascii="宋体" w:hAnsi="宋体" w:eastAsia="Times New Roman" w:cs="宋体"/>
                <w:kern w:val="0"/>
                <w:sz w:val="21"/>
                <w:szCs w:val="22"/>
                <w:lang w:eastAsia="en-US"/>
              </w:rPr>
              <w:t>混凝土搅拌车</w:t>
            </w:r>
          </w:p>
        </w:tc>
        <w:tc>
          <w:tcPr>
            <w:tcW w:w="1725" w:type="pct"/>
            <w:vAlign w:val="center"/>
          </w:tcPr>
          <w:p w14:paraId="5C406D8A">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5</w:t>
            </w:r>
          </w:p>
        </w:tc>
        <w:tc>
          <w:tcPr>
            <w:tcW w:w="1412" w:type="pct"/>
            <w:vAlign w:val="center"/>
          </w:tcPr>
          <w:p w14:paraId="2EB73428">
            <w:pPr>
              <w:tabs>
                <w:tab w:val="clear" w:pos="480"/>
              </w:tabs>
              <w:autoSpaceDE w:val="0"/>
              <w:autoSpaceDN w:val="0"/>
              <w:adjustRightInd w:val="0"/>
              <w:snapToGrid w:val="0"/>
              <w:spacing w:line="240" w:lineRule="auto"/>
              <w:ind w:firstLine="0" w:firstLineChars="0"/>
              <w:jc w:val="center"/>
              <w:rPr>
                <w:rFonts w:ascii="Calibri" w:hAnsi="Calibri" w:eastAsiaTheme="minorEastAsia"/>
                <w:kern w:val="0"/>
                <w:sz w:val="21"/>
                <w:szCs w:val="22"/>
                <w:lang w:eastAsia="en-US"/>
              </w:rPr>
            </w:pPr>
            <w:r>
              <w:rPr>
                <w:rFonts w:hint="eastAsia" w:ascii="Calibri" w:hAnsi="Calibri" w:eastAsiaTheme="minorEastAsia"/>
                <w:kern w:val="0"/>
                <w:sz w:val="21"/>
                <w:szCs w:val="22"/>
                <w:lang w:eastAsia="en-US"/>
              </w:rPr>
              <w:t>8</w:t>
            </w:r>
            <w:r>
              <w:rPr>
                <w:rFonts w:ascii="Calibri" w:hAnsi="Calibri" w:eastAsiaTheme="minorEastAsia"/>
                <w:kern w:val="0"/>
                <w:sz w:val="21"/>
                <w:szCs w:val="22"/>
                <w:lang w:eastAsia="en-US"/>
              </w:rPr>
              <w:t>5</w:t>
            </w:r>
          </w:p>
        </w:tc>
      </w:tr>
    </w:tbl>
    <w:p w14:paraId="74262962">
      <w:pPr>
        <w:tabs>
          <w:tab w:val="clear" w:pos="480"/>
        </w:tabs>
        <w:adjustRightInd w:val="0"/>
        <w:snapToGrid w:val="0"/>
        <w:ind w:firstLine="480"/>
      </w:pPr>
      <w:r>
        <w:rPr>
          <w:rFonts w:hint="eastAsia"/>
        </w:rPr>
        <w:t>（</w:t>
      </w:r>
      <w:r>
        <w:t>2</w:t>
      </w:r>
      <w:r>
        <w:rPr>
          <w:rFonts w:hint="eastAsia"/>
        </w:rPr>
        <w:t>）交通运输噪声</w:t>
      </w:r>
    </w:p>
    <w:p w14:paraId="770E9C5E">
      <w:pPr>
        <w:tabs>
          <w:tab w:val="clear" w:pos="480"/>
        </w:tabs>
        <w:adjustRightInd w:val="0"/>
        <w:snapToGrid w:val="0"/>
        <w:ind w:firstLine="480"/>
      </w:pPr>
      <w:r>
        <w:rPr>
          <w:rFonts w:hint="eastAsia"/>
        </w:rPr>
        <w:t>交通运输噪声来自自卸汽车等运输，属于流动噪声源，主要运输车辆噪声源强见下表。</w:t>
      </w:r>
    </w:p>
    <w:p w14:paraId="0691C773">
      <w:pPr>
        <w:tabs>
          <w:tab w:val="clear" w:pos="480"/>
        </w:tabs>
        <w:adjustRightInd w:val="0"/>
        <w:snapToGrid w:val="0"/>
        <w:spacing w:line="240" w:lineRule="auto"/>
        <w:ind w:firstLine="0" w:firstLineChars="0"/>
        <w:jc w:val="center"/>
        <w:rPr>
          <w:b/>
          <w:bCs/>
        </w:rPr>
      </w:pPr>
      <w:r>
        <w:rPr>
          <w:rFonts w:hint="eastAsia"/>
          <w:b/>
          <w:bCs/>
        </w:rPr>
        <w:t>表4</w:t>
      </w:r>
      <w:r>
        <w:rPr>
          <w:b/>
          <w:bCs/>
        </w:rPr>
        <w:t>.3</w:t>
      </w:r>
      <w:r>
        <w:rPr>
          <w:rFonts w:hint="eastAsia"/>
          <w:b/>
          <w:bCs/>
        </w:rPr>
        <w:t>-</w:t>
      </w:r>
      <w:r>
        <w:rPr>
          <w:b/>
          <w:bCs/>
        </w:rPr>
        <w:t xml:space="preserve">2  </w:t>
      </w:r>
      <w:r>
        <w:rPr>
          <w:rFonts w:hint="eastAsia"/>
          <w:b/>
          <w:bCs/>
        </w:rPr>
        <w:t>本项目施工运输车辆噪声源强一览表</w:t>
      </w:r>
    </w:p>
    <w:tbl>
      <w:tblPr>
        <w:tblStyle w:val="3674"/>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55"/>
        <w:gridCol w:w="3019"/>
        <w:gridCol w:w="2902"/>
      </w:tblGrid>
      <w:tr w14:paraId="50CBB5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8" w:type="pct"/>
            <w:vAlign w:val="center"/>
          </w:tcPr>
          <w:p w14:paraId="219D3FA6">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序号</w:t>
            </w:r>
          </w:p>
        </w:tc>
        <w:tc>
          <w:tcPr>
            <w:tcW w:w="1740" w:type="pct"/>
            <w:vAlign w:val="center"/>
          </w:tcPr>
          <w:p w14:paraId="289F97FA">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车辆</w:t>
            </w:r>
          </w:p>
        </w:tc>
        <w:tc>
          <w:tcPr>
            <w:tcW w:w="1672" w:type="pct"/>
            <w:vAlign w:val="center"/>
          </w:tcPr>
          <w:p w14:paraId="0D960F0A">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声级dB（A）</w:t>
            </w:r>
          </w:p>
        </w:tc>
      </w:tr>
      <w:tr w14:paraId="46B8A6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8" w:type="pct"/>
            <w:vAlign w:val="center"/>
          </w:tcPr>
          <w:p w14:paraId="31FD9755">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1</w:t>
            </w:r>
          </w:p>
        </w:tc>
        <w:tc>
          <w:tcPr>
            <w:tcW w:w="1740" w:type="pct"/>
            <w:vAlign w:val="center"/>
          </w:tcPr>
          <w:p w14:paraId="68A37071">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大型载重车</w:t>
            </w:r>
          </w:p>
        </w:tc>
        <w:tc>
          <w:tcPr>
            <w:tcW w:w="1672" w:type="pct"/>
            <w:vAlign w:val="center"/>
          </w:tcPr>
          <w:p w14:paraId="611D93B6">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90</w:t>
            </w:r>
          </w:p>
        </w:tc>
      </w:tr>
      <w:tr w14:paraId="3865E0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8" w:type="pct"/>
            <w:vAlign w:val="center"/>
          </w:tcPr>
          <w:p w14:paraId="34CCE0BF">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2</w:t>
            </w:r>
          </w:p>
        </w:tc>
        <w:tc>
          <w:tcPr>
            <w:tcW w:w="1740" w:type="pct"/>
            <w:vAlign w:val="center"/>
          </w:tcPr>
          <w:p w14:paraId="32D6E0A5">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混凝土罐车</w:t>
            </w:r>
          </w:p>
        </w:tc>
        <w:tc>
          <w:tcPr>
            <w:tcW w:w="1672" w:type="pct"/>
            <w:vAlign w:val="center"/>
          </w:tcPr>
          <w:p w14:paraId="7874EAF0">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80～85</w:t>
            </w:r>
          </w:p>
        </w:tc>
      </w:tr>
      <w:tr w14:paraId="5F75AE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88" w:type="pct"/>
            <w:vAlign w:val="center"/>
          </w:tcPr>
          <w:p w14:paraId="3765CDCF">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3</w:t>
            </w:r>
          </w:p>
        </w:tc>
        <w:tc>
          <w:tcPr>
            <w:tcW w:w="1740" w:type="pct"/>
            <w:vAlign w:val="center"/>
          </w:tcPr>
          <w:p w14:paraId="57954694">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轻型载重卡车</w:t>
            </w:r>
          </w:p>
        </w:tc>
        <w:tc>
          <w:tcPr>
            <w:tcW w:w="1672" w:type="pct"/>
            <w:vAlign w:val="center"/>
          </w:tcPr>
          <w:p w14:paraId="14C18771">
            <w:pPr>
              <w:tabs>
                <w:tab w:val="clear" w:pos="480"/>
              </w:tabs>
              <w:autoSpaceDE w:val="0"/>
              <w:autoSpaceDN w:val="0"/>
              <w:adjustRightInd w:val="0"/>
              <w:snapToGrid w:val="0"/>
              <w:spacing w:line="240" w:lineRule="auto"/>
              <w:ind w:firstLine="0" w:firstLineChars="0"/>
              <w:jc w:val="center"/>
              <w:rPr>
                <w:rFonts w:ascii="Calibri" w:hAnsi="Calibri" w:eastAsia="Times New Roman"/>
                <w:kern w:val="0"/>
                <w:sz w:val="21"/>
                <w:szCs w:val="22"/>
                <w:lang w:eastAsia="en-US"/>
              </w:rPr>
            </w:pPr>
            <w:r>
              <w:rPr>
                <w:rFonts w:ascii="Calibri" w:hAnsi="Calibri" w:eastAsia="Times New Roman"/>
                <w:kern w:val="0"/>
                <w:sz w:val="21"/>
                <w:szCs w:val="22"/>
                <w:lang w:eastAsia="en-US"/>
              </w:rPr>
              <w:t>75</w:t>
            </w:r>
          </w:p>
        </w:tc>
      </w:tr>
    </w:tbl>
    <w:p w14:paraId="40A8C48D">
      <w:pPr>
        <w:adjustRightInd w:val="0"/>
        <w:snapToGrid w:val="0"/>
        <w:ind w:firstLine="480"/>
      </w:pPr>
      <w:r>
        <w:rPr>
          <w:rFonts w:hint="eastAsia"/>
        </w:rPr>
        <w:t>（3）爆破噪声</w:t>
      </w:r>
    </w:p>
    <w:p w14:paraId="25892FE3">
      <w:pPr>
        <w:adjustRightInd w:val="0"/>
        <w:snapToGrid w:val="0"/>
        <w:ind w:firstLine="480"/>
      </w:pPr>
      <w:r>
        <w:rPr>
          <w:rFonts w:hint="eastAsia"/>
        </w:rPr>
        <w:t>本项目建设区域位于山区，在风机基础、道路施工时将采取必要的爆破作业，本项目爆破作业委托有爆破施工资质的单位进行。施工期爆破作业会产生高噪声、振动、飞石以及爆破废气等影响。爆破噪声属于瞬时噪声源，噪声强度可达</w:t>
      </w:r>
      <w:r>
        <w:t>130dB(A)</w:t>
      </w:r>
      <w:r>
        <w:rPr>
          <w:rFonts w:hint="eastAsia"/>
        </w:rPr>
        <w:t>～</w:t>
      </w:r>
      <w:r>
        <w:t>140dB(A)</w:t>
      </w:r>
      <w:r>
        <w:rPr>
          <w:rFonts w:hint="eastAsia"/>
        </w:rPr>
        <w:t>，其频率较高、传播距离远，按噪声距离衰减公式计算，经</w:t>
      </w:r>
      <w:r>
        <w:t>500m</w:t>
      </w:r>
      <w:r>
        <w:rPr>
          <w:rFonts w:hint="eastAsia"/>
        </w:rPr>
        <w:t>衰减后强度仍达</w:t>
      </w:r>
      <w:r>
        <w:t>86dB(A)</w:t>
      </w:r>
      <w:r>
        <w:rPr>
          <w:rFonts w:hint="eastAsia"/>
        </w:rPr>
        <w:t>。</w:t>
      </w:r>
    </w:p>
    <w:p w14:paraId="1AFEE910">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4.3.1.4</w:t>
      </w:r>
      <w:r>
        <w:rPr>
          <w:rFonts w:hint="eastAsia" w:ascii="Times New Roman" w:eastAsia="宋体"/>
          <w:sz w:val="24"/>
          <w:szCs w:val="24"/>
        </w:rPr>
        <w:t>固体废物</w:t>
      </w:r>
    </w:p>
    <w:p w14:paraId="403FDD3C">
      <w:pPr>
        <w:adjustRightInd w:val="0"/>
        <w:snapToGrid w:val="0"/>
        <w:ind w:firstLine="480"/>
      </w:pPr>
      <w:r>
        <w:rPr>
          <w:rFonts w:hint="eastAsia"/>
        </w:rPr>
        <w:t>本项目施工期产生的固体废物包括施工弃渣和施工人员生活垃圾以及施工废水沉淀池沉渣。</w:t>
      </w:r>
    </w:p>
    <w:p w14:paraId="6D171924">
      <w:pPr>
        <w:adjustRightInd w:val="0"/>
        <w:snapToGrid w:val="0"/>
        <w:ind w:firstLine="480"/>
      </w:pPr>
      <w:r>
        <w:fldChar w:fldCharType="begin"/>
      </w:r>
      <w:r>
        <w:instrText xml:space="preserve"> = 1 \* GB3 </w:instrText>
      </w:r>
      <w:r>
        <w:fldChar w:fldCharType="separate"/>
      </w:r>
      <w:r>
        <w:rPr>
          <w:rFonts w:hint="eastAsia"/>
        </w:rPr>
        <w:t>①</w:t>
      </w:r>
      <w:r>
        <w:fldChar w:fldCharType="end"/>
      </w:r>
      <w:r>
        <w:rPr>
          <w:rFonts w:hint="eastAsia"/>
        </w:rPr>
        <w:t>施工弃渣</w:t>
      </w:r>
    </w:p>
    <w:p w14:paraId="2A2C6BD2">
      <w:pPr>
        <w:adjustRightInd w:val="0"/>
        <w:snapToGrid w:val="0"/>
        <w:ind w:firstLine="480"/>
      </w:pPr>
      <w:r>
        <w:rPr>
          <w:rFonts w:hint="eastAsia"/>
        </w:rPr>
        <w:t>风电施工弃渣来自于土石方开挖，基本上属无毒害的天然风化物，其影响主要是占压土地、影响自然景观、临时改变土地的使用功能等。本项目土石方工程主要包括风机基础施工、风电机组吊装、施工检修道路工程、集电线路工程等。经计算，项目土石方开挖总量为87.68万</w:t>
      </w:r>
      <w:r>
        <w:t>m³</w:t>
      </w:r>
      <w:r>
        <w:rPr>
          <w:rFonts w:hint="eastAsia"/>
        </w:rPr>
        <w:t>，回填总量71.23万</w:t>
      </w:r>
      <w:r>
        <w:t>m³</w:t>
      </w:r>
      <w:r>
        <w:rPr>
          <w:rFonts w:hint="eastAsia"/>
        </w:rPr>
        <w:t>，弃渣总量16.45万</w:t>
      </w:r>
      <w:r>
        <w:t>m³</w:t>
      </w:r>
      <w:r>
        <w:rPr>
          <w:rFonts w:hint="eastAsia"/>
        </w:rPr>
        <w:t>。根据风电场范围所处位置的地形、风机布置及道路布置情况综合考虑，在风电场沿道路一侧的低洼地带设置8个弃渣场，总面积共计约为</w:t>
      </w:r>
      <w:r>
        <w:t>5.0hm</w:t>
      </w:r>
      <w:r>
        <w:rPr>
          <w:vertAlign w:val="superscript"/>
        </w:rPr>
        <w:t>2</w:t>
      </w:r>
      <w:r>
        <w:rPr>
          <w:rFonts w:hint="eastAsia"/>
        </w:rPr>
        <w:t>。</w:t>
      </w:r>
    </w:p>
    <w:p w14:paraId="053126F1">
      <w:pPr>
        <w:adjustRightInd w:val="0"/>
        <w:snapToGrid w:val="0"/>
        <w:ind w:firstLine="480"/>
      </w:pPr>
      <w:r>
        <w:fldChar w:fldCharType="begin"/>
      </w:r>
      <w:r>
        <w:instrText xml:space="preserve"> = 2 \* GB3 </w:instrText>
      </w:r>
      <w:r>
        <w:fldChar w:fldCharType="separate"/>
      </w:r>
      <w:r>
        <w:rPr>
          <w:rFonts w:hint="eastAsia"/>
        </w:rPr>
        <w:t>②</w:t>
      </w:r>
      <w:r>
        <w:fldChar w:fldCharType="end"/>
      </w:r>
      <w:r>
        <w:rPr>
          <w:rFonts w:hint="eastAsia"/>
        </w:rPr>
        <w:t>生活垃圾</w:t>
      </w:r>
    </w:p>
    <w:p w14:paraId="49AFA240">
      <w:pPr>
        <w:adjustRightInd w:val="0"/>
        <w:snapToGrid w:val="0"/>
        <w:ind w:firstLine="480"/>
      </w:pPr>
      <w:r>
        <w:rPr>
          <w:rFonts w:hint="eastAsia"/>
        </w:rPr>
        <w:t>施工期高峰人数达</w:t>
      </w:r>
      <w:r>
        <w:t>160</w:t>
      </w:r>
      <w:r>
        <w:rPr>
          <w:rFonts w:hint="eastAsia"/>
        </w:rPr>
        <w:t>人</w:t>
      </w:r>
      <w:r>
        <w:t>/d</w:t>
      </w:r>
      <w:r>
        <w:rPr>
          <w:rFonts w:hint="eastAsia"/>
        </w:rPr>
        <w:t>，生活垃圾按</w:t>
      </w:r>
      <w:r>
        <w:t>0.5kg/</w:t>
      </w:r>
      <w:r>
        <w:rPr>
          <w:rFonts w:hint="eastAsia"/>
        </w:rPr>
        <w:t>人</w:t>
      </w:r>
      <w:r>
        <w:t>·d</w:t>
      </w:r>
      <w:r>
        <w:rPr>
          <w:rFonts w:hint="eastAsia"/>
        </w:rPr>
        <w:t>计，则施工期产生生活垃圾</w:t>
      </w:r>
      <w:r>
        <w:t>80kg/d</w:t>
      </w:r>
      <w:r>
        <w:rPr>
          <w:rFonts w:hint="eastAsia"/>
        </w:rPr>
        <w:t>。施工人员生活垃圾若不妥善处理，一方面将破坏周围自然环境，另一方面可能成为苍蝇、蚊虫</w:t>
      </w:r>
      <w:r>
        <w:rPr>
          <w:rFonts w:hint="eastAsia"/>
          <w:lang w:eastAsia="zh-CN"/>
        </w:rPr>
        <w:t>孳生</w:t>
      </w:r>
      <w:r>
        <w:rPr>
          <w:rFonts w:hint="eastAsia"/>
        </w:rPr>
        <w:t>、致病以及细菌的繁衍、鼠类的肆虐场所。</w:t>
      </w:r>
    </w:p>
    <w:p w14:paraId="71F03BA7">
      <w:pPr>
        <w:adjustRightInd w:val="0"/>
        <w:snapToGrid w:val="0"/>
        <w:ind w:firstLine="480"/>
      </w:pPr>
      <w:r>
        <w:fldChar w:fldCharType="begin"/>
      </w:r>
      <w:r>
        <w:instrText xml:space="preserve"> = 3 \* GB3 </w:instrText>
      </w:r>
      <w:r>
        <w:fldChar w:fldCharType="separate"/>
      </w:r>
      <w:r>
        <w:rPr>
          <w:rFonts w:hint="eastAsia"/>
        </w:rPr>
        <w:t>③</w:t>
      </w:r>
      <w:r>
        <w:fldChar w:fldCharType="end"/>
      </w:r>
      <w:r>
        <w:rPr>
          <w:rFonts w:hint="eastAsia"/>
        </w:rPr>
        <w:t>沉淀池沉渣</w:t>
      </w:r>
    </w:p>
    <w:p w14:paraId="282D5DAC">
      <w:pPr>
        <w:adjustRightInd w:val="0"/>
        <w:snapToGrid w:val="0"/>
        <w:ind w:firstLine="480"/>
      </w:pPr>
      <w:r>
        <w:rPr>
          <w:rFonts w:hint="eastAsia"/>
        </w:rPr>
        <w:t>施工场地、机械设备及运输车辆冲洗废水均使用沉淀池进行处理，沉淀池沉渣定期清理，产生量较少，根据施工废水量估算，施工期沉淀池沉渣产生量约</w:t>
      </w:r>
      <w:r>
        <w:t>6t</w:t>
      </w:r>
      <w:r>
        <w:rPr>
          <w:rFonts w:hint="eastAsia"/>
        </w:rPr>
        <w:t>，运往项目弃渣场处置。</w:t>
      </w:r>
    </w:p>
    <w:p w14:paraId="6F6F4774">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4.3.1.5</w:t>
      </w:r>
      <w:r>
        <w:rPr>
          <w:rFonts w:hint="eastAsia" w:ascii="Times New Roman" w:eastAsia="宋体"/>
          <w:sz w:val="24"/>
          <w:szCs w:val="24"/>
        </w:rPr>
        <w:t>施工期生态环境</w:t>
      </w:r>
    </w:p>
    <w:p w14:paraId="1B152148">
      <w:pPr>
        <w:adjustRightInd w:val="0"/>
        <w:snapToGrid w:val="0"/>
        <w:ind w:firstLine="480"/>
      </w:pPr>
      <w:r>
        <w:rPr>
          <w:rFonts w:hint="eastAsia"/>
        </w:rPr>
        <w:t>施工期影响生态环境的因素主要是工程占地改变土地利用类型和对动植物、景观、生物多样性等的影响。</w:t>
      </w:r>
    </w:p>
    <w:p w14:paraId="14AA8F9D">
      <w:pPr>
        <w:adjustRightInd w:val="0"/>
        <w:snapToGrid w:val="0"/>
        <w:ind w:firstLine="480"/>
      </w:pPr>
      <w:r>
        <w:rPr>
          <w:rFonts w:hint="eastAsia"/>
        </w:rPr>
        <w:t>（</w:t>
      </w:r>
      <w:r>
        <w:t>1</w:t>
      </w:r>
      <w:r>
        <w:rPr>
          <w:rFonts w:hint="eastAsia"/>
        </w:rPr>
        <w:t>）对土壤环境的影响</w:t>
      </w:r>
    </w:p>
    <w:p w14:paraId="6E54464F">
      <w:pPr>
        <w:adjustRightInd w:val="0"/>
        <w:snapToGrid w:val="0"/>
        <w:ind w:firstLine="480"/>
      </w:pPr>
      <w:r>
        <w:rPr>
          <w:rFonts w:hint="eastAsia"/>
        </w:rPr>
        <w:t>施工将要在工程范围内的土地上对各个风机塔位进行基坑开挖、基础浇筑、等作业活动，对土壤环境的影响较明显。施工期的道路修筑、风力发电机组、升压站等基础建设用地均为永久占地，永久占地将会使土地失去原有的功能。对土壤的影响主要表现在改变土壤结构、影响土壤紧实度、引起水土流失等。</w:t>
      </w:r>
    </w:p>
    <w:p w14:paraId="321A4175">
      <w:pPr>
        <w:adjustRightInd w:val="0"/>
        <w:snapToGrid w:val="0"/>
        <w:ind w:firstLine="480"/>
      </w:pPr>
      <w:r>
        <w:rPr>
          <w:rFonts w:hint="eastAsia"/>
        </w:rPr>
        <w:t>（</w:t>
      </w:r>
      <w:r>
        <w:t>2</w:t>
      </w:r>
      <w:r>
        <w:rPr>
          <w:rFonts w:hint="eastAsia"/>
        </w:rPr>
        <w:t>）对植物的影响</w:t>
      </w:r>
    </w:p>
    <w:p w14:paraId="344DE99D">
      <w:pPr>
        <w:adjustRightInd w:val="0"/>
        <w:snapToGrid w:val="0"/>
        <w:ind w:firstLine="480"/>
      </w:pPr>
      <w:r>
        <w:rPr>
          <w:rFonts w:hint="eastAsia"/>
        </w:rPr>
        <w:t>施工期对植被的影响主要表现在车辆、施工机械和施工人员在施工过程清除、碾压和践踏植被以及工程永久占地铲除植被等。工程施工期的道路施工及临时占地将会对周边植的破坏较为明显，这种破坏通常范围广，从山脚至山顶处均有不同程度的体现。受影响的植被类型大部分为本区域常见种，临时占地其作用时间较短，破坏的植被恢复的可能性较大。</w:t>
      </w:r>
    </w:p>
    <w:p w14:paraId="2C080A26">
      <w:pPr>
        <w:adjustRightInd w:val="0"/>
        <w:snapToGrid w:val="0"/>
        <w:ind w:firstLine="480"/>
      </w:pPr>
      <w:r>
        <w:rPr>
          <w:rFonts w:hint="eastAsia"/>
        </w:rPr>
        <w:t>（</w:t>
      </w:r>
      <w:r>
        <w:t>3</w:t>
      </w:r>
      <w:r>
        <w:rPr>
          <w:rFonts w:hint="eastAsia"/>
        </w:rPr>
        <w:t>）对动物的影响</w:t>
      </w:r>
    </w:p>
    <w:p w14:paraId="4B7A0CAD">
      <w:pPr>
        <w:adjustRightInd w:val="0"/>
        <w:snapToGrid w:val="0"/>
        <w:ind w:firstLine="480"/>
      </w:pPr>
      <w:r>
        <w:rPr>
          <w:rFonts w:hint="eastAsia"/>
        </w:rPr>
        <w:t>工程施工阶段将强烈扰动地表，从而形成对本区域的陆生动物兽类、鸟类、爬行类等的产生惊扰影响，工程运输车辆及大型施工机械产生的噪声也会影响到周围野生动物的栖息、活动和分布，受到影响的动物将采取躲避对策，施工期的上述影响是可以降低、减少、有的是可避免的，如合理的走向选择、合理的施工时间和施工方式，可避免、减少、降低对陆生动物兽类、鸟类、爬行类等栖息地侵占及的惊扰影响。</w:t>
      </w:r>
    </w:p>
    <w:p w14:paraId="24451D85">
      <w:pPr>
        <w:adjustRightInd w:val="0"/>
        <w:snapToGrid w:val="0"/>
        <w:ind w:firstLine="480"/>
      </w:pPr>
      <w:r>
        <w:rPr>
          <w:rFonts w:hint="eastAsia"/>
        </w:rPr>
        <w:t>（</w:t>
      </w:r>
      <w:r>
        <w:t>4</w:t>
      </w:r>
      <w:r>
        <w:rPr>
          <w:rFonts w:hint="eastAsia"/>
        </w:rPr>
        <w:t>）对农业的影响</w:t>
      </w:r>
    </w:p>
    <w:p w14:paraId="0A8A3489">
      <w:pPr>
        <w:adjustRightInd w:val="0"/>
        <w:snapToGrid w:val="0"/>
        <w:ind w:firstLine="480"/>
      </w:pPr>
      <w:r>
        <w:rPr>
          <w:rFonts w:hint="eastAsia"/>
        </w:rPr>
        <w:t>工程对农业生态系统影响主要为临时占地对植物及植被的影响，本项目不占用农业生态系统。在施工过程中要注意文明施工，缩小工作面。</w:t>
      </w:r>
    </w:p>
    <w:p w14:paraId="730E2E9A">
      <w:pPr>
        <w:adjustRightInd w:val="0"/>
        <w:snapToGrid w:val="0"/>
        <w:ind w:firstLine="480"/>
      </w:pPr>
      <w:r>
        <w:rPr>
          <w:rFonts w:hint="eastAsia"/>
        </w:rPr>
        <w:t>（</w:t>
      </w:r>
      <w:r>
        <w:t>5</w:t>
      </w:r>
      <w:r>
        <w:rPr>
          <w:rFonts w:hint="eastAsia"/>
        </w:rPr>
        <w:t>）对生物多样性的影响</w:t>
      </w:r>
    </w:p>
    <w:p w14:paraId="021ECB0D">
      <w:pPr>
        <w:adjustRightInd w:val="0"/>
        <w:snapToGrid w:val="0"/>
        <w:ind w:firstLine="480"/>
      </w:pPr>
      <w:r>
        <w:rPr>
          <w:rFonts w:hint="eastAsia"/>
        </w:rPr>
        <w:t>根据调查占地范围的</w:t>
      </w:r>
      <w:r>
        <w:rPr>
          <w:rFonts w:hint="eastAsia"/>
          <w:lang w:eastAsia="zh-CN"/>
        </w:rPr>
        <w:t>环境</w:t>
      </w:r>
      <w:r>
        <w:rPr>
          <w:rFonts w:hint="eastAsia"/>
        </w:rPr>
        <w:t>与周边生态环境相似，且项目建成后不会造成物种在区域内消失，对整个区域的生物多样性影响小。</w:t>
      </w:r>
    </w:p>
    <w:p w14:paraId="726063FF">
      <w:pPr>
        <w:adjustRightInd w:val="0"/>
        <w:snapToGrid w:val="0"/>
        <w:ind w:firstLine="480"/>
      </w:pPr>
      <w:r>
        <w:rPr>
          <w:rFonts w:hint="eastAsia"/>
        </w:rPr>
        <w:t>（</w:t>
      </w:r>
      <w:r>
        <w:t>6</w:t>
      </w:r>
      <w:r>
        <w:rPr>
          <w:rFonts w:hint="eastAsia"/>
        </w:rPr>
        <w:t>）对景观的影响</w:t>
      </w:r>
    </w:p>
    <w:p w14:paraId="76E92945">
      <w:pPr>
        <w:adjustRightInd w:val="0"/>
        <w:snapToGrid w:val="0"/>
        <w:ind w:firstLine="480"/>
      </w:pPr>
      <w:r>
        <w:rPr>
          <w:rFonts w:hint="eastAsia"/>
        </w:rPr>
        <w:t>风电场建成后，安装的</w:t>
      </w:r>
      <w:r>
        <w:t>10</w:t>
      </w:r>
      <w:r>
        <w:rPr>
          <w:rFonts w:hint="eastAsia"/>
        </w:rPr>
        <w:t>台风电机组组合在一起可以构成一个非常独特的人文景观，这种人文景观具有群体性、可观赏性，使人们可观赏壮观的风机群。</w:t>
      </w:r>
    </w:p>
    <w:p w14:paraId="69E121BE">
      <w:pPr>
        <w:adjustRightInd w:val="0"/>
        <w:snapToGrid w:val="0"/>
        <w:ind w:firstLine="480"/>
      </w:pPr>
      <w:r>
        <w:rPr>
          <w:rFonts w:hint="eastAsia"/>
        </w:rPr>
        <w:t>但施工期间，道路修筑、施工机械碾压及基础开挖等活动，将损坏原有地表植被，重塑地形地貌，形成裸露地表，导致水土流失，破坏生态环境和原区域自然景观的协调性，短期内会降低景观的质量与稳定性，但这些影响具有短暂性和局部性。因此，工程施工前，应收集占地范围内的原有草皮集中堆放，并定期养护；施工过程中尽量保护好原有的自然植被，施工完毕后，对景观相对敏感区域内优先铺种原有草皮，尽量缩短观景恢复时间，保证其拥有的景观价值不降低，工程完工后必须恢复植被等。为塑造好风电工程区风电建筑人文景观与自然景观和谐统一的秀美景观，建议下阶段进一步从建筑物的高度、风格、造型、色彩等方面优化设计，使人工景观与周围景观色调保持协调、一致。</w:t>
      </w:r>
    </w:p>
    <w:p w14:paraId="7CD86297">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4.3.2</w:t>
      </w:r>
      <w:r>
        <w:rPr>
          <w:rFonts w:hint="eastAsia" w:ascii="Times New Roman" w:eastAsia="宋体"/>
          <w:sz w:val="28"/>
          <w:szCs w:val="28"/>
          <w:lang w:val="en-US"/>
        </w:rPr>
        <w:t>运营期污染源分析</w:t>
      </w:r>
    </w:p>
    <w:p w14:paraId="144B42A1">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4.3.2.1</w:t>
      </w:r>
      <w:r>
        <w:rPr>
          <w:rFonts w:hint="eastAsia" w:ascii="Times New Roman" w:eastAsia="宋体"/>
          <w:sz w:val="24"/>
          <w:szCs w:val="24"/>
        </w:rPr>
        <w:t>废气</w:t>
      </w:r>
    </w:p>
    <w:p w14:paraId="2647D310">
      <w:pPr>
        <w:adjustRightInd w:val="0"/>
        <w:snapToGrid w:val="0"/>
        <w:ind w:firstLine="480"/>
      </w:pPr>
      <w:r>
        <w:rPr>
          <w:rFonts w:hint="eastAsia"/>
        </w:rPr>
        <w:t>风电场运行期间大气污染源主要为食堂产生的餐饮油烟，项目运营期间全场职工人数为</w:t>
      </w:r>
      <w:r>
        <w:t>10</w:t>
      </w:r>
      <w:r>
        <w:rPr>
          <w:rFonts w:hint="eastAsia"/>
        </w:rPr>
        <w:t>人，由于本项目升压站就餐人数少，其产生的餐饮油烟量少，食堂油烟通过油烟净化装置处理后达标排放，对周围环境影响较小。</w:t>
      </w:r>
    </w:p>
    <w:p w14:paraId="2C78C59C">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4.3.2.2</w:t>
      </w:r>
      <w:r>
        <w:rPr>
          <w:rFonts w:hint="eastAsia" w:ascii="Times New Roman" w:eastAsia="宋体"/>
          <w:sz w:val="24"/>
          <w:szCs w:val="24"/>
        </w:rPr>
        <w:t>废水</w:t>
      </w:r>
    </w:p>
    <w:p w14:paraId="3041BF60">
      <w:pPr>
        <w:adjustRightInd w:val="0"/>
        <w:snapToGrid w:val="0"/>
        <w:ind w:firstLine="480"/>
      </w:pPr>
      <w:r>
        <w:rPr>
          <w:rFonts w:hint="eastAsia"/>
        </w:rPr>
        <w:t>（1）生产废水</w:t>
      </w:r>
    </w:p>
    <w:p w14:paraId="65578736">
      <w:pPr>
        <w:adjustRightInd w:val="0"/>
        <w:snapToGrid w:val="0"/>
        <w:ind w:firstLine="480"/>
      </w:pPr>
      <w:r>
        <w:t>运营期的生产废水主要是主变压器检修或发生事故时泄漏的含油废水。本项目设置一座110kV升压站，升压站对主变压器设置了排油槽和事故油池，当检修或发生事故泄漏时排出的油全部收回，不外排。废油集中收集后委托有资质单位进行处置，不会对周边环境产生污染。</w:t>
      </w:r>
    </w:p>
    <w:p w14:paraId="69EB0B71">
      <w:pPr>
        <w:adjustRightInd w:val="0"/>
        <w:snapToGrid w:val="0"/>
        <w:ind w:firstLine="480"/>
      </w:pPr>
      <w:r>
        <w:rPr>
          <w:rFonts w:hint="eastAsia"/>
        </w:rPr>
        <w:t>（</w:t>
      </w:r>
      <w:r>
        <w:t>2</w:t>
      </w:r>
      <w:r>
        <w:rPr>
          <w:rFonts w:hint="eastAsia"/>
        </w:rPr>
        <w:t>）生活污水</w:t>
      </w:r>
    </w:p>
    <w:p w14:paraId="7922CC4F">
      <w:pPr>
        <w:adjustRightInd w:val="0"/>
        <w:snapToGrid w:val="0"/>
        <w:ind w:firstLine="480"/>
      </w:pPr>
      <w:r>
        <w:rPr>
          <w:rFonts w:hint="eastAsia"/>
        </w:rPr>
        <w:t>生活污水：风电场运行期污水主要是管理人员的生活污水，包括食堂废水、粪便污水、洗涤污水、淋浴污水等。工程运行期升压站站定员标准为</w:t>
      </w:r>
      <w:r>
        <w:t>10</w:t>
      </w:r>
      <w:r>
        <w:rPr>
          <w:rFonts w:hint="eastAsia"/>
        </w:rPr>
        <w:t>人，其用水量按照</w:t>
      </w:r>
      <w:r>
        <w:t>150L/d·</w:t>
      </w:r>
      <w:r>
        <w:rPr>
          <w:rFonts w:hint="eastAsia"/>
        </w:rPr>
        <w:t>人，用水量约</w:t>
      </w:r>
      <w:r>
        <w:t>1.5m</w:t>
      </w:r>
      <w:r>
        <w:rPr>
          <w:vertAlign w:val="superscript"/>
        </w:rPr>
        <w:t>3</w:t>
      </w:r>
      <w:r>
        <w:t>/d</w:t>
      </w:r>
      <w:r>
        <w:rPr>
          <w:rFonts w:hint="eastAsia"/>
        </w:rPr>
        <w:t>。污水量取用水量的</w:t>
      </w:r>
      <w:r>
        <w:t>80%</w:t>
      </w:r>
      <w:r>
        <w:rPr>
          <w:rFonts w:hint="eastAsia"/>
        </w:rPr>
        <w:t>，则运行期生活污水日排放量约为</w:t>
      </w:r>
      <w:r>
        <w:t>1.2m</w:t>
      </w:r>
      <w:r>
        <w:rPr>
          <w:vertAlign w:val="superscript"/>
        </w:rPr>
        <w:t>3</w:t>
      </w:r>
      <w:r>
        <w:t>/d</w:t>
      </w:r>
      <w:r>
        <w:rPr>
          <w:rFonts w:hint="eastAsia"/>
        </w:rPr>
        <w:t>，排放量较小。生活污水特征污染物有</w:t>
      </w:r>
      <w:r>
        <w:t>BOD5</w:t>
      </w:r>
      <w:r>
        <w:rPr>
          <w:rFonts w:hint="eastAsia"/>
        </w:rPr>
        <w:t>、</w:t>
      </w:r>
      <w:r>
        <w:t>COD</w:t>
      </w:r>
      <w:r>
        <w:rPr>
          <w:rFonts w:hint="eastAsia"/>
        </w:rPr>
        <w:t>、</w:t>
      </w:r>
      <w:r>
        <w:t>SS</w:t>
      </w:r>
      <w:r>
        <w:rPr>
          <w:rFonts w:hint="eastAsia"/>
        </w:rPr>
        <w:t>和氨氮，浓度分别为</w:t>
      </w:r>
      <w:r>
        <w:t>150mg/L</w:t>
      </w:r>
      <w:r>
        <w:rPr>
          <w:rFonts w:hint="eastAsia"/>
        </w:rPr>
        <w:t>、</w:t>
      </w:r>
      <w:r>
        <w:t>250mg/L</w:t>
      </w:r>
      <w:r>
        <w:rPr>
          <w:rFonts w:hint="eastAsia"/>
        </w:rPr>
        <w:t>、</w:t>
      </w:r>
      <w:r>
        <w:t>200mg/L</w:t>
      </w:r>
      <w:r>
        <w:rPr>
          <w:rFonts w:hint="eastAsia"/>
        </w:rPr>
        <w:t>、</w:t>
      </w:r>
      <w:r>
        <w:t>25mg/L</w:t>
      </w:r>
      <w:r>
        <w:rPr>
          <w:rFonts w:hint="eastAsia"/>
        </w:rPr>
        <w:t>。生活污水经厂区一体化污水处理设施处理满足《污水综合排放标准》（G</w:t>
      </w:r>
      <w:r>
        <w:t>B8978-1996</w:t>
      </w:r>
      <w:r>
        <w:rPr>
          <w:rFonts w:hint="eastAsia"/>
        </w:rPr>
        <w:t>）表4中“一级”标准后全部回用于升压站周边绿化，不外排。</w:t>
      </w:r>
    </w:p>
    <w:p w14:paraId="4704DFDF">
      <w:pPr>
        <w:tabs>
          <w:tab w:val="clear" w:pos="480"/>
        </w:tabs>
        <w:adjustRightInd w:val="0"/>
        <w:snapToGrid w:val="0"/>
        <w:spacing w:line="240" w:lineRule="auto"/>
        <w:ind w:firstLine="0" w:firstLineChars="0"/>
        <w:jc w:val="center"/>
        <w:rPr>
          <w:b/>
          <w:bCs/>
        </w:rPr>
      </w:pPr>
      <w:r>
        <w:rPr>
          <w:b/>
          <w:bCs/>
        </w:rPr>
        <w:t>表4.3-3 项目生活污水水污染物产排情况一览表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17"/>
        <w:gridCol w:w="1615"/>
        <w:gridCol w:w="1430"/>
        <w:gridCol w:w="1432"/>
        <w:gridCol w:w="1432"/>
        <w:gridCol w:w="1436"/>
      </w:tblGrid>
      <w:tr w14:paraId="28549C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Align w:val="center"/>
          </w:tcPr>
          <w:p w14:paraId="210D3A84">
            <w:pPr>
              <w:tabs>
                <w:tab w:val="clear" w:pos="480"/>
              </w:tabs>
              <w:autoSpaceDE w:val="0"/>
              <w:autoSpaceDN w:val="0"/>
              <w:adjustRightInd w:val="0"/>
              <w:snapToGrid w:val="0"/>
              <w:spacing w:line="240" w:lineRule="auto"/>
              <w:ind w:firstLine="0" w:firstLineChars="0"/>
              <w:jc w:val="center"/>
              <w:rPr>
                <w:sz w:val="18"/>
                <w:szCs w:val="18"/>
              </w:rPr>
            </w:pPr>
            <w:r>
              <w:rPr>
                <w:sz w:val="18"/>
                <w:szCs w:val="18"/>
              </w:rPr>
              <w:t>废水类型</w:t>
            </w:r>
          </w:p>
        </w:tc>
        <w:tc>
          <w:tcPr>
            <w:tcW w:w="911" w:type="pct"/>
            <w:vAlign w:val="center"/>
          </w:tcPr>
          <w:p w14:paraId="138A9EE4">
            <w:pPr>
              <w:tabs>
                <w:tab w:val="clear" w:pos="480"/>
              </w:tabs>
              <w:autoSpaceDE w:val="0"/>
              <w:autoSpaceDN w:val="0"/>
              <w:adjustRightInd w:val="0"/>
              <w:snapToGrid w:val="0"/>
              <w:spacing w:line="240" w:lineRule="auto"/>
              <w:ind w:firstLine="0" w:firstLineChars="0"/>
              <w:jc w:val="center"/>
              <w:rPr>
                <w:sz w:val="18"/>
                <w:szCs w:val="18"/>
              </w:rPr>
            </w:pPr>
            <w:r>
              <w:rPr>
                <w:sz w:val="18"/>
                <w:szCs w:val="18"/>
              </w:rPr>
              <w:t>污染物</w:t>
            </w:r>
          </w:p>
        </w:tc>
        <w:tc>
          <w:tcPr>
            <w:tcW w:w="807" w:type="pct"/>
            <w:vAlign w:val="center"/>
          </w:tcPr>
          <w:p w14:paraId="47FE4880">
            <w:pPr>
              <w:tabs>
                <w:tab w:val="clear" w:pos="480"/>
              </w:tabs>
              <w:autoSpaceDE w:val="0"/>
              <w:autoSpaceDN w:val="0"/>
              <w:adjustRightInd w:val="0"/>
              <w:snapToGrid w:val="0"/>
              <w:spacing w:line="240" w:lineRule="auto"/>
              <w:ind w:firstLine="0" w:firstLineChars="0"/>
              <w:jc w:val="center"/>
              <w:rPr>
                <w:sz w:val="18"/>
                <w:szCs w:val="18"/>
              </w:rPr>
            </w:pPr>
            <w:r>
              <w:rPr>
                <w:sz w:val="18"/>
                <w:szCs w:val="18"/>
              </w:rPr>
              <w:t>COD</w:t>
            </w:r>
          </w:p>
        </w:tc>
        <w:tc>
          <w:tcPr>
            <w:tcW w:w="808" w:type="pct"/>
            <w:vAlign w:val="center"/>
          </w:tcPr>
          <w:p w14:paraId="01302EC5">
            <w:pPr>
              <w:tabs>
                <w:tab w:val="clear" w:pos="480"/>
              </w:tabs>
              <w:autoSpaceDE w:val="0"/>
              <w:autoSpaceDN w:val="0"/>
              <w:adjustRightInd w:val="0"/>
              <w:snapToGrid w:val="0"/>
              <w:spacing w:line="240" w:lineRule="auto"/>
              <w:ind w:firstLine="0" w:firstLineChars="0"/>
              <w:jc w:val="center"/>
              <w:rPr>
                <w:sz w:val="18"/>
                <w:szCs w:val="18"/>
              </w:rPr>
            </w:pPr>
            <w:r>
              <w:rPr>
                <w:sz w:val="18"/>
                <w:szCs w:val="18"/>
              </w:rPr>
              <w:t>BOD</w:t>
            </w:r>
            <w:r>
              <w:rPr>
                <w:sz w:val="18"/>
                <w:szCs w:val="18"/>
                <w:vertAlign w:val="subscript"/>
              </w:rPr>
              <w:t>5</w:t>
            </w:r>
          </w:p>
        </w:tc>
        <w:tc>
          <w:tcPr>
            <w:tcW w:w="808" w:type="pct"/>
            <w:vAlign w:val="center"/>
          </w:tcPr>
          <w:p w14:paraId="307EEDFF">
            <w:pPr>
              <w:tabs>
                <w:tab w:val="clear" w:pos="480"/>
              </w:tabs>
              <w:autoSpaceDE w:val="0"/>
              <w:autoSpaceDN w:val="0"/>
              <w:adjustRightInd w:val="0"/>
              <w:snapToGrid w:val="0"/>
              <w:spacing w:line="240" w:lineRule="auto"/>
              <w:ind w:firstLine="0" w:firstLineChars="0"/>
              <w:jc w:val="center"/>
              <w:rPr>
                <w:sz w:val="18"/>
                <w:szCs w:val="18"/>
              </w:rPr>
            </w:pPr>
            <w:r>
              <w:rPr>
                <w:sz w:val="18"/>
                <w:szCs w:val="18"/>
              </w:rPr>
              <w:t>SS</w:t>
            </w:r>
          </w:p>
        </w:tc>
        <w:tc>
          <w:tcPr>
            <w:tcW w:w="809" w:type="pct"/>
            <w:vAlign w:val="center"/>
          </w:tcPr>
          <w:p w14:paraId="107D0C7C">
            <w:pPr>
              <w:tabs>
                <w:tab w:val="clear" w:pos="480"/>
              </w:tabs>
              <w:autoSpaceDE w:val="0"/>
              <w:autoSpaceDN w:val="0"/>
              <w:adjustRightInd w:val="0"/>
              <w:snapToGrid w:val="0"/>
              <w:spacing w:line="240" w:lineRule="auto"/>
              <w:ind w:firstLine="0" w:firstLineChars="0"/>
              <w:jc w:val="center"/>
              <w:rPr>
                <w:sz w:val="18"/>
                <w:szCs w:val="18"/>
              </w:rPr>
            </w:pPr>
            <w:r>
              <w:rPr>
                <w:sz w:val="18"/>
                <w:szCs w:val="18"/>
              </w:rPr>
              <w:t>氨氮</w:t>
            </w:r>
          </w:p>
        </w:tc>
      </w:tr>
      <w:tr w14:paraId="243AD4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Merge w:val="restart"/>
            <w:vAlign w:val="center"/>
          </w:tcPr>
          <w:p w14:paraId="51065820">
            <w:pPr>
              <w:tabs>
                <w:tab w:val="clear" w:pos="480"/>
              </w:tabs>
              <w:autoSpaceDE w:val="0"/>
              <w:autoSpaceDN w:val="0"/>
              <w:adjustRightInd w:val="0"/>
              <w:snapToGrid w:val="0"/>
              <w:spacing w:line="240" w:lineRule="auto"/>
              <w:ind w:firstLine="0" w:firstLineChars="0"/>
              <w:jc w:val="center"/>
              <w:rPr>
                <w:sz w:val="18"/>
                <w:szCs w:val="18"/>
              </w:rPr>
            </w:pPr>
            <w:r>
              <w:rPr>
                <w:sz w:val="18"/>
                <w:szCs w:val="18"/>
              </w:rPr>
              <w:t>生活污水</w:t>
            </w:r>
          </w:p>
          <w:p w14:paraId="7B6F9ABA">
            <w:pPr>
              <w:tabs>
                <w:tab w:val="clear" w:pos="480"/>
              </w:tabs>
              <w:autoSpaceDE w:val="0"/>
              <w:autoSpaceDN w:val="0"/>
              <w:adjustRightInd w:val="0"/>
              <w:snapToGrid w:val="0"/>
              <w:spacing w:line="240" w:lineRule="auto"/>
              <w:ind w:firstLine="0" w:firstLineChars="0"/>
              <w:jc w:val="center"/>
              <w:rPr>
                <w:sz w:val="18"/>
                <w:szCs w:val="18"/>
              </w:rPr>
            </w:pPr>
            <w:r>
              <w:rPr>
                <w:sz w:val="18"/>
                <w:szCs w:val="18"/>
              </w:rPr>
              <w:t>（438m</w:t>
            </w:r>
            <w:r>
              <w:rPr>
                <w:sz w:val="18"/>
                <w:szCs w:val="18"/>
                <w:vertAlign w:val="superscript"/>
              </w:rPr>
              <w:t>3</w:t>
            </w:r>
            <w:r>
              <w:rPr>
                <w:sz w:val="18"/>
                <w:szCs w:val="18"/>
              </w:rPr>
              <w:t>/a）</w:t>
            </w:r>
          </w:p>
        </w:tc>
        <w:tc>
          <w:tcPr>
            <w:tcW w:w="911" w:type="pct"/>
            <w:vAlign w:val="center"/>
          </w:tcPr>
          <w:p w14:paraId="038FC4AA">
            <w:pPr>
              <w:tabs>
                <w:tab w:val="clear" w:pos="480"/>
              </w:tabs>
              <w:autoSpaceDE w:val="0"/>
              <w:autoSpaceDN w:val="0"/>
              <w:adjustRightInd w:val="0"/>
              <w:snapToGrid w:val="0"/>
              <w:spacing w:line="240" w:lineRule="auto"/>
              <w:ind w:firstLine="0" w:firstLineChars="0"/>
              <w:jc w:val="center"/>
              <w:rPr>
                <w:sz w:val="18"/>
                <w:szCs w:val="18"/>
              </w:rPr>
            </w:pPr>
            <w:r>
              <w:rPr>
                <w:sz w:val="18"/>
                <w:szCs w:val="18"/>
              </w:rPr>
              <w:t>产生浓度（mg/L）</w:t>
            </w:r>
          </w:p>
        </w:tc>
        <w:tc>
          <w:tcPr>
            <w:tcW w:w="807" w:type="pct"/>
            <w:vAlign w:val="center"/>
          </w:tcPr>
          <w:p w14:paraId="3D78613C">
            <w:pPr>
              <w:tabs>
                <w:tab w:val="clear" w:pos="480"/>
              </w:tabs>
              <w:autoSpaceDE w:val="0"/>
              <w:autoSpaceDN w:val="0"/>
              <w:adjustRightInd w:val="0"/>
              <w:snapToGrid w:val="0"/>
              <w:spacing w:line="240" w:lineRule="auto"/>
              <w:ind w:firstLine="0" w:firstLineChars="0"/>
              <w:jc w:val="center"/>
              <w:rPr>
                <w:sz w:val="18"/>
                <w:szCs w:val="18"/>
              </w:rPr>
            </w:pPr>
            <w:r>
              <w:rPr>
                <w:sz w:val="18"/>
                <w:szCs w:val="18"/>
              </w:rPr>
              <w:t>250</w:t>
            </w:r>
          </w:p>
        </w:tc>
        <w:tc>
          <w:tcPr>
            <w:tcW w:w="808" w:type="pct"/>
            <w:vAlign w:val="center"/>
          </w:tcPr>
          <w:p w14:paraId="4E370C78">
            <w:pPr>
              <w:tabs>
                <w:tab w:val="clear" w:pos="480"/>
              </w:tabs>
              <w:autoSpaceDE w:val="0"/>
              <w:autoSpaceDN w:val="0"/>
              <w:adjustRightInd w:val="0"/>
              <w:snapToGrid w:val="0"/>
              <w:spacing w:line="240" w:lineRule="auto"/>
              <w:ind w:firstLine="0" w:firstLineChars="0"/>
              <w:jc w:val="center"/>
              <w:rPr>
                <w:sz w:val="18"/>
                <w:szCs w:val="18"/>
              </w:rPr>
            </w:pPr>
            <w:r>
              <w:rPr>
                <w:sz w:val="18"/>
                <w:szCs w:val="18"/>
              </w:rPr>
              <w:t>150</w:t>
            </w:r>
          </w:p>
        </w:tc>
        <w:tc>
          <w:tcPr>
            <w:tcW w:w="808" w:type="pct"/>
            <w:vAlign w:val="center"/>
          </w:tcPr>
          <w:p w14:paraId="30E630FC">
            <w:pPr>
              <w:tabs>
                <w:tab w:val="clear" w:pos="480"/>
              </w:tabs>
              <w:autoSpaceDE w:val="0"/>
              <w:autoSpaceDN w:val="0"/>
              <w:adjustRightInd w:val="0"/>
              <w:snapToGrid w:val="0"/>
              <w:spacing w:line="240" w:lineRule="auto"/>
              <w:ind w:firstLine="0" w:firstLineChars="0"/>
              <w:jc w:val="center"/>
              <w:rPr>
                <w:sz w:val="18"/>
                <w:szCs w:val="18"/>
              </w:rPr>
            </w:pPr>
            <w:r>
              <w:rPr>
                <w:sz w:val="18"/>
                <w:szCs w:val="18"/>
              </w:rPr>
              <w:t>150</w:t>
            </w:r>
          </w:p>
        </w:tc>
        <w:tc>
          <w:tcPr>
            <w:tcW w:w="809" w:type="pct"/>
            <w:vAlign w:val="center"/>
          </w:tcPr>
          <w:p w14:paraId="09F201C7">
            <w:pPr>
              <w:tabs>
                <w:tab w:val="clear" w:pos="480"/>
              </w:tabs>
              <w:autoSpaceDE w:val="0"/>
              <w:autoSpaceDN w:val="0"/>
              <w:adjustRightInd w:val="0"/>
              <w:snapToGrid w:val="0"/>
              <w:spacing w:line="240" w:lineRule="auto"/>
              <w:ind w:firstLine="0" w:firstLineChars="0"/>
              <w:jc w:val="center"/>
              <w:rPr>
                <w:sz w:val="18"/>
                <w:szCs w:val="18"/>
              </w:rPr>
            </w:pPr>
            <w:r>
              <w:rPr>
                <w:sz w:val="18"/>
                <w:szCs w:val="18"/>
              </w:rPr>
              <w:t>25</w:t>
            </w:r>
          </w:p>
        </w:tc>
      </w:tr>
      <w:tr w14:paraId="555D6C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Merge w:val="continue"/>
            <w:vAlign w:val="center"/>
          </w:tcPr>
          <w:p w14:paraId="7FFE098C">
            <w:pPr>
              <w:tabs>
                <w:tab w:val="clear" w:pos="480"/>
              </w:tabs>
              <w:autoSpaceDE w:val="0"/>
              <w:autoSpaceDN w:val="0"/>
              <w:adjustRightInd w:val="0"/>
              <w:snapToGrid w:val="0"/>
              <w:spacing w:line="240" w:lineRule="auto"/>
              <w:ind w:firstLine="0" w:firstLineChars="0"/>
              <w:jc w:val="center"/>
              <w:rPr>
                <w:sz w:val="18"/>
                <w:szCs w:val="18"/>
              </w:rPr>
            </w:pPr>
          </w:p>
        </w:tc>
        <w:tc>
          <w:tcPr>
            <w:tcW w:w="911" w:type="pct"/>
            <w:vAlign w:val="center"/>
          </w:tcPr>
          <w:p w14:paraId="4FC1471B">
            <w:pPr>
              <w:tabs>
                <w:tab w:val="clear" w:pos="480"/>
              </w:tabs>
              <w:autoSpaceDE w:val="0"/>
              <w:autoSpaceDN w:val="0"/>
              <w:adjustRightInd w:val="0"/>
              <w:snapToGrid w:val="0"/>
              <w:spacing w:line="240" w:lineRule="auto"/>
              <w:ind w:firstLine="0" w:firstLineChars="0"/>
              <w:jc w:val="center"/>
              <w:rPr>
                <w:sz w:val="18"/>
                <w:szCs w:val="18"/>
              </w:rPr>
            </w:pPr>
            <w:r>
              <w:rPr>
                <w:sz w:val="18"/>
                <w:szCs w:val="18"/>
              </w:rPr>
              <w:t>产生量（t/a）</w:t>
            </w:r>
          </w:p>
        </w:tc>
        <w:tc>
          <w:tcPr>
            <w:tcW w:w="807" w:type="pct"/>
            <w:vAlign w:val="center"/>
          </w:tcPr>
          <w:p w14:paraId="44D1AB67">
            <w:pPr>
              <w:tabs>
                <w:tab w:val="clear" w:pos="480"/>
              </w:tabs>
              <w:autoSpaceDE w:val="0"/>
              <w:autoSpaceDN w:val="0"/>
              <w:adjustRightInd w:val="0"/>
              <w:snapToGrid w:val="0"/>
              <w:spacing w:line="240" w:lineRule="auto"/>
              <w:ind w:firstLine="0" w:firstLineChars="0"/>
              <w:jc w:val="center"/>
              <w:rPr>
                <w:sz w:val="18"/>
                <w:szCs w:val="18"/>
              </w:rPr>
            </w:pPr>
            <w:r>
              <w:rPr>
                <w:sz w:val="18"/>
                <w:szCs w:val="18"/>
              </w:rPr>
              <w:t>0.110</w:t>
            </w:r>
          </w:p>
        </w:tc>
        <w:tc>
          <w:tcPr>
            <w:tcW w:w="808" w:type="pct"/>
            <w:vAlign w:val="center"/>
          </w:tcPr>
          <w:p w14:paraId="3AA96B08">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0.066</w:t>
            </w:r>
          </w:p>
        </w:tc>
        <w:tc>
          <w:tcPr>
            <w:tcW w:w="808" w:type="pct"/>
            <w:vAlign w:val="center"/>
          </w:tcPr>
          <w:p w14:paraId="107BD8DE">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0.066</w:t>
            </w:r>
          </w:p>
        </w:tc>
        <w:tc>
          <w:tcPr>
            <w:tcW w:w="809" w:type="pct"/>
            <w:vAlign w:val="center"/>
          </w:tcPr>
          <w:p w14:paraId="7A3B70A5">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0.011</w:t>
            </w:r>
          </w:p>
        </w:tc>
      </w:tr>
      <w:tr w14:paraId="009267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Merge w:val="continue"/>
            <w:vAlign w:val="center"/>
          </w:tcPr>
          <w:p w14:paraId="7C141B4E">
            <w:pPr>
              <w:tabs>
                <w:tab w:val="clear" w:pos="480"/>
              </w:tabs>
              <w:autoSpaceDE w:val="0"/>
              <w:autoSpaceDN w:val="0"/>
              <w:adjustRightInd w:val="0"/>
              <w:snapToGrid w:val="0"/>
              <w:spacing w:line="240" w:lineRule="auto"/>
              <w:ind w:firstLine="0" w:firstLineChars="0"/>
              <w:jc w:val="center"/>
              <w:rPr>
                <w:sz w:val="18"/>
                <w:szCs w:val="18"/>
              </w:rPr>
            </w:pPr>
          </w:p>
        </w:tc>
        <w:tc>
          <w:tcPr>
            <w:tcW w:w="911" w:type="pct"/>
            <w:vAlign w:val="center"/>
          </w:tcPr>
          <w:p w14:paraId="2A687D84">
            <w:pPr>
              <w:tabs>
                <w:tab w:val="clear" w:pos="480"/>
              </w:tabs>
              <w:autoSpaceDE w:val="0"/>
              <w:autoSpaceDN w:val="0"/>
              <w:adjustRightInd w:val="0"/>
              <w:snapToGrid w:val="0"/>
              <w:spacing w:line="240" w:lineRule="auto"/>
              <w:ind w:firstLine="0" w:firstLineChars="0"/>
              <w:jc w:val="center"/>
              <w:rPr>
                <w:sz w:val="18"/>
                <w:szCs w:val="18"/>
              </w:rPr>
            </w:pPr>
            <w:r>
              <w:rPr>
                <w:sz w:val="18"/>
                <w:szCs w:val="18"/>
              </w:rPr>
              <w:t>治理措施</w:t>
            </w:r>
          </w:p>
        </w:tc>
        <w:tc>
          <w:tcPr>
            <w:tcW w:w="3233" w:type="pct"/>
            <w:gridSpan w:val="4"/>
            <w:vAlign w:val="center"/>
          </w:tcPr>
          <w:p w14:paraId="05A4064D">
            <w:pPr>
              <w:tabs>
                <w:tab w:val="clear" w:pos="480"/>
              </w:tabs>
              <w:autoSpaceDE w:val="0"/>
              <w:autoSpaceDN w:val="0"/>
              <w:adjustRightInd w:val="0"/>
              <w:snapToGrid w:val="0"/>
              <w:spacing w:line="240" w:lineRule="auto"/>
              <w:ind w:firstLine="0" w:firstLineChars="0"/>
              <w:jc w:val="center"/>
              <w:rPr>
                <w:sz w:val="18"/>
                <w:szCs w:val="18"/>
              </w:rPr>
            </w:pPr>
            <w:r>
              <w:rPr>
                <w:sz w:val="18"/>
                <w:szCs w:val="18"/>
              </w:rPr>
              <w:t>一体化污水处理设施</w:t>
            </w:r>
          </w:p>
        </w:tc>
      </w:tr>
      <w:tr w14:paraId="1AC4F9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Merge w:val="continue"/>
            <w:vAlign w:val="center"/>
          </w:tcPr>
          <w:p w14:paraId="0B8D13D3">
            <w:pPr>
              <w:tabs>
                <w:tab w:val="clear" w:pos="480"/>
              </w:tabs>
              <w:autoSpaceDE w:val="0"/>
              <w:autoSpaceDN w:val="0"/>
              <w:adjustRightInd w:val="0"/>
              <w:snapToGrid w:val="0"/>
              <w:spacing w:line="240" w:lineRule="auto"/>
              <w:ind w:firstLine="0" w:firstLineChars="0"/>
              <w:jc w:val="center"/>
              <w:rPr>
                <w:sz w:val="18"/>
                <w:szCs w:val="18"/>
              </w:rPr>
            </w:pPr>
          </w:p>
        </w:tc>
        <w:tc>
          <w:tcPr>
            <w:tcW w:w="911" w:type="pct"/>
            <w:vAlign w:val="center"/>
          </w:tcPr>
          <w:p w14:paraId="3E3E3D67">
            <w:pPr>
              <w:tabs>
                <w:tab w:val="clear" w:pos="480"/>
              </w:tabs>
              <w:autoSpaceDE w:val="0"/>
              <w:autoSpaceDN w:val="0"/>
              <w:adjustRightInd w:val="0"/>
              <w:snapToGrid w:val="0"/>
              <w:spacing w:line="240" w:lineRule="auto"/>
              <w:ind w:firstLine="0" w:firstLineChars="0"/>
              <w:jc w:val="center"/>
              <w:rPr>
                <w:sz w:val="18"/>
                <w:szCs w:val="18"/>
              </w:rPr>
            </w:pPr>
            <w:r>
              <w:rPr>
                <w:sz w:val="18"/>
                <w:szCs w:val="18"/>
              </w:rPr>
              <w:t>去除效率（%）</w:t>
            </w:r>
          </w:p>
        </w:tc>
        <w:tc>
          <w:tcPr>
            <w:tcW w:w="807" w:type="pct"/>
            <w:vAlign w:val="center"/>
          </w:tcPr>
          <w:p w14:paraId="74C65CCA">
            <w:pPr>
              <w:tabs>
                <w:tab w:val="clear" w:pos="480"/>
              </w:tabs>
              <w:autoSpaceDE w:val="0"/>
              <w:autoSpaceDN w:val="0"/>
              <w:adjustRightInd w:val="0"/>
              <w:snapToGrid w:val="0"/>
              <w:spacing w:line="240" w:lineRule="auto"/>
              <w:ind w:firstLine="0" w:firstLineChars="0"/>
              <w:jc w:val="center"/>
              <w:rPr>
                <w:sz w:val="18"/>
                <w:szCs w:val="18"/>
              </w:rPr>
            </w:pPr>
            <w:r>
              <w:rPr>
                <w:sz w:val="18"/>
                <w:szCs w:val="18"/>
              </w:rPr>
              <w:t>76.00</w:t>
            </w:r>
          </w:p>
        </w:tc>
        <w:tc>
          <w:tcPr>
            <w:tcW w:w="808" w:type="pct"/>
            <w:vAlign w:val="center"/>
          </w:tcPr>
          <w:p w14:paraId="78E294BC">
            <w:pPr>
              <w:tabs>
                <w:tab w:val="clear" w:pos="480"/>
              </w:tabs>
              <w:autoSpaceDE w:val="0"/>
              <w:autoSpaceDN w:val="0"/>
              <w:adjustRightInd w:val="0"/>
              <w:snapToGrid w:val="0"/>
              <w:spacing w:line="240" w:lineRule="auto"/>
              <w:ind w:firstLine="0" w:firstLineChars="0"/>
              <w:jc w:val="center"/>
              <w:rPr>
                <w:sz w:val="18"/>
                <w:szCs w:val="18"/>
              </w:rPr>
            </w:pPr>
            <w:r>
              <w:rPr>
                <w:sz w:val="18"/>
                <w:szCs w:val="18"/>
              </w:rPr>
              <w:t>86.67</w:t>
            </w:r>
          </w:p>
        </w:tc>
        <w:tc>
          <w:tcPr>
            <w:tcW w:w="808" w:type="pct"/>
            <w:vAlign w:val="center"/>
          </w:tcPr>
          <w:p w14:paraId="2770EB1B">
            <w:pPr>
              <w:tabs>
                <w:tab w:val="clear" w:pos="480"/>
              </w:tabs>
              <w:autoSpaceDE w:val="0"/>
              <w:autoSpaceDN w:val="0"/>
              <w:adjustRightInd w:val="0"/>
              <w:snapToGrid w:val="0"/>
              <w:spacing w:line="240" w:lineRule="auto"/>
              <w:ind w:firstLine="0" w:firstLineChars="0"/>
              <w:jc w:val="center"/>
              <w:rPr>
                <w:sz w:val="18"/>
                <w:szCs w:val="18"/>
              </w:rPr>
            </w:pPr>
            <w:r>
              <w:rPr>
                <w:sz w:val="18"/>
                <w:szCs w:val="18"/>
              </w:rPr>
              <w:t>53.33</w:t>
            </w:r>
          </w:p>
        </w:tc>
        <w:tc>
          <w:tcPr>
            <w:tcW w:w="809" w:type="pct"/>
            <w:vAlign w:val="center"/>
          </w:tcPr>
          <w:p w14:paraId="31F8398F">
            <w:pPr>
              <w:tabs>
                <w:tab w:val="clear" w:pos="480"/>
              </w:tabs>
              <w:autoSpaceDE w:val="0"/>
              <w:autoSpaceDN w:val="0"/>
              <w:adjustRightInd w:val="0"/>
              <w:snapToGrid w:val="0"/>
              <w:spacing w:line="240" w:lineRule="auto"/>
              <w:ind w:firstLine="0" w:firstLineChars="0"/>
              <w:jc w:val="center"/>
              <w:rPr>
                <w:sz w:val="18"/>
                <w:szCs w:val="18"/>
              </w:rPr>
            </w:pPr>
            <w:r>
              <w:rPr>
                <w:sz w:val="18"/>
                <w:szCs w:val="18"/>
              </w:rPr>
              <w:t>40.00</w:t>
            </w:r>
          </w:p>
        </w:tc>
      </w:tr>
      <w:tr w14:paraId="13A7FA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Merge w:val="continue"/>
            <w:vAlign w:val="center"/>
          </w:tcPr>
          <w:p w14:paraId="1195C965">
            <w:pPr>
              <w:tabs>
                <w:tab w:val="clear" w:pos="480"/>
              </w:tabs>
              <w:autoSpaceDE w:val="0"/>
              <w:autoSpaceDN w:val="0"/>
              <w:adjustRightInd w:val="0"/>
              <w:snapToGrid w:val="0"/>
              <w:spacing w:line="240" w:lineRule="auto"/>
              <w:ind w:firstLine="0" w:firstLineChars="0"/>
              <w:jc w:val="center"/>
              <w:rPr>
                <w:sz w:val="18"/>
                <w:szCs w:val="18"/>
              </w:rPr>
            </w:pPr>
          </w:p>
        </w:tc>
        <w:tc>
          <w:tcPr>
            <w:tcW w:w="911" w:type="pct"/>
            <w:vAlign w:val="center"/>
          </w:tcPr>
          <w:p w14:paraId="3A5BE4D5">
            <w:pPr>
              <w:tabs>
                <w:tab w:val="clear" w:pos="480"/>
              </w:tabs>
              <w:autoSpaceDE w:val="0"/>
              <w:autoSpaceDN w:val="0"/>
              <w:adjustRightInd w:val="0"/>
              <w:snapToGrid w:val="0"/>
              <w:spacing w:line="240" w:lineRule="auto"/>
              <w:ind w:firstLine="0" w:firstLineChars="0"/>
              <w:jc w:val="center"/>
              <w:rPr>
                <w:sz w:val="18"/>
                <w:szCs w:val="18"/>
              </w:rPr>
            </w:pPr>
            <w:r>
              <w:rPr>
                <w:sz w:val="18"/>
                <w:szCs w:val="18"/>
              </w:rPr>
              <w:t>排放浓度（mg/L）</w:t>
            </w:r>
          </w:p>
        </w:tc>
        <w:tc>
          <w:tcPr>
            <w:tcW w:w="807" w:type="pct"/>
            <w:vAlign w:val="center"/>
          </w:tcPr>
          <w:p w14:paraId="7266A19B">
            <w:pPr>
              <w:tabs>
                <w:tab w:val="clear" w:pos="480"/>
              </w:tabs>
              <w:autoSpaceDE w:val="0"/>
              <w:autoSpaceDN w:val="0"/>
              <w:adjustRightInd w:val="0"/>
              <w:snapToGrid w:val="0"/>
              <w:spacing w:line="240" w:lineRule="auto"/>
              <w:ind w:firstLine="0" w:firstLineChars="0"/>
              <w:jc w:val="center"/>
              <w:rPr>
                <w:sz w:val="18"/>
                <w:szCs w:val="18"/>
              </w:rPr>
            </w:pPr>
            <w:r>
              <w:rPr>
                <w:sz w:val="18"/>
                <w:szCs w:val="18"/>
              </w:rPr>
              <w:t>60</w:t>
            </w:r>
          </w:p>
        </w:tc>
        <w:tc>
          <w:tcPr>
            <w:tcW w:w="808" w:type="pct"/>
            <w:vAlign w:val="center"/>
          </w:tcPr>
          <w:p w14:paraId="6652BC87">
            <w:pPr>
              <w:tabs>
                <w:tab w:val="clear" w:pos="480"/>
              </w:tabs>
              <w:autoSpaceDE w:val="0"/>
              <w:autoSpaceDN w:val="0"/>
              <w:adjustRightInd w:val="0"/>
              <w:snapToGrid w:val="0"/>
              <w:spacing w:line="240" w:lineRule="auto"/>
              <w:ind w:firstLine="0" w:firstLineChars="0"/>
              <w:jc w:val="center"/>
              <w:rPr>
                <w:sz w:val="18"/>
                <w:szCs w:val="18"/>
              </w:rPr>
            </w:pPr>
            <w:r>
              <w:rPr>
                <w:sz w:val="18"/>
                <w:szCs w:val="18"/>
              </w:rPr>
              <w:t>20</w:t>
            </w:r>
          </w:p>
        </w:tc>
        <w:tc>
          <w:tcPr>
            <w:tcW w:w="808" w:type="pct"/>
            <w:vAlign w:val="center"/>
          </w:tcPr>
          <w:p w14:paraId="0F1785C0">
            <w:pPr>
              <w:tabs>
                <w:tab w:val="clear" w:pos="480"/>
              </w:tabs>
              <w:autoSpaceDE w:val="0"/>
              <w:autoSpaceDN w:val="0"/>
              <w:adjustRightInd w:val="0"/>
              <w:snapToGrid w:val="0"/>
              <w:spacing w:line="240" w:lineRule="auto"/>
              <w:ind w:firstLine="0" w:firstLineChars="0"/>
              <w:jc w:val="center"/>
              <w:rPr>
                <w:sz w:val="18"/>
                <w:szCs w:val="18"/>
              </w:rPr>
            </w:pPr>
            <w:r>
              <w:rPr>
                <w:sz w:val="18"/>
                <w:szCs w:val="18"/>
              </w:rPr>
              <w:t>70</w:t>
            </w:r>
          </w:p>
        </w:tc>
        <w:tc>
          <w:tcPr>
            <w:tcW w:w="809" w:type="pct"/>
            <w:vAlign w:val="center"/>
          </w:tcPr>
          <w:p w14:paraId="1472D026">
            <w:pPr>
              <w:tabs>
                <w:tab w:val="clear" w:pos="480"/>
              </w:tabs>
              <w:autoSpaceDE w:val="0"/>
              <w:autoSpaceDN w:val="0"/>
              <w:adjustRightInd w:val="0"/>
              <w:snapToGrid w:val="0"/>
              <w:spacing w:line="240" w:lineRule="auto"/>
              <w:ind w:firstLine="0" w:firstLineChars="0"/>
              <w:jc w:val="center"/>
              <w:rPr>
                <w:sz w:val="18"/>
                <w:szCs w:val="18"/>
              </w:rPr>
            </w:pPr>
            <w:r>
              <w:rPr>
                <w:sz w:val="18"/>
                <w:szCs w:val="18"/>
              </w:rPr>
              <w:t>15</w:t>
            </w:r>
          </w:p>
        </w:tc>
      </w:tr>
      <w:tr w14:paraId="7DB1CC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56" w:type="pct"/>
            <w:vMerge w:val="continue"/>
            <w:vAlign w:val="center"/>
          </w:tcPr>
          <w:p w14:paraId="2E42D3C7">
            <w:pPr>
              <w:tabs>
                <w:tab w:val="clear" w:pos="480"/>
              </w:tabs>
              <w:autoSpaceDE w:val="0"/>
              <w:autoSpaceDN w:val="0"/>
              <w:adjustRightInd w:val="0"/>
              <w:snapToGrid w:val="0"/>
              <w:spacing w:line="240" w:lineRule="auto"/>
              <w:ind w:firstLine="0" w:firstLineChars="0"/>
              <w:jc w:val="center"/>
              <w:rPr>
                <w:sz w:val="18"/>
                <w:szCs w:val="18"/>
              </w:rPr>
            </w:pPr>
          </w:p>
        </w:tc>
        <w:tc>
          <w:tcPr>
            <w:tcW w:w="911" w:type="pct"/>
            <w:vAlign w:val="center"/>
          </w:tcPr>
          <w:p w14:paraId="54C33EC0">
            <w:pPr>
              <w:tabs>
                <w:tab w:val="clear" w:pos="480"/>
              </w:tabs>
              <w:autoSpaceDE w:val="0"/>
              <w:autoSpaceDN w:val="0"/>
              <w:adjustRightInd w:val="0"/>
              <w:snapToGrid w:val="0"/>
              <w:spacing w:line="240" w:lineRule="auto"/>
              <w:ind w:firstLine="0" w:firstLineChars="0"/>
              <w:jc w:val="center"/>
              <w:rPr>
                <w:sz w:val="18"/>
                <w:szCs w:val="18"/>
              </w:rPr>
            </w:pPr>
            <w:r>
              <w:rPr>
                <w:sz w:val="18"/>
                <w:szCs w:val="18"/>
              </w:rPr>
              <w:t>排放量（t/a）</w:t>
            </w:r>
          </w:p>
        </w:tc>
        <w:tc>
          <w:tcPr>
            <w:tcW w:w="807" w:type="pct"/>
            <w:vAlign w:val="center"/>
          </w:tcPr>
          <w:p w14:paraId="614B3433">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0.026</w:t>
            </w:r>
          </w:p>
        </w:tc>
        <w:tc>
          <w:tcPr>
            <w:tcW w:w="808" w:type="pct"/>
            <w:vAlign w:val="center"/>
          </w:tcPr>
          <w:p w14:paraId="1D1E6A50">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0.009</w:t>
            </w:r>
          </w:p>
        </w:tc>
        <w:tc>
          <w:tcPr>
            <w:tcW w:w="808" w:type="pct"/>
            <w:vAlign w:val="center"/>
          </w:tcPr>
          <w:p w14:paraId="32E1341D">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0.031</w:t>
            </w:r>
          </w:p>
        </w:tc>
        <w:tc>
          <w:tcPr>
            <w:tcW w:w="809" w:type="pct"/>
            <w:vAlign w:val="center"/>
          </w:tcPr>
          <w:p w14:paraId="04990718">
            <w:pPr>
              <w:tabs>
                <w:tab w:val="clear" w:pos="480"/>
              </w:tabs>
              <w:autoSpaceDE w:val="0"/>
              <w:autoSpaceDN w:val="0"/>
              <w:adjustRightInd w:val="0"/>
              <w:snapToGrid w:val="0"/>
              <w:spacing w:line="240" w:lineRule="auto"/>
              <w:ind w:firstLine="0" w:firstLineChars="0"/>
              <w:jc w:val="center"/>
              <w:rPr>
                <w:sz w:val="18"/>
                <w:szCs w:val="18"/>
              </w:rPr>
            </w:pPr>
            <w:r>
              <w:rPr>
                <w:sz w:val="18"/>
                <w:szCs w:val="18"/>
              </w:rPr>
              <w:t>0.007</w:t>
            </w:r>
          </w:p>
        </w:tc>
      </w:tr>
    </w:tbl>
    <w:p w14:paraId="290F9C8E">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4.3.2.3</w:t>
      </w:r>
      <w:r>
        <w:rPr>
          <w:rFonts w:hint="eastAsia" w:ascii="Times New Roman" w:eastAsia="宋体"/>
          <w:sz w:val="24"/>
          <w:szCs w:val="24"/>
        </w:rPr>
        <w:t>噪声</w:t>
      </w:r>
    </w:p>
    <w:p w14:paraId="56F5C22F">
      <w:pPr>
        <w:adjustRightInd w:val="0"/>
        <w:snapToGrid w:val="0"/>
        <w:ind w:firstLine="480"/>
      </w:pPr>
      <w:r>
        <w:rPr>
          <w:rFonts w:hint="eastAsia"/>
        </w:rPr>
        <w:t>本风电场运行期间产生的噪声主要为风电机组噪声以及</w:t>
      </w:r>
      <w:r>
        <w:t>110kV</w:t>
      </w:r>
      <w:r>
        <w:rPr>
          <w:rFonts w:hint="eastAsia"/>
        </w:rPr>
        <w:t>升压站运行噪声。</w:t>
      </w:r>
    </w:p>
    <w:p w14:paraId="2D2773AB">
      <w:pPr>
        <w:adjustRightInd w:val="0"/>
        <w:snapToGrid w:val="0"/>
        <w:ind w:firstLine="480"/>
      </w:pPr>
      <w:r>
        <w:fldChar w:fldCharType="begin"/>
      </w:r>
      <w:r>
        <w:instrText xml:space="preserve"> = 1 \* GB3 </w:instrText>
      </w:r>
      <w:r>
        <w:fldChar w:fldCharType="separate"/>
      </w:r>
      <w:r>
        <w:rPr>
          <w:rFonts w:hint="eastAsia"/>
        </w:rPr>
        <w:t>①</w:t>
      </w:r>
      <w:r>
        <w:fldChar w:fldCharType="end"/>
      </w:r>
      <w:r>
        <w:rPr>
          <w:rFonts w:hint="eastAsia"/>
        </w:rPr>
        <w:t>风电机组运行噪声</w:t>
      </w:r>
    </w:p>
    <w:p w14:paraId="5D8D44DB">
      <w:pPr>
        <w:adjustRightInd w:val="0"/>
        <w:snapToGrid w:val="0"/>
        <w:ind w:firstLine="480"/>
      </w:pPr>
      <w:r>
        <w:t>风机运行过程中的噪声来源于风轮叶片旋转时产生的空气动力噪声和齿轮箱和发电机等部件发出的机械噪声，液压及润滑油冷却系统噪声。液压及润滑油冷却系统噪声值约为78dB(A)；偏航系统刹车偶发噪声，偏航系统刹车偶发噪声值约为120dB(A)。风电机轮毂处噪声呈现明显的低频特征。</w:t>
      </w:r>
    </w:p>
    <w:p w14:paraId="0F976851">
      <w:pPr>
        <w:adjustRightInd w:val="0"/>
        <w:snapToGrid w:val="0"/>
        <w:ind w:firstLine="480"/>
      </w:pPr>
      <w:r>
        <w:rPr>
          <w:rFonts w:hint="eastAsia"/>
        </w:rPr>
        <w:t>变电站的</w:t>
      </w:r>
      <w:r>
        <w:t>110kV</w:t>
      </w:r>
      <w:r>
        <w:rPr>
          <w:rFonts w:hint="eastAsia"/>
        </w:rPr>
        <w:t>断路器、电抗器、变压器（冷却风扇和铁芯电磁声）、火花及电晕放电等会产生较高的连续电磁性和机械性噪声，变电站的主要噪声源为变压器，根据典型</w:t>
      </w:r>
      <w:r>
        <w:t>110kV</w:t>
      </w:r>
      <w:r>
        <w:rPr>
          <w:rFonts w:hint="eastAsia"/>
        </w:rPr>
        <w:t>主变压器运行期间的噪声类比监测数据及相关设计资料，户外式</w:t>
      </w:r>
      <w:r>
        <w:t>110kV</w:t>
      </w:r>
      <w:r>
        <w:rPr>
          <w:rFonts w:hint="eastAsia"/>
        </w:rPr>
        <w:t>主变压器</w:t>
      </w:r>
      <w:r>
        <w:t>1m</w:t>
      </w:r>
      <w:r>
        <w:rPr>
          <w:rFonts w:hint="eastAsia"/>
        </w:rPr>
        <w:t>处声压级一般约为</w:t>
      </w:r>
      <w:r>
        <w:t>65dB</w:t>
      </w:r>
      <w:r>
        <w:rPr>
          <w:rFonts w:hint="eastAsia"/>
        </w:rPr>
        <w:t>（</w:t>
      </w:r>
      <w:r>
        <w:t>A</w:t>
      </w:r>
      <w:r>
        <w:rPr>
          <w:rFonts w:hint="eastAsia"/>
        </w:rPr>
        <w:t>）。</w:t>
      </w:r>
    </w:p>
    <w:p w14:paraId="3E89AE56">
      <w:pPr>
        <w:adjustRightInd w:val="0"/>
        <w:snapToGrid w:val="0"/>
        <w:ind w:firstLine="480"/>
      </w:pPr>
      <w:r>
        <w:t>空气动力噪声产生于电机组叶片与空气撞击引起的压力脉动。一是沿叶片发展的湍流边界层引起的表面压力脉动；二是在运动气体中物体表面的湍涡脱落引起的压力脉动；三是叶片与来流湍流的干涉，如叶片与进气湍流、下游叶片与上游叶片尾迹的干涉等。气动噪声的频率和湍流的大小有关。根据国内外风机发电噪声研究，风电机组的噪声来源主要来自旋转的风机叶片和空气的摩擦噪声，与风机叶片的表面、角度等参数有关，和单机容量无直接关系。通过研究表明，当风机组的转速一定时，风速对风电机组噪声源强影响不大。当转速为非恒定时，风机的源强和风速为线性关系，一般风速越大声源强越大，但是当风机正常运行时其噪声源变化较小。随着技术的进步，机械噪声逐渐降低，但是气动噪声依然是主要噪声源。</w:t>
      </w:r>
    </w:p>
    <w:p w14:paraId="42F1FAF3">
      <w:pPr>
        <w:adjustRightInd w:val="0"/>
        <w:snapToGrid w:val="0"/>
        <w:ind w:firstLine="480"/>
      </w:pPr>
      <w:r>
        <w:t>本项目5.0MW风机的噪声源强参考“中车株洲电力机车研究所有限公司对于WT D 5000-195风电机组噪声评估报告”中的噪声源强数据。该评估报告中“风机额定功率5000kW，风轮直径195m，轮毂中心高度110m”，在风速为3m/s~14m/s时，整机噪声数值为98.2dB（A）~109.0dB（A）。</w:t>
      </w:r>
    </w:p>
    <w:p w14:paraId="583510B8">
      <w:pPr>
        <w:adjustRightInd w:val="0"/>
        <w:snapToGrid w:val="0"/>
        <w:ind w:firstLine="480"/>
      </w:pPr>
      <w:r>
        <w:rPr>
          <w:rFonts w:hint="eastAsia"/>
        </w:rPr>
        <w:t>本项目风机容量为</w:t>
      </w:r>
      <w:r>
        <w:t>5.0MW</w:t>
      </w:r>
      <w:r>
        <w:rPr>
          <w:rFonts w:hint="eastAsia"/>
        </w:rPr>
        <w:t>，</w:t>
      </w:r>
      <w:r>
        <w:t>轮毂高度</w:t>
      </w:r>
      <w:r>
        <w:rPr>
          <w:rFonts w:hint="eastAsia"/>
        </w:rPr>
        <w:t>110</w:t>
      </w:r>
      <w:r>
        <w:t>m</w:t>
      </w:r>
      <w:r>
        <w:rPr>
          <w:rFonts w:hint="eastAsia"/>
        </w:rPr>
        <w:t>，类比“中车株洲电力机车研究所有限公司对于W</w:t>
      </w:r>
      <w:r>
        <w:t>T</w:t>
      </w:r>
      <w:r>
        <w:rPr>
          <w:rFonts w:hint="eastAsia"/>
        </w:rPr>
        <w:t>5</w:t>
      </w:r>
      <w:r>
        <w:t>000D195</w:t>
      </w:r>
      <w:r>
        <w:rPr>
          <w:rFonts w:hint="eastAsia"/>
        </w:rPr>
        <w:t>风电机组噪声评估报告”可知</w:t>
      </w:r>
      <w:r>
        <w:t>，本项目</w:t>
      </w:r>
      <w:r>
        <w:rPr>
          <w:rFonts w:hint="eastAsia"/>
        </w:rPr>
        <w:t>5.0MW风机</w:t>
      </w:r>
      <w:r>
        <w:t>噪声</w:t>
      </w:r>
      <w:r>
        <w:rPr>
          <w:rFonts w:hint="eastAsia"/>
        </w:rPr>
        <w:t>源强</w:t>
      </w:r>
      <w:r>
        <w:t>取</w:t>
      </w:r>
      <w:r>
        <w:rPr>
          <w:rFonts w:hint="eastAsia"/>
        </w:rPr>
        <w:t>109</w:t>
      </w:r>
      <w:r>
        <w:t>dB</w:t>
      </w:r>
      <w:r>
        <w:rPr>
          <w:rFonts w:hint="eastAsia"/>
        </w:rPr>
        <w:t>（A）。</w:t>
      </w:r>
    </w:p>
    <w:p w14:paraId="0E7011B1">
      <w:pPr>
        <w:adjustRightInd w:val="0"/>
        <w:snapToGrid w:val="0"/>
        <w:ind w:firstLine="480"/>
        <w:sectPr>
          <w:pgSz w:w="12240" w:h="15840"/>
          <w:pgMar w:top="1440" w:right="1797" w:bottom="1440" w:left="1797" w:header="992" w:footer="992" w:gutter="0"/>
          <w:cols w:space="720" w:num="1"/>
          <w:docGrid w:linePitch="299" w:charSpace="0"/>
        </w:sectPr>
      </w:pPr>
      <w:r>
        <w:rPr>
          <w:rFonts w:hint="eastAsia"/>
        </w:rPr>
        <w:t>项目</w:t>
      </w:r>
      <w:r>
        <w:t>噪声源声级见</w:t>
      </w:r>
      <w:r>
        <w:rPr>
          <w:rFonts w:hint="eastAsia"/>
        </w:rPr>
        <w:t>下表</w:t>
      </w:r>
      <w:r>
        <w:t>。</w:t>
      </w:r>
    </w:p>
    <w:p w14:paraId="5B6B484D">
      <w:pPr>
        <w:tabs>
          <w:tab w:val="clear" w:pos="480"/>
        </w:tabs>
        <w:autoSpaceDE w:val="0"/>
        <w:autoSpaceDN w:val="0"/>
        <w:spacing w:line="240" w:lineRule="auto"/>
        <w:ind w:firstLine="0" w:firstLineChars="0"/>
        <w:jc w:val="center"/>
        <w:rPr>
          <w:rFonts w:hAnsi="宋体"/>
          <w:b/>
          <w:bCs/>
          <w:kern w:val="0"/>
        </w:rPr>
      </w:pPr>
      <w:r>
        <w:rPr>
          <w:rFonts w:hint="eastAsia" w:hAnsi="宋体"/>
          <w:b/>
          <w:bCs/>
          <w:kern w:val="0"/>
        </w:rPr>
        <w:t xml:space="preserve">表 </w:t>
      </w:r>
      <w:r>
        <w:rPr>
          <w:rFonts w:hAnsi="宋体"/>
          <w:b/>
          <w:bCs/>
          <w:kern w:val="0"/>
        </w:rPr>
        <w:t>4.3</w:t>
      </w:r>
      <w:r>
        <w:rPr>
          <w:rFonts w:hint="eastAsia" w:hAnsi="宋体"/>
          <w:b/>
          <w:bCs/>
          <w:kern w:val="0"/>
        </w:rPr>
        <w:t>-</w:t>
      </w:r>
      <w:r>
        <w:rPr>
          <w:rFonts w:hAnsi="宋体"/>
          <w:b/>
          <w:bCs/>
          <w:kern w:val="0"/>
        </w:rPr>
        <w:t>4</w:t>
      </w:r>
      <w:r>
        <w:rPr>
          <w:rFonts w:hint="eastAsia" w:hAnsi="宋体"/>
          <w:b/>
          <w:bCs/>
          <w:kern w:val="0"/>
        </w:rPr>
        <w:t>工业企业噪声源强调查清单（室外声源）</w:t>
      </w:r>
    </w:p>
    <w:tbl>
      <w:tblPr>
        <w:tblStyle w:val="372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13"/>
        <w:gridCol w:w="1704"/>
        <w:gridCol w:w="2008"/>
        <w:gridCol w:w="1120"/>
        <w:gridCol w:w="998"/>
        <w:gridCol w:w="998"/>
        <w:gridCol w:w="2432"/>
        <w:gridCol w:w="1611"/>
        <w:gridCol w:w="1406"/>
      </w:tblGrid>
      <w:tr w14:paraId="7BC6CE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Merge w:val="restart"/>
            <w:vAlign w:val="center"/>
          </w:tcPr>
          <w:p w14:paraId="3DC18B9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序号</w:t>
            </w:r>
          </w:p>
        </w:tc>
        <w:tc>
          <w:tcPr>
            <w:tcW w:w="656" w:type="pct"/>
            <w:vMerge w:val="restart"/>
            <w:vAlign w:val="center"/>
          </w:tcPr>
          <w:p w14:paraId="4514DC9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声源名称</w:t>
            </w:r>
          </w:p>
        </w:tc>
        <w:tc>
          <w:tcPr>
            <w:tcW w:w="773" w:type="pct"/>
            <w:vMerge w:val="restart"/>
            <w:vAlign w:val="center"/>
          </w:tcPr>
          <w:p w14:paraId="4C60A58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型号</w:t>
            </w:r>
          </w:p>
        </w:tc>
        <w:tc>
          <w:tcPr>
            <w:tcW w:w="1199" w:type="pct"/>
            <w:gridSpan w:val="3"/>
            <w:vAlign w:val="center"/>
          </w:tcPr>
          <w:p w14:paraId="32BA860E">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空间相对位置/m</w:t>
            </w:r>
          </w:p>
        </w:tc>
        <w:tc>
          <w:tcPr>
            <w:tcW w:w="936" w:type="pct"/>
            <w:vAlign w:val="center"/>
          </w:tcPr>
          <w:p w14:paraId="38B59D6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声源源强</w:t>
            </w:r>
          </w:p>
        </w:tc>
        <w:tc>
          <w:tcPr>
            <w:tcW w:w="620" w:type="pct"/>
            <w:vMerge w:val="restart"/>
            <w:vAlign w:val="center"/>
          </w:tcPr>
          <w:p w14:paraId="2A645BD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声源控制措施</w:t>
            </w:r>
          </w:p>
        </w:tc>
        <w:tc>
          <w:tcPr>
            <w:tcW w:w="541" w:type="pct"/>
            <w:vMerge w:val="restart"/>
            <w:vAlign w:val="center"/>
          </w:tcPr>
          <w:p w14:paraId="67246F18">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运行时段</w:t>
            </w:r>
          </w:p>
        </w:tc>
      </w:tr>
      <w:tr w14:paraId="55B3B6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Merge w:val="continue"/>
            <w:vAlign w:val="center"/>
          </w:tcPr>
          <w:p w14:paraId="14F480D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p>
        </w:tc>
        <w:tc>
          <w:tcPr>
            <w:tcW w:w="656" w:type="pct"/>
            <w:vMerge w:val="continue"/>
            <w:vAlign w:val="center"/>
          </w:tcPr>
          <w:p w14:paraId="02FFB3D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p>
        </w:tc>
        <w:tc>
          <w:tcPr>
            <w:tcW w:w="773" w:type="pct"/>
            <w:vMerge w:val="continue"/>
            <w:vAlign w:val="center"/>
          </w:tcPr>
          <w:p w14:paraId="26A2082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p>
        </w:tc>
        <w:tc>
          <w:tcPr>
            <w:tcW w:w="431" w:type="pct"/>
            <w:vAlign w:val="center"/>
          </w:tcPr>
          <w:p w14:paraId="311EC477">
            <w:pPr>
              <w:tabs>
                <w:tab w:val="clear" w:pos="480"/>
              </w:tabs>
              <w:autoSpaceDE w:val="0"/>
              <w:autoSpaceDN w:val="0"/>
              <w:adjustRightInd w:val="0"/>
              <w:snapToGrid w:val="0"/>
              <w:spacing w:line="240" w:lineRule="auto"/>
              <w:ind w:firstLine="0" w:firstLineChars="0"/>
              <w:jc w:val="center"/>
              <w:rPr>
                <w:rFonts w:ascii="Calibri" w:hAnsi="Calibri"/>
                <w:i/>
                <w:kern w:val="0"/>
                <w:sz w:val="21"/>
                <w:szCs w:val="21"/>
                <w:lang w:eastAsia="en-US"/>
              </w:rPr>
            </w:pPr>
            <w:r>
              <w:rPr>
                <w:rFonts w:ascii="Calibri" w:hAnsi="Calibri"/>
                <w:i/>
                <w:kern w:val="0"/>
                <w:sz w:val="21"/>
                <w:szCs w:val="21"/>
                <w:lang w:eastAsia="en-US"/>
              </w:rPr>
              <w:t>X</w:t>
            </w:r>
          </w:p>
        </w:tc>
        <w:tc>
          <w:tcPr>
            <w:tcW w:w="384" w:type="pct"/>
            <w:vAlign w:val="center"/>
          </w:tcPr>
          <w:p w14:paraId="0463D7FC">
            <w:pPr>
              <w:tabs>
                <w:tab w:val="clear" w:pos="480"/>
              </w:tabs>
              <w:autoSpaceDE w:val="0"/>
              <w:autoSpaceDN w:val="0"/>
              <w:adjustRightInd w:val="0"/>
              <w:snapToGrid w:val="0"/>
              <w:spacing w:line="240" w:lineRule="auto"/>
              <w:ind w:firstLine="0" w:firstLineChars="0"/>
              <w:jc w:val="center"/>
              <w:rPr>
                <w:rFonts w:ascii="Calibri" w:hAnsi="Calibri"/>
                <w:i/>
                <w:kern w:val="0"/>
                <w:sz w:val="21"/>
                <w:szCs w:val="21"/>
                <w:lang w:eastAsia="en-US"/>
              </w:rPr>
            </w:pPr>
            <w:r>
              <w:rPr>
                <w:rFonts w:ascii="Calibri" w:hAnsi="Calibri"/>
                <w:i/>
                <w:w w:val="99"/>
                <w:kern w:val="0"/>
                <w:sz w:val="21"/>
                <w:szCs w:val="21"/>
                <w:lang w:eastAsia="en-US"/>
              </w:rPr>
              <w:t>Y</w:t>
            </w:r>
          </w:p>
        </w:tc>
        <w:tc>
          <w:tcPr>
            <w:tcW w:w="384" w:type="pct"/>
            <w:vAlign w:val="center"/>
          </w:tcPr>
          <w:p w14:paraId="05618E5B">
            <w:pPr>
              <w:tabs>
                <w:tab w:val="clear" w:pos="480"/>
              </w:tabs>
              <w:autoSpaceDE w:val="0"/>
              <w:autoSpaceDN w:val="0"/>
              <w:adjustRightInd w:val="0"/>
              <w:snapToGrid w:val="0"/>
              <w:spacing w:line="240" w:lineRule="auto"/>
              <w:ind w:firstLine="0" w:firstLineChars="0"/>
              <w:jc w:val="center"/>
              <w:rPr>
                <w:rFonts w:ascii="Calibri" w:hAnsi="Calibri"/>
                <w:i/>
                <w:kern w:val="0"/>
                <w:sz w:val="21"/>
                <w:szCs w:val="21"/>
                <w:lang w:eastAsia="en-US"/>
              </w:rPr>
            </w:pPr>
            <w:r>
              <w:rPr>
                <w:rFonts w:ascii="Calibri" w:hAnsi="Calibri"/>
                <w:i/>
                <w:w w:val="99"/>
                <w:kern w:val="0"/>
                <w:sz w:val="21"/>
                <w:szCs w:val="21"/>
                <w:lang w:eastAsia="en-US"/>
              </w:rPr>
              <w:t>Z</w:t>
            </w:r>
          </w:p>
        </w:tc>
        <w:tc>
          <w:tcPr>
            <w:tcW w:w="936" w:type="pct"/>
            <w:vAlign w:val="center"/>
          </w:tcPr>
          <w:p w14:paraId="0A9EE83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声功率级/dB(A)</w:t>
            </w:r>
          </w:p>
        </w:tc>
        <w:tc>
          <w:tcPr>
            <w:tcW w:w="620" w:type="pct"/>
            <w:vMerge w:val="continue"/>
            <w:vAlign w:val="center"/>
          </w:tcPr>
          <w:p w14:paraId="0D3E5CF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p>
        </w:tc>
        <w:tc>
          <w:tcPr>
            <w:tcW w:w="541" w:type="pct"/>
            <w:vMerge w:val="continue"/>
            <w:vAlign w:val="center"/>
          </w:tcPr>
          <w:p w14:paraId="2C806BC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p>
        </w:tc>
      </w:tr>
      <w:tr w14:paraId="15C5B4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6A6DBE2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w:t>
            </w:r>
          </w:p>
        </w:tc>
        <w:tc>
          <w:tcPr>
            <w:tcW w:w="656" w:type="pct"/>
            <w:vAlign w:val="center"/>
          </w:tcPr>
          <w:p w14:paraId="0F24634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w:t>
            </w:r>
          </w:p>
        </w:tc>
        <w:tc>
          <w:tcPr>
            <w:tcW w:w="773" w:type="pct"/>
            <w:vAlign w:val="center"/>
          </w:tcPr>
          <w:p w14:paraId="0200E8A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77EAAE1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41</w:t>
            </w:r>
          </w:p>
        </w:tc>
        <w:tc>
          <w:tcPr>
            <w:tcW w:w="384" w:type="pct"/>
            <w:vAlign w:val="center"/>
          </w:tcPr>
          <w:p w14:paraId="01260E5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2599</w:t>
            </w:r>
          </w:p>
        </w:tc>
        <w:tc>
          <w:tcPr>
            <w:tcW w:w="384" w:type="pct"/>
            <w:vAlign w:val="center"/>
          </w:tcPr>
          <w:p w14:paraId="2BFFEF0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1480A7F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26B8B9B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17B855F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5E6F89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5CB7535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2</w:t>
            </w:r>
          </w:p>
        </w:tc>
        <w:tc>
          <w:tcPr>
            <w:tcW w:w="656" w:type="pct"/>
            <w:vAlign w:val="center"/>
          </w:tcPr>
          <w:p w14:paraId="0006024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2#</w:t>
            </w:r>
          </w:p>
        </w:tc>
        <w:tc>
          <w:tcPr>
            <w:tcW w:w="773" w:type="pct"/>
            <w:vAlign w:val="center"/>
          </w:tcPr>
          <w:p w14:paraId="0191ED6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564C73B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-102</w:t>
            </w:r>
          </w:p>
        </w:tc>
        <w:tc>
          <w:tcPr>
            <w:tcW w:w="384" w:type="pct"/>
            <w:vAlign w:val="center"/>
          </w:tcPr>
          <w:p w14:paraId="4DFEF91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990</w:t>
            </w:r>
          </w:p>
        </w:tc>
        <w:tc>
          <w:tcPr>
            <w:tcW w:w="384" w:type="pct"/>
            <w:vAlign w:val="center"/>
          </w:tcPr>
          <w:p w14:paraId="49A63DC5">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099C8FA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5640A2E8">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08B68DEE">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1FBC69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77F31E65">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3</w:t>
            </w:r>
          </w:p>
        </w:tc>
        <w:tc>
          <w:tcPr>
            <w:tcW w:w="656" w:type="pct"/>
            <w:vAlign w:val="center"/>
          </w:tcPr>
          <w:p w14:paraId="44E1F73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3#</w:t>
            </w:r>
          </w:p>
        </w:tc>
        <w:tc>
          <w:tcPr>
            <w:tcW w:w="773" w:type="pct"/>
            <w:vAlign w:val="center"/>
          </w:tcPr>
          <w:p w14:paraId="2BD5A97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3ED2DB5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-76</w:t>
            </w:r>
          </w:p>
        </w:tc>
        <w:tc>
          <w:tcPr>
            <w:tcW w:w="384" w:type="pct"/>
            <w:vAlign w:val="center"/>
          </w:tcPr>
          <w:p w14:paraId="3A35CA1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352</w:t>
            </w:r>
          </w:p>
        </w:tc>
        <w:tc>
          <w:tcPr>
            <w:tcW w:w="384" w:type="pct"/>
            <w:vAlign w:val="center"/>
          </w:tcPr>
          <w:p w14:paraId="3C9779C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1A27867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795E150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295AE97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1A414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1A1AE9F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4</w:t>
            </w:r>
          </w:p>
        </w:tc>
        <w:tc>
          <w:tcPr>
            <w:tcW w:w="656" w:type="pct"/>
            <w:vAlign w:val="center"/>
          </w:tcPr>
          <w:p w14:paraId="158E78A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4#</w:t>
            </w:r>
          </w:p>
        </w:tc>
        <w:tc>
          <w:tcPr>
            <w:tcW w:w="773" w:type="pct"/>
            <w:vAlign w:val="center"/>
          </w:tcPr>
          <w:p w14:paraId="15B87DC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61BE41F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135</w:t>
            </w:r>
          </w:p>
        </w:tc>
        <w:tc>
          <w:tcPr>
            <w:tcW w:w="384" w:type="pct"/>
            <w:vAlign w:val="center"/>
          </w:tcPr>
          <w:p w14:paraId="5AF47DA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-504</w:t>
            </w:r>
          </w:p>
        </w:tc>
        <w:tc>
          <w:tcPr>
            <w:tcW w:w="384" w:type="pct"/>
            <w:vAlign w:val="center"/>
          </w:tcPr>
          <w:p w14:paraId="7086992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76AF8E8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47FB544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0FDC875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1C6315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558A618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5</w:t>
            </w:r>
          </w:p>
        </w:tc>
        <w:tc>
          <w:tcPr>
            <w:tcW w:w="656" w:type="pct"/>
            <w:vAlign w:val="center"/>
          </w:tcPr>
          <w:p w14:paraId="38CB88D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5#</w:t>
            </w:r>
          </w:p>
        </w:tc>
        <w:tc>
          <w:tcPr>
            <w:tcW w:w="773" w:type="pct"/>
            <w:vAlign w:val="center"/>
          </w:tcPr>
          <w:p w14:paraId="734DD7C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0C5AE8A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-555</w:t>
            </w:r>
          </w:p>
        </w:tc>
        <w:tc>
          <w:tcPr>
            <w:tcW w:w="384" w:type="pct"/>
            <w:vAlign w:val="center"/>
          </w:tcPr>
          <w:p w14:paraId="169CD525">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-1813</w:t>
            </w:r>
          </w:p>
        </w:tc>
        <w:tc>
          <w:tcPr>
            <w:tcW w:w="384" w:type="pct"/>
            <w:vAlign w:val="center"/>
          </w:tcPr>
          <w:p w14:paraId="19A9AAE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1D0F590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70D7694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12F0010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01AC29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204AE0A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6</w:t>
            </w:r>
          </w:p>
        </w:tc>
        <w:tc>
          <w:tcPr>
            <w:tcW w:w="656" w:type="pct"/>
            <w:vAlign w:val="center"/>
          </w:tcPr>
          <w:p w14:paraId="739A56C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6#</w:t>
            </w:r>
          </w:p>
        </w:tc>
        <w:tc>
          <w:tcPr>
            <w:tcW w:w="773" w:type="pct"/>
            <w:vAlign w:val="center"/>
          </w:tcPr>
          <w:p w14:paraId="03006C9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42526ADE">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-1049</w:t>
            </w:r>
          </w:p>
        </w:tc>
        <w:tc>
          <w:tcPr>
            <w:tcW w:w="384" w:type="pct"/>
            <w:vAlign w:val="center"/>
          </w:tcPr>
          <w:p w14:paraId="6EDA9F3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-1557</w:t>
            </w:r>
          </w:p>
        </w:tc>
        <w:tc>
          <w:tcPr>
            <w:tcW w:w="384" w:type="pct"/>
            <w:vAlign w:val="center"/>
          </w:tcPr>
          <w:p w14:paraId="541AE648">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2701482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773AAF0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215980B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0E637E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44C79DF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7</w:t>
            </w:r>
          </w:p>
        </w:tc>
        <w:tc>
          <w:tcPr>
            <w:tcW w:w="656" w:type="pct"/>
            <w:vAlign w:val="center"/>
          </w:tcPr>
          <w:p w14:paraId="3904484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7#</w:t>
            </w:r>
          </w:p>
        </w:tc>
        <w:tc>
          <w:tcPr>
            <w:tcW w:w="773" w:type="pct"/>
            <w:vAlign w:val="center"/>
          </w:tcPr>
          <w:p w14:paraId="7455AF1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162A393B">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1098</w:t>
            </w:r>
          </w:p>
        </w:tc>
        <w:tc>
          <w:tcPr>
            <w:tcW w:w="384" w:type="pct"/>
            <w:vAlign w:val="center"/>
          </w:tcPr>
          <w:p w14:paraId="6CE2514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1720</w:t>
            </w:r>
          </w:p>
        </w:tc>
        <w:tc>
          <w:tcPr>
            <w:tcW w:w="384" w:type="pct"/>
            <w:vAlign w:val="center"/>
          </w:tcPr>
          <w:p w14:paraId="4155815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084EB69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4EBFF1E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34B13C4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38ED9C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19F5689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8</w:t>
            </w:r>
          </w:p>
        </w:tc>
        <w:tc>
          <w:tcPr>
            <w:tcW w:w="656" w:type="pct"/>
            <w:vAlign w:val="center"/>
          </w:tcPr>
          <w:p w14:paraId="76B98E7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8#</w:t>
            </w:r>
          </w:p>
        </w:tc>
        <w:tc>
          <w:tcPr>
            <w:tcW w:w="773" w:type="pct"/>
            <w:vAlign w:val="center"/>
          </w:tcPr>
          <w:p w14:paraId="479C4F5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529D89A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1063</w:t>
            </w:r>
          </w:p>
        </w:tc>
        <w:tc>
          <w:tcPr>
            <w:tcW w:w="384" w:type="pct"/>
            <w:vAlign w:val="center"/>
          </w:tcPr>
          <w:p w14:paraId="00B7014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-2479</w:t>
            </w:r>
          </w:p>
        </w:tc>
        <w:tc>
          <w:tcPr>
            <w:tcW w:w="384" w:type="pct"/>
            <w:vAlign w:val="center"/>
          </w:tcPr>
          <w:p w14:paraId="07B97F7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725C2E0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555DDB0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0CA88B1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30F765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0EA4051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9</w:t>
            </w:r>
          </w:p>
        </w:tc>
        <w:tc>
          <w:tcPr>
            <w:tcW w:w="656" w:type="pct"/>
            <w:vAlign w:val="center"/>
          </w:tcPr>
          <w:p w14:paraId="4564F15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9#</w:t>
            </w:r>
          </w:p>
        </w:tc>
        <w:tc>
          <w:tcPr>
            <w:tcW w:w="773" w:type="pct"/>
            <w:vAlign w:val="center"/>
          </w:tcPr>
          <w:p w14:paraId="4C8A8AB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79F8639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1638</w:t>
            </w:r>
          </w:p>
        </w:tc>
        <w:tc>
          <w:tcPr>
            <w:tcW w:w="384" w:type="pct"/>
            <w:vAlign w:val="center"/>
          </w:tcPr>
          <w:p w14:paraId="4911CB9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-2576</w:t>
            </w:r>
          </w:p>
        </w:tc>
        <w:tc>
          <w:tcPr>
            <w:tcW w:w="384" w:type="pct"/>
            <w:vAlign w:val="center"/>
          </w:tcPr>
          <w:p w14:paraId="4ABCF038">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4D58784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560BE14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20CE9A05">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4264CF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1E0CBEE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w:t>
            </w:r>
          </w:p>
        </w:tc>
        <w:tc>
          <w:tcPr>
            <w:tcW w:w="656" w:type="pct"/>
            <w:vAlign w:val="center"/>
          </w:tcPr>
          <w:p w14:paraId="6A03C2E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w:t>
            </w:r>
          </w:p>
        </w:tc>
        <w:tc>
          <w:tcPr>
            <w:tcW w:w="773" w:type="pct"/>
            <w:vAlign w:val="center"/>
          </w:tcPr>
          <w:p w14:paraId="2D584FB0">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2FF5E8E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1662</w:t>
            </w:r>
          </w:p>
        </w:tc>
        <w:tc>
          <w:tcPr>
            <w:tcW w:w="384" w:type="pct"/>
            <w:vAlign w:val="center"/>
          </w:tcPr>
          <w:p w14:paraId="07F3E6B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-3135</w:t>
            </w:r>
          </w:p>
        </w:tc>
        <w:tc>
          <w:tcPr>
            <w:tcW w:w="384" w:type="pct"/>
            <w:vAlign w:val="center"/>
          </w:tcPr>
          <w:p w14:paraId="32E5DDCE">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377B08F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0612EEFB">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1F66B61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09E511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307EE2BB">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w:t>
            </w:r>
          </w:p>
        </w:tc>
        <w:tc>
          <w:tcPr>
            <w:tcW w:w="656" w:type="pct"/>
            <w:vAlign w:val="center"/>
          </w:tcPr>
          <w:p w14:paraId="0ECCE818">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16#（备选）</w:t>
            </w:r>
          </w:p>
        </w:tc>
        <w:tc>
          <w:tcPr>
            <w:tcW w:w="773" w:type="pct"/>
            <w:vAlign w:val="center"/>
          </w:tcPr>
          <w:p w14:paraId="65F0911F">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58FC392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1816</w:t>
            </w:r>
          </w:p>
        </w:tc>
        <w:tc>
          <w:tcPr>
            <w:tcW w:w="384" w:type="pct"/>
            <w:vAlign w:val="center"/>
          </w:tcPr>
          <w:p w14:paraId="5F28DC9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2393</w:t>
            </w:r>
          </w:p>
        </w:tc>
        <w:tc>
          <w:tcPr>
            <w:tcW w:w="384" w:type="pct"/>
            <w:vAlign w:val="center"/>
          </w:tcPr>
          <w:p w14:paraId="3DA4584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64DAEB6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3D852821">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38615AC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r w14:paraId="166C1A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75" w:type="pct"/>
            <w:vAlign w:val="center"/>
          </w:tcPr>
          <w:p w14:paraId="33E35A2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12</w:t>
            </w:r>
          </w:p>
        </w:tc>
        <w:tc>
          <w:tcPr>
            <w:tcW w:w="656" w:type="pct"/>
            <w:vAlign w:val="center"/>
          </w:tcPr>
          <w:p w14:paraId="3406A19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18#（备选）</w:t>
            </w:r>
          </w:p>
        </w:tc>
        <w:tc>
          <w:tcPr>
            <w:tcW w:w="773" w:type="pct"/>
            <w:vAlign w:val="center"/>
          </w:tcPr>
          <w:p w14:paraId="7D724817">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WTG5.0-200</w:t>
            </w:r>
          </w:p>
        </w:tc>
        <w:tc>
          <w:tcPr>
            <w:tcW w:w="431" w:type="pct"/>
            <w:vAlign w:val="center"/>
          </w:tcPr>
          <w:p w14:paraId="24448E92">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262</w:t>
            </w:r>
          </w:p>
        </w:tc>
        <w:tc>
          <w:tcPr>
            <w:tcW w:w="384" w:type="pct"/>
            <w:vAlign w:val="center"/>
          </w:tcPr>
          <w:p w14:paraId="751E466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sz w:val="21"/>
                <w:szCs w:val="21"/>
                <w:lang w:eastAsia="en-US"/>
              </w:rPr>
              <w:t>-1155</w:t>
            </w:r>
          </w:p>
        </w:tc>
        <w:tc>
          <w:tcPr>
            <w:tcW w:w="384" w:type="pct"/>
            <w:vAlign w:val="center"/>
          </w:tcPr>
          <w:p w14:paraId="257F2B85">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115</w:t>
            </w:r>
          </w:p>
        </w:tc>
        <w:tc>
          <w:tcPr>
            <w:tcW w:w="936" w:type="pct"/>
            <w:vAlign w:val="center"/>
          </w:tcPr>
          <w:p w14:paraId="1AB541FE">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109</w:t>
            </w:r>
          </w:p>
        </w:tc>
        <w:tc>
          <w:tcPr>
            <w:tcW w:w="620" w:type="pct"/>
            <w:vAlign w:val="center"/>
          </w:tcPr>
          <w:p w14:paraId="36B17B5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w:t>
            </w:r>
          </w:p>
        </w:tc>
        <w:tc>
          <w:tcPr>
            <w:tcW w:w="541" w:type="pct"/>
            <w:vAlign w:val="center"/>
          </w:tcPr>
          <w:p w14:paraId="51D5E983">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昼夜</w:t>
            </w:r>
          </w:p>
        </w:tc>
      </w:tr>
    </w:tbl>
    <w:p w14:paraId="25C2A252">
      <w:pPr>
        <w:tabs>
          <w:tab w:val="clear" w:pos="480"/>
        </w:tabs>
        <w:adjustRightInd w:val="0"/>
        <w:snapToGrid w:val="0"/>
        <w:ind w:firstLine="480"/>
        <w:jc w:val="left"/>
        <w:sectPr>
          <w:pgSz w:w="15840" w:h="12240" w:orient="landscape"/>
          <w:pgMar w:top="851" w:right="1440" w:bottom="851" w:left="1440" w:header="567" w:footer="567" w:gutter="0"/>
          <w:cols w:space="720" w:num="1"/>
          <w:docGrid w:linePitch="326" w:charSpace="0"/>
        </w:sectPr>
      </w:pPr>
    </w:p>
    <w:p w14:paraId="4E1C3371">
      <w:pPr>
        <w:adjustRightInd w:val="0"/>
        <w:snapToGrid w:val="0"/>
        <w:ind w:firstLine="480"/>
      </w:pPr>
      <w:r>
        <w:fldChar w:fldCharType="begin"/>
      </w:r>
      <w:r>
        <w:instrText xml:space="preserve"> = 2 \* GB3 </w:instrText>
      </w:r>
      <w:r>
        <w:fldChar w:fldCharType="separate"/>
      </w:r>
      <w:r>
        <w:rPr>
          <w:rFonts w:hint="eastAsia"/>
        </w:rPr>
        <w:t>②</w:t>
      </w:r>
      <w:r>
        <w:fldChar w:fldCharType="end"/>
      </w:r>
      <w:r>
        <w:t>110kV</w:t>
      </w:r>
      <w:r>
        <w:rPr>
          <w:rFonts w:hint="eastAsia"/>
        </w:rPr>
        <w:t>升压站运行噪声</w:t>
      </w:r>
    </w:p>
    <w:p w14:paraId="2AEE4E8B">
      <w:pPr>
        <w:adjustRightInd w:val="0"/>
        <w:snapToGrid w:val="0"/>
        <w:ind w:firstLine="480"/>
      </w:pPr>
      <w:r>
        <w:t>户外式110kV升压站（变电站）对周围声环境的影响主要是由主变压器运行时所产生的噪声，变电站运行期声环境影响也可采用点声源模式进行预测及评价。根据典型110kV主变压器运行期间的噪声类比监测数据及相关设计资料，取较高水平按照距离110kV主变压器1m处声压级65dB（A）计算。</w:t>
      </w:r>
      <w:r>
        <w:rPr>
          <w:rFonts w:hint="eastAsia"/>
        </w:rPr>
        <w:t>此外，本项目升压站内设置有轴流风机。本项目声源详细参数见下表。</w:t>
      </w:r>
    </w:p>
    <w:p w14:paraId="1347F1D5">
      <w:pPr>
        <w:tabs>
          <w:tab w:val="clear" w:pos="480"/>
        </w:tabs>
        <w:adjustRightInd w:val="0"/>
        <w:snapToGrid w:val="0"/>
        <w:spacing w:line="240" w:lineRule="auto"/>
        <w:ind w:firstLine="0" w:firstLineChars="0"/>
        <w:jc w:val="center"/>
        <w:rPr>
          <w:b/>
          <w:bCs/>
        </w:rPr>
      </w:pPr>
      <w:r>
        <w:rPr>
          <w:b/>
          <w:bCs/>
        </w:rPr>
        <w:t xml:space="preserve">表4.3-5  </w:t>
      </w:r>
      <w:r>
        <w:rPr>
          <w:rFonts w:hint="eastAsia"/>
          <w:b/>
          <w:bCs/>
        </w:rPr>
        <w:t>工业企业噪声源强调查清单（室外声源）</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1255"/>
        <w:gridCol w:w="778"/>
        <w:gridCol w:w="778"/>
        <w:gridCol w:w="778"/>
        <w:gridCol w:w="779"/>
        <w:gridCol w:w="931"/>
        <w:gridCol w:w="1245"/>
        <w:gridCol w:w="779"/>
        <w:gridCol w:w="648"/>
      </w:tblGrid>
      <w:tr w14:paraId="3C425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vMerge w:val="restart"/>
            <w:shd w:val="clear" w:color="auto" w:fill="auto"/>
            <w:vAlign w:val="center"/>
          </w:tcPr>
          <w:p w14:paraId="4A1528DB">
            <w:pPr>
              <w:widowControl/>
              <w:tabs>
                <w:tab w:val="clear" w:pos="480"/>
              </w:tabs>
              <w:adjustRightInd w:val="0"/>
              <w:snapToGrid w:val="0"/>
              <w:spacing w:line="240" w:lineRule="auto"/>
              <w:ind w:firstLine="0" w:firstLineChars="0"/>
              <w:jc w:val="center"/>
              <w:rPr>
                <w:kern w:val="0"/>
                <w:sz w:val="18"/>
                <w:szCs w:val="18"/>
              </w:rPr>
            </w:pPr>
            <w:r>
              <w:rPr>
                <w:kern w:val="0"/>
                <w:sz w:val="18"/>
                <w:szCs w:val="18"/>
              </w:rPr>
              <w:t>序号</w:t>
            </w:r>
          </w:p>
        </w:tc>
        <w:tc>
          <w:tcPr>
            <w:tcW w:w="736" w:type="pct"/>
            <w:vMerge w:val="restart"/>
            <w:shd w:val="clear" w:color="auto" w:fill="auto"/>
            <w:vAlign w:val="center"/>
          </w:tcPr>
          <w:p w14:paraId="28CD4768">
            <w:pPr>
              <w:widowControl/>
              <w:tabs>
                <w:tab w:val="clear" w:pos="480"/>
              </w:tabs>
              <w:adjustRightInd w:val="0"/>
              <w:snapToGrid w:val="0"/>
              <w:spacing w:line="240" w:lineRule="auto"/>
              <w:ind w:firstLine="0" w:firstLineChars="0"/>
              <w:jc w:val="center"/>
              <w:rPr>
                <w:kern w:val="0"/>
                <w:sz w:val="18"/>
                <w:szCs w:val="18"/>
              </w:rPr>
            </w:pPr>
            <w:r>
              <w:rPr>
                <w:kern w:val="0"/>
                <w:sz w:val="18"/>
                <w:szCs w:val="18"/>
              </w:rPr>
              <w:t>声源名称</w:t>
            </w:r>
          </w:p>
        </w:tc>
        <w:tc>
          <w:tcPr>
            <w:tcW w:w="456" w:type="pct"/>
            <w:vMerge w:val="restart"/>
            <w:shd w:val="clear" w:color="auto" w:fill="auto"/>
            <w:vAlign w:val="center"/>
          </w:tcPr>
          <w:p w14:paraId="66391F32">
            <w:pPr>
              <w:widowControl/>
              <w:tabs>
                <w:tab w:val="clear" w:pos="480"/>
              </w:tabs>
              <w:adjustRightInd w:val="0"/>
              <w:snapToGrid w:val="0"/>
              <w:spacing w:line="240" w:lineRule="auto"/>
              <w:ind w:firstLine="0" w:firstLineChars="0"/>
              <w:jc w:val="center"/>
              <w:rPr>
                <w:kern w:val="0"/>
                <w:sz w:val="18"/>
                <w:szCs w:val="18"/>
              </w:rPr>
            </w:pPr>
            <w:r>
              <w:rPr>
                <w:kern w:val="0"/>
                <w:sz w:val="18"/>
                <w:szCs w:val="18"/>
              </w:rPr>
              <w:t>型号</w:t>
            </w:r>
          </w:p>
        </w:tc>
        <w:tc>
          <w:tcPr>
            <w:tcW w:w="1369" w:type="pct"/>
            <w:gridSpan w:val="3"/>
            <w:shd w:val="clear" w:color="auto" w:fill="auto"/>
            <w:vAlign w:val="center"/>
          </w:tcPr>
          <w:p w14:paraId="386EA6C5">
            <w:pPr>
              <w:widowControl/>
              <w:tabs>
                <w:tab w:val="clear" w:pos="480"/>
              </w:tabs>
              <w:adjustRightInd w:val="0"/>
              <w:snapToGrid w:val="0"/>
              <w:spacing w:line="240" w:lineRule="auto"/>
              <w:ind w:firstLine="0" w:firstLineChars="0"/>
              <w:jc w:val="center"/>
              <w:rPr>
                <w:kern w:val="0"/>
                <w:sz w:val="18"/>
                <w:szCs w:val="18"/>
              </w:rPr>
            </w:pPr>
            <w:r>
              <w:rPr>
                <w:kern w:val="0"/>
                <w:sz w:val="18"/>
                <w:szCs w:val="18"/>
              </w:rPr>
              <w:t>空间相对位置m</w:t>
            </w:r>
          </w:p>
        </w:tc>
        <w:tc>
          <w:tcPr>
            <w:tcW w:w="1276" w:type="pct"/>
            <w:gridSpan w:val="2"/>
            <w:shd w:val="clear" w:color="auto" w:fill="auto"/>
            <w:vAlign w:val="center"/>
          </w:tcPr>
          <w:p w14:paraId="080092BC">
            <w:pPr>
              <w:widowControl/>
              <w:tabs>
                <w:tab w:val="clear" w:pos="480"/>
              </w:tabs>
              <w:adjustRightInd w:val="0"/>
              <w:snapToGrid w:val="0"/>
              <w:spacing w:line="240" w:lineRule="auto"/>
              <w:ind w:firstLine="0" w:firstLineChars="0"/>
              <w:jc w:val="center"/>
              <w:rPr>
                <w:kern w:val="0"/>
                <w:sz w:val="18"/>
                <w:szCs w:val="18"/>
              </w:rPr>
            </w:pPr>
            <w:r>
              <w:rPr>
                <w:kern w:val="0"/>
                <w:sz w:val="18"/>
                <w:szCs w:val="18"/>
              </w:rPr>
              <w:t>声源源强</w:t>
            </w:r>
          </w:p>
        </w:tc>
        <w:tc>
          <w:tcPr>
            <w:tcW w:w="457" w:type="pct"/>
            <w:vMerge w:val="restart"/>
            <w:shd w:val="clear" w:color="auto" w:fill="auto"/>
            <w:vAlign w:val="center"/>
          </w:tcPr>
          <w:p w14:paraId="1909EE7F">
            <w:pPr>
              <w:widowControl/>
              <w:tabs>
                <w:tab w:val="clear" w:pos="480"/>
              </w:tabs>
              <w:adjustRightInd w:val="0"/>
              <w:snapToGrid w:val="0"/>
              <w:spacing w:line="240" w:lineRule="auto"/>
              <w:ind w:firstLine="0" w:firstLineChars="0"/>
              <w:jc w:val="center"/>
              <w:rPr>
                <w:kern w:val="0"/>
                <w:sz w:val="18"/>
                <w:szCs w:val="18"/>
              </w:rPr>
            </w:pPr>
            <w:r>
              <w:rPr>
                <w:kern w:val="0"/>
                <w:sz w:val="18"/>
                <w:szCs w:val="18"/>
              </w:rPr>
              <w:t>声源控制措施</w:t>
            </w:r>
          </w:p>
        </w:tc>
        <w:tc>
          <w:tcPr>
            <w:tcW w:w="380" w:type="pct"/>
            <w:vMerge w:val="restart"/>
            <w:shd w:val="clear" w:color="auto" w:fill="auto"/>
            <w:vAlign w:val="center"/>
          </w:tcPr>
          <w:p w14:paraId="2D0F3A75">
            <w:pPr>
              <w:widowControl/>
              <w:tabs>
                <w:tab w:val="clear" w:pos="480"/>
              </w:tabs>
              <w:adjustRightInd w:val="0"/>
              <w:snapToGrid w:val="0"/>
              <w:spacing w:line="240" w:lineRule="auto"/>
              <w:ind w:firstLine="0" w:firstLineChars="0"/>
              <w:jc w:val="center"/>
              <w:rPr>
                <w:kern w:val="0"/>
                <w:sz w:val="18"/>
                <w:szCs w:val="18"/>
              </w:rPr>
            </w:pPr>
            <w:r>
              <w:rPr>
                <w:kern w:val="0"/>
                <w:sz w:val="18"/>
                <w:szCs w:val="18"/>
              </w:rPr>
              <w:t>运行时段</w:t>
            </w:r>
          </w:p>
        </w:tc>
      </w:tr>
      <w:tr w14:paraId="0FFCF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vMerge w:val="continue"/>
            <w:shd w:val="clear" w:color="auto" w:fill="auto"/>
            <w:vAlign w:val="center"/>
          </w:tcPr>
          <w:p w14:paraId="57FB393E">
            <w:pPr>
              <w:widowControl/>
              <w:tabs>
                <w:tab w:val="clear" w:pos="480"/>
              </w:tabs>
              <w:adjustRightInd w:val="0"/>
              <w:snapToGrid w:val="0"/>
              <w:spacing w:line="240" w:lineRule="auto"/>
              <w:ind w:firstLine="0" w:firstLineChars="0"/>
              <w:jc w:val="center"/>
              <w:rPr>
                <w:kern w:val="0"/>
                <w:sz w:val="18"/>
                <w:szCs w:val="18"/>
              </w:rPr>
            </w:pPr>
          </w:p>
        </w:tc>
        <w:tc>
          <w:tcPr>
            <w:tcW w:w="736" w:type="pct"/>
            <w:vMerge w:val="continue"/>
            <w:shd w:val="clear" w:color="auto" w:fill="auto"/>
            <w:vAlign w:val="center"/>
          </w:tcPr>
          <w:p w14:paraId="5BCFD397">
            <w:pPr>
              <w:widowControl/>
              <w:tabs>
                <w:tab w:val="clear" w:pos="480"/>
              </w:tabs>
              <w:adjustRightInd w:val="0"/>
              <w:snapToGrid w:val="0"/>
              <w:spacing w:line="240" w:lineRule="auto"/>
              <w:ind w:firstLine="0" w:firstLineChars="0"/>
              <w:jc w:val="center"/>
              <w:rPr>
                <w:kern w:val="0"/>
                <w:sz w:val="18"/>
                <w:szCs w:val="18"/>
              </w:rPr>
            </w:pPr>
          </w:p>
        </w:tc>
        <w:tc>
          <w:tcPr>
            <w:tcW w:w="456" w:type="pct"/>
            <w:vMerge w:val="continue"/>
            <w:shd w:val="clear" w:color="auto" w:fill="auto"/>
            <w:vAlign w:val="center"/>
          </w:tcPr>
          <w:p w14:paraId="4EF5406A">
            <w:pPr>
              <w:widowControl/>
              <w:tabs>
                <w:tab w:val="clear" w:pos="480"/>
              </w:tabs>
              <w:adjustRightInd w:val="0"/>
              <w:snapToGrid w:val="0"/>
              <w:spacing w:line="240" w:lineRule="auto"/>
              <w:ind w:firstLine="0" w:firstLineChars="0"/>
              <w:jc w:val="center"/>
              <w:rPr>
                <w:kern w:val="0"/>
                <w:sz w:val="18"/>
                <w:szCs w:val="18"/>
              </w:rPr>
            </w:pPr>
          </w:p>
        </w:tc>
        <w:tc>
          <w:tcPr>
            <w:tcW w:w="456" w:type="pct"/>
            <w:shd w:val="clear" w:color="auto" w:fill="auto"/>
            <w:vAlign w:val="center"/>
          </w:tcPr>
          <w:p w14:paraId="31B50650">
            <w:pPr>
              <w:widowControl/>
              <w:tabs>
                <w:tab w:val="clear" w:pos="480"/>
              </w:tabs>
              <w:adjustRightInd w:val="0"/>
              <w:snapToGrid w:val="0"/>
              <w:spacing w:line="240" w:lineRule="auto"/>
              <w:ind w:firstLine="0" w:firstLineChars="0"/>
              <w:jc w:val="center"/>
              <w:rPr>
                <w:kern w:val="0"/>
                <w:sz w:val="18"/>
                <w:szCs w:val="18"/>
              </w:rPr>
            </w:pPr>
            <w:r>
              <w:rPr>
                <w:kern w:val="0"/>
                <w:sz w:val="18"/>
                <w:szCs w:val="18"/>
              </w:rPr>
              <w:t>X</w:t>
            </w:r>
          </w:p>
        </w:tc>
        <w:tc>
          <w:tcPr>
            <w:tcW w:w="456" w:type="pct"/>
            <w:shd w:val="clear" w:color="auto" w:fill="auto"/>
            <w:vAlign w:val="center"/>
          </w:tcPr>
          <w:p w14:paraId="08C002CF">
            <w:pPr>
              <w:widowControl/>
              <w:tabs>
                <w:tab w:val="clear" w:pos="480"/>
              </w:tabs>
              <w:adjustRightInd w:val="0"/>
              <w:snapToGrid w:val="0"/>
              <w:spacing w:line="240" w:lineRule="auto"/>
              <w:ind w:firstLine="0" w:firstLineChars="0"/>
              <w:jc w:val="center"/>
              <w:rPr>
                <w:kern w:val="0"/>
                <w:sz w:val="18"/>
                <w:szCs w:val="18"/>
              </w:rPr>
            </w:pPr>
            <w:r>
              <w:rPr>
                <w:kern w:val="0"/>
                <w:sz w:val="18"/>
                <w:szCs w:val="18"/>
              </w:rPr>
              <w:t>Y</w:t>
            </w:r>
          </w:p>
        </w:tc>
        <w:tc>
          <w:tcPr>
            <w:tcW w:w="457" w:type="pct"/>
            <w:shd w:val="clear" w:color="auto" w:fill="auto"/>
            <w:vAlign w:val="center"/>
          </w:tcPr>
          <w:p w14:paraId="49386736">
            <w:pPr>
              <w:widowControl/>
              <w:tabs>
                <w:tab w:val="clear" w:pos="480"/>
              </w:tabs>
              <w:adjustRightInd w:val="0"/>
              <w:snapToGrid w:val="0"/>
              <w:spacing w:line="240" w:lineRule="auto"/>
              <w:ind w:firstLine="0" w:firstLineChars="0"/>
              <w:jc w:val="center"/>
              <w:rPr>
                <w:kern w:val="0"/>
                <w:sz w:val="18"/>
                <w:szCs w:val="18"/>
              </w:rPr>
            </w:pPr>
            <w:r>
              <w:rPr>
                <w:kern w:val="0"/>
                <w:sz w:val="18"/>
                <w:szCs w:val="18"/>
              </w:rPr>
              <w:t>Z</w:t>
            </w:r>
          </w:p>
        </w:tc>
        <w:tc>
          <w:tcPr>
            <w:tcW w:w="546" w:type="pct"/>
            <w:shd w:val="clear" w:color="auto" w:fill="auto"/>
            <w:vAlign w:val="center"/>
          </w:tcPr>
          <w:p w14:paraId="13DC5C4F">
            <w:pPr>
              <w:widowControl/>
              <w:tabs>
                <w:tab w:val="clear" w:pos="480"/>
              </w:tabs>
              <w:adjustRightInd w:val="0"/>
              <w:snapToGrid w:val="0"/>
              <w:spacing w:line="240" w:lineRule="auto"/>
              <w:ind w:firstLine="0" w:firstLineChars="0"/>
              <w:jc w:val="center"/>
              <w:rPr>
                <w:kern w:val="0"/>
                <w:sz w:val="18"/>
                <w:szCs w:val="18"/>
              </w:rPr>
            </w:pPr>
            <w:r>
              <w:rPr>
                <w:kern w:val="0"/>
                <w:sz w:val="18"/>
                <w:szCs w:val="18"/>
              </w:rPr>
              <w:t>声压级</w:t>
            </w:r>
          </w:p>
          <w:p w14:paraId="07CE0670">
            <w:pPr>
              <w:widowControl/>
              <w:tabs>
                <w:tab w:val="clear" w:pos="480"/>
              </w:tabs>
              <w:adjustRightInd w:val="0"/>
              <w:snapToGrid w:val="0"/>
              <w:spacing w:line="240" w:lineRule="auto"/>
              <w:ind w:firstLine="0" w:firstLineChars="0"/>
              <w:jc w:val="center"/>
              <w:rPr>
                <w:kern w:val="0"/>
                <w:sz w:val="18"/>
                <w:szCs w:val="18"/>
              </w:rPr>
            </w:pPr>
            <w:r>
              <w:rPr>
                <w:kern w:val="0"/>
                <w:sz w:val="18"/>
                <w:szCs w:val="18"/>
              </w:rPr>
              <w:t>/dB（A）</w:t>
            </w:r>
          </w:p>
        </w:tc>
        <w:tc>
          <w:tcPr>
            <w:tcW w:w="730" w:type="pct"/>
            <w:shd w:val="clear" w:color="auto" w:fill="auto"/>
            <w:vAlign w:val="center"/>
          </w:tcPr>
          <w:p w14:paraId="05D9B1F6">
            <w:pPr>
              <w:widowControl/>
              <w:tabs>
                <w:tab w:val="clear" w:pos="480"/>
              </w:tabs>
              <w:adjustRightInd w:val="0"/>
              <w:snapToGrid w:val="0"/>
              <w:spacing w:line="240" w:lineRule="auto"/>
              <w:ind w:firstLine="0" w:firstLineChars="0"/>
              <w:jc w:val="center"/>
              <w:rPr>
                <w:kern w:val="0"/>
                <w:sz w:val="18"/>
                <w:szCs w:val="18"/>
              </w:rPr>
            </w:pPr>
            <w:r>
              <w:rPr>
                <w:kern w:val="0"/>
                <w:sz w:val="18"/>
                <w:szCs w:val="18"/>
              </w:rPr>
              <w:t>与声源距离（m）</w:t>
            </w:r>
          </w:p>
        </w:tc>
        <w:tc>
          <w:tcPr>
            <w:tcW w:w="457" w:type="pct"/>
            <w:vMerge w:val="continue"/>
            <w:shd w:val="clear" w:color="auto" w:fill="auto"/>
            <w:vAlign w:val="center"/>
          </w:tcPr>
          <w:p w14:paraId="0B8CD17C">
            <w:pPr>
              <w:shd w:val="clear" w:color="auto" w:fill="FFFFFF"/>
              <w:tabs>
                <w:tab w:val="clear" w:pos="480"/>
              </w:tabs>
              <w:adjustRightInd w:val="0"/>
              <w:snapToGrid w:val="0"/>
              <w:spacing w:line="240" w:lineRule="auto"/>
              <w:ind w:firstLine="0" w:firstLineChars="0"/>
              <w:jc w:val="center"/>
              <w:rPr>
                <w:kern w:val="0"/>
                <w:sz w:val="18"/>
                <w:szCs w:val="18"/>
              </w:rPr>
            </w:pPr>
          </w:p>
        </w:tc>
        <w:tc>
          <w:tcPr>
            <w:tcW w:w="380" w:type="pct"/>
            <w:vMerge w:val="continue"/>
            <w:shd w:val="clear" w:color="auto" w:fill="auto"/>
            <w:vAlign w:val="center"/>
          </w:tcPr>
          <w:p w14:paraId="344D2E7B">
            <w:pPr>
              <w:shd w:val="clear" w:color="auto" w:fill="FFFFFF"/>
              <w:tabs>
                <w:tab w:val="clear" w:pos="480"/>
              </w:tabs>
              <w:adjustRightInd w:val="0"/>
              <w:snapToGrid w:val="0"/>
              <w:spacing w:line="240" w:lineRule="auto"/>
              <w:ind w:firstLine="0" w:firstLineChars="0"/>
              <w:jc w:val="center"/>
              <w:rPr>
                <w:kern w:val="0"/>
                <w:sz w:val="18"/>
                <w:szCs w:val="18"/>
              </w:rPr>
            </w:pPr>
          </w:p>
        </w:tc>
      </w:tr>
      <w:tr w14:paraId="3BE45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shd w:val="clear" w:color="auto" w:fill="auto"/>
            <w:vAlign w:val="center"/>
          </w:tcPr>
          <w:p w14:paraId="76169F5C">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736" w:type="pct"/>
            <w:shd w:val="clear" w:color="auto" w:fill="auto"/>
            <w:vAlign w:val="center"/>
          </w:tcPr>
          <w:p w14:paraId="5CEC8428">
            <w:pPr>
              <w:widowControl/>
              <w:tabs>
                <w:tab w:val="clear" w:pos="480"/>
              </w:tabs>
              <w:adjustRightInd w:val="0"/>
              <w:snapToGrid w:val="0"/>
              <w:spacing w:line="240" w:lineRule="auto"/>
              <w:ind w:firstLine="0" w:firstLineChars="0"/>
              <w:jc w:val="center"/>
              <w:rPr>
                <w:kern w:val="0"/>
                <w:sz w:val="18"/>
                <w:szCs w:val="18"/>
              </w:rPr>
            </w:pPr>
            <w:r>
              <w:rPr>
                <w:kern w:val="0"/>
                <w:sz w:val="18"/>
                <w:szCs w:val="18"/>
              </w:rPr>
              <w:t>主变压器</w:t>
            </w:r>
          </w:p>
        </w:tc>
        <w:tc>
          <w:tcPr>
            <w:tcW w:w="456" w:type="pct"/>
            <w:shd w:val="clear" w:color="auto" w:fill="auto"/>
            <w:vAlign w:val="center"/>
          </w:tcPr>
          <w:p w14:paraId="7896D68F">
            <w:pPr>
              <w:widowControl/>
              <w:tabs>
                <w:tab w:val="clear" w:pos="480"/>
              </w:tabs>
              <w:adjustRightInd w:val="0"/>
              <w:snapToGrid w:val="0"/>
              <w:spacing w:line="240" w:lineRule="auto"/>
              <w:ind w:firstLine="0" w:firstLineChars="0"/>
              <w:jc w:val="center"/>
              <w:rPr>
                <w:kern w:val="0"/>
                <w:sz w:val="18"/>
                <w:szCs w:val="18"/>
              </w:rPr>
            </w:pPr>
            <w:r>
              <w:rPr>
                <w:kern w:val="0"/>
                <w:sz w:val="18"/>
                <w:szCs w:val="18"/>
              </w:rPr>
              <w:t>SZ□-</w:t>
            </w:r>
          </w:p>
          <w:p w14:paraId="4DB21898">
            <w:pPr>
              <w:widowControl/>
              <w:tabs>
                <w:tab w:val="clear" w:pos="480"/>
              </w:tabs>
              <w:adjustRightInd w:val="0"/>
              <w:snapToGrid w:val="0"/>
              <w:spacing w:line="240" w:lineRule="auto"/>
              <w:ind w:firstLine="0" w:firstLineChars="0"/>
              <w:jc w:val="center"/>
              <w:rPr>
                <w:kern w:val="0"/>
                <w:sz w:val="18"/>
                <w:szCs w:val="18"/>
              </w:rPr>
            </w:pPr>
            <w:r>
              <w:rPr>
                <w:kern w:val="0"/>
                <w:sz w:val="18"/>
                <w:szCs w:val="18"/>
              </w:rPr>
              <w:t>50000</w:t>
            </w:r>
          </w:p>
          <w:p w14:paraId="446667BE">
            <w:pPr>
              <w:widowControl/>
              <w:tabs>
                <w:tab w:val="clear" w:pos="480"/>
              </w:tabs>
              <w:adjustRightInd w:val="0"/>
              <w:snapToGrid w:val="0"/>
              <w:spacing w:line="240" w:lineRule="auto"/>
              <w:ind w:firstLine="0" w:firstLineChars="0"/>
              <w:jc w:val="center"/>
              <w:rPr>
                <w:kern w:val="0"/>
                <w:sz w:val="18"/>
                <w:szCs w:val="18"/>
              </w:rPr>
            </w:pPr>
            <w:r>
              <w:rPr>
                <w:kern w:val="0"/>
                <w:sz w:val="18"/>
                <w:szCs w:val="18"/>
              </w:rPr>
              <w:t>/110</w:t>
            </w:r>
          </w:p>
        </w:tc>
        <w:tc>
          <w:tcPr>
            <w:tcW w:w="456" w:type="pct"/>
            <w:shd w:val="clear" w:color="auto" w:fill="auto"/>
            <w:vAlign w:val="center"/>
          </w:tcPr>
          <w:p w14:paraId="27A6CCC6">
            <w:pPr>
              <w:widowControl/>
              <w:tabs>
                <w:tab w:val="clear" w:pos="480"/>
              </w:tabs>
              <w:adjustRightInd w:val="0"/>
              <w:snapToGrid w:val="0"/>
              <w:spacing w:line="240" w:lineRule="auto"/>
              <w:ind w:firstLine="0" w:firstLineChars="0"/>
              <w:jc w:val="center"/>
              <w:rPr>
                <w:kern w:val="0"/>
                <w:sz w:val="18"/>
                <w:szCs w:val="18"/>
              </w:rPr>
            </w:pPr>
            <w:r>
              <w:rPr>
                <w:kern w:val="0"/>
                <w:sz w:val="18"/>
                <w:szCs w:val="18"/>
              </w:rPr>
              <w:t>-2</w:t>
            </w:r>
          </w:p>
        </w:tc>
        <w:tc>
          <w:tcPr>
            <w:tcW w:w="456" w:type="pct"/>
            <w:shd w:val="clear" w:color="auto" w:fill="auto"/>
            <w:vAlign w:val="center"/>
          </w:tcPr>
          <w:p w14:paraId="450A9F39">
            <w:pPr>
              <w:widowControl/>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457" w:type="pct"/>
            <w:shd w:val="clear" w:color="auto" w:fill="auto"/>
            <w:vAlign w:val="center"/>
          </w:tcPr>
          <w:p w14:paraId="438B18A3">
            <w:pPr>
              <w:widowControl/>
              <w:tabs>
                <w:tab w:val="clear" w:pos="480"/>
              </w:tabs>
              <w:adjustRightInd w:val="0"/>
              <w:snapToGrid w:val="0"/>
              <w:spacing w:line="240" w:lineRule="auto"/>
              <w:ind w:firstLine="0" w:firstLineChars="0"/>
              <w:jc w:val="center"/>
              <w:rPr>
                <w:kern w:val="0"/>
                <w:sz w:val="18"/>
                <w:szCs w:val="18"/>
              </w:rPr>
            </w:pPr>
            <w:r>
              <w:rPr>
                <w:kern w:val="0"/>
                <w:sz w:val="18"/>
                <w:szCs w:val="18"/>
              </w:rPr>
              <w:t>0.5</w:t>
            </w:r>
          </w:p>
        </w:tc>
        <w:tc>
          <w:tcPr>
            <w:tcW w:w="546" w:type="pct"/>
            <w:shd w:val="clear" w:color="auto" w:fill="auto"/>
            <w:vAlign w:val="center"/>
          </w:tcPr>
          <w:p w14:paraId="4A3CF144">
            <w:pPr>
              <w:widowControl/>
              <w:tabs>
                <w:tab w:val="clear" w:pos="480"/>
              </w:tabs>
              <w:adjustRightInd w:val="0"/>
              <w:snapToGrid w:val="0"/>
              <w:spacing w:line="240" w:lineRule="auto"/>
              <w:ind w:firstLine="0" w:firstLineChars="0"/>
              <w:jc w:val="center"/>
              <w:rPr>
                <w:kern w:val="0"/>
                <w:sz w:val="18"/>
                <w:szCs w:val="18"/>
              </w:rPr>
            </w:pPr>
            <w:r>
              <w:rPr>
                <w:kern w:val="0"/>
                <w:sz w:val="18"/>
                <w:szCs w:val="18"/>
              </w:rPr>
              <w:t>65</w:t>
            </w:r>
          </w:p>
        </w:tc>
        <w:tc>
          <w:tcPr>
            <w:tcW w:w="730" w:type="pct"/>
            <w:shd w:val="clear" w:color="auto" w:fill="auto"/>
            <w:vAlign w:val="center"/>
          </w:tcPr>
          <w:p w14:paraId="1F00A58E">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457" w:type="pct"/>
            <w:shd w:val="clear" w:color="auto" w:fill="auto"/>
            <w:vAlign w:val="center"/>
          </w:tcPr>
          <w:p w14:paraId="76DC08FB">
            <w:pPr>
              <w:tabs>
                <w:tab w:val="clear" w:pos="480"/>
              </w:tabs>
              <w:adjustRightInd w:val="0"/>
              <w:snapToGrid w:val="0"/>
              <w:spacing w:line="240" w:lineRule="auto"/>
              <w:ind w:firstLine="0" w:firstLineChars="0"/>
              <w:jc w:val="center"/>
              <w:rPr>
                <w:kern w:val="0"/>
                <w:sz w:val="18"/>
                <w:szCs w:val="18"/>
              </w:rPr>
            </w:pPr>
            <w:r>
              <w:rPr>
                <w:kern w:val="0"/>
                <w:sz w:val="18"/>
                <w:szCs w:val="18"/>
              </w:rPr>
              <w:t>低噪声设备</w:t>
            </w:r>
          </w:p>
        </w:tc>
        <w:tc>
          <w:tcPr>
            <w:tcW w:w="380" w:type="pct"/>
            <w:shd w:val="clear" w:color="auto" w:fill="auto"/>
            <w:vAlign w:val="center"/>
          </w:tcPr>
          <w:p w14:paraId="72518190">
            <w:pPr>
              <w:widowControl/>
              <w:tabs>
                <w:tab w:val="clear" w:pos="480"/>
              </w:tabs>
              <w:adjustRightInd w:val="0"/>
              <w:snapToGrid w:val="0"/>
              <w:spacing w:line="240" w:lineRule="auto"/>
              <w:ind w:firstLine="0" w:firstLineChars="0"/>
              <w:jc w:val="center"/>
              <w:rPr>
                <w:kern w:val="0"/>
                <w:sz w:val="18"/>
                <w:szCs w:val="18"/>
              </w:rPr>
            </w:pPr>
            <w:r>
              <w:rPr>
                <w:kern w:val="0"/>
                <w:sz w:val="18"/>
                <w:szCs w:val="18"/>
              </w:rPr>
              <w:t>全时段</w:t>
            </w:r>
          </w:p>
        </w:tc>
      </w:tr>
      <w:tr w14:paraId="4706E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shd w:val="clear" w:color="auto" w:fill="auto"/>
            <w:vAlign w:val="center"/>
          </w:tcPr>
          <w:p w14:paraId="43264641">
            <w:pPr>
              <w:widowControl/>
              <w:tabs>
                <w:tab w:val="clear" w:pos="480"/>
              </w:tabs>
              <w:adjustRightInd w:val="0"/>
              <w:snapToGrid w:val="0"/>
              <w:spacing w:line="240" w:lineRule="auto"/>
              <w:ind w:firstLine="0" w:firstLineChars="0"/>
              <w:jc w:val="center"/>
              <w:rPr>
                <w:kern w:val="0"/>
                <w:sz w:val="18"/>
                <w:szCs w:val="18"/>
              </w:rPr>
            </w:pPr>
            <w:r>
              <w:rPr>
                <w:kern w:val="0"/>
                <w:sz w:val="18"/>
                <w:szCs w:val="18"/>
              </w:rPr>
              <w:t>2</w:t>
            </w:r>
          </w:p>
        </w:tc>
        <w:tc>
          <w:tcPr>
            <w:tcW w:w="736" w:type="pct"/>
            <w:shd w:val="clear" w:color="auto" w:fill="auto"/>
            <w:vAlign w:val="center"/>
          </w:tcPr>
          <w:p w14:paraId="2E621411">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S</w:t>
            </w:r>
            <w:r>
              <w:rPr>
                <w:kern w:val="0"/>
                <w:sz w:val="18"/>
                <w:szCs w:val="18"/>
              </w:rPr>
              <w:t>VG</w:t>
            </w:r>
            <w:r>
              <w:rPr>
                <w:rFonts w:hint="eastAsia"/>
                <w:kern w:val="0"/>
                <w:sz w:val="18"/>
                <w:szCs w:val="18"/>
              </w:rPr>
              <w:t>风机</w:t>
            </w:r>
          </w:p>
        </w:tc>
        <w:tc>
          <w:tcPr>
            <w:tcW w:w="456" w:type="pct"/>
            <w:shd w:val="clear" w:color="auto" w:fill="auto"/>
            <w:vAlign w:val="center"/>
          </w:tcPr>
          <w:p w14:paraId="03A88B99">
            <w:pPr>
              <w:widowControl/>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456" w:type="pct"/>
            <w:shd w:val="clear" w:color="auto" w:fill="auto"/>
            <w:vAlign w:val="center"/>
          </w:tcPr>
          <w:p w14:paraId="740021A1">
            <w:pPr>
              <w:widowControl/>
              <w:tabs>
                <w:tab w:val="clear" w:pos="480"/>
              </w:tabs>
              <w:adjustRightInd w:val="0"/>
              <w:snapToGrid w:val="0"/>
              <w:spacing w:line="240" w:lineRule="auto"/>
              <w:ind w:firstLine="0" w:firstLineChars="0"/>
              <w:jc w:val="center"/>
              <w:rPr>
                <w:kern w:val="0"/>
                <w:sz w:val="18"/>
                <w:szCs w:val="18"/>
              </w:rPr>
            </w:pPr>
            <w:r>
              <w:rPr>
                <w:kern w:val="0"/>
                <w:sz w:val="18"/>
                <w:szCs w:val="18"/>
              </w:rPr>
              <w:t>8</w:t>
            </w:r>
          </w:p>
        </w:tc>
        <w:tc>
          <w:tcPr>
            <w:tcW w:w="456" w:type="pct"/>
            <w:shd w:val="clear" w:color="auto" w:fill="auto"/>
            <w:vAlign w:val="center"/>
          </w:tcPr>
          <w:p w14:paraId="44170E68">
            <w:pPr>
              <w:widowControl/>
              <w:tabs>
                <w:tab w:val="clear" w:pos="480"/>
              </w:tabs>
              <w:adjustRightInd w:val="0"/>
              <w:snapToGrid w:val="0"/>
              <w:spacing w:line="240" w:lineRule="auto"/>
              <w:ind w:firstLine="0" w:firstLineChars="0"/>
              <w:jc w:val="center"/>
              <w:rPr>
                <w:kern w:val="0"/>
                <w:sz w:val="18"/>
                <w:szCs w:val="18"/>
              </w:rPr>
            </w:pPr>
            <w:r>
              <w:rPr>
                <w:kern w:val="0"/>
                <w:sz w:val="18"/>
                <w:szCs w:val="18"/>
              </w:rPr>
              <w:t>-9</w:t>
            </w:r>
          </w:p>
        </w:tc>
        <w:tc>
          <w:tcPr>
            <w:tcW w:w="457" w:type="pct"/>
            <w:shd w:val="clear" w:color="auto" w:fill="auto"/>
            <w:vAlign w:val="center"/>
          </w:tcPr>
          <w:p w14:paraId="43907B6E">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.5</w:t>
            </w:r>
          </w:p>
        </w:tc>
        <w:tc>
          <w:tcPr>
            <w:tcW w:w="546" w:type="pct"/>
            <w:shd w:val="clear" w:color="auto" w:fill="auto"/>
            <w:vAlign w:val="center"/>
          </w:tcPr>
          <w:p w14:paraId="18DC0806">
            <w:pPr>
              <w:widowControl/>
              <w:tabs>
                <w:tab w:val="clear" w:pos="480"/>
              </w:tabs>
              <w:adjustRightInd w:val="0"/>
              <w:snapToGrid w:val="0"/>
              <w:spacing w:line="240" w:lineRule="auto"/>
              <w:ind w:firstLine="0" w:firstLineChars="0"/>
              <w:jc w:val="center"/>
              <w:rPr>
                <w:kern w:val="0"/>
                <w:sz w:val="18"/>
                <w:szCs w:val="18"/>
              </w:rPr>
            </w:pPr>
            <w:r>
              <w:rPr>
                <w:kern w:val="0"/>
                <w:sz w:val="18"/>
                <w:szCs w:val="18"/>
              </w:rPr>
              <w:t>65</w:t>
            </w:r>
          </w:p>
        </w:tc>
        <w:tc>
          <w:tcPr>
            <w:tcW w:w="730" w:type="pct"/>
            <w:shd w:val="clear" w:color="auto" w:fill="auto"/>
            <w:vAlign w:val="center"/>
          </w:tcPr>
          <w:p w14:paraId="4C2C9895">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457" w:type="pct"/>
            <w:vMerge w:val="restart"/>
            <w:shd w:val="clear" w:color="auto" w:fill="auto"/>
            <w:vAlign w:val="center"/>
          </w:tcPr>
          <w:p w14:paraId="65E67421">
            <w:pPr>
              <w:tabs>
                <w:tab w:val="clear" w:pos="480"/>
              </w:tabs>
              <w:adjustRightInd w:val="0"/>
              <w:snapToGrid w:val="0"/>
              <w:spacing w:line="240" w:lineRule="auto"/>
              <w:ind w:firstLine="0" w:firstLineChars="0"/>
              <w:jc w:val="center"/>
              <w:rPr>
                <w:kern w:val="0"/>
                <w:sz w:val="18"/>
                <w:szCs w:val="18"/>
              </w:rPr>
            </w:pPr>
            <w:r>
              <w:rPr>
                <w:kern w:val="0"/>
                <w:sz w:val="18"/>
                <w:szCs w:val="18"/>
              </w:rPr>
              <w:t>加装消声弯头</w:t>
            </w:r>
          </w:p>
        </w:tc>
        <w:tc>
          <w:tcPr>
            <w:tcW w:w="380" w:type="pct"/>
            <w:vMerge w:val="restart"/>
            <w:shd w:val="clear" w:color="auto" w:fill="auto"/>
            <w:vAlign w:val="center"/>
          </w:tcPr>
          <w:p w14:paraId="5501F452">
            <w:pPr>
              <w:widowControl/>
              <w:tabs>
                <w:tab w:val="clear" w:pos="480"/>
              </w:tabs>
              <w:adjustRightInd w:val="0"/>
              <w:snapToGrid w:val="0"/>
              <w:spacing w:line="240" w:lineRule="auto"/>
              <w:ind w:firstLine="0" w:firstLineChars="0"/>
              <w:jc w:val="center"/>
              <w:rPr>
                <w:kern w:val="0"/>
                <w:sz w:val="18"/>
                <w:szCs w:val="18"/>
              </w:rPr>
            </w:pPr>
            <w:r>
              <w:rPr>
                <w:kern w:val="0"/>
                <w:sz w:val="18"/>
                <w:szCs w:val="18"/>
              </w:rPr>
              <w:t>配电装置室换气时</w:t>
            </w:r>
          </w:p>
        </w:tc>
      </w:tr>
      <w:tr w14:paraId="1F88CE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shd w:val="clear" w:color="auto" w:fill="auto"/>
            <w:vAlign w:val="center"/>
          </w:tcPr>
          <w:p w14:paraId="6E162FC4">
            <w:pPr>
              <w:widowControl/>
              <w:tabs>
                <w:tab w:val="clear" w:pos="480"/>
              </w:tabs>
              <w:adjustRightInd w:val="0"/>
              <w:snapToGrid w:val="0"/>
              <w:spacing w:line="240" w:lineRule="auto"/>
              <w:ind w:firstLine="0" w:firstLineChars="0"/>
              <w:jc w:val="center"/>
              <w:rPr>
                <w:kern w:val="0"/>
                <w:sz w:val="18"/>
                <w:szCs w:val="18"/>
              </w:rPr>
            </w:pPr>
            <w:r>
              <w:rPr>
                <w:kern w:val="0"/>
                <w:sz w:val="18"/>
                <w:szCs w:val="18"/>
              </w:rPr>
              <w:t>3</w:t>
            </w:r>
          </w:p>
        </w:tc>
        <w:tc>
          <w:tcPr>
            <w:tcW w:w="736" w:type="pct"/>
            <w:shd w:val="clear" w:color="auto" w:fill="auto"/>
            <w:vAlign w:val="center"/>
          </w:tcPr>
          <w:p w14:paraId="643356E8">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G</w:t>
            </w:r>
            <w:r>
              <w:rPr>
                <w:kern w:val="0"/>
                <w:sz w:val="18"/>
                <w:szCs w:val="18"/>
              </w:rPr>
              <w:t>S</w:t>
            </w:r>
            <w:r>
              <w:rPr>
                <w:rFonts w:hint="eastAsia"/>
                <w:kern w:val="0"/>
                <w:sz w:val="18"/>
                <w:szCs w:val="18"/>
              </w:rPr>
              <w:t>风机</w:t>
            </w:r>
          </w:p>
        </w:tc>
        <w:tc>
          <w:tcPr>
            <w:tcW w:w="456" w:type="pct"/>
            <w:shd w:val="clear" w:color="auto" w:fill="auto"/>
            <w:vAlign w:val="center"/>
          </w:tcPr>
          <w:p w14:paraId="2099E0EB">
            <w:pPr>
              <w:widowControl/>
              <w:tabs>
                <w:tab w:val="clear" w:pos="480"/>
              </w:tabs>
              <w:adjustRightInd w:val="0"/>
              <w:snapToGrid w:val="0"/>
              <w:spacing w:line="240" w:lineRule="auto"/>
              <w:ind w:firstLine="0" w:firstLineChars="0"/>
              <w:jc w:val="center"/>
              <w:rPr>
                <w:kern w:val="0"/>
                <w:sz w:val="18"/>
                <w:szCs w:val="18"/>
              </w:rPr>
            </w:pPr>
            <w:r>
              <w:rPr>
                <w:kern w:val="0"/>
                <w:sz w:val="18"/>
                <w:szCs w:val="18"/>
              </w:rPr>
              <w:t>/</w:t>
            </w:r>
          </w:p>
        </w:tc>
        <w:tc>
          <w:tcPr>
            <w:tcW w:w="456" w:type="pct"/>
            <w:shd w:val="clear" w:color="auto" w:fill="auto"/>
            <w:vAlign w:val="center"/>
          </w:tcPr>
          <w:p w14:paraId="4A565AA8">
            <w:pPr>
              <w:widowControl/>
              <w:tabs>
                <w:tab w:val="clear" w:pos="480"/>
              </w:tabs>
              <w:adjustRightInd w:val="0"/>
              <w:snapToGrid w:val="0"/>
              <w:spacing w:line="240" w:lineRule="auto"/>
              <w:ind w:firstLine="0" w:firstLineChars="0"/>
              <w:jc w:val="center"/>
              <w:rPr>
                <w:kern w:val="0"/>
                <w:sz w:val="18"/>
                <w:szCs w:val="18"/>
              </w:rPr>
            </w:pPr>
            <w:r>
              <w:rPr>
                <w:kern w:val="0"/>
                <w:sz w:val="18"/>
                <w:szCs w:val="18"/>
              </w:rPr>
              <w:t>-22</w:t>
            </w:r>
          </w:p>
        </w:tc>
        <w:tc>
          <w:tcPr>
            <w:tcW w:w="456" w:type="pct"/>
            <w:shd w:val="clear" w:color="auto" w:fill="auto"/>
            <w:vAlign w:val="center"/>
          </w:tcPr>
          <w:p w14:paraId="6DE0BD37">
            <w:pPr>
              <w:widowControl/>
              <w:tabs>
                <w:tab w:val="clear" w:pos="480"/>
              </w:tabs>
              <w:adjustRightInd w:val="0"/>
              <w:snapToGrid w:val="0"/>
              <w:spacing w:line="240" w:lineRule="auto"/>
              <w:ind w:firstLine="0" w:firstLineChars="0"/>
              <w:jc w:val="center"/>
              <w:rPr>
                <w:kern w:val="0"/>
                <w:sz w:val="18"/>
                <w:szCs w:val="18"/>
              </w:rPr>
            </w:pPr>
            <w:r>
              <w:rPr>
                <w:kern w:val="0"/>
                <w:sz w:val="18"/>
                <w:szCs w:val="18"/>
              </w:rPr>
              <w:t>-34</w:t>
            </w:r>
          </w:p>
        </w:tc>
        <w:tc>
          <w:tcPr>
            <w:tcW w:w="457" w:type="pct"/>
            <w:shd w:val="clear" w:color="auto" w:fill="auto"/>
            <w:vAlign w:val="center"/>
          </w:tcPr>
          <w:p w14:paraId="61C7CD2E">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r>
              <w:rPr>
                <w:kern w:val="0"/>
                <w:sz w:val="18"/>
                <w:szCs w:val="18"/>
              </w:rPr>
              <w:t>.5</w:t>
            </w:r>
          </w:p>
        </w:tc>
        <w:tc>
          <w:tcPr>
            <w:tcW w:w="546" w:type="pct"/>
            <w:shd w:val="clear" w:color="auto" w:fill="auto"/>
            <w:vAlign w:val="center"/>
          </w:tcPr>
          <w:p w14:paraId="4917549F">
            <w:pPr>
              <w:widowControl/>
              <w:tabs>
                <w:tab w:val="clear" w:pos="480"/>
              </w:tabs>
              <w:adjustRightInd w:val="0"/>
              <w:snapToGrid w:val="0"/>
              <w:spacing w:line="240" w:lineRule="auto"/>
              <w:ind w:firstLine="0" w:firstLineChars="0"/>
              <w:jc w:val="center"/>
              <w:rPr>
                <w:kern w:val="0"/>
                <w:sz w:val="18"/>
                <w:szCs w:val="18"/>
              </w:rPr>
            </w:pPr>
            <w:r>
              <w:rPr>
                <w:kern w:val="0"/>
                <w:sz w:val="18"/>
                <w:szCs w:val="18"/>
              </w:rPr>
              <w:t>65</w:t>
            </w:r>
          </w:p>
        </w:tc>
        <w:tc>
          <w:tcPr>
            <w:tcW w:w="730" w:type="pct"/>
            <w:shd w:val="clear" w:color="auto" w:fill="auto"/>
            <w:vAlign w:val="center"/>
          </w:tcPr>
          <w:p w14:paraId="1F163BB8">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457" w:type="pct"/>
            <w:vMerge w:val="continue"/>
            <w:shd w:val="clear" w:color="auto" w:fill="auto"/>
            <w:vAlign w:val="center"/>
          </w:tcPr>
          <w:p w14:paraId="32FDC129">
            <w:pPr>
              <w:tabs>
                <w:tab w:val="clear" w:pos="480"/>
              </w:tabs>
              <w:adjustRightInd w:val="0"/>
              <w:snapToGrid w:val="0"/>
              <w:spacing w:line="240" w:lineRule="auto"/>
              <w:ind w:firstLine="0" w:firstLineChars="0"/>
              <w:jc w:val="center"/>
              <w:rPr>
                <w:kern w:val="0"/>
                <w:sz w:val="18"/>
                <w:szCs w:val="18"/>
              </w:rPr>
            </w:pPr>
          </w:p>
        </w:tc>
        <w:tc>
          <w:tcPr>
            <w:tcW w:w="380" w:type="pct"/>
            <w:vMerge w:val="continue"/>
            <w:shd w:val="clear" w:color="auto" w:fill="auto"/>
            <w:vAlign w:val="center"/>
          </w:tcPr>
          <w:p w14:paraId="4BE80807">
            <w:pPr>
              <w:widowControl/>
              <w:tabs>
                <w:tab w:val="clear" w:pos="480"/>
              </w:tabs>
              <w:adjustRightInd w:val="0"/>
              <w:snapToGrid w:val="0"/>
              <w:spacing w:line="240" w:lineRule="auto"/>
              <w:ind w:firstLine="0" w:firstLineChars="0"/>
              <w:jc w:val="center"/>
              <w:rPr>
                <w:kern w:val="0"/>
                <w:sz w:val="18"/>
                <w:szCs w:val="18"/>
              </w:rPr>
            </w:pPr>
          </w:p>
        </w:tc>
      </w:tr>
    </w:tbl>
    <w:p w14:paraId="5E79563D">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4.3.2.4</w:t>
      </w:r>
      <w:r>
        <w:rPr>
          <w:rFonts w:hint="eastAsia" w:ascii="Times New Roman" w:eastAsia="宋体"/>
          <w:sz w:val="24"/>
          <w:szCs w:val="24"/>
        </w:rPr>
        <w:t>固体废物</w:t>
      </w:r>
    </w:p>
    <w:p w14:paraId="6FEE40F1">
      <w:pPr>
        <w:adjustRightInd w:val="0"/>
        <w:snapToGrid w:val="0"/>
        <w:ind w:firstLine="480"/>
      </w:pPr>
      <w:r>
        <w:rPr>
          <w:rFonts w:hint="eastAsia"/>
        </w:rPr>
        <w:t>（</w:t>
      </w:r>
      <w:r>
        <w:t>1</w:t>
      </w:r>
      <w:r>
        <w:rPr>
          <w:rFonts w:hint="eastAsia"/>
        </w:rPr>
        <w:t>）生活垃圾</w:t>
      </w:r>
    </w:p>
    <w:p w14:paraId="223E5523">
      <w:pPr>
        <w:adjustRightInd w:val="0"/>
        <w:snapToGrid w:val="0"/>
        <w:ind w:firstLine="480"/>
      </w:pPr>
      <w:r>
        <w:rPr>
          <w:rFonts w:hint="eastAsia"/>
        </w:rPr>
        <w:t xml:space="preserve">运营期劳动定员 </w:t>
      </w:r>
      <w:r>
        <w:t>10</w:t>
      </w:r>
      <w:r>
        <w:rPr>
          <w:rFonts w:hint="eastAsia"/>
        </w:rPr>
        <w:t xml:space="preserve">人，生活垃圾产生量按 </w:t>
      </w:r>
      <w:r>
        <w:t>0.5kg/d·</w:t>
      </w:r>
      <w:r>
        <w:rPr>
          <w:rFonts w:hint="eastAsia"/>
        </w:rPr>
        <w:t xml:space="preserve">人计，生活垃圾产生量为 </w:t>
      </w:r>
      <w:r>
        <w:t>5kg/d</w:t>
      </w:r>
      <w:r>
        <w:rPr>
          <w:rFonts w:hint="eastAsia"/>
        </w:rPr>
        <w:t>，</w:t>
      </w:r>
      <w:r>
        <w:t>1.825t/a</w:t>
      </w:r>
      <w:r>
        <w:rPr>
          <w:rFonts w:hint="eastAsia"/>
        </w:rPr>
        <w:t>。生活垃圾若不妥善处置将有损环境卫生和美观，可在升压站设置垃圾箱，将生活垃圾进行分类收集后，交由乡镇环卫部门统一收集处置。</w:t>
      </w:r>
    </w:p>
    <w:p w14:paraId="4C54F5A8">
      <w:pPr>
        <w:tabs>
          <w:tab w:val="clear" w:pos="480"/>
        </w:tabs>
        <w:adjustRightInd w:val="0"/>
        <w:snapToGrid w:val="0"/>
        <w:ind w:firstLine="480"/>
      </w:pPr>
      <w:r>
        <w:rPr>
          <w:rFonts w:hint="eastAsia"/>
        </w:rPr>
        <w:t>（</w:t>
      </w:r>
      <w:r>
        <w:t>2</w:t>
      </w:r>
      <w:r>
        <w:rPr>
          <w:rFonts w:hint="eastAsia"/>
        </w:rPr>
        <w:t>）废油</w:t>
      </w:r>
    </w:p>
    <w:p w14:paraId="726114FB">
      <w:pPr>
        <w:adjustRightInd w:val="0"/>
        <w:snapToGrid w:val="0"/>
        <w:ind w:firstLine="480"/>
      </w:pPr>
      <w:r>
        <w:rPr>
          <w:rFonts w:hint="eastAsia"/>
        </w:rPr>
        <w:t>①</w:t>
      </w:r>
      <w:bookmarkStart w:id="109" w:name="_Hlk116115198"/>
      <w:r>
        <w:rPr>
          <w:rFonts w:hint="eastAsia"/>
        </w:rPr>
        <w:t>废机油</w:t>
      </w:r>
    </w:p>
    <w:bookmarkEnd w:id="109"/>
    <w:p w14:paraId="116ED10E">
      <w:pPr>
        <w:adjustRightInd w:val="0"/>
        <w:snapToGrid w:val="0"/>
        <w:ind w:firstLine="480"/>
      </w:pPr>
      <w:r>
        <w:t>风力发电机组变速箱使用机油进行润滑。根据建设单位提供的资料，由于风电组机转速小，机油用量使用量少，每台发电机组机油用量为 40kg 左右，风电场机油用量合计为0.4t。机油使用过程中若出现氧化现象则需更换。一般情况下，机油约5 年~10 年更换一次，按更换率 50%考虑，风电场废机油最大产生量为200kg/次，根据《国家危险废物名录》（2021版），废机油属于危险废物，危废代码为（HW08废矿物油与含矿物油废物，900-214-08）。更换的废机油用具有明显标识的专用油桶收集暂存，暂存车间位于升压站危废暂存间内，及时交由有资质的单位处理。</w:t>
      </w:r>
    </w:p>
    <w:p w14:paraId="6356C0E7">
      <w:pPr>
        <w:adjustRightInd w:val="0"/>
        <w:snapToGrid w:val="0"/>
        <w:ind w:firstLine="480"/>
      </w:pPr>
      <w:r>
        <w:rPr>
          <w:rFonts w:hint="eastAsia"/>
        </w:rPr>
        <w:t>②</w:t>
      </w:r>
      <w:bookmarkStart w:id="110" w:name="_Hlk116115205"/>
      <w:r>
        <w:rPr>
          <w:rFonts w:hint="eastAsia"/>
        </w:rPr>
        <w:t>废液压油</w:t>
      </w:r>
      <w:bookmarkEnd w:id="110"/>
    </w:p>
    <w:p w14:paraId="12334E50">
      <w:pPr>
        <w:adjustRightInd w:val="0"/>
        <w:snapToGrid w:val="0"/>
        <w:ind w:firstLine="480"/>
      </w:pPr>
      <w:r>
        <w:t>本项目风机叶片转动采用液压调节，不采用机械齿轮运转，根据建设单位提供，液压油更换周期较长，一般 6~10 年更换一次，该废液压油属于危险废物，类比其他风电场项目估算，该油产生量约 0.96t/次。根据《国家危险废物名录》（2021版），废液压油属于危险废物，危废代码为HW08废矿物油与含矿物油废物，900-218-08。更换的废液压油用具有明显标识的专用油桶收集暂存，暂存车间位于升压站危废暂存间内，及时交由有资质的单位处理。</w:t>
      </w:r>
    </w:p>
    <w:p w14:paraId="55501838">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废变压器油</w:t>
      </w:r>
    </w:p>
    <w:p w14:paraId="7CBE0F48">
      <w:pPr>
        <w:adjustRightInd w:val="0"/>
        <w:snapToGrid w:val="0"/>
        <w:ind w:firstLine="480"/>
      </w:pPr>
      <w:bookmarkStart w:id="111" w:name="_Hlk117191493"/>
      <w:r>
        <w:rPr>
          <w:rFonts w:hint="eastAsia"/>
        </w:rPr>
        <w:t>本项目1</w:t>
      </w:r>
      <w:r>
        <w:t>0</w:t>
      </w:r>
      <w:r>
        <w:rPr>
          <w:rFonts w:hint="eastAsia"/>
        </w:rPr>
        <w:t>台</w:t>
      </w:r>
      <w:r>
        <w:t>5.0MW</w:t>
      </w:r>
      <w:r>
        <w:rPr>
          <w:rFonts w:hint="eastAsia"/>
        </w:rPr>
        <w:t>风力发电机组各配置1台</w:t>
      </w:r>
      <w:r>
        <w:t>5300</w:t>
      </w:r>
      <w:r>
        <w:rPr>
          <w:rFonts w:hint="eastAsia"/>
        </w:rPr>
        <w:t>k</w:t>
      </w:r>
      <w:r>
        <w:t>VA</w:t>
      </w:r>
      <w:r>
        <w:rPr>
          <w:rFonts w:hint="eastAsia"/>
        </w:rPr>
        <w:t>油浸式箱式变压器，依靠变压器油作冷却介质。变压器油是石油的一种分馏产物，主要成分是烷烃、环烷族饱和烃、芳香族不饱和烃等化合物，俗称方棚油，浅黄色透明液体，相对密度</w:t>
      </w:r>
      <w:r>
        <w:t>0.895</w:t>
      </w:r>
      <w:r>
        <w:rPr>
          <w:rFonts w:hint="eastAsia"/>
        </w:rPr>
        <w:t>，凝固点</w:t>
      </w:r>
      <w:r>
        <w:t>&lt;-45</w:t>
      </w:r>
      <w:r>
        <w:rPr>
          <w:rFonts w:hint="eastAsia"/>
        </w:rPr>
        <w:t>℃。而根据建设单位提供的资料，本项目运行期箱式变压器油用量为1t</w:t>
      </w:r>
      <w:r>
        <w:t>/</w:t>
      </w:r>
      <w:r>
        <w:rPr>
          <w:rFonts w:hint="eastAsia"/>
        </w:rPr>
        <w:t>台（1</w:t>
      </w:r>
      <w:r>
        <w:t>.12</w:t>
      </w:r>
      <w:r>
        <w:rPr>
          <w:rFonts w:hint="eastAsia"/>
        </w:rPr>
        <w:t>m</w:t>
      </w:r>
      <w:r>
        <w:rPr>
          <w:vertAlign w:val="superscript"/>
        </w:rPr>
        <w:t>3</w:t>
      </w:r>
      <w:r>
        <w:rPr>
          <w:rFonts w:hint="eastAsia"/>
        </w:rPr>
        <w:t>）、主变压器油用量为</w:t>
      </w:r>
      <w:r>
        <w:t>25</w:t>
      </w:r>
      <w:r>
        <w:rPr>
          <w:rFonts w:hint="eastAsia"/>
        </w:rPr>
        <w:t>t（</w:t>
      </w:r>
      <w:r>
        <w:t>27.93</w:t>
      </w:r>
      <w:r>
        <w:rPr>
          <w:rFonts w:hint="eastAsia"/>
        </w:rPr>
        <w:t>m</w:t>
      </w:r>
      <w:r>
        <w:rPr>
          <w:vertAlign w:val="superscript"/>
        </w:rPr>
        <w:t>3</w:t>
      </w:r>
      <w:r>
        <w:rPr>
          <w:rFonts w:hint="eastAsia"/>
        </w:rPr>
        <w:t>）。变压器维修过程中会产生废变压器油。根据《国家危险废物名录》（</w:t>
      </w:r>
      <w:r>
        <w:t>2021</w:t>
      </w:r>
      <w:r>
        <w:rPr>
          <w:rFonts w:hint="eastAsia"/>
        </w:rPr>
        <w:t>版），变压器废冷却介质属于危险废物，危废代码</w:t>
      </w:r>
      <w:r>
        <w:rPr>
          <w:rFonts w:hint="eastAsia"/>
          <w:lang w:eastAsia="zh-CN"/>
        </w:rPr>
        <w:t>为</w:t>
      </w:r>
      <w:r>
        <w:rPr>
          <w:rFonts w:hint="eastAsia"/>
        </w:rPr>
        <w:t>H</w:t>
      </w:r>
      <w:r>
        <w:t>W08</w:t>
      </w:r>
      <w:r>
        <w:rPr>
          <w:rFonts w:hint="eastAsia"/>
        </w:rPr>
        <w:t>废矿物油与含矿物油废物，</w:t>
      </w:r>
      <w:r>
        <w:t>900</w:t>
      </w:r>
      <w:r>
        <w:rPr>
          <w:rFonts w:hint="eastAsia"/>
        </w:rPr>
        <w:t>-</w:t>
      </w:r>
      <w:r>
        <w:t>220</w:t>
      </w:r>
      <w:r>
        <w:rPr>
          <w:rFonts w:hint="eastAsia"/>
        </w:rPr>
        <w:t>-</w:t>
      </w:r>
      <w:r>
        <w:t>08</w:t>
      </w:r>
      <w:r>
        <w:rPr>
          <w:rFonts w:hint="eastAsia"/>
        </w:rPr>
        <w:t>。事故情况下产生的废变压器油及时交由有资质的单位处理。</w:t>
      </w:r>
    </w:p>
    <w:p w14:paraId="225D2F6D">
      <w:pPr>
        <w:adjustRightInd w:val="0"/>
        <w:snapToGrid w:val="0"/>
        <w:ind w:firstLine="480"/>
      </w:pPr>
      <w:r>
        <w:rPr>
          <w:rFonts w:hint="eastAsia"/>
        </w:rPr>
        <w:t>此外，由于变压器油存在泄漏风险，根据工程设计要求，箱式变压器下方设有集油池，升压站内设有事故油池。根据《火力发电厂与变电站设计防火规范》（</w:t>
      </w:r>
      <w:r>
        <w:t>GB50229-2019</w:t>
      </w:r>
      <w:r>
        <w:rPr>
          <w:rFonts w:hint="eastAsia"/>
        </w:rPr>
        <w:t>）中“总事故贮油池的容量应按其接入的油量最大的一台设备确定”规定，当变压器发生事故时，变压器油排入自建事故油池进行收集，由有资质的危险废物收集部门收集处理。每台风机配套安装一台的箱变，一般箱变检修期在半年以上，为预防箱变在检修过程中发油泄漏，主体工程设计在箱变底部设置一个容积为</w:t>
      </w:r>
      <w:r>
        <w:t>1.5m</w:t>
      </w:r>
      <w:r>
        <w:rPr>
          <w:vertAlign w:val="superscript"/>
        </w:rPr>
        <w:t>3</w:t>
      </w:r>
      <w:r>
        <w:t xml:space="preserve"> </w:t>
      </w:r>
      <w:r>
        <w:rPr>
          <w:rFonts w:hint="eastAsia"/>
        </w:rPr>
        <w:t>的集油盘，集油盘应注意加盖防雨措施。当发生油泄漏时，废油可进入集油盘，由有资质的危险废物收集部门收集处理，避免流入附近水体。</w:t>
      </w:r>
    </w:p>
    <w:p w14:paraId="6BF11C39">
      <w:pPr>
        <w:adjustRightInd w:val="0"/>
        <w:snapToGrid w:val="0"/>
        <w:ind w:firstLine="480"/>
      </w:pPr>
      <w:r>
        <w:t>此外，本项目在110kV升压站主变压器四周设置了排油槽，站内设置了事故油池（30m</w:t>
      </w:r>
      <w:r>
        <w:rPr>
          <w:vertAlign w:val="superscript"/>
        </w:rPr>
        <w:t>3</w:t>
      </w:r>
      <w:r>
        <w:t>），事故油经排油槽排入事故油池，随即委托有资质的单位进行处理。事故油池正常情况下需保持空置状态，保证事故情况下变压器油全部流入事故油池。事故油产生后立即委托有资质单位进行收集处置。废油按《危险废物收集贮存运输技术规范》（HJ2025-2012）、《危险废物贮存污染控制标准》（GB18597-2023）的要求进行管理。</w:t>
      </w:r>
    </w:p>
    <w:bookmarkEnd w:id="111"/>
    <w:p w14:paraId="1BD49651">
      <w:pPr>
        <w:adjustRightInd w:val="0"/>
        <w:snapToGrid w:val="0"/>
        <w:ind w:firstLine="480"/>
      </w:pPr>
      <w:r>
        <w:rPr>
          <w:rFonts w:hint="eastAsia"/>
        </w:rPr>
        <w:t>（</w:t>
      </w:r>
      <w:r>
        <w:t>3</w:t>
      </w:r>
      <w:r>
        <w:rPr>
          <w:rFonts w:hint="eastAsia"/>
        </w:rPr>
        <w:t>）含油检修垃圾及含油废抹布</w:t>
      </w:r>
    </w:p>
    <w:p w14:paraId="45977293">
      <w:pPr>
        <w:adjustRightInd w:val="0"/>
        <w:snapToGrid w:val="0"/>
        <w:ind w:firstLine="480"/>
      </w:pPr>
      <w:r>
        <w:rPr>
          <w:rFonts w:hint="eastAsia"/>
        </w:rPr>
        <w:t>机械、设备检修过程会产生含油检修垃圾和含油抹布，产生量约为</w:t>
      </w:r>
      <w:r>
        <w:t>0.1 t/a</w:t>
      </w:r>
      <w:r>
        <w:rPr>
          <w:rFonts w:hint="eastAsia"/>
        </w:rPr>
        <w:t>。根据《国家危险废物名录》（</w:t>
      </w:r>
      <w:r>
        <w:t>2021</w:t>
      </w:r>
      <w:r>
        <w:rPr>
          <w:rFonts w:hint="eastAsia"/>
        </w:rPr>
        <w:t>版），机械维修产生的含油抹布属于危险废物，危废代码为</w:t>
      </w:r>
      <w:r>
        <w:t>HW49</w:t>
      </w:r>
      <w:r>
        <w:rPr>
          <w:rFonts w:hint="eastAsia"/>
        </w:rPr>
        <w:t>，</w:t>
      </w:r>
      <w:r>
        <w:t>900</w:t>
      </w:r>
      <w:r>
        <w:rPr>
          <w:rFonts w:hint="eastAsia"/>
        </w:rPr>
        <w:t>-</w:t>
      </w:r>
      <w:r>
        <w:t>041</w:t>
      </w:r>
      <w:r>
        <w:rPr>
          <w:rFonts w:hint="eastAsia"/>
        </w:rPr>
        <w:t>-</w:t>
      </w:r>
      <w:r>
        <w:t>49</w:t>
      </w:r>
      <w:r>
        <w:rPr>
          <w:rFonts w:hint="eastAsia"/>
        </w:rPr>
        <w:t>，其收集后交由有资质的单位处理。</w:t>
      </w:r>
    </w:p>
    <w:p w14:paraId="5E134060">
      <w:pPr>
        <w:adjustRightInd w:val="0"/>
        <w:snapToGrid w:val="0"/>
        <w:ind w:firstLine="480"/>
      </w:pPr>
      <w:r>
        <w:rPr>
          <w:rFonts w:hint="eastAsia"/>
        </w:rPr>
        <w:t>（4）未沾染油污的报废的设备、配件</w:t>
      </w:r>
    </w:p>
    <w:p w14:paraId="23998DF3">
      <w:pPr>
        <w:adjustRightInd w:val="0"/>
        <w:snapToGrid w:val="0"/>
        <w:ind w:firstLine="480"/>
      </w:pPr>
      <w:r>
        <w:t>本项目运营期间会产生</w:t>
      </w:r>
      <w:r>
        <w:rPr>
          <w:rFonts w:hint="eastAsia"/>
        </w:rPr>
        <w:t>未沾染油污的，其产生量约0</w:t>
      </w:r>
      <w:r>
        <w:t>.5t/a</w:t>
      </w:r>
      <w:r>
        <w:rPr>
          <w:rFonts w:hint="eastAsia"/>
        </w:rPr>
        <w:t>，</w:t>
      </w:r>
      <w:r>
        <w:t>报废的设备和配件。项目报废的设备及配件全部统一回收，检修垃圾交由乡镇环卫部门统一收集处置。</w:t>
      </w:r>
    </w:p>
    <w:p w14:paraId="54E76C68">
      <w:pPr>
        <w:tabs>
          <w:tab w:val="clear" w:pos="480"/>
        </w:tabs>
        <w:adjustRightInd w:val="0"/>
        <w:snapToGrid w:val="0"/>
        <w:ind w:firstLine="480"/>
      </w:pPr>
      <w:r>
        <w:rPr>
          <w:rFonts w:hint="eastAsia"/>
        </w:rPr>
        <w:t>（</w:t>
      </w:r>
      <w:r>
        <w:t>5</w:t>
      </w:r>
      <w:r>
        <w:rPr>
          <w:rFonts w:hint="eastAsia"/>
        </w:rPr>
        <w:t>）</w:t>
      </w:r>
      <w:bookmarkStart w:id="112" w:name="_Hlk116115216"/>
      <w:r>
        <w:rPr>
          <w:rFonts w:hint="eastAsia"/>
        </w:rPr>
        <w:t>废旧蓄电池</w:t>
      </w:r>
      <w:bookmarkEnd w:id="112"/>
    </w:p>
    <w:p w14:paraId="4D36B669">
      <w:pPr>
        <w:adjustRightInd w:val="0"/>
        <w:snapToGrid w:val="0"/>
        <w:ind w:firstLine="480"/>
      </w:pPr>
      <w:r>
        <w:rPr>
          <w:rFonts w:hint="eastAsia"/>
        </w:rPr>
        <w:t>变电站蓄电池是站内电源系统中直流供电系统的重要组成部分，主要担负着为站内二次系统负载提供安全、稳定、可靠的电力保障，确保继电保护、通信设备的正常运行。目前国内变电站直流系统的蓄电池大多数都是用阀控密封铅酸蓄电池，每个变电站一般两组，每组</w:t>
      </w:r>
      <w:r>
        <w:t>104</w:t>
      </w:r>
      <w:r>
        <w:rPr>
          <w:rFonts w:hint="eastAsia"/>
        </w:rPr>
        <w:t>节电池左右。蓄电池使用一段时间后，会因活性物质脱落、板栅腐蚀或极板变形、硫化等因素，使容量降低直至失效。变电站铅酸蓄电池使用年限不一，一般浮充寿命为</w:t>
      </w:r>
      <w:r>
        <w:t>8</w:t>
      </w:r>
      <w:r>
        <w:rPr>
          <w:rFonts w:hint="eastAsia"/>
        </w:rPr>
        <w:t>～</w:t>
      </w:r>
      <w:r>
        <w:t>10</w:t>
      </w:r>
      <w:r>
        <w:rPr>
          <w:rFonts w:hint="eastAsia"/>
        </w:rPr>
        <w:t>年左右。《国家危险废物名录》（</w:t>
      </w:r>
      <w:r>
        <w:t>2021</w:t>
      </w:r>
      <w:r>
        <w:rPr>
          <w:rFonts w:hint="eastAsia"/>
        </w:rPr>
        <w:t>版），退役的蓄电池属于危险废物，危废代码为</w:t>
      </w:r>
      <w:r>
        <w:t>HW31</w:t>
      </w:r>
      <w:r>
        <w:rPr>
          <w:rFonts w:hint="eastAsia"/>
        </w:rPr>
        <w:t>含铅废物（9</w:t>
      </w:r>
      <w:r>
        <w:t>00</w:t>
      </w:r>
      <w:r>
        <w:rPr>
          <w:rFonts w:hint="eastAsia"/>
        </w:rPr>
        <w:t>-</w:t>
      </w:r>
      <w:r>
        <w:t>052</w:t>
      </w:r>
      <w:r>
        <w:rPr>
          <w:rFonts w:hint="eastAsia"/>
        </w:rPr>
        <w:t>-</w:t>
      </w:r>
      <w:r>
        <w:t>31</w:t>
      </w:r>
      <w:r>
        <w:rPr>
          <w:rFonts w:hint="eastAsia"/>
        </w:rPr>
        <w:t>）。项目运营期产生的废铅酸蓄电池在升压站内危废暂存间暂存后，交由有资质的单位处理。</w:t>
      </w:r>
    </w:p>
    <w:p w14:paraId="4700B1CF">
      <w:pPr>
        <w:tabs>
          <w:tab w:val="clear" w:pos="480"/>
        </w:tabs>
        <w:autoSpaceDE w:val="0"/>
        <w:autoSpaceDN w:val="0"/>
        <w:spacing w:line="240" w:lineRule="auto"/>
        <w:ind w:firstLine="0" w:firstLineChars="0"/>
        <w:jc w:val="center"/>
        <w:rPr>
          <w:b/>
        </w:rPr>
      </w:pPr>
      <w:r>
        <w:rPr>
          <w:b/>
        </w:rPr>
        <w:t>表4.2-6 危险废物汇总表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5"/>
        <w:gridCol w:w="674"/>
        <w:gridCol w:w="696"/>
        <w:gridCol w:w="846"/>
        <w:gridCol w:w="741"/>
        <w:gridCol w:w="694"/>
        <w:gridCol w:w="693"/>
        <w:gridCol w:w="571"/>
        <w:gridCol w:w="690"/>
        <w:gridCol w:w="584"/>
        <w:gridCol w:w="715"/>
        <w:gridCol w:w="589"/>
      </w:tblGrid>
      <w:tr w14:paraId="1217EA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dxa"/>
            <w:tcBorders>
              <w:top w:val="single" w:color="auto" w:sz="12" w:space="0"/>
              <w:left w:val="single" w:color="auto" w:sz="12" w:space="0"/>
              <w:bottom w:val="single" w:color="auto" w:sz="4" w:space="0"/>
              <w:right w:val="single" w:color="auto" w:sz="4" w:space="0"/>
            </w:tcBorders>
            <w:vAlign w:val="center"/>
          </w:tcPr>
          <w:p w14:paraId="00B23FF9">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序号</w:t>
            </w:r>
          </w:p>
        </w:tc>
        <w:tc>
          <w:tcPr>
            <w:tcW w:w="674" w:type="dxa"/>
            <w:tcBorders>
              <w:top w:val="single" w:color="auto" w:sz="12" w:space="0"/>
              <w:left w:val="single" w:color="auto" w:sz="4" w:space="0"/>
              <w:bottom w:val="single" w:color="auto" w:sz="4" w:space="0"/>
              <w:right w:val="single" w:color="auto" w:sz="4" w:space="0"/>
            </w:tcBorders>
            <w:vAlign w:val="center"/>
          </w:tcPr>
          <w:p w14:paraId="514CEAE7">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危险废物名称</w:t>
            </w:r>
          </w:p>
        </w:tc>
        <w:tc>
          <w:tcPr>
            <w:tcW w:w="576" w:type="dxa"/>
            <w:tcBorders>
              <w:top w:val="single" w:color="auto" w:sz="12" w:space="0"/>
              <w:left w:val="single" w:color="auto" w:sz="4" w:space="0"/>
              <w:bottom w:val="single" w:color="auto" w:sz="4" w:space="0"/>
              <w:right w:val="single" w:color="auto" w:sz="4" w:space="0"/>
            </w:tcBorders>
            <w:vAlign w:val="center"/>
          </w:tcPr>
          <w:p w14:paraId="0EDC89A5">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危险废物类别</w:t>
            </w:r>
          </w:p>
        </w:tc>
        <w:tc>
          <w:tcPr>
            <w:tcW w:w="846" w:type="dxa"/>
            <w:tcBorders>
              <w:top w:val="single" w:color="auto" w:sz="12" w:space="0"/>
              <w:left w:val="single" w:color="auto" w:sz="4" w:space="0"/>
              <w:bottom w:val="single" w:color="auto" w:sz="4" w:space="0"/>
              <w:right w:val="single" w:color="auto" w:sz="4" w:space="0"/>
            </w:tcBorders>
            <w:vAlign w:val="center"/>
          </w:tcPr>
          <w:p w14:paraId="3D994932">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危险废物代码</w:t>
            </w:r>
          </w:p>
        </w:tc>
        <w:tc>
          <w:tcPr>
            <w:tcW w:w="741" w:type="dxa"/>
            <w:tcBorders>
              <w:top w:val="single" w:color="auto" w:sz="12" w:space="0"/>
              <w:left w:val="single" w:color="auto" w:sz="4" w:space="0"/>
              <w:bottom w:val="single" w:color="auto" w:sz="4" w:space="0"/>
              <w:right w:val="single" w:color="auto" w:sz="4" w:space="0"/>
            </w:tcBorders>
            <w:vAlign w:val="center"/>
          </w:tcPr>
          <w:p w14:paraId="3C99DD3A">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产生量</w:t>
            </w:r>
          </w:p>
        </w:tc>
        <w:tc>
          <w:tcPr>
            <w:tcW w:w="694" w:type="dxa"/>
            <w:tcBorders>
              <w:top w:val="single" w:color="auto" w:sz="12" w:space="0"/>
              <w:left w:val="single" w:color="auto" w:sz="4" w:space="0"/>
              <w:bottom w:val="single" w:color="auto" w:sz="4" w:space="0"/>
              <w:right w:val="single" w:color="auto" w:sz="4" w:space="0"/>
            </w:tcBorders>
            <w:vAlign w:val="center"/>
          </w:tcPr>
          <w:p w14:paraId="75C8E0A5">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产生工序及装置</w:t>
            </w:r>
          </w:p>
        </w:tc>
        <w:tc>
          <w:tcPr>
            <w:tcW w:w="693" w:type="dxa"/>
            <w:tcBorders>
              <w:top w:val="single" w:color="auto" w:sz="12" w:space="0"/>
              <w:left w:val="single" w:color="auto" w:sz="4" w:space="0"/>
              <w:bottom w:val="single" w:color="auto" w:sz="4" w:space="0"/>
              <w:right w:val="single" w:color="auto" w:sz="4" w:space="0"/>
            </w:tcBorders>
            <w:vAlign w:val="center"/>
          </w:tcPr>
          <w:p w14:paraId="365F0D55">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形态</w:t>
            </w:r>
          </w:p>
        </w:tc>
        <w:tc>
          <w:tcPr>
            <w:tcW w:w="571" w:type="dxa"/>
            <w:tcBorders>
              <w:top w:val="single" w:color="auto" w:sz="12" w:space="0"/>
              <w:left w:val="single" w:color="auto" w:sz="4" w:space="0"/>
              <w:bottom w:val="single" w:color="auto" w:sz="4" w:space="0"/>
              <w:right w:val="single" w:color="auto" w:sz="4" w:space="0"/>
            </w:tcBorders>
            <w:vAlign w:val="center"/>
          </w:tcPr>
          <w:p w14:paraId="778F453A">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主要成分</w:t>
            </w:r>
          </w:p>
        </w:tc>
        <w:tc>
          <w:tcPr>
            <w:tcW w:w="690" w:type="dxa"/>
            <w:tcBorders>
              <w:top w:val="single" w:color="auto" w:sz="12" w:space="0"/>
              <w:left w:val="single" w:color="auto" w:sz="4" w:space="0"/>
              <w:bottom w:val="single" w:color="auto" w:sz="4" w:space="0"/>
              <w:right w:val="single" w:color="auto" w:sz="4" w:space="0"/>
            </w:tcBorders>
            <w:vAlign w:val="center"/>
          </w:tcPr>
          <w:p w14:paraId="4E5FA99F">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有害成分</w:t>
            </w:r>
          </w:p>
        </w:tc>
        <w:tc>
          <w:tcPr>
            <w:tcW w:w="576" w:type="dxa"/>
            <w:tcBorders>
              <w:top w:val="single" w:color="auto" w:sz="12" w:space="0"/>
              <w:left w:val="single" w:color="auto" w:sz="4" w:space="0"/>
              <w:bottom w:val="single" w:color="auto" w:sz="4" w:space="0"/>
              <w:right w:val="single" w:color="auto" w:sz="4" w:space="0"/>
            </w:tcBorders>
            <w:vAlign w:val="center"/>
          </w:tcPr>
          <w:p w14:paraId="46FB13CD">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产废周期</w:t>
            </w:r>
          </w:p>
        </w:tc>
        <w:tc>
          <w:tcPr>
            <w:tcW w:w="715" w:type="dxa"/>
            <w:tcBorders>
              <w:top w:val="single" w:color="auto" w:sz="12" w:space="0"/>
              <w:left w:val="single" w:color="auto" w:sz="4" w:space="0"/>
              <w:bottom w:val="single" w:color="auto" w:sz="4" w:space="0"/>
              <w:right w:val="single" w:color="auto" w:sz="4" w:space="0"/>
            </w:tcBorders>
            <w:vAlign w:val="center"/>
          </w:tcPr>
          <w:p w14:paraId="29336D8D">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危险</w:t>
            </w:r>
          </w:p>
          <w:p w14:paraId="34FE780A">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特性</w:t>
            </w:r>
          </w:p>
        </w:tc>
        <w:tc>
          <w:tcPr>
            <w:tcW w:w="589" w:type="dxa"/>
            <w:tcBorders>
              <w:top w:val="single" w:color="auto" w:sz="12" w:space="0"/>
              <w:left w:val="single" w:color="auto" w:sz="4" w:space="0"/>
              <w:bottom w:val="single" w:color="auto" w:sz="4" w:space="0"/>
              <w:right w:val="single" w:color="auto" w:sz="12" w:space="0"/>
            </w:tcBorders>
            <w:vAlign w:val="center"/>
          </w:tcPr>
          <w:p w14:paraId="214FEBDB">
            <w:pPr>
              <w:tabs>
                <w:tab w:val="clear" w:pos="480"/>
              </w:tabs>
              <w:topLinePunct/>
              <w:adjustRightInd w:val="0"/>
              <w:snapToGrid w:val="0"/>
              <w:spacing w:line="240" w:lineRule="auto"/>
              <w:ind w:firstLine="0" w:firstLineChars="0"/>
              <w:jc w:val="center"/>
              <w:rPr>
                <w:rFonts w:eastAsia="黑体"/>
                <w:kern w:val="0"/>
                <w:sz w:val="18"/>
                <w:szCs w:val="18"/>
              </w:rPr>
            </w:pPr>
            <w:r>
              <w:rPr>
                <w:rFonts w:eastAsia="黑体"/>
                <w:kern w:val="0"/>
                <w:sz w:val="18"/>
                <w:szCs w:val="18"/>
              </w:rPr>
              <w:t>污染防治措施*</w:t>
            </w:r>
          </w:p>
        </w:tc>
      </w:tr>
      <w:tr w14:paraId="61C08F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dxa"/>
            <w:tcBorders>
              <w:top w:val="single" w:color="auto" w:sz="4" w:space="0"/>
              <w:left w:val="single" w:color="auto" w:sz="12" w:space="0"/>
              <w:bottom w:val="single" w:color="auto" w:sz="4" w:space="0"/>
              <w:right w:val="single" w:color="auto" w:sz="4" w:space="0"/>
            </w:tcBorders>
            <w:vAlign w:val="center"/>
          </w:tcPr>
          <w:p w14:paraId="3A857414">
            <w:pPr>
              <w:tabs>
                <w:tab w:val="clear" w:pos="480"/>
              </w:tabs>
              <w:topLinePunct/>
              <w:adjustRightInd w:val="0"/>
              <w:snapToGrid w:val="0"/>
              <w:spacing w:line="240" w:lineRule="auto"/>
              <w:ind w:firstLine="0" w:firstLineChars="0"/>
              <w:jc w:val="center"/>
              <w:rPr>
                <w:kern w:val="0"/>
                <w:sz w:val="18"/>
                <w:szCs w:val="18"/>
              </w:rPr>
            </w:pPr>
            <w:r>
              <w:rPr>
                <w:kern w:val="0"/>
                <w:sz w:val="18"/>
                <w:szCs w:val="18"/>
              </w:rPr>
              <w:t>1</w:t>
            </w:r>
          </w:p>
        </w:tc>
        <w:tc>
          <w:tcPr>
            <w:tcW w:w="674" w:type="dxa"/>
            <w:tcBorders>
              <w:top w:val="single" w:color="auto" w:sz="4" w:space="0"/>
              <w:left w:val="single" w:color="auto" w:sz="4" w:space="0"/>
              <w:bottom w:val="single" w:color="auto" w:sz="4" w:space="0"/>
              <w:right w:val="single" w:color="auto" w:sz="4" w:space="0"/>
            </w:tcBorders>
            <w:vAlign w:val="center"/>
          </w:tcPr>
          <w:p w14:paraId="2CC2FBC2">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废机油</w:t>
            </w:r>
          </w:p>
        </w:tc>
        <w:tc>
          <w:tcPr>
            <w:tcW w:w="576" w:type="dxa"/>
            <w:tcBorders>
              <w:top w:val="single" w:color="auto" w:sz="4" w:space="0"/>
              <w:left w:val="single" w:color="auto" w:sz="4" w:space="0"/>
              <w:bottom w:val="single" w:color="auto" w:sz="4" w:space="0"/>
              <w:right w:val="single" w:color="auto" w:sz="4" w:space="0"/>
            </w:tcBorders>
            <w:vAlign w:val="center"/>
          </w:tcPr>
          <w:p w14:paraId="4F4108CF">
            <w:pPr>
              <w:tabs>
                <w:tab w:val="clear" w:pos="480"/>
              </w:tabs>
              <w:topLinePunct/>
              <w:adjustRightInd w:val="0"/>
              <w:snapToGrid w:val="0"/>
              <w:spacing w:line="240" w:lineRule="auto"/>
              <w:ind w:firstLine="0" w:firstLineChars="0"/>
              <w:jc w:val="center"/>
              <w:rPr>
                <w:kern w:val="0"/>
                <w:sz w:val="18"/>
                <w:szCs w:val="18"/>
              </w:rPr>
            </w:pPr>
            <w:r>
              <w:rPr>
                <w:kern w:val="0"/>
                <w:sz w:val="18"/>
                <w:szCs w:val="18"/>
              </w:rPr>
              <w:t>HW08</w:t>
            </w:r>
          </w:p>
        </w:tc>
        <w:tc>
          <w:tcPr>
            <w:tcW w:w="846" w:type="dxa"/>
            <w:tcBorders>
              <w:top w:val="single" w:color="auto" w:sz="4" w:space="0"/>
              <w:left w:val="single" w:color="auto" w:sz="4" w:space="0"/>
              <w:bottom w:val="single" w:color="auto" w:sz="4" w:space="0"/>
              <w:right w:val="single" w:color="auto" w:sz="4" w:space="0"/>
            </w:tcBorders>
            <w:vAlign w:val="center"/>
          </w:tcPr>
          <w:p w14:paraId="0CFBC40B">
            <w:pPr>
              <w:tabs>
                <w:tab w:val="clear" w:pos="480"/>
              </w:tabs>
              <w:topLinePunct/>
              <w:adjustRightInd w:val="0"/>
              <w:snapToGrid w:val="0"/>
              <w:spacing w:line="240" w:lineRule="auto"/>
              <w:ind w:firstLine="0" w:firstLineChars="0"/>
              <w:jc w:val="center"/>
              <w:rPr>
                <w:kern w:val="0"/>
                <w:sz w:val="18"/>
                <w:szCs w:val="18"/>
              </w:rPr>
            </w:pPr>
            <w:r>
              <w:rPr>
                <w:kern w:val="0"/>
                <w:sz w:val="18"/>
                <w:szCs w:val="18"/>
              </w:rPr>
              <w:t>900-214</w:t>
            </w:r>
          </w:p>
          <w:p w14:paraId="319CA17B">
            <w:pPr>
              <w:tabs>
                <w:tab w:val="clear" w:pos="480"/>
              </w:tabs>
              <w:topLinePunct/>
              <w:adjustRightInd w:val="0"/>
              <w:snapToGrid w:val="0"/>
              <w:spacing w:line="240" w:lineRule="auto"/>
              <w:ind w:firstLine="0" w:firstLineChars="0"/>
              <w:jc w:val="center"/>
              <w:rPr>
                <w:kern w:val="0"/>
                <w:sz w:val="18"/>
                <w:szCs w:val="18"/>
              </w:rPr>
            </w:pPr>
            <w:r>
              <w:rPr>
                <w:kern w:val="0"/>
                <w:sz w:val="18"/>
                <w:szCs w:val="18"/>
              </w:rPr>
              <w:t>-08</w:t>
            </w:r>
          </w:p>
        </w:tc>
        <w:tc>
          <w:tcPr>
            <w:tcW w:w="741" w:type="dxa"/>
            <w:tcBorders>
              <w:top w:val="single" w:color="auto" w:sz="4" w:space="0"/>
              <w:left w:val="single" w:color="auto" w:sz="4" w:space="0"/>
              <w:bottom w:val="single" w:color="auto" w:sz="4" w:space="0"/>
              <w:right w:val="single" w:color="auto" w:sz="4" w:space="0"/>
            </w:tcBorders>
            <w:vAlign w:val="center"/>
          </w:tcPr>
          <w:p w14:paraId="60EBAA19">
            <w:pPr>
              <w:tabs>
                <w:tab w:val="clear" w:pos="480"/>
              </w:tabs>
              <w:topLinePunct/>
              <w:adjustRightInd w:val="0"/>
              <w:snapToGrid w:val="0"/>
              <w:spacing w:line="240" w:lineRule="auto"/>
              <w:ind w:firstLine="0" w:firstLineChars="0"/>
              <w:jc w:val="center"/>
              <w:rPr>
                <w:kern w:val="0"/>
                <w:sz w:val="18"/>
                <w:szCs w:val="18"/>
              </w:rPr>
            </w:pPr>
            <w:r>
              <w:rPr>
                <w:sz w:val="18"/>
                <w:szCs w:val="18"/>
              </w:rPr>
              <w:t>200kg/次</w:t>
            </w:r>
          </w:p>
        </w:tc>
        <w:tc>
          <w:tcPr>
            <w:tcW w:w="694" w:type="dxa"/>
            <w:tcBorders>
              <w:top w:val="single" w:color="auto" w:sz="4" w:space="0"/>
              <w:left w:val="single" w:color="auto" w:sz="4" w:space="0"/>
              <w:bottom w:val="single" w:color="auto" w:sz="4" w:space="0"/>
              <w:right w:val="single" w:color="auto" w:sz="4" w:space="0"/>
            </w:tcBorders>
            <w:vAlign w:val="center"/>
          </w:tcPr>
          <w:p w14:paraId="4BE966AF">
            <w:pPr>
              <w:tabs>
                <w:tab w:val="clear" w:pos="480"/>
              </w:tabs>
              <w:topLinePunct/>
              <w:adjustRightInd w:val="0"/>
              <w:snapToGrid w:val="0"/>
              <w:spacing w:line="240" w:lineRule="auto"/>
              <w:ind w:firstLine="0" w:firstLineChars="0"/>
              <w:jc w:val="center"/>
              <w:rPr>
                <w:kern w:val="0"/>
                <w:sz w:val="18"/>
                <w:szCs w:val="18"/>
              </w:rPr>
            </w:pPr>
            <w:r>
              <w:rPr>
                <w:kern w:val="0"/>
                <w:sz w:val="18"/>
                <w:szCs w:val="18"/>
              </w:rPr>
              <w:t>风机检修</w:t>
            </w:r>
          </w:p>
        </w:tc>
        <w:tc>
          <w:tcPr>
            <w:tcW w:w="693" w:type="dxa"/>
            <w:tcBorders>
              <w:top w:val="single" w:color="auto" w:sz="4" w:space="0"/>
              <w:left w:val="single" w:color="auto" w:sz="4" w:space="0"/>
              <w:bottom w:val="single" w:color="auto" w:sz="4" w:space="0"/>
              <w:right w:val="single" w:color="auto" w:sz="4" w:space="0"/>
            </w:tcBorders>
            <w:vAlign w:val="center"/>
          </w:tcPr>
          <w:p w14:paraId="54152D1A">
            <w:pPr>
              <w:tabs>
                <w:tab w:val="clear" w:pos="480"/>
              </w:tabs>
              <w:topLinePunct/>
              <w:adjustRightInd w:val="0"/>
              <w:snapToGrid w:val="0"/>
              <w:spacing w:line="240" w:lineRule="auto"/>
              <w:ind w:firstLine="0" w:firstLineChars="0"/>
              <w:jc w:val="center"/>
              <w:rPr>
                <w:kern w:val="0"/>
                <w:sz w:val="18"/>
                <w:szCs w:val="18"/>
              </w:rPr>
            </w:pPr>
            <w:r>
              <w:rPr>
                <w:kern w:val="0"/>
                <w:sz w:val="18"/>
                <w:szCs w:val="18"/>
              </w:rPr>
              <w:t>液态</w:t>
            </w:r>
          </w:p>
        </w:tc>
        <w:tc>
          <w:tcPr>
            <w:tcW w:w="571" w:type="dxa"/>
            <w:tcBorders>
              <w:top w:val="single" w:color="auto" w:sz="4" w:space="0"/>
              <w:left w:val="single" w:color="auto" w:sz="4" w:space="0"/>
              <w:bottom w:val="single" w:color="auto" w:sz="4" w:space="0"/>
              <w:right w:val="single" w:color="auto" w:sz="4" w:space="0"/>
            </w:tcBorders>
            <w:vAlign w:val="center"/>
          </w:tcPr>
          <w:p w14:paraId="4B701D01">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废油</w:t>
            </w:r>
          </w:p>
        </w:tc>
        <w:tc>
          <w:tcPr>
            <w:tcW w:w="690" w:type="dxa"/>
            <w:tcBorders>
              <w:top w:val="single" w:color="auto" w:sz="4" w:space="0"/>
              <w:left w:val="single" w:color="auto" w:sz="4" w:space="0"/>
              <w:bottom w:val="single" w:color="auto" w:sz="4" w:space="0"/>
              <w:right w:val="single" w:color="auto" w:sz="4" w:space="0"/>
            </w:tcBorders>
            <w:vAlign w:val="center"/>
          </w:tcPr>
          <w:p w14:paraId="2715920C">
            <w:pPr>
              <w:tabs>
                <w:tab w:val="clear" w:pos="480"/>
              </w:tabs>
              <w:topLinePunct/>
              <w:adjustRightInd w:val="0"/>
              <w:snapToGrid w:val="0"/>
              <w:spacing w:line="240" w:lineRule="auto"/>
              <w:ind w:firstLine="0" w:firstLineChars="0"/>
              <w:jc w:val="center"/>
              <w:rPr>
                <w:kern w:val="0"/>
                <w:sz w:val="18"/>
                <w:szCs w:val="18"/>
              </w:rPr>
            </w:pPr>
            <w:r>
              <w:rPr>
                <w:kern w:val="0"/>
                <w:sz w:val="18"/>
                <w:szCs w:val="18"/>
              </w:rPr>
              <w:t>矿物油</w:t>
            </w:r>
          </w:p>
        </w:tc>
        <w:tc>
          <w:tcPr>
            <w:tcW w:w="576" w:type="dxa"/>
            <w:tcBorders>
              <w:top w:val="single" w:color="auto" w:sz="4" w:space="0"/>
              <w:left w:val="single" w:color="auto" w:sz="4" w:space="0"/>
              <w:bottom w:val="single" w:color="auto" w:sz="4" w:space="0"/>
              <w:right w:val="single" w:color="auto" w:sz="4" w:space="0"/>
            </w:tcBorders>
            <w:vAlign w:val="center"/>
          </w:tcPr>
          <w:p w14:paraId="0190924E">
            <w:pPr>
              <w:tabs>
                <w:tab w:val="clear" w:pos="480"/>
              </w:tabs>
              <w:topLinePunct/>
              <w:adjustRightInd w:val="0"/>
              <w:snapToGrid w:val="0"/>
              <w:spacing w:line="240" w:lineRule="auto"/>
              <w:ind w:firstLine="0" w:firstLineChars="0"/>
              <w:jc w:val="center"/>
              <w:rPr>
                <w:kern w:val="0"/>
                <w:sz w:val="18"/>
                <w:szCs w:val="18"/>
              </w:rPr>
            </w:pPr>
            <w:r>
              <w:rPr>
                <w:kern w:val="0"/>
                <w:sz w:val="18"/>
                <w:szCs w:val="18"/>
              </w:rPr>
              <w:t>5~10年</w:t>
            </w:r>
          </w:p>
        </w:tc>
        <w:tc>
          <w:tcPr>
            <w:tcW w:w="715" w:type="dxa"/>
            <w:tcBorders>
              <w:top w:val="single" w:color="auto" w:sz="4" w:space="0"/>
              <w:left w:val="single" w:color="auto" w:sz="4" w:space="0"/>
              <w:bottom w:val="single" w:color="auto" w:sz="4" w:space="0"/>
              <w:right w:val="single" w:color="auto" w:sz="4" w:space="0"/>
            </w:tcBorders>
            <w:vAlign w:val="center"/>
          </w:tcPr>
          <w:p w14:paraId="224979CD">
            <w:pPr>
              <w:tabs>
                <w:tab w:val="clear" w:pos="480"/>
              </w:tabs>
              <w:topLinePunct/>
              <w:adjustRightInd w:val="0"/>
              <w:snapToGrid w:val="0"/>
              <w:spacing w:line="240" w:lineRule="auto"/>
              <w:ind w:firstLine="0" w:firstLineChars="0"/>
              <w:jc w:val="center"/>
              <w:rPr>
                <w:kern w:val="0"/>
                <w:sz w:val="18"/>
                <w:szCs w:val="18"/>
              </w:rPr>
            </w:pPr>
            <w:r>
              <w:rPr>
                <w:kern w:val="0"/>
                <w:sz w:val="18"/>
                <w:szCs w:val="18"/>
              </w:rPr>
              <w:t>易燃、有毒</w:t>
            </w:r>
          </w:p>
        </w:tc>
        <w:tc>
          <w:tcPr>
            <w:tcW w:w="589" w:type="dxa"/>
            <w:vMerge w:val="restart"/>
            <w:tcBorders>
              <w:top w:val="single" w:color="auto" w:sz="4" w:space="0"/>
              <w:left w:val="single" w:color="auto" w:sz="4" w:space="0"/>
              <w:right w:val="single" w:color="auto" w:sz="12" w:space="0"/>
            </w:tcBorders>
            <w:vAlign w:val="center"/>
          </w:tcPr>
          <w:p w14:paraId="77D2818A">
            <w:pPr>
              <w:tabs>
                <w:tab w:val="clear" w:pos="480"/>
              </w:tabs>
              <w:topLinePunct/>
              <w:adjustRightInd w:val="0"/>
              <w:snapToGrid w:val="0"/>
              <w:spacing w:line="240" w:lineRule="auto"/>
              <w:ind w:firstLine="0" w:firstLineChars="0"/>
              <w:rPr>
                <w:kern w:val="0"/>
                <w:sz w:val="18"/>
                <w:szCs w:val="18"/>
              </w:rPr>
            </w:pPr>
            <w:r>
              <w:rPr>
                <w:kern w:val="0"/>
                <w:sz w:val="18"/>
                <w:szCs w:val="18"/>
              </w:rPr>
              <w:t>交由有资质单位处理</w:t>
            </w:r>
          </w:p>
        </w:tc>
      </w:tr>
      <w:tr w14:paraId="380E52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dxa"/>
            <w:tcBorders>
              <w:top w:val="single" w:color="auto" w:sz="4" w:space="0"/>
              <w:left w:val="single" w:color="auto" w:sz="12" w:space="0"/>
              <w:bottom w:val="single" w:color="auto" w:sz="4" w:space="0"/>
              <w:right w:val="single" w:color="auto" w:sz="4" w:space="0"/>
            </w:tcBorders>
            <w:vAlign w:val="center"/>
          </w:tcPr>
          <w:p w14:paraId="33423D5E">
            <w:pPr>
              <w:tabs>
                <w:tab w:val="clear" w:pos="480"/>
              </w:tabs>
              <w:topLinePunct/>
              <w:adjustRightInd w:val="0"/>
              <w:snapToGrid w:val="0"/>
              <w:spacing w:line="240" w:lineRule="auto"/>
              <w:ind w:firstLine="0" w:firstLineChars="0"/>
              <w:jc w:val="center"/>
              <w:rPr>
                <w:kern w:val="0"/>
                <w:sz w:val="18"/>
                <w:szCs w:val="18"/>
              </w:rPr>
            </w:pPr>
            <w:r>
              <w:rPr>
                <w:kern w:val="0"/>
                <w:sz w:val="18"/>
                <w:szCs w:val="18"/>
              </w:rPr>
              <w:t>2</w:t>
            </w:r>
          </w:p>
        </w:tc>
        <w:tc>
          <w:tcPr>
            <w:tcW w:w="674" w:type="dxa"/>
            <w:tcBorders>
              <w:top w:val="single" w:color="auto" w:sz="4" w:space="0"/>
              <w:left w:val="single" w:color="auto" w:sz="4" w:space="0"/>
              <w:bottom w:val="single" w:color="auto" w:sz="4" w:space="0"/>
              <w:right w:val="single" w:color="auto" w:sz="4" w:space="0"/>
            </w:tcBorders>
            <w:vAlign w:val="center"/>
          </w:tcPr>
          <w:p w14:paraId="0F390E93">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废液压油</w:t>
            </w:r>
          </w:p>
        </w:tc>
        <w:tc>
          <w:tcPr>
            <w:tcW w:w="576" w:type="dxa"/>
            <w:tcBorders>
              <w:top w:val="single" w:color="auto" w:sz="4" w:space="0"/>
              <w:left w:val="single" w:color="auto" w:sz="4" w:space="0"/>
              <w:bottom w:val="single" w:color="auto" w:sz="4" w:space="0"/>
              <w:right w:val="single" w:color="auto" w:sz="4" w:space="0"/>
            </w:tcBorders>
            <w:vAlign w:val="center"/>
          </w:tcPr>
          <w:p w14:paraId="1AF0E590">
            <w:pPr>
              <w:tabs>
                <w:tab w:val="clear" w:pos="480"/>
              </w:tabs>
              <w:topLinePunct/>
              <w:adjustRightInd w:val="0"/>
              <w:snapToGrid w:val="0"/>
              <w:spacing w:line="240" w:lineRule="auto"/>
              <w:ind w:firstLine="0" w:firstLineChars="0"/>
              <w:jc w:val="center"/>
              <w:rPr>
                <w:kern w:val="0"/>
                <w:sz w:val="18"/>
                <w:szCs w:val="18"/>
              </w:rPr>
            </w:pPr>
            <w:r>
              <w:rPr>
                <w:kern w:val="0"/>
                <w:sz w:val="18"/>
                <w:szCs w:val="18"/>
              </w:rPr>
              <w:t>HW08</w:t>
            </w:r>
          </w:p>
        </w:tc>
        <w:tc>
          <w:tcPr>
            <w:tcW w:w="846" w:type="dxa"/>
            <w:tcBorders>
              <w:top w:val="single" w:color="auto" w:sz="4" w:space="0"/>
              <w:left w:val="single" w:color="auto" w:sz="4" w:space="0"/>
              <w:bottom w:val="single" w:color="auto" w:sz="4" w:space="0"/>
              <w:right w:val="single" w:color="auto" w:sz="4" w:space="0"/>
            </w:tcBorders>
            <w:vAlign w:val="center"/>
          </w:tcPr>
          <w:p w14:paraId="26A375B8">
            <w:pPr>
              <w:tabs>
                <w:tab w:val="clear" w:pos="480"/>
              </w:tabs>
              <w:topLinePunct/>
              <w:adjustRightInd w:val="0"/>
              <w:snapToGrid w:val="0"/>
              <w:spacing w:line="240" w:lineRule="auto"/>
              <w:ind w:firstLine="0" w:firstLineChars="0"/>
              <w:jc w:val="center"/>
              <w:rPr>
                <w:kern w:val="0"/>
                <w:sz w:val="18"/>
                <w:szCs w:val="18"/>
              </w:rPr>
            </w:pPr>
            <w:r>
              <w:rPr>
                <w:kern w:val="0"/>
                <w:sz w:val="18"/>
                <w:szCs w:val="18"/>
              </w:rPr>
              <w:t>900-218</w:t>
            </w:r>
          </w:p>
          <w:p w14:paraId="67E7D45B">
            <w:pPr>
              <w:tabs>
                <w:tab w:val="clear" w:pos="480"/>
              </w:tabs>
              <w:topLinePunct/>
              <w:adjustRightInd w:val="0"/>
              <w:snapToGrid w:val="0"/>
              <w:spacing w:line="240" w:lineRule="auto"/>
              <w:ind w:firstLine="0" w:firstLineChars="0"/>
              <w:jc w:val="center"/>
              <w:rPr>
                <w:kern w:val="0"/>
                <w:sz w:val="18"/>
                <w:szCs w:val="18"/>
              </w:rPr>
            </w:pPr>
            <w:r>
              <w:rPr>
                <w:kern w:val="0"/>
                <w:sz w:val="18"/>
                <w:szCs w:val="18"/>
              </w:rPr>
              <w:t>-08</w:t>
            </w:r>
          </w:p>
        </w:tc>
        <w:tc>
          <w:tcPr>
            <w:tcW w:w="741" w:type="dxa"/>
            <w:tcBorders>
              <w:top w:val="single" w:color="auto" w:sz="4" w:space="0"/>
              <w:left w:val="single" w:color="auto" w:sz="4" w:space="0"/>
              <w:bottom w:val="single" w:color="auto" w:sz="4" w:space="0"/>
              <w:right w:val="single" w:color="auto" w:sz="4" w:space="0"/>
            </w:tcBorders>
            <w:vAlign w:val="center"/>
          </w:tcPr>
          <w:p w14:paraId="43CA8FF5">
            <w:pPr>
              <w:tabs>
                <w:tab w:val="clear" w:pos="480"/>
              </w:tabs>
              <w:topLinePunct/>
              <w:adjustRightInd w:val="0"/>
              <w:snapToGrid w:val="0"/>
              <w:spacing w:line="240" w:lineRule="auto"/>
              <w:ind w:firstLine="0" w:firstLineChars="0"/>
              <w:jc w:val="center"/>
              <w:rPr>
                <w:kern w:val="0"/>
                <w:sz w:val="18"/>
                <w:szCs w:val="18"/>
              </w:rPr>
            </w:pPr>
            <w:r>
              <w:rPr>
                <w:rFonts w:eastAsia="等线"/>
                <w:sz w:val="18"/>
                <w:szCs w:val="18"/>
              </w:rPr>
              <w:t>0.98t/次</w:t>
            </w:r>
          </w:p>
        </w:tc>
        <w:tc>
          <w:tcPr>
            <w:tcW w:w="694" w:type="dxa"/>
            <w:tcBorders>
              <w:top w:val="single" w:color="auto" w:sz="4" w:space="0"/>
              <w:left w:val="single" w:color="auto" w:sz="4" w:space="0"/>
              <w:bottom w:val="single" w:color="auto" w:sz="4" w:space="0"/>
              <w:right w:val="single" w:color="auto" w:sz="4" w:space="0"/>
            </w:tcBorders>
            <w:vAlign w:val="center"/>
          </w:tcPr>
          <w:p w14:paraId="4D018F3B">
            <w:pPr>
              <w:tabs>
                <w:tab w:val="clear" w:pos="480"/>
              </w:tabs>
              <w:topLinePunct/>
              <w:adjustRightInd w:val="0"/>
              <w:snapToGrid w:val="0"/>
              <w:spacing w:line="240" w:lineRule="auto"/>
              <w:ind w:firstLine="0" w:firstLineChars="0"/>
              <w:jc w:val="center"/>
              <w:rPr>
                <w:kern w:val="0"/>
                <w:sz w:val="18"/>
                <w:szCs w:val="18"/>
              </w:rPr>
            </w:pPr>
            <w:r>
              <w:rPr>
                <w:kern w:val="0"/>
                <w:sz w:val="18"/>
                <w:szCs w:val="18"/>
              </w:rPr>
              <w:t>叶片检修</w:t>
            </w:r>
          </w:p>
        </w:tc>
        <w:tc>
          <w:tcPr>
            <w:tcW w:w="693" w:type="dxa"/>
            <w:tcBorders>
              <w:top w:val="single" w:color="auto" w:sz="4" w:space="0"/>
              <w:left w:val="single" w:color="auto" w:sz="4" w:space="0"/>
              <w:bottom w:val="single" w:color="auto" w:sz="4" w:space="0"/>
              <w:right w:val="single" w:color="auto" w:sz="4" w:space="0"/>
            </w:tcBorders>
            <w:vAlign w:val="center"/>
          </w:tcPr>
          <w:p w14:paraId="4FE0B37B">
            <w:pPr>
              <w:tabs>
                <w:tab w:val="clear" w:pos="480"/>
              </w:tabs>
              <w:topLinePunct/>
              <w:adjustRightInd w:val="0"/>
              <w:snapToGrid w:val="0"/>
              <w:spacing w:line="240" w:lineRule="auto"/>
              <w:ind w:firstLine="0" w:firstLineChars="0"/>
              <w:jc w:val="center"/>
              <w:rPr>
                <w:kern w:val="0"/>
                <w:sz w:val="18"/>
                <w:szCs w:val="18"/>
              </w:rPr>
            </w:pPr>
            <w:r>
              <w:rPr>
                <w:kern w:val="0"/>
                <w:sz w:val="18"/>
                <w:szCs w:val="18"/>
              </w:rPr>
              <w:t>液态</w:t>
            </w:r>
          </w:p>
        </w:tc>
        <w:tc>
          <w:tcPr>
            <w:tcW w:w="571" w:type="dxa"/>
            <w:tcBorders>
              <w:top w:val="single" w:color="auto" w:sz="4" w:space="0"/>
              <w:left w:val="single" w:color="auto" w:sz="4" w:space="0"/>
              <w:bottom w:val="single" w:color="auto" w:sz="4" w:space="0"/>
              <w:right w:val="single" w:color="auto" w:sz="4" w:space="0"/>
            </w:tcBorders>
            <w:vAlign w:val="center"/>
          </w:tcPr>
          <w:p w14:paraId="7A5268D8">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废油</w:t>
            </w:r>
          </w:p>
        </w:tc>
        <w:tc>
          <w:tcPr>
            <w:tcW w:w="690" w:type="dxa"/>
            <w:tcBorders>
              <w:top w:val="single" w:color="auto" w:sz="4" w:space="0"/>
              <w:left w:val="single" w:color="auto" w:sz="4" w:space="0"/>
              <w:bottom w:val="single" w:color="auto" w:sz="4" w:space="0"/>
              <w:right w:val="single" w:color="auto" w:sz="4" w:space="0"/>
            </w:tcBorders>
            <w:vAlign w:val="center"/>
          </w:tcPr>
          <w:p w14:paraId="468D2DA4">
            <w:pPr>
              <w:tabs>
                <w:tab w:val="clear" w:pos="480"/>
              </w:tabs>
              <w:topLinePunct/>
              <w:adjustRightInd w:val="0"/>
              <w:snapToGrid w:val="0"/>
              <w:spacing w:line="240" w:lineRule="auto"/>
              <w:ind w:firstLine="0" w:firstLineChars="0"/>
              <w:jc w:val="center"/>
              <w:rPr>
                <w:kern w:val="0"/>
                <w:sz w:val="18"/>
                <w:szCs w:val="18"/>
              </w:rPr>
            </w:pPr>
            <w:r>
              <w:rPr>
                <w:kern w:val="0"/>
                <w:sz w:val="18"/>
                <w:szCs w:val="18"/>
              </w:rPr>
              <w:t>矿物油</w:t>
            </w:r>
          </w:p>
        </w:tc>
        <w:tc>
          <w:tcPr>
            <w:tcW w:w="576" w:type="dxa"/>
            <w:tcBorders>
              <w:top w:val="single" w:color="auto" w:sz="4" w:space="0"/>
              <w:left w:val="single" w:color="auto" w:sz="4" w:space="0"/>
              <w:bottom w:val="single" w:color="auto" w:sz="4" w:space="0"/>
              <w:right w:val="single" w:color="auto" w:sz="4" w:space="0"/>
            </w:tcBorders>
            <w:vAlign w:val="center"/>
          </w:tcPr>
          <w:p w14:paraId="311CBA21">
            <w:pPr>
              <w:tabs>
                <w:tab w:val="clear" w:pos="480"/>
              </w:tabs>
              <w:topLinePunct/>
              <w:adjustRightInd w:val="0"/>
              <w:snapToGrid w:val="0"/>
              <w:spacing w:line="240" w:lineRule="auto"/>
              <w:ind w:firstLine="0" w:firstLineChars="0"/>
              <w:jc w:val="center"/>
              <w:rPr>
                <w:kern w:val="0"/>
                <w:sz w:val="18"/>
                <w:szCs w:val="18"/>
              </w:rPr>
            </w:pPr>
            <w:r>
              <w:rPr>
                <w:kern w:val="0"/>
                <w:sz w:val="18"/>
                <w:szCs w:val="18"/>
              </w:rPr>
              <w:t>6~10年</w:t>
            </w:r>
          </w:p>
        </w:tc>
        <w:tc>
          <w:tcPr>
            <w:tcW w:w="715" w:type="dxa"/>
            <w:tcBorders>
              <w:top w:val="single" w:color="auto" w:sz="4" w:space="0"/>
              <w:left w:val="single" w:color="auto" w:sz="4" w:space="0"/>
              <w:bottom w:val="single" w:color="auto" w:sz="4" w:space="0"/>
              <w:right w:val="single" w:color="auto" w:sz="4" w:space="0"/>
            </w:tcBorders>
            <w:vAlign w:val="center"/>
          </w:tcPr>
          <w:p w14:paraId="361D5DC1">
            <w:pPr>
              <w:tabs>
                <w:tab w:val="clear" w:pos="480"/>
              </w:tabs>
              <w:topLinePunct/>
              <w:adjustRightInd w:val="0"/>
              <w:snapToGrid w:val="0"/>
              <w:spacing w:line="240" w:lineRule="auto"/>
              <w:ind w:firstLine="0" w:firstLineChars="0"/>
              <w:jc w:val="center"/>
              <w:rPr>
                <w:kern w:val="0"/>
                <w:sz w:val="18"/>
                <w:szCs w:val="18"/>
              </w:rPr>
            </w:pPr>
            <w:r>
              <w:rPr>
                <w:kern w:val="0"/>
                <w:sz w:val="18"/>
                <w:szCs w:val="18"/>
              </w:rPr>
              <w:t>易燃、有毒</w:t>
            </w:r>
          </w:p>
        </w:tc>
        <w:tc>
          <w:tcPr>
            <w:tcW w:w="589" w:type="dxa"/>
            <w:vMerge w:val="continue"/>
            <w:tcBorders>
              <w:left w:val="single" w:color="auto" w:sz="4" w:space="0"/>
              <w:right w:val="single" w:color="auto" w:sz="12" w:space="0"/>
            </w:tcBorders>
            <w:vAlign w:val="center"/>
          </w:tcPr>
          <w:p w14:paraId="1FA27FD2">
            <w:pPr>
              <w:tabs>
                <w:tab w:val="clear" w:pos="480"/>
              </w:tabs>
              <w:topLinePunct/>
              <w:adjustRightInd w:val="0"/>
              <w:snapToGrid w:val="0"/>
              <w:spacing w:line="240" w:lineRule="auto"/>
              <w:ind w:firstLine="0" w:firstLineChars="0"/>
              <w:rPr>
                <w:kern w:val="0"/>
                <w:sz w:val="18"/>
                <w:szCs w:val="18"/>
              </w:rPr>
            </w:pPr>
          </w:p>
        </w:tc>
      </w:tr>
      <w:tr w14:paraId="7C473B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405" w:type="dxa"/>
            <w:tcBorders>
              <w:top w:val="single" w:color="auto" w:sz="4" w:space="0"/>
              <w:left w:val="single" w:color="auto" w:sz="12" w:space="0"/>
              <w:bottom w:val="single" w:color="auto" w:sz="4" w:space="0"/>
              <w:right w:val="single" w:color="auto" w:sz="4" w:space="0"/>
            </w:tcBorders>
            <w:vAlign w:val="center"/>
          </w:tcPr>
          <w:p w14:paraId="187D608A">
            <w:pPr>
              <w:tabs>
                <w:tab w:val="clear" w:pos="480"/>
              </w:tabs>
              <w:topLinePunct/>
              <w:adjustRightInd w:val="0"/>
              <w:snapToGrid w:val="0"/>
              <w:spacing w:line="240" w:lineRule="auto"/>
              <w:ind w:firstLine="0" w:firstLineChars="0"/>
              <w:jc w:val="center"/>
              <w:rPr>
                <w:kern w:val="0"/>
                <w:sz w:val="18"/>
                <w:szCs w:val="18"/>
              </w:rPr>
            </w:pPr>
            <w:r>
              <w:rPr>
                <w:kern w:val="0"/>
                <w:sz w:val="18"/>
                <w:szCs w:val="18"/>
              </w:rPr>
              <w:t>3</w:t>
            </w:r>
          </w:p>
        </w:tc>
        <w:tc>
          <w:tcPr>
            <w:tcW w:w="674" w:type="dxa"/>
            <w:tcBorders>
              <w:top w:val="single" w:color="auto" w:sz="4" w:space="0"/>
              <w:left w:val="single" w:color="auto" w:sz="4" w:space="0"/>
              <w:bottom w:val="single" w:color="auto" w:sz="4" w:space="0"/>
              <w:right w:val="single" w:color="auto" w:sz="4" w:space="0"/>
            </w:tcBorders>
            <w:vAlign w:val="center"/>
          </w:tcPr>
          <w:p w14:paraId="1CED5D69">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废变压器油</w:t>
            </w:r>
          </w:p>
        </w:tc>
        <w:tc>
          <w:tcPr>
            <w:tcW w:w="576" w:type="dxa"/>
            <w:tcBorders>
              <w:top w:val="single" w:color="auto" w:sz="4" w:space="0"/>
              <w:left w:val="single" w:color="auto" w:sz="4" w:space="0"/>
              <w:bottom w:val="single" w:color="auto" w:sz="4" w:space="0"/>
              <w:right w:val="single" w:color="auto" w:sz="4" w:space="0"/>
            </w:tcBorders>
            <w:vAlign w:val="center"/>
          </w:tcPr>
          <w:p w14:paraId="59253F5D">
            <w:pPr>
              <w:tabs>
                <w:tab w:val="clear" w:pos="480"/>
              </w:tabs>
              <w:topLinePunct/>
              <w:adjustRightInd w:val="0"/>
              <w:snapToGrid w:val="0"/>
              <w:spacing w:line="240" w:lineRule="auto"/>
              <w:ind w:firstLine="0" w:firstLineChars="0"/>
              <w:jc w:val="center"/>
              <w:rPr>
                <w:kern w:val="0"/>
                <w:sz w:val="18"/>
                <w:szCs w:val="18"/>
              </w:rPr>
            </w:pPr>
            <w:r>
              <w:rPr>
                <w:kern w:val="0"/>
                <w:sz w:val="18"/>
                <w:szCs w:val="18"/>
              </w:rPr>
              <w:t>HW08</w:t>
            </w:r>
          </w:p>
        </w:tc>
        <w:tc>
          <w:tcPr>
            <w:tcW w:w="846" w:type="dxa"/>
            <w:tcBorders>
              <w:top w:val="single" w:color="auto" w:sz="4" w:space="0"/>
              <w:left w:val="single" w:color="auto" w:sz="4" w:space="0"/>
              <w:bottom w:val="single" w:color="auto" w:sz="4" w:space="0"/>
              <w:right w:val="single" w:color="auto" w:sz="4" w:space="0"/>
            </w:tcBorders>
            <w:vAlign w:val="center"/>
          </w:tcPr>
          <w:p w14:paraId="04FCB1CC">
            <w:pPr>
              <w:tabs>
                <w:tab w:val="clear" w:pos="480"/>
              </w:tabs>
              <w:topLinePunct/>
              <w:adjustRightInd w:val="0"/>
              <w:snapToGrid w:val="0"/>
              <w:spacing w:line="240" w:lineRule="auto"/>
              <w:ind w:firstLine="0" w:firstLineChars="0"/>
              <w:jc w:val="center"/>
              <w:rPr>
                <w:kern w:val="0"/>
                <w:sz w:val="18"/>
                <w:szCs w:val="18"/>
              </w:rPr>
            </w:pPr>
            <w:r>
              <w:rPr>
                <w:kern w:val="0"/>
                <w:sz w:val="18"/>
                <w:szCs w:val="18"/>
              </w:rPr>
              <w:t>900-220</w:t>
            </w:r>
          </w:p>
          <w:p w14:paraId="6D3D9EDF">
            <w:pPr>
              <w:tabs>
                <w:tab w:val="clear" w:pos="480"/>
              </w:tabs>
              <w:topLinePunct/>
              <w:adjustRightInd w:val="0"/>
              <w:snapToGrid w:val="0"/>
              <w:spacing w:line="240" w:lineRule="auto"/>
              <w:ind w:firstLine="0" w:firstLineChars="0"/>
              <w:jc w:val="center"/>
              <w:rPr>
                <w:kern w:val="0"/>
                <w:sz w:val="18"/>
                <w:szCs w:val="18"/>
              </w:rPr>
            </w:pPr>
            <w:r>
              <w:rPr>
                <w:kern w:val="0"/>
                <w:sz w:val="18"/>
                <w:szCs w:val="18"/>
              </w:rPr>
              <w:t>-08</w:t>
            </w:r>
          </w:p>
        </w:tc>
        <w:tc>
          <w:tcPr>
            <w:tcW w:w="741" w:type="dxa"/>
            <w:tcBorders>
              <w:top w:val="single" w:color="auto" w:sz="4" w:space="0"/>
              <w:left w:val="single" w:color="auto" w:sz="4" w:space="0"/>
              <w:bottom w:val="single" w:color="auto" w:sz="4" w:space="0"/>
              <w:right w:val="single" w:color="auto" w:sz="4" w:space="0"/>
            </w:tcBorders>
            <w:vAlign w:val="center"/>
          </w:tcPr>
          <w:p w14:paraId="7004C0F4">
            <w:pPr>
              <w:tabs>
                <w:tab w:val="clear" w:pos="480"/>
              </w:tabs>
              <w:topLinePunct/>
              <w:adjustRightInd w:val="0"/>
              <w:snapToGrid w:val="0"/>
              <w:spacing w:line="240" w:lineRule="auto"/>
              <w:ind w:firstLine="0" w:firstLineChars="0"/>
              <w:jc w:val="center"/>
              <w:rPr>
                <w:kern w:val="0"/>
                <w:sz w:val="18"/>
                <w:szCs w:val="18"/>
              </w:rPr>
            </w:pPr>
            <w:r>
              <w:rPr>
                <w:sz w:val="18"/>
                <w:szCs w:val="18"/>
              </w:rPr>
              <w:t>/</w:t>
            </w:r>
          </w:p>
        </w:tc>
        <w:tc>
          <w:tcPr>
            <w:tcW w:w="694" w:type="dxa"/>
            <w:tcBorders>
              <w:top w:val="single" w:color="auto" w:sz="4" w:space="0"/>
              <w:left w:val="single" w:color="auto" w:sz="4" w:space="0"/>
              <w:bottom w:val="single" w:color="auto" w:sz="4" w:space="0"/>
              <w:right w:val="single" w:color="auto" w:sz="4" w:space="0"/>
            </w:tcBorders>
            <w:vAlign w:val="center"/>
          </w:tcPr>
          <w:p w14:paraId="016B38DF">
            <w:pPr>
              <w:tabs>
                <w:tab w:val="clear" w:pos="480"/>
              </w:tabs>
              <w:topLinePunct/>
              <w:adjustRightInd w:val="0"/>
              <w:snapToGrid w:val="0"/>
              <w:spacing w:line="240" w:lineRule="auto"/>
              <w:ind w:firstLine="0" w:firstLineChars="0"/>
              <w:jc w:val="center"/>
              <w:rPr>
                <w:kern w:val="0"/>
                <w:sz w:val="18"/>
                <w:szCs w:val="18"/>
              </w:rPr>
            </w:pPr>
            <w:r>
              <w:rPr>
                <w:kern w:val="0"/>
                <w:sz w:val="18"/>
                <w:szCs w:val="18"/>
              </w:rPr>
              <w:t>箱变冷却</w:t>
            </w:r>
          </w:p>
        </w:tc>
        <w:tc>
          <w:tcPr>
            <w:tcW w:w="693" w:type="dxa"/>
            <w:tcBorders>
              <w:top w:val="single" w:color="auto" w:sz="4" w:space="0"/>
              <w:left w:val="single" w:color="auto" w:sz="4" w:space="0"/>
              <w:bottom w:val="single" w:color="auto" w:sz="4" w:space="0"/>
              <w:right w:val="single" w:color="auto" w:sz="4" w:space="0"/>
            </w:tcBorders>
            <w:vAlign w:val="center"/>
          </w:tcPr>
          <w:p w14:paraId="0971699A">
            <w:pPr>
              <w:tabs>
                <w:tab w:val="clear" w:pos="480"/>
              </w:tabs>
              <w:topLinePunct/>
              <w:adjustRightInd w:val="0"/>
              <w:snapToGrid w:val="0"/>
              <w:spacing w:line="240" w:lineRule="auto"/>
              <w:ind w:firstLine="0" w:firstLineChars="0"/>
              <w:jc w:val="center"/>
              <w:rPr>
                <w:kern w:val="0"/>
                <w:sz w:val="18"/>
                <w:szCs w:val="18"/>
              </w:rPr>
            </w:pPr>
            <w:r>
              <w:rPr>
                <w:kern w:val="0"/>
                <w:sz w:val="18"/>
                <w:szCs w:val="18"/>
              </w:rPr>
              <w:t>液态</w:t>
            </w:r>
          </w:p>
        </w:tc>
        <w:tc>
          <w:tcPr>
            <w:tcW w:w="571" w:type="dxa"/>
            <w:tcBorders>
              <w:top w:val="single" w:color="auto" w:sz="4" w:space="0"/>
              <w:left w:val="single" w:color="auto" w:sz="4" w:space="0"/>
              <w:bottom w:val="single" w:color="auto" w:sz="4" w:space="0"/>
              <w:right w:val="single" w:color="auto" w:sz="4" w:space="0"/>
            </w:tcBorders>
            <w:vAlign w:val="center"/>
          </w:tcPr>
          <w:p w14:paraId="5EED0153">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废油</w:t>
            </w:r>
          </w:p>
        </w:tc>
        <w:tc>
          <w:tcPr>
            <w:tcW w:w="690" w:type="dxa"/>
            <w:tcBorders>
              <w:top w:val="single" w:color="auto" w:sz="4" w:space="0"/>
              <w:left w:val="single" w:color="auto" w:sz="4" w:space="0"/>
              <w:bottom w:val="single" w:color="auto" w:sz="4" w:space="0"/>
              <w:right w:val="single" w:color="auto" w:sz="4" w:space="0"/>
            </w:tcBorders>
            <w:vAlign w:val="center"/>
          </w:tcPr>
          <w:p w14:paraId="4558C453">
            <w:pPr>
              <w:tabs>
                <w:tab w:val="clear" w:pos="480"/>
              </w:tabs>
              <w:topLinePunct/>
              <w:adjustRightInd w:val="0"/>
              <w:snapToGrid w:val="0"/>
              <w:spacing w:line="240" w:lineRule="auto"/>
              <w:ind w:firstLine="0" w:firstLineChars="0"/>
              <w:jc w:val="center"/>
              <w:rPr>
                <w:kern w:val="0"/>
                <w:sz w:val="18"/>
                <w:szCs w:val="18"/>
              </w:rPr>
            </w:pPr>
            <w:r>
              <w:rPr>
                <w:kern w:val="0"/>
                <w:sz w:val="18"/>
                <w:szCs w:val="18"/>
              </w:rPr>
              <w:t>矿物油</w:t>
            </w:r>
          </w:p>
        </w:tc>
        <w:tc>
          <w:tcPr>
            <w:tcW w:w="576" w:type="dxa"/>
            <w:tcBorders>
              <w:top w:val="single" w:color="auto" w:sz="4" w:space="0"/>
              <w:left w:val="single" w:color="auto" w:sz="4" w:space="0"/>
              <w:bottom w:val="single" w:color="auto" w:sz="4" w:space="0"/>
              <w:right w:val="single" w:color="auto" w:sz="4" w:space="0"/>
            </w:tcBorders>
            <w:vAlign w:val="center"/>
          </w:tcPr>
          <w:p w14:paraId="79708D59">
            <w:pPr>
              <w:tabs>
                <w:tab w:val="clear" w:pos="480"/>
              </w:tabs>
              <w:topLinePunct/>
              <w:adjustRightInd w:val="0"/>
              <w:snapToGrid w:val="0"/>
              <w:spacing w:line="240" w:lineRule="auto"/>
              <w:ind w:firstLine="0" w:firstLineChars="0"/>
              <w:jc w:val="center"/>
              <w:rPr>
                <w:kern w:val="0"/>
                <w:sz w:val="18"/>
                <w:szCs w:val="18"/>
              </w:rPr>
            </w:pPr>
            <w:r>
              <w:rPr>
                <w:kern w:val="0"/>
                <w:sz w:val="18"/>
                <w:szCs w:val="18"/>
              </w:rPr>
              <w:t>每年</w:t>
            </w:r>
          </w:p>
        </w:tc>
        <w:tc>
          <w:tcPr>
            <w:tcW w:w="715" w:type="dxa"/>
            <w:tcBorders>
              <w:top w:val="single" w:color="auto" w:sz="4" w:space="0"/>
              <w:left w:val="single" w:color="auto" w:sz="4" w:space="0"/>
              <w:bottom w:val="single" w:color="auto" w:sz="4" w:space="0"/>
              <w:right w:val="single" w:color="auto" w:sz="4" w:space="0"/>
            </w:tcBorders>
            <w:vAlign w:val="center"/>
          </w:tcPr>
          <w:p w14:paraId="6DEB906E">
            <w:pPr>
              <w:tabs>
                <w:tab w:val="clear" w:pos="480"/>
              </w:tabs>
              <w:topLinePunct/>
              <w:adjustRightInd w:val="0"/>
              <w:snapToGrid w:val="0"/>
              <w:spacing w:line="240" w:lineRule="auto"/>
              <w:ind w:firstLine="0" w:firstLineChars="0"/>
              <w:jc w:val="center"/>
              <w:rPr>
                <w:kern w:val="0"/>
                <w:sz w:val="18"/>
                <w:szCs w:val="18"/>
              </w:rPr>
            </w:pPr>
            <w:r>
              <w:rPr>
                <w:kern w:val="0"/>
                <w:sz w:val="18"/>
                <w:szCs w:val="18"/>
              </w:rPr>
              <w:t>易燃、有毒</w:t>
            </w:r>
          </w:p>
        </w:tc>
        <w:tc>
          <w:tcPr>
            <w:tcW w:w="589" w:type="dxa"/>
            <w:vMerge w:val="continue"/>
            <w:tcBorders>
              <w:left w:val="single" w:color="auto" w:sz="4" w:space="0"/>
              <w:right w:val="single" w:color="auto" w:sz="12" w:space="0"/>
            </w:tcBorders>
            <w:vAlign w:val="center"/>
          </w:tcPr>
          <w:p w14:paraId="0110CAF8">
            <w:pPr>
              <w:tabs>
                <w:tab w:val="clear" w:pos="480"/>
              </w:tabs>
              <w:topLinePunct/>
              <w:adjustRightInd w:val="0"/>
              <w:snapToGrid w:val="0"/>
              <w:spacing w:line="240" w:lineRule="auto"/>
              <w:ind w:firstLine="0" w:firstLineChars="0"/>
              <w:rPr>
                <w:kern w:val="0"/>
                <w:sz w:val="18"/>
                <w:szCs w:val="18"/>
              </w:rPr>
            </w:pPr>
          </w:p>
        </w:tc>
      </w:tr>
      <w:tr w14:paraId="4EF93F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dxa"/>
            <w:tcBorders>
              <w:top w:val="single" w:color="auto" w:sz="4" w:space="0"/>
              <w:left w:val="single" w:color="auto" w:sz="12" w:space="0"/>
              <w:bottom w:val="single" w:color="auto" w:sz="4" w:space="0"/>
              <w:right w:val="single" w:color="auto" w:sz="4" w:space="0"/>
            </w:tcBorders>
            <w:vAlign w:val="center"/>
          </w:tcPr>
          <w:p w14:paraId="53B21D79">
            <w:pPr>
              <w:tabs>
                <w:tab w:val="clear" w:pos="480"/>
              </w:tabs>
              <w:topLinePunct/>
              <w:adjustRightInd w:val="0"/>
              <w:snapToGrid w:val="0"/>
              <w:spacing w:line="240" w:lineRule="auto"/>
              <w:ind w:firstLine="0" w:firstLineChars="0"/>
              <w:jc w:val="center"/>
              <w:rPr>
                <w:kern w:val="0"/>
                <w:sz w:val="18"/>
                <w:szCs w:val="18"/>
              </w:rPr>
            </w:pPr>
            <w:r>
              <w:rPr>
                <w:kern w:val="0"/>
                <w:sz w:val="18"/>
                <w:szCs w:val="18"/>
              </w:rPr>
              <w:t>4</w:t>
            </w:r>
          </w:p>
        </w:tc>
        <w:tc>
          <w:tcPr>
            <w:tcW w:w="674" w:type="dxa"/>
            <w:tcBorders>
              <w:top w:val="single" w:color="auto" w:sz="4" w:space="0"/>
              <w:left w:val="single" w:color="auto" w:sz="4" w:space="0"/>
              <w:bottom w:val="single" w:color="auto" w:sz="4" w:space="0"/>
              <w:right w:val="single" w:color="auto" w:sz="4" w:space="0"/>
            </w:tcBorders>
            <w:vAlign w:val="center"/>
          </w:tcPr>
          <w:p w14:paraId="73217A9A">
            <w:pPr>
              <w:tabs>
                <w:tab w:val="clear" w:pos="480"/>
              </w:tabs>
              <w:topLinePunct/>
              <w:adjustRightInd w:val="0"/>
              <w:snapToGrid w:val="0"/>
              <w:spacing w:line="240" w:lineRule="auto"/>
              <w:ind w:firstLine="0" w:firstLineChars="0"/>
              <w:jc w:val="center"/>
              <w:rPr>
                <w:kern w:val="0"/>
                <w:sz w:val="18"/>
                <w:szCs w:val="18"/>
              </w:rPr>
            </w:pPr>
            <w:r>
              <w:rPr>
                <w:kern w:val="0"/>
                <w:sz w:val="18"/>
                <w:szCs w:val="18"/>
              </w:rPr>
              <w:t>含油检修垃圾和含油抹布</w:t>
            </w:r>
          </w:p>
        </w:tc>
        <w:tc>
          <w:tcPr>
            <w:tcW w:w="576" w:type="dxa"/>
            <w:tcBorders>
              <w:top w:val="single" w:color="auto" w:sz="4" w:space="0"/>
              <w:left w:val="single" w:color="auto" w:sz="4" w:space="0"/>
              <w:bottom w:val="single" w:color="auto" w:sz="4" w:space="0"/>
              <w:right w:val="single" w:color="auto" w:sz="4" w:space="0"/>
            </w:tcBorders>
            <w:vAlign w:val="center"/>
          </w:tcPr>
          <w:p w14:paraId="6669695E">
            <w:pPr>
              <w:tabs>
                <w:tab w:val="clear" w:pos="480"/>
              </w:tabs>
              <w:topLinePunct/>
              <w:adjustRightInd w:val="0"/>
              <w:snapToGrid w:val="0"/>
              <w:spacing w:line="240" w:lineRule="auto"/>
              <w:ind w:firstLine="0" w:firstLineChars="0"/>
              <w:jc w:val="center"/>
              <w:rPr>
                <w:kern w:val="0"/>
                <w:sz w:val="18"/>
                <w:szCs w:val="18"/>
              </w:rPr>
            </w:pPr>
            <w:r>
              <w:rPr>
                <w:kern w:val="0"/>
                <w:sz w:val="18"/>
                <w:szCs w:val="18"/>
              </w:rPr>
              <w:t>HW49</w:t>
            </w:r>
          </w:p>
        </w:tc>
        <w:tc>
          <w:tcPr>
            <w:tcW w:w="846" w:type="dxa"/>
            <w:tcBorders>
              <w:top w:val="single" w:color="auto" w:sz="4" w:space="0"/>
              <w:left w:val="single" w:color="auto" w:sz="4" w:space="0"/>
              <w:bottom w:val="single" w:color="auto" w:sz="4" w:space="0"/>
              <w:right w:val="single" w:color="auto" w:sz="4" w:space="0"/>
            </w:tcBorders>
            <w:vAlign w:val="center"/>
          </w:tcPr>
          <w:p w14:paraId="74FC2C10">
            <w:pPr>
              <w:tabs>
                <w:tab w:val="clear" w:pos="480"/>
              </w:tabs>
              <w:topLinePunct/>
              <w:adjustRightInd w:val="0"/>
              <w:snapToGrid w:val="0"/>
              <w:spacing w:line="240" w:lineRule="auto"/>
              <w:ind w:firstLine="0" w:firstLineChars="0"/>
              <w:jc w:val="center"/>
              <w:rPr>
                <w:kern w:val="0"/>
                <w:sz w:val="18"/>
                <w:szCs w:val="18"/>
              </w:rPr>
            </w:pPr>
            <w:r>
              <w:rPr>
                <w:kern w:val="0"/>
                <w:sz w:val="18"/>
                <w:szCs w:val="18"/>
              </w:rPr>
              <w:t>900-041</w:t>
            </w:r>
          </w:p>
          <w:p w14:paraId="093357C1">
            <w:pPr>
              <w:tabs>
                <w:tab w:val="clear" w:pos="480"/>
              </w:tabs>
              <w:topLinePunct/>
              <w:adjustRightInd w:val="0"/>
              <w:snapToGrid w:val="0"/>
              <w:spacing w:line="240" w:lineRule="auto"/>
              <w:ind w:firstLine="0" w:firstLineChars="0"/>
              <w:jc w:val="center"/>
              <w:rPr>
                <w:kern w:val="0"/>
                <w:sz w:val="18"/>
                <w:szCs w:val="18"/>
              </w:rPr>
            </w:pPr>
            <w:r>
              <w:rPr>
                <w:kern w:val="0"/>
                <w:sz w:val="18"/>
                <w:szCs w:val="18"/>
              </w:rPr>
              <w:t>-49</w:t>
            </w:r>
          </w:p>
        </w:tc>
        <w:tc>
          <w:tcPr>
            <w:tcW w:w="741" w:type="dxa"/>
            <w:tcBorders>
              <w:top w:val="single" w:color="auto" w:sz="4" w:space="0"/>
              <w:left w:val="single" w:color="auto" w:sz="4" w:space="0"/>
              <w:bottom w:val="single" w:color="auto" w:sz="4" w:space="0"/>
              <w:right w:val="single" w:color="auto" w:sz="4" w:space="0"/>
            </w:tcBorders>
            <w:vAlign w:val="center"/>
          </w:tcPr>
          <w:p w14:paraId="11BA36FF">
            <w:pPr>
              <w:tabs>
                <w:tab w:val="clear" w:pos="480"/>
              </w:tabs>
              <w:topLinePunct/>
              <w:adjustRightInd w:val="0"/>
              <w:snapToGrid w:val="0"/>
              <w:spacing w:line="240" w:lineRule="auto"/>
              <w:ind w:firstLine="0" w:firstLineChars="0"/>
              <w:jc w:val="center"/>
              <w:rPr>
                <w:sz w:val="18"/>
                <w:szCs w:val="18"/>
              </w:rPr>
            </w:pPr>
            <w:r>
              <w:rPr>
                <w:sz w:val="18"/>
                <w:szCs w:val="18"/>
              </w:rPr>
              <w:t>0.1t/a</w:t>
            </w:r>
          </w:p>
        </w:tc>
        <w:tc>
          <w:tcPr>
            <w:tcW w:w="694" w:type="dxa"/>
            <w:tcBorders>
              <w:top w:val="single" w:color="auto" w:sz="4" w:space="0"/>
              <w:left w:val="single" w:color="auto" w:sz="4" w:space="0"/>
              <w:bottom w:val="single" w:color="auto" w:sz="4" w:space="0"/>
              <w:right w:val="single" w:color="auto" w:sz="4" w:space="0"/>
            </w:tcBorders>
            <w:vAlign w:val="center"/>
          </w:tcPr>
          <w:p w14:paraId="2FDC8ABC">
            <w:pPr>
              <w:tabs>
                <w:tab w:val="clear" w:pos="480"/>
              </w:tabs>
              <w:topLinePunct/>
              <w:adjustRightInd w:val="0"/>
              <w:snapToGrid w:val="0"/>
              <w:spacing w:line="240" w:lineRule="auto"/>
              <w:ind w:firstLine="0" w:firstLineChars="0"/>
              <w:jc w:val="center"/>
              <w:rPr>
                <w:kern w:val="0"/>
                <w:sz w:val="18"/>
                <w:szCs w:val="18"/>
              </w:rPr>
            </w:pPr>
            <w:r>
              <w:rPr>
                <w:kern w:val="0"/>
                <w:sz w:val="18"/>
                <w:szCs w:val="18"/>
              </w:rPr>
              <w:t>设备检修</w:t>
            </w:r>
          </w:p>
        </w:tc>
        <w:tc>
          <w:tcPr>
            <w:tcW w:w="693" w:type="dxa"/>
            <w:tcBorders>
              <w:top w:val="single" w:color="auto" w:sz="4" w:space="0"/>
              <w:left w:val="single" w:color="auto" w:sz="4" w:space="0"/>
              <w:bottom w:val="single" w:color="auto" w:sz="4" w:space="0"/>
              <w:right w:val="single" w:color="auto" w:sz="4" w:space="0"/>
            </w:tcBorders>
            <w:vAlign w:val="center"/>
          </w:tcPr>
          <w:p w14:paraId="3AC32DAE">
            <w:pPr>
              <w:tabs>
                <w:tab w:val="clear" w:pos="480"/>
              </w:tabs>
              <w:topLinePunct/>
              <w:adjustRightInd w:val="0"/>
              <w:snapToGrid w:val="0"/>
              <w:spacing w:line="240" w:lineRule="auto"/>
              <w:ind w:firstLine="0" w:firstLineChars="0"/>
              <w:jc w:val="center"/>
              <w:rPr>
                <w:kern w:val="0"/>
                <w:sz w:val="18"/>
                <w:szCs w:val="18"/>
              </w:rPr>
            </w:pPr>
            <w:r>
              <w:rPr>
                <w:kern w:val="0"/>
                <w:sz w:val="18"/>
                <w:szCs w:val="18"/>
              </w:rPr>
              <w:t>固态</w:t>
            </w:r>
          </w:p>
        </w:tc>
        <w:tc>
          <w:tcPr>
            <w:tcW w:w="571" w:type="dxa"/>
            <w:tcBorders>
              <w:top w:val="single" w:color="auto" w:sz="4" w:space="0"/>
              <w:left w:val="single" w:color="auto" w:sz="4" w:space="0"/>
              <w:bottom w:val="single" w:color="auto" w:sz="4" w:space="0"/>
              <w:right w:val="single" w:color="auto" w:sz="4" w:space="0"/>
            </w:tcBorders>
            <w:vAlign w:val="center"/>
          </w:tcPr>
          <w:p w14:paraId="6CBC4ED0">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废油</w:t>
            </w:r>
          </w:p>
        </w:tc>
        <w:tc>
          <w:tcPr>
            <w:tcW w:w="690" w:type="dxa"/>
            <w:tcBorders>
              <w:top w:val="single" w:color="auto" w:sz="4" w:space="0"/>
              <w:left w:val="single" w:color="auto" w:sz="4" w:space="0"/>
              <w:bottom w:val="single" w:color="auto" w:sz="4" w:space="0"/>
              <w:right w:val="single" w:color="auto" w:sz="4" w:space="0"/>
            </w:tcBorders>
            <w:vAlign w:val="center"/>
          </w:tcPr>
          <w:p w14:paraId="0F288344">
            <w:pPr>
              <w:tabs>
                <w:tab w:val="clear" w:pos="480"/>
              </w:tabs>
              <w:topLinePunct/>
              <w:adjustRightInd w:val="0"/>
              <w:snapToGrid w:val="0"/>
              <w:spacing w:line="240" w:lineRule="auto"/>
              <w:ind w:firstLine="0" w:firstLineChars="0"/>
              <w:jc w:val="center"/>
              <w:rPr>
                <w:kern w:val="0"/>
                <w:sz w:val="18"/>
                <w:szCs w:val="18"/>
              </w:rPr>
            </w:pPr>
            <w:r>
              <w:rPr>
                <w:kern w:val="0"/>
                <w:sz w:val="18"/>
                <w:szCs w:val="18"/>
              </w:rPr>
              <w:t>矿物油</w:t>
            </w:r>
          </w:p>
        </w:tc>
        <w:tc>
          <w:tcPr>
            <w:tcW w:w="576" w:type="dxa"/>
            <w:tcBorders>
              <w:top w:val="single" w:color="auto" w:sz="4" w:space="0"/>
              <w:left w:val="single" w:color="auto" w:sz="4" w:space="0"/>
              <w:bottom w:val="single" w:color="auto" w:sz="4" w:space="0"/>
              <w:right w:val="single" w:color="auto" w:sz="4" w:space="0"/>
            </w:tcBorders>
            <w:vAlign w:val="center"/>
          </w:tcPr>
          <w:p w14:paraId="20408B5E">
            <w:pPr>
              <w:tabs>
                <w:tab w:val="clear" w:pos="480"/>
              </w:tabs>
              <w:topLinePunct/>
              <w:adjustRightInd w:val="0"/>
              <w:snapToGrid w:val="0"/>
              <w:spacing w:line="240" w:lineRule="auto"/>
              <w:ind w:firstLine="0" w:firstLineChars="0"/>
              <w:jc w:val="center"/>
              <w:rPr>
                <w:kern w:val="0"/>
                <w:sz w:val="18"/>
                <w:szCs w:val="18"/>
              </w:rPr>
            </w:pPr>
            <w:r>
              <w:rPr>
                <w:kern w:val="0"/>
                <w:sz w:val="18"/>
                <w:szCs w:val="18"/>
              </w:rPr>
              <w:t>每年</w:t>
            </w:r>
          </w:p>
        </w:tc>
        <w:tc>
          <w:tcPr>
            <w:tcW w:w="715" w:type="dxa"/>
            <w:tcBorders>
              <w:top w:val="single" w:color="auto" w:sz="4" w:space="0"/>
              <w:left w:val="single" w:color="auto" w:sz="4" w:space="0"/>
              <w:bottom w:val="single" w:color="auto" w:sz="4" w:space="0"/>
              <w:right w:val="single" w:color="auto" w:sz="4" w:space="0"/>
            </w:tcBorders>
            <w:vAlign w:val="center"/>
          </w:tcPr>
          <w:p w14:paraId="672F4972">
            <w:pPr>
              <w:tabs>
                <w:tab w:val="clear" w:pos="480"/>
              </w:tabs>
              <w:topLinePunct/>
              <w:adjustRightInd w:val="0"/>
              <w:snapToGrid w:val="0"/>
              <w:spacing w:line="240" w:lineRule="auto"/>
              <w:ind w:firstLine="0" w:firstLineChars="0"/>
              <w:jc w:val="center"/>
              <w:rPr>
                <w:kern w:val="0"/>
                <w:sz w:val="18"/>
                <w:szCs w:val="18"/>
              </w:rPr>
            </w:pPr>
            <w:r>
              <w:rPr>
                <w:kern w:val="0"/>
                <w:sz w:val="18"/>
                <w:szCs w:val="18"/>
              </w:rPr>
              <w:t>易燃、有毒</w:t>
            </w:r>
          </w:p>
        </w:tc>
        <w:tc>
          <w:tcPr>
            <w:tcW w:w="589" w:type="dxa"/>
            <w:vMerge w:val="continue"/>
            <w:tcBorders>
              <w:left w:val="single" w:color="auto" w:sz="4" w:space="0"/>
              <w:right w:val="single" w:color="auto" w:sz="12" w:space="0"/>
            </w:tcBorders>
            <w:vAlign w:val="center"/>
          </w:tcPr>
          <w:p w14:paraId="1C219260">
            <w:pPr>
              <w:tabs>
                <w:tab w:val="clear" w:pos="480"/>
              </w:tabs>
              <w:topLinePunct/>
              <w:adjustRightInd w:val="0"/>
              <w:snapToGrid w:val="0"/>
              <w:spacing w:line="240" w:lineRule="auto"/>
              <w:ind w:firstLine="0" w:firstLineChars="0"/>
              <w:rPr>
                <w:kern w:val="0"/>
                <w:sz w:val="18"/>
                <w:szCs w:val="18"/>
              </w:rPr>
            </w:pPr>
          </w:p>
        </w:tc>
      </w:tr>
      <w:tr w14:paraId="45115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dxa"/>
            <w:tcBorders>
              <w:top w:val="single" w:color="auto" w:sz="4" w:space="0"/>
              <w:left w:val="single" w:color="auto" w:sz="12" w:space="0"/>
              <w:bottom w:val="single" w:color="auto" w:sz="12" w:space="0"/>
              <w:right w:val="single" w:color="auto" w:sz="4" w:space="0"/>
            </w:tcBorders>
            <w:vAlign w:val="center"/>
          </w:tcPr>
          <w:p w14:paraId="4AFE18F5">
            <w:pPr>
              <w:tabs>
                <w:tab w:val="clear" w:pos="480"/>
              </w:tabs>
              <w:topLinePunct/>
              <w:adjustRightInd w:val="0"/>
              <w:snapToGrid w:val="0"/>
              <w:spacing w:line="240" w:lineRule="auto"/>
              <w:ind w:firstLine="0" w:firstLineChars="0"/>
              <w:jc w:val="center"/>
              <w:rPr>
                <w:kern w:val="0"/>
                <w:sz w:val="18"/>
                <w:szCs w:val="18"/>
              </w:rPr>
            </w:pPr>
            <w:r>
              <w:rPr>
                <w:kern w:val="0"/>
                <w:sz w:val="18"/>
                <w:szCs w:val="18"/>
              </w:rPr>
              <w:t>5</w:t>
            </w:r>
          </w:p>
        </w:tc>
        <w:tc>
          <w:tcPr>
            <w:tcW w:w="674" w:type="dxa"/>
            <w:tcBorders>
              <w:top w:val="single" w:color="auto" w:sz="4" w:space="0"/>
              <w:left w:val="single" w:color="auto" w:sz="4" w:space="0"/>
              <w:bottom w:val="single" w:color="auto" w:sz="12" w:space="0"/>
              <w:right w:val="single" w:color="auto" w:sz="4" w:space="0"/>
            </w:tcBorders>
            <w:vAlign w:val="center"/>
          </w:tcPr>
          <w:p w14:paraId="11103A63">
            <w:pPr>
              <w:tabs>
                <w:tab w:val="clear" w:pos="480"/>
              </w:tabs>
              <w:topLinePunct/>
              <w:adjustRightInd w:val="0"/>
              <w:snapToGrid w:val="0"/>
              <w:spacing w:line="240" w:lineRule="auto"/>
              <w:ind w:firstLine="0" w:firstLineChars="0"/>
              <w:jc w:val="center"/>
              <w:rPr>
                <w:kern w:val="0"/>
                <w:sz w:val="18"/>
                <w:szCs w:val="18"/>
              </w:rPr>
            </w:pPr>
            <w:r>
              <w:rPr>
                <w:kern w:val="0"/>
                <w:sz w:val="18"/>
                <w:szCs w:val="18"/>
              </w:rPr>
              <w:t>废铅酸蓄电池</w:t>
            </w:r>
          </w:p>
        </w:tc>
        <w:tc>
          <w:tcPr>
            <w:tcW w:w="576" w:type="dxa"/>
            <w:tcBorders>
              <w:top w:val="single" w:color="auto" w:sz="4" w:space="0"/>
              <w:left w:val="single" w:color="auto" w:sz="4" w:space="0"/>
              <w:bottom w:val="single" w:color="auto" w:sz="12" w:space="0"/>
              <w:right w:val="single" w:color="auto" w:sz="4" w:space="0"/>
            </w:tcBorders>
            <w:vAlign w:val="center"/>
          </w:tcPr>
          <w:p w14:paraId="369C911A">
            <w:pPr>
              <w:tabs>
                <w:tab w:val="clear" w:pos="480"/>
              </w:tabs>
              <w:topLinePunct/>
              <w:adjustRightInd w:val="0"/>
              <w:snapToGrid w:val="0"/>
              <w:spacing w:line="240" w:lineRule="auto"/>
              <w:ind w:firstLine="0" w:firstLineChars="0"/>
              <w:jc w:val="center"/>
              <w:rPr>
                <w:kern w:val="0"/>
                <w:sz w:val="18"/>
                <w:szCs w:val="18"/>
              </w:rPr>
            </w:pPr>
            <w:r>
              <w:rPr>
                <w:kern w:val="0"/>
                <w:sz w:val="18"/>
                <w:szCs w:val="18"/>
              </w:rPr>
              <w:t>HW31</w:t>
            </w:r>
          </w:p>
        </w:tc>
        <w:tc>
          <w:tcPr>
            <w:tcW w:w="846" w:type="dxa"/>
            <w:tcBorders>
              <w:top w:val="single" w:color="auto" w:sz="4" w:space="0"/>
              <w:left w:val="single" w:color="auto" w:sz="4" w:space="0"/>
              <w:bottom w:val="single" w:color="auto" w:sz="12" w:space="0"/>
              <w:right w:val="single" w:color="auto" w:sz="4" w:space="0"/>
            </w:tcBorders>
            <w:vAlign w:val="center"/>
          </w:tcPr>
          <w:p w14:paraId="2F776192">
            <w:pPr>
              <w:tabs>
                <w:tab w:val="clear" w:pos="480"/>
              </w:tabs>
              <w:topLinePunct/>
              <w:adjustRightInd w:val="0"/>
              <w:snapToGrid w:val="0"/>
              <w:spacing w:line="240" w:lineRule="auto"/>
              <w:ind w:firstLine="0" w:firstLineChars="0"/>
              <w:jc w:val="center"/>
              <w:rPr>
                <w:kern w:val="0"/>
                <w:sz w:val="18"/>
                <w:szCs w:val="18"/>
              </w:rPr>
            </w:pPr>
            <w:r>
              <w:rPr>
                <w:kern w:val="0"/>
                <w:sz w:val="18"/>
                <w:szCs w:val="18"/>
              </w:rPr>
              <w:t>900-052</w:t>
            </w:r>
          </w:p>
          <w:p w14:paraId="11E6F0B0">
            <w:pPr>
              <w:widowControl/>
              <w:tabs>
                <w:tab w:val="clear" w:pos="480"/>
              </w:tabs>
              <w:adjustRightInd w:val="0"/>
              <w:snapToGrid w:val="0"/>
              <w:spacing w:line="240" w:lineRule="auto"/>
              <w:ind w:firstLine="0" w:firstLineChars="0"/>
              <w:jc w:val="center"/>
              <w:rPr>
                <w:kern w:val="0"/>
                <w:sz w:val="18"/>
                <w:szCs w:val="18"/>
              </w:rPr>
            </w:pPr>
            <w:r>
              <w:rPr>
                <w:kern w:val="0"/>
                <w:sz w:val="18"/>
                <w:szCs w:val="18"/>
              </w:rPr>
              <w:t>-31</w:t>
            </w:r>
          </w:p>
        </w:tc>
        <w:tc>
          <w:tcPr>
            <w:tcW w:w="741" w:type="dxa"/>
            <w:tcBorders>
              <w:top w:val="single" w:color="auto" w:sz="4" w:space="0"/>
              <w:left w:val="single" w:color="auto" w:sz="4" w:space="0"/>
              <w:bottom w:val="single" w:color="auto" w:sz="12" w:space="0"/>
              <w:right w:val="single" w:color="auto" w:sz="4" w:space="0"/>
            </w:tcBorders>
            <w:vAlign w:val="center"/>
          </w:tcPr>
          <w:p w14:paraId="63AC50D3">
            <w:pPr>
              <w:tabs>
                <w:tab w:val="clear" w:pos="480"/>
              </w:tabs>
              <w:topLinePunct/>
              <w:adjustRightInd w:val="0"/>
              <w:snapToGrid w:val="0"/>
              <w:spacing w:line="240" w:lineRule="auto"/>
              <w:ind w:firstLine="0" w:firstLineChars="0"/>
              <w:jc w:val="center"/>
              <w:rPr>
                <w:kern w:val="0"/>
                <w:sz w:val="18"/>
                <w:szCs w:val="18"/>
              </w:rPr>
            </w:pPr>
            <w:r>
              <w:rPr>
                <w:kern w:val="0"/>
                <w:sz w:val="18"/>
                <w:szCs w:val="18"/>
              </w:rPr>
              <w:t>208节</w:t>
            </w:r>
          </w:p>
        </w:tc>
        <w:tc>
          <w:tcPr>
            <w:tcW w:w="694" w:type="dxa"/>
            <w:tcBorders>
              <w:top w:val="single" w:color="auto" w:sz="4" w:space="0"/>
              <w:left w:val="single" w:color="auto" w:sz="4" w:space="0"/>
              <w:bottom w:val="single" w:color="auto" w:sz="12" w:space="0"/>
              <w:right w:val="single" w:color="auto" w:sz="4" w:space="0"/>
            </w:tcBorders>
            <w:vAlign w:val="center"/>
          </w:tcPr>
          <w:p w14:paraId="64A59407">
            <w:pPr>
              <w:tabs>
                <w:tab w:val="clear" w:pos="480"/>
              </w:tabs>
              <w:topLinePunct/>
              <w:adjustRightInd w:val="0"/>
              <w:snapToGrid w:val="0"/>
              <w:spacing w:line="240" w:lineRule="auto"/>
              <w:ind w:firstLine="0" w:firstLineChars="0"/>
              <w:jc w:val="center"/>
              <w:rPr>
                <w:kern w:val="0"/>
                <w:sz w:val="18"/>
                <w:szCs w:val="18"/>
              </w:rPr>
            </w:pPr>
            <w:r>
              <w:rPr>
                <w:kern w:val="0"/>
                <w:sz w:val="18"/>
                <w:szCs w:val="18"/>
              </w:rPr>
              <w:t>定期更换</w:t>
            </w:r>
          </w:p>
        </w:tc>
        <w:tc>
          <w:tcPr>
            <w:tcW w:w="693" w:type="dxa"/>
            <w:tcBorders>
              <w:top w:val="single" w:color="auto" w:sz="4" w:space="0"/>
              <w:left w:val="single" w:color="auto" w:sz="4" w:space="0"/>
              <w:bottom w:val="single" w:color="auto" w:sz="12" w:space="0"/>
              <w:right w:val="single" w:color="auto" w:sz="4" w:space="0"/>
            </w:tcBorders>
            <w:vAlign w:val="center"/>
          </w:tcPr>
          <w:p w14:paraId="3F2CC788">
            <w:pPr>
              <w:tabs>
                <w:tab w:val="clear" w:pos="480"/>
              </w:tabs>
              <w:topLinePunct/>
              <w:adjustRightInd w:val="0"/>
              <w:snapToGrid w:val="0"/>
              <w:spacing w:line="240" w:lineRule="auto"/>
              <w:ind w:firstLine="0" w:firstLineChars="0"/>
              <w:jc w:val="center"/>
              <w:rPr>
                <w:kern w:val="0"/>
                <w:sz w:val="18"/>
                <w:szCs w:val="18"/>
              </w:rPr>
            </w:pPr>
            <w:r>
              <w:rPr>
                <w:kern w:val="0"/>
                <w:sz w:val="18"/>
                <w:szCs w:val="18"/>
              </w:rPr>
              <w:t>固态</w:t>
            </w:r>
          </w:p>
        </w:tc>
        <w:tc>
          <w:tcPr>
            <w:tcW w:w="571" w:type="dxa"/>
            <w:tcBorders>
              <w:top w:val="single" w:color="auto" w:sz="4" w:space="0"/>
              <w:left w:val="single" w:color="auto" w:sz="4" w:space="0"/>
              <w:bottom w:val="single" w:color="auto" w:sz="12" w:space="0"/>
              <w:right w:val="single" w:color="auto" w:sz="4" w:space="0"/>
            </w:tcBorders>
            <w:vAlign w:val="center"/>
          </w:tcPr>
          <w:p w14:paraId="33EF70F7">
            <w:pPr>
              <w:tabs>
                <w:tab w:val="clear" w:pos="480"/>
              </w:tabs>
              <w:topLinePunct/>
              <w:adjustRightInd w:val="0"/>
              <w:snapToGrid w:val="0"/>
              <w:spacing w:line="240" w:lineRule="auto"/>
              <w:ind w:firstLine="0" w:firstLineChars="0"/>
              <w:jc w:val="center"/>
              <w:rPr>
                <w:kern w:val="0"/>
                <w:sz w:val="18"/>
                <w:szCs w:val="18"/>
              </w:rPr>
            </w:pPr>
          </w:p>
        </w:tc>
        <w:tc>
          <w:tcPr>
            <w:tcW w:w="690" w:type="dxa"/>
            <w:tcBorders>
              <w:top w:val="single" w:color="auto" w:sz="4" w:space="0"/>
              <w:left w:val="single" w:color="auto" w:sz="4" w:space="0"/>
              <w:bottom w:val="single" w:color="auto" w:sz="12" w:space="0"/>
              <w:right w:val="single" w:color="auto" w:sz="4" w:space="0"/>
            </w:tcBorders>
            <w:vAlign w:val="center"/>
          </w:tcPr>
          <w:p w14:paraId="03CD954B">
            <w:pPr>
              <w:tabs>
                <w:tab w:val="clear" w:pos="480"/>
              </w:tabs>
              <w:topLinePunct/>
              <w:adjustRightInd w:val="0"/>
              <w:snapToGrid w:val="0"/>
              <w:spacing w:line="240" w:lineRule="auto"/>
              <w:ind w:firstLine="0" w:firstLineChars="0"/>
              <w:jc w:val="center"/>
              <w:rPr>
                <w:kern w:val="0"/>
                <w:sz w:val="18"/>
                <w:szCs w:val="18"/>
              </w:rPr>
            </w:pPr>
            <w:r>
              <w:rPr>
                <w:kern w:val="0"/>
                <w:sz w:val="18"/>
                <w:szCs w:val="18"/>
              </w:rPr>
              <w:t>铅、镍</w:t>
            </w:r>
          </w:p>
        </w:tc>
        <w:tc>
          <w:tcPr>
            <w:tcW w:w="576" w:type="dxa"/>
            <w:tcBorders>
              <w:top w:val="single" w:color="auto" w:sz="4" w:space="0"/>
              <w:left w:val="single" w:color="auto" w:sz="4" w:space="0"/>
              <w:bottom w:val="single" w:color="auto" w:sz="12" w:space="0"/>
              <w:right w:val="single" w:color="auto" w:sz="4" w:space="0"/>
            </w:tcBorders>
            <w:vAlign w:val="center"/>
          </w:tcPr>
          <w:p w14:paraId="00E4FE65">
            <w:pPr>
              <w:tabs>
                <w:tab w:val="clear" w:pos="480"/>
              </w:tabs>
              <w:topLinePunct/>
              <w:adjustRightInd w:val="0"/>
              <w:snapToGrid w:val="0"/>
              <w:spacing w:line="240" w:lineRule="auto"/>
              <w:ind w:firstLine="0" w:firstLineChars="0"/>
              <w:jc w:val="center"/>
              <w:rPr>
                <w:kern w:val="0"/>
                <w:sz w:val="18"/>
                <w:szCs w:val="18"/>
              </w:rPr>
            </w:pPr>
            <w:r>
              <w:rPr>
                <w:kern w:val="0"/>
                <w:sz w:val="18"/>
                <w:szCs w:val="18"/>
              </w:rPr>
              <w:t>/</w:t>
            </w:r>
          </w:p>
        </w:tc>
        <w:tc>
          <w:tcPr>
            <w:tcW w:w="715" w:type="dxa"/>
            <w:tcBorders>
              <w:top w:val="single" w:color="auto" w:sz="4" w:space="0"/>
              <w:left w:val="single" w:color="auto" w:sz="4" w:space="0"/>
              <w:bottom w:val="single" w:color="auto" w:sz="12" w:space="0"/>
              <w:right w:val="single" w:color="auto" w:sz="4" w:space="0"/>
            </w:tcBorders>
            <w:vAlign w:val="center"/>
          </w:tcPr>
          <w:p w14:paraId="6C00193E">
            <w:pPr>
              <w:tabs>
                <w:tab w:val="clear" w:pos="480"/>
              </w:tabs>
              <w:topLinePunct/>
              <w:adjustRightInd w:val="0"/>
              <w:snapToGrid w:val="0"/>
              <w:spacing w:line="240" w:lineRule="auto"/>
              <w:ind w:firstLine="0" w:firstLineChars="0"/>
              <w:jc w:val="center"/>
              <w:rPr>
                <w:kern w:val="0"/>
                <w:sz w:val="18"/>
                <w:szCs w:val="18"/>
              </w:rPr>
            </w:pPr>
            <w:r>
              <w:rPr>
                <w:kern w:val="0"/>
                <w:sz w:val="18"/>
                <w:szCs w:val="18"/>
              </w:rPr>
              <w:t>毒性</w:t>
            </w:r>
          </w:p>
        </w:tc>
        <w:tc>
          <w:tcPr>
            <w:tcW w:w="589" w:type="dxa"/>
            <w:vMerge w:val="continue"/>
            <w:tcBorders>
              <w:left w:val="single" w:color="auto" w:sz="4" w:space="0"/>
              <w:bottom w:val="single" w:color="auto" w:sz="12" w:space="0"/>
              <w:right w:val="single" w:color="auto" w:sz="12" w:space="0"/>
            </w:tcBorders>
            <w:vAlign w:val="center"/>
          </w:tcPr>
          <w:p w14:paraId="5AD55456">
            <w:pPr>
              <w:tabs>
                <w:tab w:val="clear" w:pos="480"/>
              </w:tabs>
              <w:topLinePunct/>
              <w:adjustRightInd w:val="0"/>
              <w:snapToGrid w:val="0"/>
              <w:spacing w:line="240" w:lineRule="auto"/>
              <w:ind w:firstLine="0" w:firstLineChars="0"/>
              <w:rPr>
                <w:kern w:val="0"/>
                <w:sz w:val="18"/>
                <w:szCs w:val="18"/>
              </w:rPr>
            </w:pPr>
          </w:p>
        </w:tc>
      </w:tr>
    </w:tbl>
    <w:p w14:paraId="44BDB47D">
      <w:pPr>
        <w:pStyle w:val="2"/>
        <w:ind w:firstLine="0" w:firstLineChars="0"/>
      </w:pPr>
    </w:p>
    <w:p w14:paraId="3CC1E877">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4.3.2.5</w:t>
      </w:r>
      <w:r>
        <w:rPr>
          <w:rFonts w:hint="eastAsia" w:ascii="Times New Roman" w:eastAsia="宋体"/>
          <w:sz w:val="24"/>
          <w:szCs w:val="24"/>
        </w:rPr>
        <w:t>生态环境</w:t>
      </w:r>
    </w:p>
    <w:p w14:paraId="75FFFAE3">
      <w:pPr>
        <w:adjustRightInd w:val="0"/>
        <w:snapToGrid w:val="0"/>
        <w:ind w:firstLine="480"/>
      </w:pPr>
      <w:r>
        <w:rPr>
          <w:rFonts w:hint="eastAsia"/>
        </w:rPr>
        <w:t>项目运营期人类活动会对所在地的动物栖息、分布等产生一定影响，风机对所在地的景观将造成一定影响。</w:t>
      </w:r>
    </w:p>
    <w:p w14:paraId="7848D89D">
      <w:pPr>
        <w:adjustRightInd w:val="0"/>
        <w:snapToGrid w:val="0"/>
        <w:ind w:firstLine="480"/>
      </w:pPr>
      <w:r>
        <w:rPr>
          <w:rFonts w:hint="eastAsia"/>
        </w:rPr>
        <w:t>（</w:t>
      </w:r>
      <w:r>
        <w:t>1</w:t>
      </w:r>
      <w:r>
        <w:rPr>
          <w:rFonts w:hint="eastAsia"/>
        </w:rPr>
        <w:t>）植被的影响</w:t>
      </w:r>
    </w:p>
    <w:p w14:paraId="1DAAEC82">
      <w:pPr>
        <w:adjustRightInd w:val="0"/>
        <w:snapToGrid w:val="0"/>
        <w:ind w:firstLine="480"/>
      </w:pPr>
      <w:r>
        <w:rPr>
          <w:rFonts w:hint="eastAsia"/>
        </w:rPr>
        <w:t>由于风电场的特殊性，在运营期间本工程对评价区的植被植物的影响主要在永久占地区。运营期施工区经土地复垦及植被恢复后，对区域生态环境造成的不利影响将得到减缓。</w:t>
      </w:r>
    </w:p>
    <w:p w14:paraId="413FF93D">
      <w:pPr>
        <w:adjustRightInd w:val="0"/>
        <w:snapToGrid w:val="0"/>
        <w:ind w:firstLine="480"/>
      </w:pPr>
      <w:r>
        <w:rPr>
          <w:rFonts w:hint="eastAsia"/>
        </w:rPr>
        <w:t>（</w:t>
      </w:r>
      <w:r>
        <w:t>2</w:t>
      </w:r>
      <w:r>
        <w:rPr>
          <w:rFonts w:hint="eastAsia"/>
        </w:rPr>
        <w:t>）对陆生动物的影响</w:t>
      </w:r>
    </w:p>
    <w:p w14:paraId="4E4973F9">
      <w:pPr>
        <w:adjustRightInd w:val="0"/>
        <w:snapToGrid w:val="0"/>
        <w:ind w:firstLine="480"/>
      </w:pPr>
      <w:r>
        <w:rPr>
          <w:rFonts w:hint="eastAsia"/>
        </w:rPr>
        <w:t>运营期对一般和保护动物的影响较小，主要是风机噪声以及工作人员的活动对其造成的影响，由于评价区周边类似的</w:t>
      </w:r>
      <w:r>
        <w:rPr>
          <w:rFonts w:hint="eastAsia"/>
          <w:lang w:eastAsia="zh-CN"/>
        </w:rPr>
        <w:t>环境</w:t>
      </w:r>
      <w:r>
        <w:rPr>
          <w:rFonts w:hint="eastAsia"/>
        </w:rPr>
        <w:t>较大，而大部分的活动能力较强，尤其是鸟类，可以迁移至周边适合其</w:t>
      </w:r>
      <w:r>
        <w:rPr>
          <w:rFonts w:hint="eastAsia"/>
          <w:lang w:eastAsia="zh-CN"/>
        </w:rPr>
        <w:t>环境</w:t>
      </w:r>
      <w:r>
        <w:rPr>
          <w:rFonts w:hint="eastAsia"/>
        </w:rPr>
        <w:t>的环境生活。</w:t>
      </w:r>
    </w:p>
    <w:p w14:paraId="72F2F6FD">
      <w:pPr>
        <w:adjustRightInd w:val="0"/>
        <w:snapToGrid w:val="0"/>
        <w:ind w:firstLine="480"/>
      </w:pPr>
      <w:r>
        <w:rPr>
          <w:rFonts w:hint="eastAsia"/>
        </w:rPr>
        <w:t>（</w:t>
      </w:r>
      <w:r>
        <w:t>3</w:t>
      </w:r>
      <w:r>
        <w:rPr>
          <w:rFonts w:hint="eastAsia"/>
        </w:rPr>
        <w:t>）对景观的影响</w:t>
      </w:r>
    </w:p>
    <w:p w14:paraId="315F551B">
      <w:pPr>
        <w:adjustRightInd w:val="0"/>
        <w:snapToGrid w:val="0"/>
        <w:ind w:firstLine="480"/>
        <w:sectPr>
          <w:pgSz w:w="11905" w:h="16838"/>
          <w:pgMar w:top="1440" w:right="1797" w:bottom="1440" w:left="1797" w:header="851" w:footer="992" w:gutter="0"/>
          <w:cols w:space="0" w:num="1"/>
          <w:docGrid w:type="lines" w:linePitch="333" w:charSpace="0"/>
        </w:sectPr>
      </w:pPr>
      <w:r>
        <w:rPr>
          <w:rFonts w:hint="eastAsia"/>
        </w:rPr>
        <w:t>风机景观影响中主要的为对山林的视觉影响，风轮机的数量越多对山的视觉影响也越大。本工程</w:t>
      </w:r>
      <w:r>
        <w:t>10</w:t>
      </w:r>
      <w:r>
        <w:rPr>
          <w:rFonts w:hint="eastAsia"/>
        </w:rPr>
        <w:t>台风机安置于山脊和山梁之上，风机无序分布，高大的白色风机叶片和绿色的山林相互映衬，视觉冲击较大。风机点状分布于山林间，互相叠置，打破了原有自然景观的单一性，具有一定的可观赏性，可以增加当地旅游特色。风机检修道路呈线状分布，占用部分林地，造成了原有山林景观的破碎化、板块化，在一定程度上影响了森林整体的美观，但在林木等植被的覆盖下不会太明显。工程在施工结束应有计划的实施植被恢复、种植灌木、花草，使工程区形成结构合理的稳定系统，风电场区域内的生态环境向着良性循环的方向发展。总体而言，对当地的林地、灌丛植被</w:t>
      </w:r>
      <w:r>
        <w:rPr>
          <w:rFonts w:hint="eastAsia"/>
          <w:lang w:eastAsia="zh-CN"/>
        </w:rPr>
        <w:t>环境</w:t>
      </w:r>
      <w:r>
        <w:rPr>
          <w:rFonts w:hint="eastAsia"/>
        </w:rPr>
        <w:t>的割裂的生态整体性影响有限。</w:t>
      </w:r>
    </w:p>
    <w:p w14:paraId="33548D63">
      <w:pPr>
        <w:pStyle w:val="3"/>
        <w:tabs>
          <w:tab w:val="clear" w:pos="480"/>
        </w:tabs>
        <w:adjustRightInd w:val="0"/>
        <w:snapToGrid w:val="0"/>
        <w:spacing w:before="0" w:after="0"/>
        <w:jc w:val="center"/>
        <w:rPr>
          <w:rFonts w:ascii="Times New Roman" w:eastAsia="宋体"/>
          <w:bCs w:val="0"/>
          <w:sz w:val="32"/>
          <w:szCs w:val="32"/>
          <w:lang w:val="en-US"/>
        </w:rPr>
      </w:pPr>
      <w:r>
        <w:rPr>
          <w:rFonts w:hint="eastAsia" w:ascii="Times New Roman" w:eastAsia="宋体"/>
          <w:bCs w:val="0"/>
          <w:sz w:val="32"/>
          <w:szCs w:val="32"/>
          <w:lang w:val="en-US"/>
        </w:rPr>
        <w:t xml:space="preserve">  </w:t>
      </w:r>
      <w:bookmarkStart w:id="113" w:name="_Toc116977995"/>
      <w:bookmarkStart w:id="114" w:name="_Toc143799378"/>
      <w:r>
        <w:rPr>
          <w:rFonts w:ascii="Times New Roman" w:eastAsia="宋体"/>
          <w:bCs w:val="0"/>
          <w:sz w:val="32"/>
          <w:szCs w:val="32"/>
          <w:lang w:val="en-US"/>
        </w:rPr>
        <w:t>5</w:t>
      </w:r>
      <w:r>
        <w:rPr>
          <w:rFonts w:hint="eastAsia" w:ascii="Times New Roman" w:eastAsia="宋体"/>
          <w:bCs w:val="0"/>
          <w:sz w:val="32"/>
          <w:szCs w:val="32"/>
          <w:lang w:val="en-US"/>
        </w:rPr>
        <w:t>区域环境概况</w:t>
      </w:r>
      <w:bookmarkEnd w:id="113"/>
      <w:bookmarkEnd w:id="114"/>
    </w:p>
    <w:p w14:paraId="4DC0E14F">
      <w:pPr>
        <w:pStyle w:val="4"/>
        <w:tabs>
          <w:tab w:val="clear" w:pos="480"/>
          <w:tab w:val="clear" w:pos="630"/>
        </w:tabs>
        <w:spacing w:before="0" w:after="0"/>
        <w:rPr>
          <w:sz w:val="30"/>
          <w:szCs w:val="30"/>
          <w:lang w:val="en-US"/>
        </w:rPr>
      </w:pPr>
      <w:bookmarkStart w:id="115" w:name="_Toc116977996"/>
      <w:bookmarkStart w:id="116" w:name="_Toc143799379"/>
      <w:r>
        <w:rPr>
          <w:sz w:val="30"/>
          <w:szCs w:val="30"/>
          <w:lang w:val="en-US"/>
        </w:rPr>
        <w:t>5.1</w:t>
      </w:r>
      <w:r>
        <w:rPr>
          <w:rFonts w:hint="eastAsia"/>
          <w:sz w:val="30"/>
          <w:szCs w:val="30"/>
          <w:lang w:val="en-US"/>
        </w:rPr>
        <w:t>自然环境概况</w:t>
      </w:r>
      <w:bookmarkEnd w:id="115"/>
      <w:bookmarkEnd w:id="116"/>
    </w:p>
    <w:p w14:paraId="7B908570">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5.1.1</w:t>
      </w:r>
      <w:r>
        <w:rPr>
          <w:rFonts w:hint="eastAsia" w:ascii="Times New Roman" w:eastAsia="宋体"/>
          <w:sz w:val="28"/>
          <w:szCs w:val="28"/>
          <w:lang w:val="en-US"/>
        </w:rPr>
        <w:t>地理位置及交通</w:t>
      </w:r>
      <w:r>
        <w:rPr>
          <w:rFonts w:ascii="Times New Roman" w:eastAsia="宋体"/>
          <w:sz w:val="28"/>
          <w:szCs w:val="28"/>
          <w:lang w:val="en-US"/>
        </w:rPr>
        <w:t xml:space="preserve"> </w:t>
      </w:r>
    </w:p>
    <w:p w14:paraId="725C0F8C">
      <w:pPr>
        <w:adjustRightInd w:val="0"/>
        <w:snapToGrid w:val="0"/>
        <w:ind w:firstLine="480"/>
      </w:pPr>
      <w:r>
        <w:t>衡阳位于湖南省中南部，湘江中游，衡山之南。地处东经110°32′16″~113°16′32″之间，北纬26°07′05″~27°28′24″之间。东邻株洲</w:t>
      </w:r>
      <w:r>
        <w:fldChar w:fldCharType="begin"/>
      </w:r>
      <w:r>
        <w:instrText xml:space="preserve"> HYPERLINK "http://baike.baidu.com/view/124072.htm" \t "_blank" </w:instrText>
      </w:r>
      <w:r>
        <w:fldChar w:fldCharType="separate"/>
      </w:r>
      <w:r>
        <w:t>攸县</w:t>
      </w:r>
      <w:r>
        <w:fldChar w:fldCharType="end"/>
      </w:r>
      <w:r>
        <w:t>，南接郴州</w:t>
      </w:r>
      <w:r>
        <w:fldChar w:fldCharType="begin"/>
      </w:r>
      <w:r>
        <w:instrText xml:space="preserve"> HYPERLINK "http://baike.baidu.com/view/470482.htm" \t "_blank" </w:instrText>
      </w:r>
      <w:r>
        <w:fldChar w:fldCharType="separate"/>
      </w:r>
      <w:r>
        <w:t>安仁县</w:t>
      </w:r>
      <w:r>
        <w:fldChar w:fldCharType="end"/>
      </w:r>
      <w:r>
        <w:t>、</w:t>
      </w:r>
      <w:r>
        <w:fldChar w:fldCharType="begin"/>
      </w:r>
      <w:r>
        <w:instrText xml:space="preserve"> HYPERLINK "http://baike.baidu.com/view/623784.htm" \t "_blank" </w:instrText>
      </w:r>
      <w:r>
        <w:fldChar w:fldCharType="separate"/>
      </w:r>
      <w:r>
        <w:t>永兴县</w:t>
      </w:r>
      <w:r>
        <w:fldChar w:fldCharType="end"/>
      </w:r>
      <w:r>
        <w:t>、</w:t>
      </w:r>
      <w:r>
        <w:fldChar w:fldCharType="begin"/>
      </w:r>
      <w:r>
        <w:instrText xml:space="preserve"> HYPERLINK "http://baike.baidu.com/view/993468.htm" \t "_blank" </w:instrText>
      </w:r>
      <w:r>
        <w:fldChar w:fldCharType="separate"/>
      </w:r>
      <w:r>
        <w:t>桂阳县</w:t>
      </w:r>
      <w:r>
        <w:fldChar w:fldCharType="end"/>
      </w:r>
      <w:r>
        <w:t>，西毗</w:t>
      </w:r>
      <w:r>
        <w:fldChar w:fldCharType="begin"/>
      </w:r>
      <w:r>
        <w:instrText xml:space="preserve"> HYPERLINK "http://baike.baidu.com/view/39062.htm" \t "_blank" </w:instrText>
      </w:r>
      <w:r>
        <w:fldChar w:fldCharType="separate"/>
      </w:r>
      <w:r>
        <w:t>永州</w:t>
      </w:r>
      <w:r>
        <w:fldChar w:fldCharType="end"/>
      </w:r>
      <w:r>
        <w:fldChar w:fldCharType="begin"/>
      </w:r>
      <w:r>
        <w:instrText xml:space="preserve"> HYPERLINK "http://baike.baidu.com/view/589312.htm" \t "_blank" </w:instrText>
      </w:r>
      <w:r>
        <w:fldChar w:fldCharType="separate"/>
      </w:r>
      <w:r>
        <w:t>冷水滩区</w:t>
      </w:r>
      <w:r>
        <w:fldChar w:fldCharType="end"/>
      </w:r>
      <w:r>
        <w:t>、</w:t>
      </w:r>
      <w:r>
        <w:fldChar w:fldCharType="begin"/>
      </w:r>
      <w:r>
        <w:instrText xml:space="preserve"> HYPERLINK "http://baike.baidu.com/view/589313.htm" \t "_blank" </w:instrText>
      </w:r>
      <w:r>
        <w:fldChar w:fldCharType="separate"/>
      </w:r>
      <w:r>
        <w:t>祁阳县</w:t>
      </w:r>
      <w:r>
        <w:fldChar w:fldCharType="end"/>
      </w:r>
      <w:r>
        <w:t>以及</w:t>
      </w:r>
      <w:r>
        <w:fldChar w:fldCharType="begin"/>
      </w:r>
      <w:r>
        <w:instrText xml:space="preserve"> HYPERLINK "http://baike.baidu.com/subview/24304/12448089.htm" \t "_blank" </w:instrText>
      </w:r>
      <w:r>
        <w:fldChar w:fldCharType="separate"/>
      </w:r>
      <w:r>
        <w:t>邵阳</w:t>
      </w:r>
      <w:r>
        <w:fldChar w:fldCharType="end"/>
      </w:r>
      <w:r>
        <w:fldChar w:fldCharType="begin"/>
      </w:r>
      <w:r>
        <w:instrText xml:space="preserve"> HYPERLINK "http://baike.baidu.com/view/993343.htm" \t "_blank" </w:instrText>
      </w:r>
      <w:r>
        <w:fldChar w:fldCharType="separate"/>
      </w:r>
      <w:r>
        <w:t>邵东县</w:t>
      </w:r>
      <w:r>
        <w:fldChar w:fldCharType="end"/>
      </w:r>
      <w:r>
        <w:t>，北靠</w:t>
      </w:r>
      <w:r>
        <w:fldChar w:fldCharType="begin"/>
      </w:r>
      <w:r>
        <w:instrText xml:space="preserve"> HYPERLINK "http://baike.baidu.com/view/23129.htm" \t "_blank" </w:instrText>
      </w:r>
      <w:r>
        <w:fldChar w:fldCharType="separate"/>
      </w:r>
      <w:r>
        <w:t>娄底</w:t>
      </w:r>
      <w:r>
        <w:fldChar w:fldCharType="end"/>
      </w:r>
      <w:r>
        <w:fldChar w:fldCharType="begin"/>
      </w:r>
      <w:r>
        <w:instrText xml:space="preserve"> HYPERLINK "http://baike.baidu.com/view/1277075.htm" \t "_blank" </w:instrText>
      </w:r>
      <w:r>
        <w:fldChar w:fldCharType="separate"/>
      </w:r>
      <w:r>
        <w:t>双峰县</w:t>
      </w:r>
      <w:r>
        <w:fldChar w:fldCharType="end"/>
      </w:r>
      <w:r>
        <w:t>和</w:t>
      </w:r>
      <w:r>
        <w:fldChar w:fldCharType="begin"/>
      </w:r>
      <w:r>
        <w:instrText xml:space="preserve"> HYPERLINK "http://baike.baidu.com/subview/21265/11318689.htm" \t "_blank" </w:instrText>
      </w:r>
      <w:r>
        <w:fldChar w:fldCharType="separate"/>
      </w:r>
      <w:r>
        <w:t>湘潭</w:t>
      </w:r>
      <w:r>
        <w:fldChar w:fldCharType="end"/>
      </w:r>
      <w:r>
        <w:fldChar w:fldCharType="begin"/>
      </w:r>
      <w:r>
        <w:instrText xml:space="preserve"> HYPERLINK "http://baike.baidu.com/view/97753.htm" \t "_blank" </w:instrText>
      </w:r>
      <w:r>
        <w:fldChar w:fldCharType="separate"/>
      </w:r>
      <w:r>
        <w:t>湘潭县</w:t>
      </w:r>
      <w:r>
        <w:fldChar w:fldCharType="end"/>
      </w:r>
      <w:r>
        <w:t>。南北长150公里、东西宽173公里。衡阳总面积15310平方公里。衡阳是全国45个公路交通主枢纽城之一，衡阳境内有G4</w:t>
      </w:r>
      <w:r>
        <w:fldChar w:fldCharType="begin"/>
      </w:r>
      <w:r>
        <w:instrText xml:space="preserve"> HYPERLINK "http://baike.baidu.com/view/1676341.htm" \t "_blank" </w:instrText>
      </w:r>
      <w:r>
        <w:fldChar w:fldCharType="separate"/>
      </w:r>
      <w:r>
        <w:t>京港澳高速</w:t>
      </w:r>
      <w:r>
        <w:fldChar w:fldCharType="end"/>
      </w:r>
      <w:r>
        <w:t>、G72泉南高速、</w:t>
      </w:r>
      <w:r>
        <w:fldChar w:fldCharType="begin"/>
      </w:r>
      <w:r>
        <w:instrText xml:space="preserve"> HYPERLINK "http://baike.baidu.com/view/4534994.htm" \t "_blank" </w:instrText>
      </w:r>
      <w:r>
        <w:fldChar w:fldCharType="separate"/>
      </w:r>
      <w:r>
        <w:t>衡邵高速公路</w:t>
      </w:r>
      <w:r>
        <w:fldChar w:fldCharType="end"/>
      </w:r>
      <w:r>
        <w:t>、京港澳复线、</w:t>
      </w:r>
      <w:r>
        <w:fldChar w:fldCharType="begin"/>
      </w:r>
      <w:r>
        <w:instrText xml:space="preserve"> HYPERLINK "http://baike.baidu.com/view/4506463.htm" \t "_blank" </w:instrText>
      </w:r>
      <w:r>
        <w:fldChar w:fldCharType="separate"/>
      </w:r>
      <w:r>
        <w:t>南岳高速</w:t>
      </w:r>
      <w:r>
        <w:fldChar w:fldCharType="end"/>
      </w:r>
      <w:r>
        <w:t>、衡炎高速公路；国道有</w:t>
      </w:r>
      <w:r>
        <w:fldChar w:fldCharType="begin"/>
      </w:r>
      <w:r>
        <w:instrText xml:space="preserve"> HYPERLINK "http://baike.baidu.com/view/157662.htm" \t "_blank" </w:instrText>
      </w:r>
      <w:r>
        <w:fldChar w:fldCharType="separate"/>
      </w:r>
      <w:r>
        <w:t>107国道</w:t>
      </w:r>
      <w:r>
        <w:fldChar w:fldCharType="end"/>
      </w:r>
      <w:r>
        <w:t>、</w:t>
      </w:r>
      <w:r>
        <w:fldChar w:fldCharType="begin"/>
      </w:r>
      <w:r>
        <w:instrText xml:space="preserve"> HYPERLINK "http://baike.baidu.com/view/157817.htm" \t "_blank" </w:instrText>
      </w:r>
      <w:r>
        <w:fldChar w:fldCharType="separate"/>
      </w:r>
      <w:r>
        <w:t>322国道</w:t>
      </w:r>
      <w:r>
        <w:fldChar w:fldCharType="end"/>
      </w:r>
      <w:r>
        <w:t>。娄衡高速正在建设、茶（陵）祁（阳）高速进入规划。</w:t>
      </w:r>
    </w:p>
    <w:p w14:paraId="50CD636C">
      <w:pPr>
        <w:adjustRightInd w:val="0"/>
        <w:snapToGrid w:val="0"/>
        <w:ind w:firstLine="480"/>
      </w:pPr>
      <w:r>
        <w:t>衡阳县位于衡阳西北部，湘江中游，长株潭城市群南部，北通长沙，南连珠三角经济区，地理位置良好，其发展空间广阔。距衡阳市区18公里，衡邵高速、岳临高速在境内相交，315省道、210省道穿境而过，交通便利。</w:t>
      </w:r>
    </w:p>
    <w:p w14:paraId="726BFFEC">
      <w:pPr>
        <w:adjustRightInd w:val="0"/>
        <w:snapToGrid w:val="0"/>
        <w:ind w:firstLine="480"/>
      </w:pPr>
      <w:r>
        <w:t>衡阳县杉桥风电场</w:t>
      </w:r>
      <w:r>
        <w:rPr>
          <w:rFonts w:hint="eastAsia"/>
        </w:rPr>
        <w:t>工程</w:t>
      </w:r>
      <w:r>
        <w:t>位于湖南省衡阳市衡阳县</w:t>
      </w:r>
      <w:r>
        <w:rPr>
          <w:rFonts w:hint="eastAsia"/>
        </w:rPr>
        <w:t>渣江镇、岣嵝乡、集兵镇、界牌镇一带</w:t>
      </w:r>
      <w:r>
        <w:t>。属于山地风电场，海拔高度约100m～500m。G0421许广高速、高速S80、县道X045、县道X043从风电场附近经过，交通便利。本风电场中心到衡阳县城直线距离约23km</w:t>
      </w:r>
    </w:p>
    <w:p w14:paraId="3445EAD5">
      <w:pPr>
        <w:adjustRightInd w:val="0"/>
        <w:snapToGrid w:val="0"/>
        <w:ind w:firstLine="480"/>
      </w:pPr>
      <w:r>
        <w:rPr>
          <w:rFonts w:hint="eastAsia"/>
        </w:rPr>
        <w:t>项目地理位置见附图1。</w:t>
      </w:r>
    </w:p>
    <w:p w14:paraId="794ECF0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5.1.2</w:t>
      </w:r>
      <w:r>
        <w:rPr>
          <w:rFonts w:hint="eastAsia" w:ascii="Times New Roman" w:eastAsia="宋体"/>
          <w:sz w:val="28"/>
          <w:szCs w:val="28"/>
          <w:lang w:val="en-US"/>
        </w:rPr>
        <w:t>地形地貌</w:t>
      </w:r>
    </w:p>
    <w:p w14:paraId="5F687390">
      <w:pPr>
        <w:adjustRightInd w:val="0"/>
        <w:snapToGrid w:val="0"/>
        <w:ind w:firstLine="480"/>
      </w:pPr>
      <w:r>
        <w:rPr>
          <w:rFonts w:hint="eastAsia"/>
        </w:rPr>
        <w:t>风电场场区地貌类型属低山丘陵区，山顶</w:t>
      </w:r>
      <w:r>
        <w:t>(</w:t>
      </w:r>
      <w:r>
        <w:rPr>
          <w:rFonts w:hint="eastAsia"/>
        </w:rPr>
        <w:t>脊</w:t>
      </w:r>
      <w:r>
        <w:t>)</w:t>
      </w:r>
      <w:r>
        <w:rPr>
          <w:rFonts w:hint="eastAsia"/>
        </w:rPr>
        <w:t>呈近南北向展布。山坡地势较陡峭，局部可达</w:t>
      </w:r>
      <w:r>
        <w:t>45</w:t>
      </w:r>
      <w:r>
        <w:rPr>
          <w:rFonts w:hint="eastAsia"/>
        </w:rPr>
        <w:t>°～</w:t>
      </w:r>
      <w:r>
        <w:t>60</w:t>
      </w:r>
      <w:r>
        <w:rPr>
          <w:rFonts w:hint="eastAsia"/>
        </w:rPr>
        <w:t>°。山脊顶部或台地地面高程为</w:t>
      </w:r>
      <w:r>
        <w:t>100m</w:t>
      </w:r>
      <w:r>
        <w:rPr>
          <w:rFonts w:hint="eastAsia"/>
        </w:rPr>
        <w:t>～</w:t>
      </w:r>
      <w:r>
        <w:t>500m</w:t>
      </w:r>
      <w:r>
        <w:rPr>
          <w:rFonts w:hint="eastAsia"/>
        </w:rPr>
        <w:t>。坡顶主要为灌木，半山腰及山坡为灌木丛与乔木林，植被覆盖率较高。坡脚主要为耕地、水田及村庄。</w:t>
      </w:r>
    </w:p>
    <w:p w14:paraId="4526549F">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5.1.3</w:t>
      </w:r>
      <w:r>
        <w:rPr>
          <w:rFonts w:hint="eastAsia" w:ascii="Times New Roman" w:eastAsia="宋体"/>
          <w:sz w:val="28"/>
          <w:szCs w:val="28"/>
          <w:lang w:val="en-US"/>
        </w:rPr>
        <w:t>工程地质</w:t>
      </w:r>
    </w:p>
    <w:p w14:paraId="6A893485">
      <w:pPr>
        <w:adjustRightInd w:val="0"/>
        <w:snapToGrid w:val="0"/>
        <w:ind w:firstLine="480"/>
      </w:pPr>
      <w:r>
        <w:rPr>
          <w:rFonts w:hint="eastAsia"/>
        </w:rPr>
        <w:t>（1）地层岩性</w:t>
      </w:r>
    </w:p>
    <w:p w14:paraId="2CB0CD93">
      <w:pPr>
        <w:adjustRightInd w:val="0"/>
        <w:snapToGrid w:val="0"/>
        <w:ind w:firstLine="480"/>
      </w:pPr>
      <w:r>
        <w:rPr>
          <w:rFonts w:hint="eastAsia"/>
        </w:rPr>
        <w:t>根据现场地质查勘，场区范围内表部地层为残坡积粉质粘土</w:t>
      </w:r>
      <w:r>
        <w:t>(Qel+dl)</w:t>
      </w:r>
      <w:r>
        <w:rPr>
          <w:rFonts w:hint="eastAsia"/>
        </w:rPr>
        <w:t>，基岩主要为上古生届泥盆系上统佘田桥组、锡矿山组</w:t>
      </w:r>
      <w:r>
        <w:t>(D3)</w:t>
      </w:r>
      <w:r>
        <w:rPr>
          <w:rFonts w:hint="eastAsia"/>
        </w:rPr>
        <w:t>强风化</w:t>
      </w:r>
      <w:r>
        <w:t>~</w:t>
      </w:r>
      <w:r>
        <w:rPr>
          <w:rFonts w:hint="eastAsia"/>
        </w:rPr>
        <w:t>中等风化砂岩，元古界板溪群拉揽组</w:t>
      </w:r>
      <w:r>
        <w:t>(Ptbn2l)</w:t>
      </w:r>
      <w:r>
        <w:rPr>
          <w:rFonts w:hint="eastAsia"/>
        </w:rPr>
        <w:t>强风化</w:t>
      </w:r>
      <w:r>
        <w:t>~</w:t>
      </w:r>
      <w:r>
        <w:rPr>
          <w:rFonts w:hint="eastAsia"/>
        </w:rPr>
        <w:t>中等风化板岩。场地分布的地层从上至下，由新到老分述如下：</w:t>
      </w:r>
    </w:p>
    <w:p w14:paraId="15CB5287">
      <w:pPr>
        <w:adjustRightInd w:val="0"/>
        <w:snapToGrid w:val="0"/>
        <w:ind w:firstLine="480"/>
      </w:pPr>
      <w:r>
        <w:rPr>
          <w:rFonts w:hint="eastAsia"/>
        </w:rPr>
        <w:t>①粉质粘土</w:t>
      </w:r>
      <w:r>
        <w:t>(Qel+dl)</w:t>
      </w:r>
      <w:r>
        <w:rPr>
          <w:rFonts w:hint="eastAsia"/>
        </w:rPr>
        <w:t>：黄褐色、红褐色，可塑</w:t>
      </w:r>
      <w:r>
        <w:t>~</w:t>
      </w:r>
      <w:r>
        <w:rPr>
          <w:rFonts w:hint="eastAsia"/>
        </w:rPr>
        <w:t>硬塑，稍湿，含角砾及碎石，含铁锰质氧化物，土质较疏松，韧性、干强度中等。山坡、山顶地段覆盖层厚度</w:t>
      </w:r>
      <w:r>
        <w:t>0.5m</w:t>
      </w:r>
      <w:r>
        <w:rPr>
          <w:rFonts w:hint="eastAsia"/>
        </w:rPr>
        <w:t>～</w:t>
      </w:r>
      <w:r>
        <w:t>3.0m</w:t>
      </w:r>
      <w:r>
        <w:rPr>
          <w:rFonts w:hint="eastAsia"/>
        </w:rPr>
        <w:t>，坡脚及沟谷地局部厚度较大，一般</w:t>
      </w:r>
      <w:r>
        <w:t>3m</w:t>
      </w:r>
      <w:r>
        <w:rPr>
          <w:rFonts w:hint="eastAsia"/>
        </w:rPr>
        <w:t>～</w:t>
      </w:r>
      <w:r>
        <w:t>5m</w:t>
      </w:r>
      <w:r>
        <w:rPr>
          <w:rFonts w:hint="eastAsia"/>
        </w:rPr>
        <w:t>。全场均有分布。</w:t>
      </w:r>
    </w:p>
    <w:p w14:paraId="3429BB84">
      <w:pPr>
        <w:adjustRightInd w:val="0"/>
        <w:snapToGrid w:val="0"/>
        <w:ind w:firstLine="480"/>
      </w:pPr>
      <w:r>
        <w:rPr>
          <w:rFonts w:hint="eastAsia"/>
        </w:rPr>
        <w:t>②强风化砂岩</w:t>
      </w:r>
      <w:r>
        <w:t>(D3)</w:t>
      </w:r>
      <w:r>
        <w:rPr>
          <w:rFonts w:hint="eastAsia"/>
        </w:rPr>
        <w:t>：灰白色，岩体节理裂隙极发育，层状结构，岩芯极破碎，取芯率较低，遇水易软化，属极软岩，层厚变化较大，</w:t>
      </w:r>
      <w:r>
        <w:t>3.0m~8.0m</w:t>
      </w:r>
      <w:r>
        <w:rPr>
          <w:rFonts w:hint="eastAsia"/>
        </w:rPr>
        <w:t>不等，夹砂质页岩、页岩薄层，局部夹泥灰岩，全场均有分布。</w:t>
      </w:r>
    </w:p>
    <w:p w14:paraId="400B92D1">
      <w:pPr>
        <w:adjustRightInd w:val="0"/>
        <w:snapToGrid w:val="0"/>
        <w:ind w:firstLine="480"/>
      </w:pPr>
      <w:r>
        <w:rPr>
          <w:rFonts w:hint="eastAsia"/>
        </w:rPr>
        <w:t>③中等风化砂岩</w:t>
      </w:r>
      <w:r>
        <w:t>(D3)</w:t>
      </w:r>
      <w:r>
        <w:rPr>
          <w:rFonts w:hint="eastAsia"/>
        </w:rPr>
        <w:t>：灰白色，岩体节理裂隙极发育，层状结构，岩芯较破碎，属软岩，层厚较大，大于</w:t>
      </w:r>
      <w:r>
        <w:t>10.0m</w:t>
      </w:r>
      <w:r>
        <w:rPr>
          <w:rFonts w:hint="eastAsia"/>
        </w:rPr>
        <w:t>，夹砂质页岩、页岩薄层，局部夹泥灰岩，全场均有分布。</w:t>
      </w:r>
    </w:p>
    <w:p w14:paraId="170C29EE">
      <w:pPr>
        <w:adjustRightInd w:val="0"/>
        <w:snapToGrid w:val="0"/>
        <w:ind w:firstLine="480"/>
      </w:pPr>
      <w:r>
        <w:rPr>
          <w:rFonts w:hint="eastAsia"/>
        </w:rPr>
        <w:t>④强风化板岩</w:t>
      </w:r>
      <w:r>
        <w:t>(Ptbn2l)</w:t>
      </w:r>
      <w:r>
        <w:rPr>
          <w:rFonts w:hint="eastAsia"/>
        </w:rPr>
        <w:t>：灰绿色为主，灰黄色、灰白色为次，硅质条带状板岩，夹砂质板岩及变质细砂岩</w:t>
      </w:r>
      <w:r>
        <w:t>,</w:t>
      </w:r>
      <w:r>
        <w:rPr>
          <w:rFonts w:hint="eastAsia"/>
        </w:rPr>
        <w:t>节理裂隙较发育，岩体破碎，含钙质，裂隙面多张开，充填粘性土，见铁锰质氧化物，板状构造，厚度一般</w:t>
      </w:r>
      <w:r>
        <w:t>1.0~4.0m</w:t>
      </w:r>
      <w:r>
        <w:rPr>
          <w:rFonts w:hint="eastAsia"/>
        </w:rPr>
        <w:t>。主要分布于风电场东南侧，涉及风机编号</w:t>
      </w:r>
      <w:r>
        <w:t>17#~20#</w:t>
      </w:r>
      <w:r>
        <w:rPr>
          <w:rFonts w:hint="eastAsia"/>
        </w:rPr>
        <w:t>。</w:t>
      </w:r>
    </w:p>
    <w:p w14:paraId="48B1464F">
      <w:pPr>
        <w:adjustRightInd w:val="0"/>
        <w:snapToGrid w:val="0"/>
        <w:ind w:firstLine="480"/>
      </w:pPr>
      <w:r>
        <w:rPr>
          <w:rFonts w:hint="eastAsia"/>
        </w:rPr>
        <w:t>⑤强风化板岩</w:t>
      </w:r>
      <w:r>
        <w:t>(Ptbn2l)</w:t>
      </w:r>
      <w:r>
        <w:rPr>
          <w:rFonts w:hint="eastAsia"/>
        </w:rPr>
        <w:t>：灰绿色为主，灰黄色、灰白色为次，硅质条带状板岩，夹砂质板岩及变质细砂岩</w:t>
      </w:r>
      <w:r>
        <w:t xml:space="preserve">, </w:t>
      </w:r>
      <w:r>
        <w:rPr>
          <w:rFonts w:hint="eastAsia"/>
        </w:rPr>
        <w:t>节理裂隙较发育，板状构造，岩芯呈短柱状、块状，厚度较大。主要分布于风电场东南侧，涉及风机编号</w:t>
      </w:r>
      <w:r>
        <w:t>17#~20#</w:t>
      </w:r>
      <w:r>
        <w:rPr>
          <w:rFonts w:hint="eastAsia"/>
        </w:rPr>
        <w:t>。</w:t>
      </w:r>
    </w:p>
    <w:p w14:paraId="53E31D0A">
      <w:pPr>
        <w:adjustRightInd w:val="0"/>
        <w:snapToGrid w:val="0"/>
        <w:ind w:firstLine="480"/>
      </w:pPr>
      <w:r>
        <w:rPr>
          <w:rFonts w:hint="eastAsia"/>
        </w:rPr>
        <w:t>（2）水文地质条件</w:t>
      </w:r>
    </w:p>
    <w:p w14:paraId="4ADDE864">
      <w:pPr>
        <w:adjustRightInd w:val="0"/>
        <w:snapToGrid w:val="0"/>
        <w:ind w:firstLine="480"/>
      </w:pPr>
      <w:r>
        <w:rPr>
          <w:rFonts w:hint="eastAsia"/>
        </w:rPr>
        <w:t>根据场址区内岩</w:t>
      </w:r>
      <w:r>
        <w:t>(</w:t>
      </w:r>
      <w:r>
        <w:rPr>
          <w:rFonts w:hint="eastAsia"/>
        </w:rPr>
        <w:t>土</w:t>
      </w:r>
      <w:r>
        <w:t>)</w:t>
      </w:r>
      <w:r>
        <w:rPr>
          <w:rFonts w:hint="eastAsia"/>
        </w:rPr>
        <w:t>体特征与地下水赋存条件，地下水类型可分为孔隙水、基岩裂隙水。</w:t>
      </w:r>
    </w:p>
    <w:p w14:paraId="3E29236A">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孔隙水：赋存于第四系堆积物土层内，埋藏深度不一，接受大气降水补给，水量小，随季节变化明显。就近排泄于沟谷或下渗至基岩裂隙中。</w:t>
      </w:r>
    </w:p>
    <w:p w14:paraId="4B40603D">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基岩裂隙水：场址区地下水位埋深一般大于</w:t>
      </w:r>
      <w:r>
        <w:t>8m</w:t>
      </w:r>
      <w:r>
        <w:rPr>
          <w:rFonts w:hint="eastAsia"/>
        </w:rPr>
        <w:t>。补给来源为大气降水与上部孔隙水垂直入渗，沿节理裂隙向沟谷或地形低洼处排泄，水位与水量随季节变化有一定变幅，暴雨期较大沟谷下游段可形成短时间地表径流。</w:t>
      </w:r>
    </w:p>
    <w:p w14:paraId="7FB8EFFA">
      <w:pPr>
        <w:adjustRightInd w:val="0"/>
        <w:snapToGrid w:val="0"/>
        <w:ind w:firstLine="480"/>
      </w:pPr>
      <w:r>
        <w:rPr>
          <w:rFonts w:hint="eastAsia"/>
        </w:rPr>
        <w:t>场地内地下水埋藏深度一般大于</w:t>
      </w:r>
      <w:r>
        <w:t>8m</w:t>
      </w:r>
      <w:r>
        <w:rPr>
          <w:rFonts w:hint="eastAsia"/>
        </w:rPr>
        <w:t>，场内道路一般位于山腰以上，这些地段地下水埋深较大，地下水对道路基础的影响较小。部分道路位于山涧沟谷地带，随着季节变化，会存在孔隙水，水量一般不大，可采用明排等方式直排。</w:t>
      </w:r>
    </w:p>
    <w:p w14:paraId="74DB58A1">
      <w:pPr>
        <w:adjustRightInd w:val="0"/>
        <w:snapToGrid w:val="0"/>
        <w:ind w:firstLine="480"/>
      </w:pPr>
      <w:r>
        <w:rPr>
          <w:rFonts w:hint="eastAsia"/>
        </w:rPr>
        <w:t>风电场内存在少量山涧溪流，多分布于半山腰，可考虑引用和蓄积此类山水用于道路施工生产用水。</w:t>
      </w:r>
    </w:p>
    <w:p w14:paraId="1DE420C9">
      <w:pPr>
        <w:adjustRightInd w:val="0"/>
        <w:snapToGrid w:val="0"/>
        <w:ind w:firstLine="480"/>
      </w:pPr>
      <w:r>
        <w:rPr>
          <w:rFonts w:hint="eastAsia"/>
        </w:rPr>
        <w:t>（3）不良地质现象和地质灾害</w:t>
      </w:r>
    </w:p>
    <w:p w14:paraId="53CA8214">
      <w:pPr>
        <w:adjustRightInd w:val="0"/>
        <w:snapToGrid w:val="0"/>
        <w:ind w:firstLine="480"/>
      </w:pPr>
      <w:r>
        <w:rPr>
          <w:rFonts w:hint="eastAsia"/>
        </w:rPr>
        <w:t>场区属于构造稳定地区，山体组成主要为变质砂岩、板岩。未发现大规模崩塌、滑坡、泥石流、地面沉降等不良地质作用。不存在可液化土层，场地整体稳定性较好。在建设过程中，应依山就势，尽量减少岩土开挖对植被的破坏。当开挖形成一定高度的边坡时，要注意采用合适的开挖坡比并设置马道和排水沟。</w:t>
      </w:r>
    </w:p>
    <w:p w14:paraId="1AED28E9">
      <w:pPr>
        <w:adjustRightInd w:val="0"/>
        <w:snapToGrid w:val="0"/>
        <w:ind w:firstLine="480"/>
      </w:pPr>
      <w:r>
        <w:rPr>
          <w:rFonts w:hint="eastAsia"/>
        </w:rPr>
        <w:t>（4）场地稳定性与适宜性评价</w:t>
      </w:r>
    </w:p>
    <w:p w14:paraId="17473ED9">
      <w:pPr>
        <w:adjustRightInd w:val="0"/>
        <w:snapToGrid w:val="0"/>
        <w:ind w:firstLine="480"/>
      </w:pPr>
      <w:r>
        <w:rPr>
          <w:rFonts w:hint="eastAsia"/>
        </w:rPr>
        <w:t>场址区内无大型断裂构造发育。根据区域资料和地质调查，场地第四系以来地质活动微弱，场区无全新活动断裂通过，适宜进行工程建设。</w:t>
      </w:r>
    </w:p>
    <w:p w14:paraId="2342DA42">
      <w:pPr>
        <w:adjustRightInd w:val="0"/>
        <w:snapToGrid w:val="0"/>
        <w:ind w:firstLine="480"/>
      </w:pPr>
      <w:r>
        <w:rPr>
          <w:rFonts w:hint="eastAsia"/>
        </w:rPr>
        <w:t>根据《中国地震动参数区划图》</w:t>
      </w:r>
      <w:r>
        <w:t>(GB18306-2015)</w:t>
      </w:r>
      <w:r>
        <w:rPr>
          <w:rFonts w:hint="eastAsia"/>
        </w:rPr>
        <w:t>，场址区地震动峰值加速度</w:t>
      </w:r>
      <w:r>
        <w:t>0.05g</w:t>
      </w:r>
      <w:r>
        <w:rPr>
          <w:rFonts w:hint="eastAsia"/>
        </w:rPr>
        <w:t>，相应的地震基本烈度Ⅵ度，地震动反应谱特征周期为</w:t>
      </w:r>
      <w:r>
        <w:t>0.35s</w:t>
      </w:r>
      <w:r>
        <w:rPr>
          <w:rFonts w:hint="eastAsia"/>
        </w:rPr>
        <w:t>，本区域构造稳定较好。风电场区域稳定性好。</w:t>
      </w:r>
    </w:p>
    <w:p w14:paraId="56BBDE2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5.1.4</w:t>
      </w:r>
      <w:r>
        <w:rPr>
          <w:rFonts w:hint="eastAsia" w:ascii="Times New Roman" w:eastAsia="宋体"/>
          <w:sz w:val="28"/>
          <w:szCs w:val="28"/>
          <w:lang w:val="en-US"/>
        </w:rPr>
        <w:t>气候、气象</w:t>
      </w:r>
    </w:p>
    <w:p w14:paraId="0045951F">
      <w:pPr>
        <w:adjustRightInd w:val="0"/>
        <w:snapToGrid w:val="0"/>
        <w:ind w:firstLine="480"/>
      </w:pPr>
      <w:r>
        <w:rPr>
          <w:rFonts w:hint="eastAsia"/>
        </w:rPr>
        <w:t>衡阳县气候温暖湿润，属亚热带季风气候，具有热量充足、雨水集中、春暖多变、夏秋多旱、冬寒期短、暑热期长的特征。年均气温17.8摄氏度，最高年为19.1℃，最低年为17.21℃，1月份平均气温最低，为5.4℃，7月份平均气温最高，为29.8℃；年降雨量1268.8毫米左右，降水季节分配不均匀，4-6月占全年降水量45%，年均降水日数为157天；全年无霜期为287天；一年之中日照时数7月份最多，达278.lh，占该月可照时数的66%，2月最少，为52h，占该月可照时数的20%。年平均蒸发量为1396.lmm，其中旱季（7-9月）占44.9%，雨季占26.9%。7月份平均最大蒸发量达248.6mm。2月份平均最小为41.6mm，年际月值变化1963年最大为1649.4mm，1975年最小为1227.2mm。</w:t>
      </w:r>
    </w:p>
    <w:p w14:paraId="087686C7">
      <w:pPr>
        <w:adjustRightInd w:val="0"/>
        <w:snapToGrid w:val="0"/>
        <w:ind w:firstLine="480"/>
      </w:pPr>
      <w:r>
        <w:rPr>
          <w:rFonts w:hint="eastAsia"/>
        </w:rPr>
        <w:t>衡阳县境内各时期风向具有明显的季节变化。冬季盛行偏北风，夏季盛行偏南风，春秋二季以东北风居多，间有东南风，风向多为东北向，频率为25%。年均风速为2.2m/s。以4月份风速最大，平均风速为2.4m/s。6月最小，平均风速为1.9m/s</w:t>
      </w:r>
      <w:r>
        <w:t>。</w:t>
      </w:r>
    </w:p>
    <w:p w14:paraId="461D42D5">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5.1.5</w:t>
      </w:r>
      <w:r>
        <w:rPr>
          <w:rFonts w:hint="eastAsia" w:ascii="Times New Roman" w:eastAsia="宋体"/>
          <w:sz w:val="28"/>
          <w:szCs w:val="28"/>
          <w:lang w:val="en-US"/>
        </w:rPr>
        <w:t>水文</w:t>
      </w:r>
    </w:p>
    <w:p w14:paraId="6B99B29E">
      <w:pPr>
        <w:adjustRightInd w:val="0"/>
        <w:snapToGrid w:val="0"/>
        <w:ind w:firstLine="480"/>
      </w:pPr>
      <w:r>
        <w:rPr>
          <w:rFonts w:hint="eastAsia"/>
        </w:rPr>
        <w:t>（1）湘江</w:t>
      </w:r>
    </w:p>
    <w:p w14:paraId="026652BC">
      <w:pPr>
        <w:adjustRightInd w:val="0"/>
        <w:snapToGrid w:val="0"/>
        <w:ind w:firstLine="480"/>
      </w:pPr>
      <w:r>
        <w:rPr>
          <w:rFonts w:hint="eastAsia"/>
        </w:rPr>
        <w:t>衡阳县境内有湘江及其支流蒸水等。湘江是湖南省最大河流。湘江，长江中游南岸重要支流。又称湘水。主源海洋河，源出广西临桂县海洋坪的龙门 界，于全州附近，汇灌江和罗江，北流入湖南省，经17县市，在湘阴濠河口分为东西两支，至芦林潭又汇合注入洞庭湖。干流全长856千米，流域面积9.46万平方千米，沿途接纳大小支流1300多条，主要支流有潇水、舂陵水、耒水、洣水、蒸水、涟水等。多年平均入湖水量713亿立方米。湘江支流众多，部分支流水土流失较重。零陵以上为上游，流经山区，谷窄、流短、水急，雨期多暴雨， 枯水期地下水补给占</w:t>
      </w:r>
      <w:r>
        <w:t>25%</w:t>
      </w:r>
      <w:r>
        <w:rPr>
          <w:rFonts w:hint="eastAsia"/>
        </w:rPr>
        <w:t>左右。零陵至衡阳为中游，沿岸丘陵起伏，红层盆地错落其间，河宽</w:t>
      </w:r>
      <w:r>
        <w:t>250</w:t>
      </w:r>
      <w:r>
        <w:rPr>
          <w:rFonts w:hint="eastAsia"/>
        </w:rPr>
        <w:t>米</w:t>
      </w:r>
      <w:r>
        <w:rPr>
          <w:rFonts w:hint="eastAsia" w:ascii="微软雅黑" w:hAnsi="微软雅黑" w:eastAsia="微软雅黑" w:cs="微软雅黑"/>
        </w:rPr>
        <w:t>〜</w:t>
      </w:r>
      <w:r>
        <w:t>1000</w:t>
      </w:r>
      <w:r>
        <w:rPr>
          <w:rFonts w:hint="eastAsia"/>
        </w:rPr>
        <w:t>米，常年可通航</w:t>
      </w:r>
      <w:r>
        <w:t>15</w:t>
      </w:r>
      <w:r>
        <w:rPr>
          <w:rFonts w:hint="eastAsia"/>
        </w:rPr>
        <w:t>吨</w:t>
      </w:r>
      <w:r>
        <w:rPr>
          <w:rFonts w:hint="eastAsia" w:ascii="微软雅黑" w:hAnsi="微软雅黑" w:eastAsia="微软雅黑" w:cs="微软雅黑"/>
        </w:rPr>
        <w:t>〜</w:t>
      </w:r>
      <w:r>
        <w:t>200</w:t>
      </w:r>
      <w:r>
        <w:rPr>
          <w:rFonts w:hint="eastAsia"/>
        </w:rPr>
        <w:t>吨驳轮。衡阳以下进入下游，河宽</w:t>
      </w:r>
      <w:r>
        <w:t>500</w:t>
      </w:r>
      <w:r>
        <w:rPr>
          <w:rFonts w:hint="eastAsia"/>
        </w:rPr>
        <w:t>米</w:t>
      </w:r>
      <w:r>
        <w:rPr>
          <w:rFonts w:hint="eastAsia" w:ascii="微软雅黑" w:hAnsi="微软雅黑" w:eastAsia="微软雅黑" w:cs="微软雅黑"/>
        </w:rPr>
        <w:t>〜</w:t>
      </w:r>
      <w:r>
        <w:t>1000</w:t>
      </w:r>
      <w:r>
        <w:rPr>
          <w:rFonts w:hint="eastAsia"/>
        </w:rPr>
        <w:t>米，常年可通航</w:t>
      </w:r>
      <w:r>
        <w:t>15</w:t>
      </w:r>
      <w:r>
        <w:rPr>
          <w:rFonts w:hint="eastAsia"/>
        </w:rPr>
        <w:t>吨</w:t>
      </w:r>
      <w:r>
        <w:rPr>
          <w:rFonts w:hint="eastAsia" w:ascii="微软雅黑" w:hAnsi="微软雅黑" w:eastAsia="微软雅黑" w:cs="微软雅黑"/>
        </w:rPr>
        <w:t>〜</w:t>
      </w:r>
      <w:r>
        <w:t>300</w:t>
      </w:r>
      <w:r>
        <w:rPr>
          <w:rFonts w:hint="eastAsia"/>
        </w:rPr>
        <w:t>吨驳轮，沿河泥沙淤积，多边滩、心滩、沙洲。</w:t>
      </w:r>
    </w:p>
    <w:p w14:paraId="2A80A92D">
      <w:pPr>
        <w:adjustRightInd w:val="0"/>
        <w:snapToGrid w:val="0"/>
        <w:ind w:firstLine="480"/>
      </w:pPr>
      <w:r>
        <w:rPr>
          <w:rFonts w:hint="eastAsia"/>
        </w:rPr>
        <w:t>（2）蒸水</w:t>
      </w:r>
    </w:p>
    <w:p w14:paraId="24E6E3A4">
      <w:pPr>
        <w:adjustRightInd w:val="0"/>
        <w:snapToGrid w:val="0"/>
        <w:ind w:firstLine="480"/>
      </w:pPr>
      <w:r>
        <w:rPr>
          <w:rFonts w:hint="eastAsia"/>
        </w:rPr>
        <w:t>蒸水是湘江的一级支流，俗称草河。它发源于邵东县，于衡阳县金兰镇入境，星“乙”字型，流经该县洪市镇、三湖镇、渣江镇、台源镇、西渡镇，衡南县三塘，蒸湘区呆鹰岭等地，于衡阳市石鼓区注入湘江。蒸水干流长约200公里，集水面积2857km</w:t>
      </w:r>
      <w:r>
        <w:rPr>
          <w:rFonts w:hint="eastAsia"/>
          <w:vertAlign w:val="superscript"/>
        </w:rPr>
        <w:t>2</w:t>
      </w:r>
      <w:r>
        <w:rPr>
          <w:rFonts w:hint="eastAsia"/>
        </w:rPr>
        <w:t>，径流深563.8m，多年平均年径流量16.11亿m</w:t>
      </w:r>
      <w:r>
        <w:rPr>
          <w:rFonts w:hint="eastAsia"/>
          <w:vertAlign w:val="superscript"/>
        </w:rPr>
        <w:t>3</w:t>
      </w:r>
      <w:r>
        <w:rPr>
          <w:rFonts w:hint="eastAsia"/>
        </w:rPr>
        <w:t>/年，根据《衡阳县饮用水水源保护管理办法》（蒸政[2011]8号），确定蒸水为区域发展预留饮用水源地。</w:t>
      </w:r>
    </w:p>
    <w:p w14:paraId="48B7CF36">
      <w:pPr>
        <w:adjustRightInd w:val="0"/>
        <w:snapToGrid w:val="0"/>
        <w:ind w:firstLine="480"/>
      </w:pPr>
      <w:r>
        <w:rPr>
          <w:rFonts w:hint="eastAsia"/>
        </w:rPr>
        <w:t>（3）风电场在周边小溪</w:t>
      </w:r>
    </w:p>
    <w:p w14:paraId="4E953324">
      <w:pPr>
        <w:adjustRightInd w:val="0"/>
        <w:snapToGrid w:val="0"/>
        <w:ind w:firstLine="480"/>
      </w:pPr>
      <w:r>
        <w:rPr>
          <w:rFonts w:hint="eastAsia"/>
        </w:rPr>
        <w:t>本项目各风机机位均布置在山脊，风单场区域分布有山涧小溪。除衡阳县岣嵝乡环洞村饮用水水源保护区外，其余山涧小溪均无饮用水功能，其均为小型河流，主要功能为灌溉。</w:t>
      </w:r>
    </w:p>
    <w:p w14:paraId="4CD7D4D4">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5.1.6</w:t>
      </w:r>
      <w:r>
        <w:rPr>
          <w:rFonts w:hint="eastAsia" w:ascii="Times New Roman" w:eastAsia="宋体"/>
          <w:sz w:val="28"/>
          <w:szCs w:val="28"/>
          <w:lang w:val="en-US"/>
        </w:rPr>
        <w:t>矿产资源</w:t>
      </w:r>
    </w:p>
    <w:p w14:paraId="0F0CA04F">
      <w:pPr>
        <w:adjustRightInd w:val="0"/>
        <w:snapToGrid w:val="0"/>
        <w:ind w:firstLine="480"/>
      </w:pPr>
      <w:r>
        <w:rPr>
          <w:rFonts w:hint="eastAsia"/>
        </w:rPr>
        <w:t>区域矿产资源丰富，境内蕴藏丰富的高岭土（瓷泥）、钠长石、钾长石、石英石等非金属矿产资源，伴生矿藏主要有铀矿，各种矿藏分布点多、面大，开发前景十分广阔。界牌瓷泥（高岭土），又被称为“衡阳土”，与江苏苏州、四川叙家、广东飞天堰合称为全国四大瓷泥基地。就总体质量而言，界牌瓷泥最为优秀，其储量、品种、品位居亚洲地区之首，据地质勘探部门探明瓷泥储量在</w:t>
      </w:r>
      <w:r>
        <w:t xml:space="preserve">2 </w:t>
      </w:r>
      <w:r>
        <w:rPr>
          <w:rFonts w:hint="eastAsia"/>
        </w:rPr>
        <w:t>亿吨以上。界牌瓷泥具有白度高、含铝量高、含铁量极低、粘接性强等特点，低温砂、低温钠长石具有高白度、低温度、辐射性极低、化学成分稳定等特性，广泛用于全国高档日用陶瓷、建筑陶瓷、卫浴陶瓷以及特种玻璃、造纸、建材等生产企业。</w:t>
      </w:r>
    </w:p>
    <w:p w14:paraId="726EC1A0">
      <w:pPr>
        <w:adjustRightInd w:val="0"/>
        <w:snapToGrid w:val="0"/>
        <w:ind w:firstLine="480"/>
      </w:pPr>
      <w:r>
        <w:rPr>
          <w:rFonts w:hint="eastAsia"/>
        </w:rPr>
        <w:t>根据关于《衡阳县杉桥风电场项目》建设项目压覆重要矿产资源查询情况的说明，项目未压覆重要矿产资源。</w:t>
      </w:r>
    </w:p>
    <w:p w14:paraId="1E07098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5.1.7</w:t>
      </w:r>
      <w:r>
        <w:rPr>
          <w:rFonts w:hint="eastAsia" w:ascii="Times New Roman" w:eastAsia="宋体"/>
          <w:sz w:val="28"/>
          <w:szCs w:val="28"/>
          <w:lang w:val="en-US"/>
        </w:rPr>
        <w:t>生态环境</w:t>
      </w:r>
    </w:p>
    <w:p w14:paraId="0F05DB10">
      <w:pPr>
        <w:adjustRightInd w:val="0"/>
        <w:snapToGrid w:val="0"/>
        <w:ind w:firstLine="480"/>
      </w:pPr>
      <w:r>
        <w:t>衡阳县资源丰富，物华天宝。生物资源有粮食作物10多种，经济作物1000多种，树木250多种，畜牧10多种，鱼类80多种；活立木蓄积量100万立方米，楠竹2100万根。粮食作物有水稻、小麦、薯类、大豆等，动物资源品种繁多，珍稀动物有云豹、白鹳、河鹿等。</w:t>
      </w:r>
    </w:p>
    <w:p w14:paraId="6EB1A5D0">
      <w:pPr>
        <w:adjustRightInd w:val="0"/>
        <w:snapToGrid w:val="0"/>
        <w:ind w:firstLine="480"/>
      </w:pPr>
      <w:r>
        <w:rPr>
          <w:rFonts w:hint="eastAsia"/>
        </w:rPr>
        <w:t>区域地带性植被属中亚热带常绿阔叶林北部地带类型，受人类活动影响，原生植被大都已不存在，现主要为天然次生林和人工植被。天然次生林主要有马尾松林、杉木林、楠竹林、天然针阔叶混交林。人工植被以林地和农作物植被为主，灌草丛植夹杂于其中；林地常见树种有松树、樟树、石楠、槐树、泡桐、苦楝树、油茶、杉树、柑桔、梨、桃、李、板栗等；草本植物主要有狗尾草、车前草、野菊花、狗牙根、芒、蒲公英等，另有多种蕨类。农作物以水稻为主，一年两熟，旱土作物有小麦、红薯、棉花、花生、油菜等。</w:t>
      </w:r>
    </w:p>
    <w:p w14:paraId="303314D3">
      <w:pPr>
        <w:adjustRightInd w:val="0"/>
        <w:snapToGrid w:val="0"/>
        <w:ind w:firstLine="480"/>
      </w:pPr>
      <w:r>
        <w:rPr>
          <w:rFonts w:hint="eastAsia"/>
        </w:rPr>
        <w:t>区内林栖野生兽类稀少，陆栖脊椎动物多为黄鼬、野兔、獾、野鸡、喜鹊、山雀、啄木鸟、八哥、鸟鸫、白头翁、白鹭、麻雀等以及鼠类，蛙类（水陆两栖）、蛇类、壁虎等中、小型野生动物。在耕作区，动物一般多为适应农耕地和居民点栖息的种类，种属单调，主要以鼠型啮齿类和食谷、食虫的篱园雀形鸟类组成优势；人工饲养动物为一些常见的家畜家禽，主要有猪、牛、羊、鸡、鸭、兔等，区内山塘、水库中水生鱼类资源主要有草鱼、鲢鱼、鲫鱼、鲤鱼等。区内未发现野生珍稀濒危动植物物种。</w:t>
      </w:r>
    </w:p>
    <w:p w14:paraId="32B2AAA9">
      <w:pPr>
        <w:adjustRightInd w:val="0"/>
        <w:snapToGrid w:val="0"/>
        <w:ind w:firstLine="480"/>
      </w:pPr>
      <w:r>
        <w:rPr>
          <w:rFonts w:hint="eastAsia"/>
        </w:rPr>
        <w:t>根据现场调查，评价区自然生物群落与物种敏感程度低，无珍稀濒危生物物种。区域野生动物以青蛙、麻雀等小型常见动物为主。经衡阳县林业局实地现场勘查，评价区域内没有100年以上的古树古木和国家重点保护的珍稀动植物；经衡阳县旅游局查询核实评价区域内不存在风景名胜区。</w:t>
      </w:r>
    </w:p>
    <w:p w14:paraId="0B49DE3A">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5.1.8</w:t>
      </w:r>
      <w:r>
        <w:rPr>
          <w:rFonts w:hint="eastAsia" w:ascii="Times New Roman" w:eastAsia="宋体"/>
          <w:sz w:val="28"/>
          <w:szCs w:val="28"/>
          <w:lang w:val="en-US"/>
        </w:rPr>
        <w:t>水土流失和水土保持</w:t>
      </w:r>
    </w:p>
    <w:p w14:paraId="2BDF1FD4">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5.1.8.1</w:t>
      </w:r>
      <w:r>
        <w:rPr>
          <w:rFonts w:hint="eastAsia" w:ascii="Times New Roman" w:eastAsia="宋体"/>
          <w:sz w:val="24"/>
          <w:szCs w:val="24"/>
        </w:rPr>
        <w:t>水土流失现状</w:t>
      </w:r>
    </w:p>
    <w:p w14:paraId="29D4C9CE">
      <w:pPr>
        <w:adjustRightInd w:val="0"/>
        <w:snapToGrid w:val="0"/>
        <w:ind w:firstLine="480"/>
      </w:pPr>
      <w:bookmarkStart w:id="117" w:name="OLE_LINK37"/>
      <w:r>
        <w:t>本项目建设区地形以山地为主，场内冲沟发育，宏观地形切割强烈，完整性差，沟谷较发育，大部分为干沟。据现场调查，本项目大部分占地区自然植被覆盖度较好，水土流失强度为微度。但项目区范围内未利用地、冲沟及道路用地两侧地表植被稀少区域，流失相对较大，以中强度为主。</w:t>
      </w:r>
      <w:bookmarkEnd w:id="117"/>
    </w:p>
    <w:p w14:paraId="634EA9BE">
      <w:pPr>
        <w:adjustRightInd w:val="0"/>
        <w:snapToGrid w:val="0"/>
        <w:ind w:firstLine="480"/>
      </w:pPr>
      <w:r>
        <w:t>根据现场调查，项目区地形起伏，以低山为主，植被覆盖率较高，但多为灌木丛和人工林；同时，项目区</w:t>
      </w:r>
      <w:r>
        <w:rPr>
          <w:rFonts w:hint="eastAsia"/>
        </w:rPr>
        <w:t>板岩</w:t>
      </w:r>
      <w:r>
        <w:t>分布较广，土层薄，植被破坏后，现有土层易流失且难于治理、恢复。项目区主要占地类型为林地等，山脊、山脚等区域的地面坡度相对较缓，部分山坡地的地面坡度较陡。</w:t>
      </w:r>
    </w:p>
    <w:p w14:paraId="5BD2C9EB">
      <w:pPr>
        <w:adjustRightInd w:val="0"/>
        <w:snapToGrid w:val="0"/>
        <w:ind w:firstLine="480"/>
      </w:pPr>
      <w:r>
        <w:rPr>
          <w:rFonts w:hint="eastAsia"/>
        </w:rPr>
        <w:t>根据《衡阳县杉桥风电场项目水土保持方案报告书》</w:t>
      </w:r>
      <w:r>
        <w:t>，项目区水土流失以轻度水力侵蚀为主</w:t>
      </w:r>
      <w:r>
        <w:rPr>
          <w:rFonts w:hint="eastAsia"/>
        </w:rPr>
        <w:t>，</w:t>
      </w:r>
      <w:r>
        <w:t>项目建设区平均土壤侵蚀模数44</w:t>
      </w:r>
      <w:r>
        <w:rPr>
          <w:rFonts w:hint="eastAsia"/>
        </w:rPr>
        <w:t>9</w:t>
      </w:r>
      <w:r>
        <w:t>t/（km</w:t>
      </w:r>
      <w:r>
        <w:rPr>
          <w:vertAlign w:val="superscript"/>
        </w:rPr>
        <w:t>2</w:t>
      </w:r>
      <w:r>
        <w:t>·a），属轻度流失区。</w:t>
      </w:r>
    </w:p>
    <w:p w14:paraId="40992BCA">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5.1.8.2</w:t>
      </w:r>
      <w:r>
        <w:rPr>
          <w:rFonts w:hint="eastAsia" w:ascii="Times New Roman" w:eastAsia="宋体"/>
          <w:sz w:val="24"/>
          <w:szCs w:val="24"/>
        </w:rPr>
        <w:t>区域存在的环境问题及解决措施</w:t>
      </w:r>
    </w:p>
    <w:p w14:paraId="4F31C20B">
      <w:pPr>
        <w:adjustRightInd w:val="0"/>
        <w:snapToGrid w:val="0"/>
        <w:ind w:firstLine="480"/>
      </w:pPr>
      <w:r>
        <w:rPr>
          <w:rFonts w:hint="eastAsia"/>
        </w:rPr>
        <w:t>根据现场调查可知，本项目风电场北侧风机机位附近区域由于海拔较低，其山坡部分植被已被人工砍伐，并种植了油茶等人工经济作物（部分区域种植的经济作物当前为幼苗）。当地居民在种植经济作物过程中，需翻耕土壤，加之部分区域由于当地居民水土保持意识不强，当前部分经济作</w:t>
      </w:r>
      <w:r>
        <w:rPr>
          <w:rFonts w:hint="eastAsia"/>
          <w:lang w:eastAsia="zh-CN"/>
        </w:rPr>
        <w:t>为</w:t>
      </w:r>
      <w:r>
        <w:rPr>
          <w:rFonts w:hint="eastAsia"/>
        </w:rPr>
        <w:t>幼苗（其水土保持作用不强），局部暂未种植植物，局部区域形成了较为轻微的水土流失。</w:t>
      </w:r>
    </w:p>
    <w:p w14:paraId="42EDFBC9">
      <w:pPr>
        <w:adjustRightInd w:val="0"/>
        <w:snapToGrid w:val="0"/>
        <w:ind w:firstLine="480"/>
      </w:pPr>
      <w:r>
        <w:rPr>
          <w:rFonts w:hint="eastAsia"/>
        </w:rPr>
        <w:t>环评建议当地政府应加强宣传，督促当地居民及时完成翻耕土壤的作物种植，减少水土流失。同时督促当地居民边砍伐边种植，避免光砍不种的情况发生。</w:t>
      </w:r>
    </w:p>
    <w:p w14:paraId="3EE1150D">
      <w:pPr>
        <w:pStyle w:val="4"/>
        <w:tabs>
          <w:tab w:val="clear" w:pos="480"/>
          <w:tab w:val="clear" w:pos="630"/>
        </w:tabs>
        <w:spacing w:before="0" w:after="0"/>
        <w:rPr>
          <w:sz w:val="30"/>
          <w:szCs w:val="30"/>
          <w:lang w:val="en-US"/>
        </w:rPr>
      </w:pPr>
      <w:bookmarkStart w:id="118" w:name="_Toc116977997"/>
      <w:bookmarkStart w:id="119" w:name="_Toc143799380"/>
      <w:r>
        <w:rPr>
          <w:sz w:val="30"/>
          <w:szCs w:val="30"/>
          <w:lang w:val="en-US"/>
        </w:rPr>
        <w:t>5.2</w:t>
      </w:r>
      <w:bookmarkEnd w:id="118"/>
      <w:r>
        <w:rPr>
          <w:rFonts w:hint="eastAsia"/>
          <w:sz w:val="30"/>
          <w:szCs w:val="30"/>
          <w:lang w:val="en-US"/>
        </w:rPr>
        <w:t>衡阳县岣嵝乡环洞村山溪水饮用水水源保护区</w:t>
      </w:r>
      <w:bookmarkEnd w:id="119"/>
    </w:p>
    <w:p w14:paraId="5BF1750E">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划分情况</w:t>
      </w:r>
    </w:p>
    <w:p w14:paraId="5924720D">
      <w:pPr>
        <w:adjustRightInd w:val="0"/>
        <w:snapToGrid w:val="0"/>
        <w:ind w:firstLine="480"/>
      </w:pPr>
      <w:r>
        <w:rPr>
          <w:rFonts w:hint="eastAsia"/>
        </w:rPr>
        <w:t>根据衡阳市人民政府办公室发布的《关于公布衡阳市第二批千人以上集中式饮用水水源保护区划定方案的通知》（衡政办函[</w:t>
      </w:r>
      <w:r>
        <w:t>2020]12</w:t>
      </w:r>
      <w:r>
        <w:rPr>
          <w:rFonts w:hint="eastAsia"/>
        </w:rPr>
        <w:t>号），衡阳县岣嵝乡环洞村山溪水饮用水水源保护区属于衡阳市乡镇级“千人以上”集中式饮用水水源保护区，具体划分情况见下表。</w:t>
      </w:r>
    </w:p>
    <w:p w14:paraId="66384000">
      <w:pPr>
        <w:pStyle w:val="2"/>
        <w:ind w:firstLine="420"/>
      </w:pPr>
    </w:p>
    <w:p w14:paraId="16FC33B1">
      <w:pPr>
        <w:ind w:firstLine="480"/>
      </w:pPr>
    </w:p>
    <w:p w14:paraId="6457D228">
      <w:pPr>
        <w:tabs>
          <w:tab w:val="clear" w:pos="480"/>
        </w:tabs>
        <w:spacing w:line="240" w:lineRule="auto"/>
        <w:ind w:firstLine="0" w:firstLineChars="0"/>
        <w:jc w:val="center"/>
        <w:rPr>
          <w:b/>
          <w:bCs/>
        </w:rPr>
      </w:pPr>
      <w:r>
        <w:rPr>
          <w:rFonts w:hint="eastAsia"/>
          <w:b/>
          <w:bCs/>
        </w:rPr>
        <w:t>表</w:t>
      </w:r>
      <w:r>
        <w:rPr>
          <w:b/>
          <w:bCs/>
        </w:rPr>
        <w:t xml:space="preserve">5.2-1  </w:t>
      </w:r>
      <w:r>
        <w:rPr>
          <w:rFonts w:hint="eastAsia"/>
          <w:b/>
          <w:bCs/>
          <w:kern w:val="0"/>
          <w:szCs w:val="22"/>
        </w:rPr>
        <w:t>衡阳县岣嵝乡环洞村山溪水饮用水水源保护区</w:t>
      </w:r>
      <w:r>
        <w:rPr>
          <w:rFonts w:hint="eastAsia"/>
          <w:b/>
          <w:bCs/>
        </w:rPr>
        <w:t>划分情况表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622"/>
        <w:gridCol w:w="507"/>
        <w:gridCol w:w="954"/>
        <w:gridCol w:w="730"/>
        <w:gridCol w:w="585"/>
        <w:gridCol w:w="730"/>
        <w:gridCol w:w="1607"/>
        <w:gridCol w:w="1812"/>
      </w:tblGrid>
      <w:tr w14:paraId="5B8135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restart"/>
            <w:vAlign w:val="center"/>
          </w:tcPr>
          <w:p w14:paraId="182645F7">
            <w:pPr>
              <w:tabs>
                <w:tab w:val="clear" w:pos="480"/>
              </w:tabs>
              <w:adjustRightInd w:val="0"/>
              <w:snapToGrid w:val="0"/>
              <w:spacing w:line="240" w:lineRule="auto"/>
              <w:ind w:firstLine="0" w:firstLineChars="0"/>
              <w:jc w:val="center"/>
              <w:rPr>
                <w:sz w:val="18"/>
                <w:szCs w:val="18"/>
              </w:rPr>
            </w:pPr>
            <w:r>
              <w:rPr>
                <w:sz w:val="18"/>
                <w:szCs w:val="18"/>
              </w:rPr>
              <w:t>保护区名称</w:t>
            </w:r>
          </w:p>
        </w:tc>
        <w:tc>
          <w:tcPr>
            <w:tcW w:w="365" w:type="pct"/>
            <w:vMerge w:val="restart"/>
            <w:vAlign w:val="center"/>
          </w:tcPr>
          <w:p w14:paraId="0F56CAC2">
            <w:pPr>
              <w:tabs>
                <w:tab w:val="clear" w:pos="480"/>
              </w:tabs>
              <w:adjustRightInd w:val="0"/>
              <w:snapToGrid w:val="0"/>
              <w:spacing w:line="240" w:lineRule="auto"/>
              <w:ind w:firstLine="0" w:firstLineChars="0"/>
              <w:jc w:val="center"/>
              <w:rPr>
                <w:sz w:val="18"/>
                <w:szCs w:val="18"/>
              </w:rPr>
            </w:pPr>
            <w:r>
              <w:rPr>
                <w:sz w:val="18"/>
                <w:szCs w:val="18"/>
              </w:rPr>
              <w:t>所在流域</w:t>
            </w:r>
          </w:p>
        </w:tc>
        <w:tc>
          <w:tcPr>
            <w:tcW w:w="297" w:type="pct"/>
            <w:vMerge w:val="restart"/>
            <w:vAlign w:val="center"/>
          </w:tcPr>
          <w:p w14:paraId="0FAD2688">
            <w:pPr>
              <w:tabs>
                <w:tab w:val="clear" w:pos="480"/>
              </w:tabs>
              <w:adjustRightInd w:val="0"/>
              <w:snapToGrid w:val="0"/>
              <w:spacing w:line="240" w:lineRule="auto"/>
              <w:ind w:firstLine="0" w:firstLineChars="0"/>
              <w:jc w:val="center"/>
              <w:rPr>
                <w:sz w:val="18"/>
                <w:szCs w:val="18"/>
              </w:rPr>
            </w:pPr>
            <w:r>
              <w:rPr>
                <w:sz w:val="18"/>
                <w:szCs w:val="18"/>
              </w:rPr>
              <w:t>类型</w:t>
            </w:r>
          </w:p>
        </w:tc>
        <w:tc>
          <w:tcPr>
            <w:tcW w:w="559" w:type="pct"/>
            <w:vMerge w:val="restart"/>
            <w:vAlign w:val="center"/>
          </w:tcPr>
          <w:p w14:paraId="00ABEFC6">
            <w:pPr>
              <w:tabs>
                <w:tab w:val="clear" w:pos="480"/>
              </w:tabs>
              <w:adjustRightInd w:val="0"/>
              <w:snapToGrid w:val="0"/>
              <w:spacing w:line="240" w:lineRule="auto"/>
              <w:ind w:firstLine="0" w:firstLineChars="0"/>
              <w:jc w:val="center"/>
              <w:rPr>
                <w:sz w:val="18"/>
                <w:szCs w:val="18"/>
              </w:rPr>
            </w:pPr>
            <w:r>
              <w:rPr>
                <w:sz w:val="18"/>
                <w:szCs w:val="18"/>
              </w:rPr>
              <w:t>水源地现有水厂名称</w:t>
            </w:r>
          </w:p>
        </w:tc>
        <w:tc>
          <w:tcPr>
            <w:tcW w:w="428" w:type="pct"/>
            <w:vMerge w:val="restart"/>
            <w:vAlign w:val="center"/>
          </w:tcPr>
          <w:p w14:paraId="5F1A3387">
            <w:pPr>
              <w:tabs>
                <w:tab w:val="clear" w:pos="480"/>
              </w:tabs>
              <w:adjustRightInd w:val="0"/>
              <w:snapToGrid w:val="0"/>
              <w:spacing w:line="240" w:lineRule="auto"/>
              <w:ind w:firstLine="0" w:firstLineChars="0"/>
              <w:jc w:val="center"/>
              <w:rPr>
                <w:sz w:val="18"/>
                <w:szCs w:val="18"/>
              </w:rPr>
            </w:pPr>
            <w:r>
              <w:rPr>
                <w:sz w:val="18"/>
                <w:szCs w:val="18"/>
              </w:rPr>
              <w:t>服务城镇</w:t>
            </w:r>
          </w:p>
        </w:tc>
        <w:tc>
          <w:tcPr>
            <w:tcW w:w="343" w:type="pct"/>
            <w:vMerge w:val="restart"/>
          </w:tcPr>
          <w:p w14:paraId="0B37AF85">
            <w:pPr>
              <w:tabs>
                <w:tab w:val="clear" w:pos="480"/>
              </w:tabs>
              <w:adjustRightInd w:val="0"/>
              <w:snapToGrid w:val="0"/>
              <w:spacing w:line="240" w:lineRule="auto"/>
              <w:ind w:firstLine="0" w:firstLineChars="0"/>
              <w:jc w:val="center"/>
              <w:rPr>
                <w:sz w:val="18"/>
                <w:szCs w:val="18"/>
              </w:rPr>
            </w:pPr>
            <w:r>
              <w:rPr>
                <w:sz w:val="18"/>
                <w:szCs w:val="18"/>
              </w:rPr>
              <w:t>规模</w:t>
            </w:r>
          </w:p>
        </w:tc>
        <w:tc>
          <w:tcPr>
            <w:tcW w:w="428" w:type="pct"/>
            <w:vMerge w:val="restart"/>
            <w:vAlign w:val="center"/>
          </w:tcPr>
          <w:p w14:paraId="7255285A">
            <w:pPr>
              <w:tabs>
                <w:tab w:val="clear" w:pos="480"/>
              </w:tabs>
              <w:adjustRightInd w:val="0"/>
              <w:snapToGrid w:val="0"/>
              <w:spacing w:line="240" w:lineRule="auto"/>
              <w:ind w:firstLine="0" w:firstLineChars="0"/>
              <w:jc w:val="center"/>
              <w:rPr>
                <w:sz w:val="18"/>
                <w:szCs w:val="18"/>
              </w:rPr>
            </w:pPr>
            <w:r>
              <w:rPr>
                <w:sz w:val="18"/>
                <w:szCs w:val="18"/>
              </w:rPr>
              <w:t>保护级别</w:t>
            </w:r>
          </w:p>
        </w:tc>
        <w:tc>
          <w:tcPr>
            <w:tcW w:w="2004" w:type="pct"/>
            <w:gridSpan w:val="2"/>
            <w:vAlign w:val="center"/>
          </w:tcPr>
          <w:p w14:paraId="47F9F6E3">
            <w:pPr>
              <w:tabs>
                <w:tab w:val="clear" w:pos="480"/>
              </w:tabs>
              <w:adjustRightInd w:val="0"/>
              <w:snapToGrid w:val="0"/>
              <w:spacing w:line="240" w:lineRule="auto"/>
              <w:ind w:firstLine="0" w:firstLineChars="0"/>
              <w:jc w:val="center"/>
              <w:rPr>
                <w:sz w:val="18"/>
                <w:szCs w:val="18"/>
              </w:rPr>
            </w:pPr>
            <w:r>
              <w:rPr>
                <w:sz w:val="18"/>
                <w:szCs w:val="18"/>
              </w:rPr>
              <w:t>保护范围</w:t>
            </w:r>
          </w:p>
        </w:tc>
      </w:tr>
      <w:tr w14:paraId="1800C3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continue"/>
            <w:vAlign w:val="center"/>
          </w:tcPr>
          <w:p w14:paraId="06EAD9E9">
            <w:pPr>
              <w:tabs>
                <w:tab w:val="clear" w:pos="480"/>
              </w:tabs>
              <w:adjustRightInd w:val="0"/>
              <w:snapToGrid w:val="0"/>
              <w:spacing w:line="240" w:lineRule="auto"/>
              <w:ind w:firstLine="0" w:firstLineChars="0"/>
              <w:jc w:val="center"/>
              <w:rPr>
                <w:sz w:val="18"/>
                <w:szCs w:val="18"/>
              </w:rPr>
            </w:pPr>
          </w:p>
        </w:tc>
        <w:tc>
          <w:tcPr>
            <w:tcW w:w="365" w:type="pct"/>
            <w:vMerge w:val="continue"/>
            <w:vAlign w:val="center"/>
          </w:tcPr>
          <w:p w14:paraId="7AB66E2C">
            <w:pPr>
              <w:tabs>
                <w:tab w:val="clear" w:pos="480"/>
              </w:tabs>
              <w:adjustRightInd w:val="0"/>
              <w:snapToGrid w:val="0"/>
              <w:spacing w:line="240" w:lineRule="auto"/>
              <w:ind w:firstLine="0" w:firstLineChars="0"/>
              <w:jc w:val="center"/>
              <w:rPr>
                <w:sz w:val="18"/>
                <w:szCs w:val="18"/>
              </w:rPr>
            </w:pPr>
          </w:p>
        </w:tc>
        <w:tc>
          <w:tcPr>
            <w:tcW w:w="297" w:type="pct"/>
            <w:vMerge w:val="continue"/>
            <w:vAlign w:val="center"/>
          </w:tcPr>
          <w:p w14:paraId="43AD8678">
            <w:pPr>
              <w:tabs>
                <w:tab w:val="clear" w:pos="480"/>
              </w:tabs>
              <w:adjustRightInd w:val="0"/>
              <w:snapToGrid w:val="0"/>
              <w:spacing w:line="240" w:lineRule="auto"/>
              <w:ind w:firstLine="0" w:firstLineChars="0"/>
              <w:jc w:val="center"/>
              <w:rPr>
                <w:sz w:val="18"/>
                <w:szCs w:val="18"/>
              </w:rPr>
            </w:pPr>
          </w:p>
        </w:tc>
        <w:tc>
          <w:tcPr>
            <w:tcW w:w="559" w:type="pct"/>
            <w:vMerge w:val="continue"/>
            <w:vAlign w:val="center"/>
          </w:tcPr>
          <w:p w14:paraId="730C866D">
            <w:pPr>
              <w:tabs>
                <w:tab w:val="clear" w:pos="480"/>
              </w:tabs>
              <w:adjustRightInd w:val="0"/>
              <w:snapToGrid w:val="0"/>
              <w:spacing w:line="240" w:lineRule="auto"/>
              <w:ind w:firstLine="0" w:firstLineChars="0"/>
              <w:jc w:val="center"/>
              <w:rPr>
                <w:sz w:val="18"/>
                <w:szCs w:val="18"/>
              </w:rPr>
            </w:pPr>
          </w:p>
        </w:tc>
        <w:tc>
          <w:tcPr>
            <w:tcW w:w="428" w:type="pct"/>
            <w:vMerge w:val="continue"/>
            <w:vAlign w:val="center"/>
          </w:tcPr>
          <w:p w14:paraId="428E05D3">
            <w:pPr>
              <w:tabs>
                <w:tab w:val="clear" w:pos="480"/>
              </w:tabs>
              <w:adjustRightInd w:val="0"/>
              <w:snapToGrid w:val="0"/>
              <w:spacing w:line="240" w:lineRule="auto"/>
              <w:ind w:firstLine="0" w:firstLineChars="0"/>
              <w:jc w:val="center"/>
              <w:rPr>
                <w:sz w:val="18"/>
                <w:szCs w:val="18"/>
              </w:rPr>
            </w:pPr>
          </w:p>
        </w:tc>
        <w:tc>
          <w:tcPr>
            <w:tcW w:w="343" w:type="pct"/>
            <w:vMerge w:val="continue"/>
          </w:tcPr>
          <w:p w14:paraId="5D823DCD">
            <w:pPr>
              <w:tabs>
                <w:tab w:val="clear" w:pos="480"/>
              </w:tabs>
              <w:adjustRightInd w:val="0"/>
              <w:snapToGrid w:val="0"/>
              <w:spacing w:line="240" w:lineRule="auto"/>
              <w:ind w:firstLine="0" w:firstLineChars="0"/>
              <w:jc w:val="center"/>
              <w:rPr>
                <w:sz w:val="18"/>
                <w:szCs w:val="18"/>
              </w:rPr>
            </w:pPr>
          </w:p>
        </w:tc>
        <w:tc>
          <w:tcPr>
            <w:tcW w:w="428" w:type="pct"/>
            <w:vMerge w:val="continue"/>
            <w:vAlign w:val="center"/>
          </w:tcPr>
          <w:p w14:paraId="6889CC9E">
            <w:pPr>
              <w:tabs>
                <w:tab w:val="clear" w:pos="480"/>
              </w:tabs>
              <w:adjustRightInd w:val="0"/>
              <w:snapToGrid w:val="0"/>
              <w:spacing w:line="240" w:lineRule="auto"/>
              <w:ind w:firstLine="0" w:firstLineChars="0"/>
              <w:jc w:val="center"/>
              <w:rPr>
                <w:sz w:val="18"/>
                <w:szCs w:val="18"/>
              </w:rPr>
            </w:pPr>
          </w:p>
        </w:tc>
        <w:tc>
          <w:tcPr>
            <w:tcW w:w="942" w:type="pct"/>
            <w:vAlign w:val="center"/>
          </w:tcPr>
          <w:p w14:paraId="097BBFDD">
            <w:pPr>
              <w:tabs>
                <w:tab w:val="clear" w:pos="480"/>
              </w:tabs>
              <w:adjustRightInd w:val="0"/>
              <w:snapToGrid w:val="0"/>
              <w:spacing w:line="240" w:lineRule="auto"/>
              <w:ind w:firstLine="0" w:firstLineChars="0"/>
              <w:jc w:val="center"/>
              <w:rPr>
                <w:sz w:val="18"/>
                <w:szCs w:val="18"/>
              </w:rPr>
            </w:pPr>
            <w:r>
              <w:rPr>
                <w:sz w:val="18"/>
                <w:szCs w:val="18"/>
              </w:rPr>
              <w:t>水域</w:t>
            </w:r>
          </w:p>
        </w:tc>
        <w:tc>
          <w:tcPr>
            <w:tcW w:w="1062" w:type="pct"/>
          </w:tcPr>
          <w:p w14:paraId="6B7C3B6D">
            <w:pPr>
              <w:tabs>
                <w:tab w:val="clear" w:pos="480"/>
              </w:tabs>
              <w:adjustRightInd w:val="0"/>
              <w:snapToGrid w:val="0"/>
              <w:spacing w:line="240" w:lineRule="auto"/>
              <w:ind w:firstLine="0" w:firstLineChars="0"/>
              <w:jc w:val="center"/>
              <w:rPr>
                <w:sz w:val="18"/>
                <w:szCs w:val="18"/>
              </w:rPr>
            </w:pPr>
            <w:r>
              <w:rPr>
                <w:sz w:val="18"/>
                <w:szCs w:val="18"/>
              </w:rPr>
              <w:t>陆域</w:t>
            </w:r>
          </w:p>
        </w:tc>
      </w:tr>
      <w:tr w14:paraId="61A568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restart"/>
            <w:vAlign w:val="center"/>
          </w:tcPr>
          <w:p w14:paraId="7045C152">
            <w:pPr>
              <w:tabs>
                <w:tab w:val="clear" w:pos="480"/>
              </w:tabs>
              <w:adjustRightInd w:val="0"/>
              <w:snapToGrid w:val="0"/>
              <w:spacing w:line="240" w:lineRule="auto"/>
              <w:ind w:firstLine="0" w:firstLineChars="0"/>
              <w:jc w:val="center"/>
              <w:rPr>
                <w:sz w:val="18"/>
                <w:szCs w:val="18"/>
              </w:rPr>
            </w:pPr>
            <w:r>
              <w:rPr>
                <w:sz w:val="18"/>
                <w:szCs w:val="18"/>
              </w:rPr>
              <w:t>衡阳县岣嵝乡环洞村山溪水饮用水水源保护区</w:t>
            </w:r>
          </w:p>
        </w:tc>
        <w:tc>
          <w:tcPr>
            <w:tcW w:w="365" w:type="pct"/>
            <w:vMerge w:val="restart"/>
            <w:vAlign w:val="center"/>
          </w:tcPr>
          <w:p w14:paraId="3F165D53">
            <w:pPr>
              <w:tabs>
                <w:tab w:val="clear" w:pos="480"/>
              </w:tabs>
              <w:adjustRightInd w:val="0"/>
              <w:snapToGrid w:val="0"/>
              <w:spacing w:line="240" w:lineRule="auto"/>
              <w:ind w:firstLine="0" w:firstLineChars="0"/>
              <w:jc w:val="center"/>
              <w:rPr>
                <w:sz w:val="18"/>
                <w:szCs w:val="18"/>
              </w:rPr>
            </w:pPr>
            <w:r>
              <w:rPr>
                <w:sz w:val="18"/>
                <w:szCs w:val="18"/>
              </w:rPr>
              <w:t>湘江</w:t>
            </w:r>
          </w:p>
        </w:tc>
        <w:tc>
          <w:tcPr>
            <w:tcW w:w="297" w:type="pct"/>
            <w:vMerge w:val="restart"/>
            <w:vAlign w:val="center"/>
          </w:tcPr>
          <w:p w14:paraId="580720C7">
            <w:pPr>
              <w:tabs>
                <w:tab w:val="clear" w:pos="480"/>
              </w:tabs>
              <w:adjustRightInd w:val="0"/>
              <w:snapToGrid w:val="0"/>
              <w:spacing w:line="240" w:lineRule="auto"/>
              <w:ind w:firstLine="0" w:firstLineChars="0"/>
              <w:jc w:val="center"/>
              <w:rPr>
                <w:sz w:val="18"/>
                <w:szCs w:val="18"/>
              </w:rPr>
            </w:pPr>
            <w:r>
              <w:rPr>
                <w:sz w:val="18"/>
                <w:szCs w:val="18"/>
              </w:rPr>
              <w:t>山溪水</w:t>
            </w:r>
          </w:p>
        </w:tc>
        <w:tc>
          <w:tcPr>
            <w:tcW w:w="559" w:type="pct"/>
            <w:vMerge w:val="restart"/>
            <w:vAlign w:val="center"/>
          </w:tcPr>
          <w:p w14:paraId="24815427">
            <w:pPr>
              <w:tabs>
                <w:tab w:val="clear" w:pos="480"/>
              </w:tabs>
              <w:autoSpaceDE w:val="0"/>
              <w:autoSpaceDN w:val="0"/>
              <w:adjustRightInd w:val="0"/>
              <w:snapToGrid w:val="0"/>
              <w:spacing w:line="240" w:lineRule="auto"/>
              <w:ind w:firstLine="0" w:firstLineChars="0"/>
              <w:jc w:val="center"/>
              <w:rPr>
                <w:sz w:val="18"/>
                <w:szCs w:val="18"/>
              </w:rPr>
            </w:pPr>
            <w:r>
              <w:rPr>
                <w:kern w:val="0"/>
                <w:sz w:val="18"/>
                <w:szCs w:val="18"/>
              </w:rPr>
              <w:t>岣嵝乡环洞水厂</w:t>
            </w:r>
          </w:p>
        </w:tc>
        <w:tc>
          <w:tcPr>
            <w:tcW w:w="428" w:type="pct"/>
            <w:vMerge w:val="restart"/>
            <w:vAlign w:val="center"/>
          </w:tcPr>
          <w:p w14:paraId="10861830">
            <w:pPr>
              <w:tabs>
                <w:tab w:val="clear" w:pos="480"/>
              </w:tabs>
              <w:autoSpaceDE w:val="0"/>
              <w:autoSpaceDN w:val="0"/>
              <w:adjustRightInd w:val="0"/>
              <w:snapToGrid w:val="0"/>
              <w:spacing w:line="240" w:lineRule="auto"/>
              <w:ind w:firstLine="0" w:firstLineChars="0"/>
              <w:jc w:val="center"/>
              <w:rPr>
                <w:sz w:val="18"/>
                <w:szCs w:val="18"/>
              </w:rPr>
            </w:pPr>
            <w:r>
              <w:rPr>
                <w:kern w:val="0"/>
                <w:sz w:val="18"/>
                <w:szCs w:val="18"/>
              </w:rPr>
              <w:t>岣嵝乡环洞村</w:t>
            </w:r>
          </w:p>
        </w:tc>
        <w:tc>
          <w:tcPr>
            <w:tcW w:w="343" w:type="pct"/>
            <w:vMerge w:val="restart"/>
          </w:tcPr>
          <w:p w14:paraId="035AAFE0">
            <w:pPr>
              <w:tabs>
                <w:tab w:val="clear" w:pos="480"/>
              </w:tabs>
              <w:adjustRightInd w:val="0"/>
              <w:snapToGrid w:val="0"/>
              <w:spacing w:line="240" w:lineRule="auto"/>
              <w:ind w:firstLine="0" w:firstLineChars="0"/>
              <w:jc w:val="center"/>
              <w:rPr>
                <w:sz w:val="18"/>
                <w:szCs w:val="18"/>
              </w:rPr>
            </w:pPr>
            <w:r>
              <w:rPr>
                <w:sz w:val="18"/>
                <w:szCs w:val="18"/>
              </w:rPr>
              <w:t>千人以上</w:t>
            </w:r>
          </w:p>
        </w:tc>
        <w:tc>
          <w:tcPr>
            <w:tcW w:w="428" w:type="pct"/>
            <w:vAlign w:val="center"/>
          </w:tcPr>
          <w:p w14:paraId="4919CDF6">
            <w:pPr>
              <w:tabs>
                <w:tab w:val="clear" w:pos="480"/>
              </w:tabs>
              <w:adjustRightInd w:val="0"/>
              <w:snapToGrid w:val="0"/>
              <w:spacing w:line="240" w:lineRule="auto"/>
              <w:ind w:firstLine="0" w:firstLineChars="0"/>
              <w:jc w:val="center"/>
              <w:rPr>
                <w:sz w:val="18"/>
                <w:szCs w:val="18"/>
              </w:rPr>
            </w:pPr>
            <w:r>
              <w:rPr>
                <w:sz w:val="18"/>
                <w:szCs w:val="18"/>
              </w:rPr>
              <w:t>一级</w:t>
            </w:r>
          </w:p>
        </w:tc>
        <w:tc>
          <w:tcPr>
            <w:tcW w:w="942" w:type="pct"/>
            <w:vAlign w:val="center"/>
          </w:tcPr>
          <w:p w14:paraId="7DFF28EF">
            <w:pPr>
              <w:tabs>
                <w:tab w:val="clear" w:pos="480"/>
              </w:tabs>
              <w:autoSpaceDE w:val="0"/>
              <w:autoSpaceDN w:val="0"/>
              <w:adjustRightInd w:val="0"/>
              <w:snapToGrid w:val="0"/>
              <w:spacing w:line="240" w:lineRule="auto"/>
              <w:ind w:firstLine="0" w:firstLineChars="0"/>
              <w:jc w:val="center"/>
              <w:rPr>
                <w:sz w:val="18"/>
                <w:szCs w:val="18"/>
              </w:rPr>
            </w:pPr>
            <w:r>
              <w:rPr>
                <w:kern w:val="0"/>
                <w:sz w:val="18"/>
                <w:szCs w:val="18"/>
              </w:rPr>
              <w:t>取水口至上游330 米的山溪水水域。</w:t>
            </w:r>
          </w:p>
        </w:tc>
        <w:tc>
          <w:tcPr>
            <w:tcW w:w="1062" w:type="pct"/>
          </w:tcPr>
          <w:p w14:paraId="40D25F78">
            <w:pPr>
              <w:tabs>
                <w:tab w:val="clear" w:pos="480"/>
              </w:tabs>
              <w:autoSpaceDE w:val="0"/>
              <w:autoSpaceDN w:val="0"/>
              <w:adjustRightInd w:val="0"/>
              <w:snapToGrid w:val="0"/>
              <w:spacing w:line="240" w:lineRule="auto"/>
              <w:ind w:firstLine="0" w:firstLineChars="0"/>
              <w:jc w:val="center"/>
              <w:rPr>
                <w:sz w:val="18"/>
                <w:szCs w:val="18"/>
              </w:rPr>
            </w:pPr>
            <w:r>
              <w:rPr>
                <w:kern w:val="0"/>
                <w:sz w:val="18"/>
                <w:szCs w:val="18"/>
              </w:rPr>
              <w:t>一级保护区水域边界沿岸纵深10 米。</w:t>
            </w:r>
          </w:p>
        </w:tc>
      </w:tr>
      <w:tr w14:paraId="5F6FD0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continue"/>
            <w:vAlign w:val="center"/>
          </w:tcPr>
          <w:p w14:paraId="219A10D7">
            <w:pPr>
              <w:tabs>
                <w:tab w:val="clear" w:pos="480"/>
              </w:tabs>
              <w:adjustRightInd w:val="0"/>
              <w:snapToGrid w:val="0"/>
              <w:spacing w:line="240" w:lineRule="auto"/>
              <w:ind w:firstLine="0" w:firstLineChars="0"/>
              <w:jc w:val="center"/>
              <w:rPr>
                <w:sz w:val="18"/>
                <w:szCs w:val="18"/>
              </w:rPr>
            </w:pPr>
          </w:p>
        </w:tc>
        <w:tc>
          <w:tcPr>
            <w:tcW w:w="365" w:type="pct"/>
            <w:vMerge w:val="continue"/>
            <w:vAlign w:val="center"/>
          </w:tcPr>
          <w:p w14:paraId="2E84CC11">
            <w:pPr>
              <w:tabs>
                <w:tab w:val="clear" w:pos="480"/>
              </w:tabs>
              <w:adjustRightInd w:val="0"/>
              <w:snapToGrid w:val="0"/>
              <w:spacing w:line="240" w:lineRule="auto"/>
              <w:ind w:firstLine="0" w:firstLineChars="0"/>
              <w:jc w:val="center"/>
              <w:rPr>
                <w:sz w:val="18"/>
                <w:szCs w:val="18"/>
              </w:rPr>
            </w:pPr>
          </w:p>
        </w:tc>
        <w:tc>
          <w:tcPr>
            <w:tcW w:w="297" w:type="pct"/>
            <w:vMerge w:val="continue"/>
            <w:vAlign w:val="center"/>
          </w:tcPr>
          <w:p w14:paraId="3795785A">
            <w:pPr>
              <w:tabs>
                <w:tab w:val="clear" w:pos="480"/>
              </w:tabs>
              <w:adjustRightInd w:val="0"/>
              <w:snapToGrid w:val="0"/>
              <w:spacing w:line="240" w:lineRule="auto"/>
              <w:ind w:firstLine="0" w:firstLineChars="0"/>
              <w:jc w:val="center"/>
              <w:rPr>
                <w:sz w:val="18"/>
                <w:szCs w:val="18"/>
              </w:rPr>
            </w:pPr>
          </w:p>
        </w:tc>
        <w:tc>
          <w:tcPr>
            <w:tcW w:w="559" w:type="pct"/>
            <w:vMerge w:val="continue"/>
            <w:vAlign w:val="center"/>
          </w:tcPr>
          <w:p w14:paraId="7C36D5CE">
            <w:pPr>
              <w:tabs>
                <w:tab w:val="clear" w:pos="480"/>
              </w:tabs>
              <w:adjustRightInd w:val="0"/>
              <w:snapToGrid w:val="0"/>
              <w:spacing w:line="240" w:lineRule="auto"/>
              <w:ind w:firstLine="0" w:firstLineChars="0"/>
              <w:jc w:val="center"/>
              <w:rPr>
                <w:sz w:val="18"/>
                <w:szCs w:val="18"/>
              </w:rPr>
            </w:pPr>
          </w:p>
        </w:tc>
        <w:tc>
          <w:tcPr>
            <w:tcW w:w="428" w:type="pct"/>
            <w:vMerge w:val="continue"/>
            <w:vAlign w:val="center"/>
          </w:tcPr>
          <w:p w14:paraId="5EB53A1E">
            <w:pPr>
              <w:tabs>
                <w:tab w:val="clear" w:pos="480"/>
              </w:tabs>
              <w:adjustRightInd w:val="0"/>
              <w:snapToGrid w:val="0"/>
              <w:spacing w:line="240" w:lineRule="auto"/>
              <w:ind w:firstLine="0" w:firstLineChars="0"/>
              <w:jc w:val="center"/>
              <w:rPr>
                <w:sz w:val="18"/>
                <w:szCs w:val="18"/>
              </w:rPr>
            </w:pPr>
          </w:p>
        </w:tc>
        <w:tc>
          <w:tcPr>
            <w:tcW w:w="343" w:type="pct"/>
            <w:vMerge w:val="continue"/>
          </w:tcPr>
          <w:p w14:paraId="69837B85">
            <w:pPr>
              <w:tabs>
                <w:tab w:val="clear" w:pos="480"/>
              </w:tabs>
              <w:adjustRightInd w:val="0"/>
              <w:snapToGrid w:val="0"/>
              <w:spacing w:line="240" w:lineRule="auto"/>
              <w:ind w:firstLine="0" w:firstLineChars="0"/>
              <w:jc w:val="center"/>
              <w:rPr>
                <w:sz w:val="18"/>
                <w:szCs w:val="18"/>
              </w:rPr>
            </w:pPr>
          </w:p>
        </w:tc>
        <w:tc>
          <w:tcPr>
            <w:tcW w:w="428" w:type="pct"/>
            <w:vAlign w:val="center"/>
          </w:tcPr>
          <w:p w14:paraId="7426895C">
            <w:pPr>
              <w:tabs>
                <w:tab w:val="clear" w:pos="480"/>
              </w:tabs>
              <w:adjustRightInd w:val="0"/>
              <w:snapToGrid w:val="0"/>
              <w:spacing w:line="240" w:lineRule="auto"/>
              <w:ind w:firstLine="0" w:firstLineChars="0"/>
              <w:jc w:val="center"/>
              <w:rPr>
                <w:sz w:val="18"/>
                <w:szCs w:val="18"/>
              </w:rPr>
            </w:pPr>
            <w:r>
              <w:rPr>
                <w:sz w:val="18"/>
                <w:szCs w:val="18"/>
              </w:rPr>
              <w:t>二级</w:t>
            </w:r>
          </w:p>
        </w:tc>
        <w:tc>
          <w:tcPr>
            <w:tcW w:w="942" w:type="pct"/>
            <w:vAlign w:val="center"/>
          </w:tcPr>
          <w:p w14:paraId="05708BC8">
            <w:pPr>
              <w:tabs>
                <w:tab w:val="clear" w:pos="480"/>
              </w:tabs>
              <w:autoSpaceDE w:val="0"/>
              <w:autoSpaceDN w:val="0"/>
              <w:adjustRightInd w:val="0"/>
              <w:snapToGrid w:val="0"/>
              <w:spacing w:line="240" w:lineRule="auto"/>
              <w:ind w:firstLine="0" w:firstLineChars="0"/>
              <w:jc w:val="center"/>
              <w:rPr>
                <w:sz w:val="18"/>
                <w:szCs w:val="18"/>
              </w:rPr>
            </w:pPr>
            <w:r>
              <w:rPr>
                <w:kern w:val="0"/>
                <w:sz w:val="18"/>
                <w:szCs w:val="18"/>
              </w:rPr>
              <w:t>一级保护区水域上边界上溯670 米的山溪水水域</w:t>
            </w:r>
          </w:p>
        </w:tc>
        <w:tc>
          <w:tcPr>
            <w:tcW w:w="1062" w:type="pct"/>
          </w:tcPr>
          <w:p w14:paraId="49AF26C9">
            <w:pPr>
              <w:tabs>
                <w:tab w:val="clear" w:pos="480"/>
              </w:tabs>
              <w:autoSpaceDE w:val="0"/>
              <w:autoSpaceDN w:val="0"/>
              <w:adjustRightInd w:val="0"/>
              <w:snapToGrid w:val="0"/>
              <w:spacing w:line="240" w:lineRule="auto"/>
              <w:ind w:firstLine="0" w:firstLineChars="0"/>
              <w:jc w:val="center"/>
              <w:rPr>
                <w:sz w:val="18"/>
                <w:szCs w:val="18"/>
              </w:rPr>
            </w:pPr>
            <w:r>
              <w:rPr>
                <w:kern w:val="0"/>
                <w:sz w:val="18"/>
                <w:szCs w:val="18"/>
              </w:rPr>
              <w:t>一、二级保护区水域边界沿岸纵深50 米（一级保护区除外）。</w:t>
            </w:r>
          </w:p>
        </w:tc>
      </w:tr>
    </w:tbl>
    <w:p w14:paraId="5F9F86E9">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本项目与其位置关系</w:t>
      </w:r>
    </w:p>
    <w:p w14:paraId="06077782">
      <w:pPr>
        <w:adjustRightInd w:val="0"/>
        <w:snapToGrid w:val="0"/>
        <w:ind w:firstLine="480"/>
      </w:pPr>
      <w:r>
        <w:rPr>
          <w:rFonts w:hint="eastAsia"/>
        </w:rPr>
        <w:t>本项目各风机机位和道路与衡阳县岣嵝乡环洞村山溪水饮用水水源保护区的位置关系见下表。</w:t>
      </w:r>
    </w:p>
    <w:p w14:paraId="6780680D">
      <w:pPr>
        <w:tabs>
          <w:tab w:val="clear" w:pos="480"/>
        </w:tabs>
        <w:spacing w:line="240" w:lineRule="auto"/>
        <w:ind w:firstLine="0" w:firstLineChars="0"/>
        <w:jc w:val="center"/>
        <w:rPr>
          <w:b/>
          <w:bCs/>
          <w:kern w:val="0"/>
          <w:sz w:val="21"/>
          <w:szCs w:val="21"/>
        </w:rPr>
      </w:pPr>
      <w:r>
        <w:rPr>
          <w:rFonts w:hint="eastAsia"/>
          <w:b/>
          <w:bCs/>
          <w:kern w:val="0"/>
          <w:sz w:val="21"/>
          <w:szCs w:val="21"/>
        </w:rPr>
        <w:t>表</w:t>
      </w:r>
      <w:r>
        <w:rPr>
          <w:b/>
          <w:bCs/>
          <w:kern w:val="0"/>
          <w:sz w:val="21"/>
          <w:szCs w:val="21"/>
        </w:rPr>
        <w:t xml:space="preserve">5.2-2 </w:t>
      </w:r>
      <w:r>
        <w:rPr>
          <w:rFonts w:hint="eastAsia"/>
          <w:b/>
          <w:bCs/>
          <w:kern w:val="0"/>
          <w:sz w:val="21"/>
          <w:szCs w:val="21"/>
        </w:rPr>
        <w:t>本项目与衡阳县岣嵝乡环洞村山溪水饮用水水源保护区位置关系一览表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22"/>
        <w:gridCol w:w="1230"/>
        <w:gridCol w:w="1230"/>
        <w:gridCol w:w="1230"/>
        <w:gridCol w:w="1231"/>
        <w:gridCol w:w="1284"/>
      </w:tblGrid>
      <w:tr w14:paraId="295F84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2" w:type="pct"/>
            <w:vMerge w:val="restart"/>
            <w:vAlign w:val="center"/>
          </w:tcPr>
          <w:p w14:paraId="4424B2E8">
            <w:pPr>
              <w:tabs>
                <w:tab w:val="clear" w:pos="480"/>
              </w:tabs>
              <w:adjustRightInd w:val="0"/>
              <w:snapToGrid w:val="0"/>
              <w:spacing w:line="240" w:lineRule="auto"/>
              <w:ind w:firstLine="0" w:firstLineChars="0"/>
              <w:jc w:val="center"/>
              <w:rPr>
                <w:sz w:val="18"/>
                <w:szCs w:val="18"/>
              </w:rPr>
            </w:pPr>
            <w:r>
              <w:rPr>
                <w:rFonts w:hint="eastAsia"/>
                <w:sz w:val="18"/>
                <w:szCs w:val="18"/>
              </w:rPr>
              <w:t>风机机位/道路</w:t>
            </w:r>
          </w:p>
        </w:tc>
        <w:tc>
          <w:tcPr>
            <w:tcW w:w="2885" w:type="pct"/>
            <w:gridSpan w:val="4"/>
            <w:vAlign w:val="center"/>
          </w:tcPr>
          <w:p w14:paraId="4EF0559B">
            <w:pPr>
              <w:tabs>
                <w:tab w:val="clear" w:pos="480"/>
              </w:tabs>
              <w:adjustRightInd w:val="0"/>
              <w:snapToGrid w:val="0"/>
              <w:spacing w:line="240" w:lineRule="auto"/>
              <w:ind w:firstLine="0" w:firstLineChars="0"/>
              <w:jc w:val="center"/>
              <w:rPr>
                <w:sz w:val="18"/>
                <w:szCs w:val="18"/>
              </w:rPr>
            </w:pPr>
            <w:r>
              <w:rPr>
                <w:rFonts w:hint="eastAsia"/>
                <w:sz w:val="18"/>
                <w:szCs w:val="18"/>
              </w:rPr>
              <w:t>位置关系（m）</w:t>
            </w:r>
          </w:p>
        </w:tc>
        <w:tc>
          <w:tcPr>
            <w:tcW w:w="753" w:type="pct"/>
            <w:vMerge w:val="restart"/>
          </w:tcPr>
          <w:p w14:paraId="751107A7">
            <w:pPr>
              <w:tabs>
                <w:tab w:val="clear" w:pos="480"/>
              </w:tabs>
              <w:adjustRightInd w:val="0"/>
              <w:snapToGrid w:val="0"/>
              <w:spacing w:line="240" w:lineRule="auto"/>
              <w:ind w:firstLine="0" w:firstLineChars="0"/>
              <w:jc w:val="center"/>
              <w:rPr>
                <w:sz w:val="18"/>
                <w:szCs w:val="18"/>
              </w:rPr>
            </w:pPr>
            <w:r>
              <w:rPr>
                <w:rFonts w:hint="eastAsia"/>
                <w:sz w:val="18"/>
                <w:szCs w:val="18"/>
              </w:rPr>
              <w:t>是否位于集雨范围内</w:t>
            </w:r>
          </w:p>
        </w:tc>
      </w:tr>
      <w:tr w14:paraId="2D797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2" w:type="pct"/>
            <w:vMerge w:val="continue"/>
            <w:vAlign w:val="center"/>
          </w:tcPr>
          <w:p w14:paraId="506C40C7">
            <w:pPr>
              <w:tabs>
                <w:tab w:val="clear" w:pos="480"/>
              </w:tabs>
              <w:adjustRightInd w:val="0"/>
              <w:snapToGrid w:val="0"/>
              <w:spacing w:line="240" w:lineRule="auto"/>
              <w:ind w:firstLine="0" w:firstLineChars="0"/>
              <w:jc w:val="center"/>
              <w:rPr>
                <w:sz w:val="18"/>
                <w:szCs w:val="18"/>
              </w:rPr>
            </w:pPr>
          </w:p>
        </w:tc>
        <w:tc>
          <w:tcPr>
            <w:tcW w:w="721" w:type="pct"/>
            <w:vAlign w:val="center"/>
          </w:tcPr>
          <w:p w14:paraId="63FDF74B">
            <w:pPr>
              <w:tabs>
                <w:tab w:val="clear" w:pos="480"/>
              </w:tabs>
              <w:adjustRightInd w:val="0"/>
              <w:snapToGrid w:val="0"/>
              <w:spacing w:line="240" w:lineRule="auto"/>
              <w:ind w:firstLine="0" w:firstLineChars="0"/>
              <w:jc w:val="center"/>
              <w:rPr>
                <w:sz w:val="18"/>
                <w:szCs w:val="18"/>
              </w:rPr>
            </w:pPr>
            <w:r>
              <w:rPr>
                <w:rFonts w:hint="eastAsia"/>
                <w:sz w:val="18"/>
                <w:szCs w:val="18"/>
              </w:rPr>
              <w:t>一级水域</w:t>
            </w:r>
          </w:p>
        </w:tc>
        <w:tc>
          <w:tcPr>
            <w:tcW w:w="721" w:type="pct"/>
            <w:vAlign w:val="center"/>
          </w:tcPr>
          <w:p w14:paraId="2104F2C2">
            <w:pPr>
              <w:tabs>
                <w:tab w:val="clear" w:pos="480"/>
              </w:tabs>
              <w:adjustRightInd w:val="0"/>
              <w:snapToGrid w:val="0"/>
              <w:spacing w:line="240" w:lineRule="auto"/>
              <w:ind w:firstLine="0" w:firstLineChars="0"/>
              <w:jc w:val="center"/>
              <w:rPr>
                <w:sz w:val="18"/>
                <w:szCs w:val="18"/>
              </w:rPr>
            </w:pPr>
            <w:r>
              <w:rPr>
                <w:rFonts w:hint="eastAsia"/>
                <w:sz w:val="18"/>
                <w:szCs w:val="18"/>
              </w:rPr>
              <w:t>一级陆域</w:t>
            </w:r>
          </w:p>
        </w:tc>
        <w:tc>
          <w:tcPr>
            <w:tcW w:w="721" w:type="pct"/>
            <w:vAlign w:val="center"/>
          </w:tcPr>
          <w:p w14:paraId="55E1AF47">
            <w:pPr>
              <w:tabs>
                <w:tab w:val="clear" w:pos="480"/>
              </w:tabs>
              <w:adjustRightInd w:val="0"/>
              <w:snapToGrid w:val="0"/>
              <w:spacing w:line="240" w:lineRule="auto"/>
              <w:ind w:firstLine="0" w:firstLineChars="0"/>
              <w:jc w:val="center"/>
              <w:rPr>
                <w:sz w:val="18"/>
                <w:szCs w:val="18"/>
              </w:rPr>
            </w:pPr>
            <w:r>
              <w:rPr>
                <w:rFonts w:hint="eastAsia"/>
                <w:sz w:val="18"/>
                <w:szCs w:val="18"/>
              </w:rPr>
              <w:t>二级水域</w:t>
            </w:r>
          </w:p>
        </w:tc>
        <w:tc>
          <w:tcPr>
            <w:tcW w:w="722" w:type="pct"/>
            <w:vAlign w:val="center"/>
          </w:tcPr>
          <w:p w14:paraId="4E0E167A">
            <w:pPr>
              <w:tabs>
                <w:tab w:val="clear" w:pos="480"/>
              </w:tabs>
              <w:adjustRightInd w:val="0"/>
              <w:snapToGrid w:val="0"/>
              <w:spacing w:line="240" w:lineRule="auto"/>
              <w:ind w:firstLine="0" w:firstLineChars="0"/>
              <w:jc w:val="center"/>
              <w:rPr>
                <w:sz w:val="18"/>
                <w:szCs w:val="18"/>
              </w:rPr>
            </w:pPr>
            <w:r>
              <w:rPr>
                <w:rFonts w:hint="eastAsia"/>
                <w:sz w:val="18"/>
                <w:szCs w:val="18"/>
              </w:rPr>
              <w:t>二级陆域</w:t>
            </w:r>
          </w:p>
        </w:tc>
        <w:tc>
          <w:tcPr>
            <w:tcW w:w="753" w:type="pct"/>
            <w:vMerge w:val="continue"/>
          </w:tcPr>
          <w:p w14:paraId="0D811E70">
            <w:pPr>
              <w:tabs>
                <w:tab w:val="clear" w:pos="480"/>
              </w:tabs>
              <w:adjustRightInd w:val="0"/>
              <w:snapToGrid w:val="0"/>
              <w:spacing w:line="240" w:lineRule="auto"/>
              <w:ind w:firstLine="0" w:firstLineChars="0"/>
              <w:jc w:val="center"/>
              <w:rPr>
                <w:sz w:val="18"/>
                <w:szCs w:val="18"/>
              </w:rPr>
            </w:pPr>
          </w:p>
        </w:tc>
      </w:tr>
      <w:tr w14:paraId="42943A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2" w:type="pct"/>
            <w:vAlign w:val="center"/>
          </w:tcPr>
          <w:p w14:paraId="28388E95">
            <w:pPr>
              <w:tabs>
                <w:tab w:val="clear" w:pos="480"/>
              </w:tabs>
              <w:adjustRightInd w:val="0"/>
              <w:snapToGrid w:val="0"/>
              <w:spacing w:line="240" w:lineRule="auto"/>
              <w:ind w:firstLine="0" w:firstLineChars="0"/>
              <w:jc w:val="center"/>
              <w:rPr>
                <w:sz w:val="18"/>
                <w:szCs w:val="18"/>
              </w:rPr>
            </w:pPr>
            <w:r>
              <w:rPr>
                <w:rFonts w:hint="eastAsia"/>
                <w:sz w:val="18"/>
                <w:szCs w:val="18"/>
              </w:rPr>
              <w:t>3</w:t>
            </w:r>
            <w:r>
              <w:rPr>
                <w:sz w:val="18"/>
                <w:szCs w:val="18"/>
              </w:rPr>
              <w:t>#</w:t>
            </w:r>
            <w:r>
              <w:rPr>
                <w:rFonts w:hint="eastAsia"/>
                <w:sz w:val="18"/>
                <w:szCs w:val="18"/>
              </w:rPr>
              <w:t>风机机位</w:t>
            </w:r>
          </w:p>
        </w:tc>
        <w:tc>
          <w:tcPr>
            <w:tcW w:w="721" w:type="pct"/>
            <w:vAlign w:val="center"/>
          </w:tcPr>
          <w:p w14:paraId="1CC2AFBD">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12.21</w:t>
            </w:r>
          </w:p>
        </w:tc>
        <w:tc>
          <w:tcPr>
            <w:tcW w:w="721" w:type="pct"/>
            <w:vAlign w:val="center"/>
          </w:tcPr>
          <w:p w14:paraId="73DCB5AE">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01.08</w:t>
            </w:r>
          </w:p>
        </w:tc>
        <w:tc>
          <w:tcPr>
            <w:tcW w:w="721" w:type="pct"/>
            <w:vAlign w:val="center"/>
          </w:tcPr>
          <w:p w14:paraId="7532D41C">
            <w:pPr>
              <w:tabs>
                <w:tab w:val="clear" w:pos="480"/>
              </w:tabs>
              <w:adjustRightInd w:val="0"/>
              <w:snapToGrid w:val="0"/>
              <w:spacing w:line="240" w:lineRule="auto"/>
              <w:ind w:firstLine="0" w:firstLineChars="0"/>
              <w:jc w:val="center"/>
              <w:rPr>
                <w:sz w:val="18"/>
                <w:szCs w:val="18"/>
              </w:rPr>
            </w:pPr>
            <w:r>
              <w:rPr>
                <w:rFonts w:hint="eastAsia"/>
                <w:sz w:val="18"/>
                <w:szCs w:val="18"/>
              </w:rPr>
              <w:t>9</w:t>
            </w:r>
            <w:r>
              <w:rPr>
                <w:sz w:val="18"/>
                <w:szCs w:val="18"/>
              </w:rPr>
              <w:t>9.68</w:t>
            </w:r>
          </w:p>
        </w:tc>
        <w:tc>
          <w:tcPr>
            <w:tcW w:w="722" w:type="pct"/>
            <w:vAlign w:val="center"/>
          </w:tcPr>
          <w:p w14:paraId="3A0038C6">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5.50</w:t>
            </w:r>
          </w:p>
        </w:tc>
        <w:tc>
          <w:tcPr>
            <w:tcW w:w="753" w:type="pct"/>
          </w:tcPr>
          <w:p w14:paraId="358ECE7C">
            <w:pPr>
              <w:tabs>
                <w:tab w:val="clear" w:pos="480"/>
              </w:tabs>
              <w:adjustRightInd w:val="0"/>
              <w:snapToGrid w:val="0"/>
              <w:spacing w:line="240" w:lineRule="auto"/>
              <w:ind w:firstLine="0" w:firstLineChars="0"/>
              <w:jc w:val="center"/>
              <w:rPr>
                <w:sz w:val="18"/>
                <w:szCs w:val="18"/>
              </w:rPr>
            </w:pPr>
            <w:r>
              <w:rPr>
                <w:rFonts w:hint="eastAsia"/>
                <w:sz w:val="18"/>
                <w:szCs w:val="18"/>
              </w:rPr>
              <w:t>是</w:t>
            </w:r>
          </w:p>
        </w:tc>
      </w:tr>
      <w:tr w14:paraId="327B3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2" w:type="pct"/>
            <w:vAlign w:val="center"/>
          </w:tcPr>
          <w:p w14:paraId="4B99BBDB">
            <w:pPr>
              <w:tabs>
                <w:tab w:val="clear" w:pos="480"/>
              </w:tabs>
              <w:adjustRightInd w:val="0"/>
              <w:snapToGrid w:val="0"/>
              <w:spacing w:line="240" w:lineRule="auto"/>
              <w:ind w:firstLine="0" w:firstLineChars="0"/>
              <w:jc w:val="center"/>
              <w:rPr>
                <w:sz w:val="18"/>
                <w:szCs w:val="18"/>
              </w:rPr>
            </w:pPr>
            <w:r>
              <w:rPr>
                <w:sz w:val="18"/>
                <w:szCs w:val="18"/>
              </w:rPr>
              <w:t>2#~</w:t>
            </w:r>
            <w:r>
              <w:rPr>
                <w:rFonts w:hint="eastAsia"/>
                <w:sz w:val="18"/>
                <w:szCs w:val="18"/>
              </w:rPr>
              <w:t>3</w:t>
            </w:r>
            <w:r>
              <w:rPr>
                <w:sz w:val="18"/>
                <w:szCs w:val="18"/>
              </w:rPr>
              <w:t>#</w:t>
            </w:r>
            <w:r>
              <w:rPr>
                <w:rFonts w:hint="eastAsia"/>
                <w:sz w:val="18"/>
                <w:szCs w:val="18"/>
              </w:rPr>
              <w:t>风机场内道路</w:t>
            </w:r>
          </w:p>
        </w:tc>
        <w:tc>
          <w:tcPr>
            <w:tcW w:w="721" w:type="pct"/>
            <w:vAlign w:val="center"/>
          </w:tcPr>
          <w:p w14:paraId="63C88F15">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46.62</w:t>
            </w:r>
          </w:p>
        </w:tc>
        <w:tc>
          <w:tcPr>
            <w:tcW w:w="721" w:type="pct"/>
            <w:vAlign w:val="center"/>
          </w:tcPr>
          <w:p w14:paraId="20260042">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48.38</w:t>
            </w:r>
          </w:p>
        </w:tc>
        <w:tc>
          <w:tcPr>
            <w:tcW w:w="721" w:type="pct"/>
            <w:vAlign w:val="center"/>
          </w:tcPr>
          <w:p w14:paraId="6CE49F78">
            <w:pPr>
              <w:tabs>
                <w:tab w:val="clear" w:pos="480"/>
              </w:tabs>
              <w:adjustRightInd w:val="0"/>
              <w:snapToGrid w:val="0"/>
              <w:spacing w:line="240" w:lineRule="auto"/>
              <w:ind w:firstLine="0" w:firstLineChars="0"/>
              <w:jc w:val="center"/>
              <w:rPr>
                <w:sz w:val="18"/>
                <w:szCs w:val="18"/>
              </w:rPr>
            </w:pPr>
            <w:r>
              <w:rPr>
                <w:rFonts w:hint="eastAsia"/>
                <w:sz w:val="18"/>
                <w:szCs w:val="18"/>
              </w:rPr>
              <w:t>5</w:t>
            </w:r>
            <w:r>
              <w:rPr>
                <w:sz w:val="18"/>
                <w:szCs w:val="18"/>
              </w:rPr>
              <w:t>1.64</w:t>
            </w:r>
          </w:p>
        </w:tc>
        <w:tc>
          <w:tcPr>
            <w:tcW w:w="722" w:type="pct"/>
            <w:vAlign w:val="center"/>
          </w:tcPr>
          <w:p w14:paraId="19C6A0FA">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.35</w:t>
            </w:r>
          </w:p>
        </w:tc>
        <w:tc>
          <w:tcPr>
            <w:tcW w:w="753" w:type="pct"/>
          </w:tcPr>
          <w:p w14:paraId="741A5D53">
            <w:pPr>
              <w:tabs>
                <w:tab w:val="clear" w:pos="480"/>
              </w:tabs>
              <w:adjustRightInd w:val="0"/>
              <w:snapToGrid w:val="0"/>
              <w:spacing w:line="240" w:lineRule="auto"/>
              <w:ind w:firstLine="0" w:firstLineChars="0"/>
              <w:jc w:val="center"/>
              <w:rPr>
                <w:sz w:val="18"/>
                <w:szCs w:val="18"/>
              </w:rPr>
            </w:pPr>
            <w:r>
              <w:rPr>
                <w:rFonts w:hint="eastAsia"/>
                <w:sz w:val="18"/>
                <w:szCs w:val="18"/>
              </w:rPr>
              <w:t>否</w:t>
            </w:r>
          </w:p>
        </w:tc>
      </w:tr>
      <w:tr w14:paraId="55DB9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2" w:type="pct"/>
            <w:vAlign w:val="center"/>
          </w:tcPr>
          <w:p w14:paraId="3BE40EC6">
            <w:pPr>
              <w:tabs>
                <w:tab w:val="clear" w:pos="480"/>
              </w:tabs>
              <w:adjustRightInd w:val="0"/>
              <w:snapToGrid w:val="0"/>
              <w:spacing w:line="240" w:lineRule="auto"/>
              <w:ind w:firstLine="0" w:firstLineChars="0"/>
              <w:jc w:val="center"/>
              <w:rPr>
                <w:sz w:val="18"/>
                <w:szCs w:val="18"/>
              </w:rPr>
            </w:pPr>
            <w:r>
              <w:rPr>
                <w:rFonts w:hint="eastAsia"/>
                <w:sz w:val="18"/>
                <w:szCs w:val="18"/>
              </w:rPr>
              <w:t>3</w:t>
            </w:r>
            <w:r>
              <w:rPr>
                <w:sz w:val="18"/>
                <w:szCs w:val="18"/>
              </w:rPr>
              <w:t>#~4#</w:t>
            </w:r>
            <w:r>
              <w:rPr>
                <w:rFonts w:hint="eastAsia"/>
                <w:sz w:val="18"/>
                <w:szCs w:val="18"/>
              </w:rPr>
              <w:t>风机机位场内道路</w:t>
            </w:r>
          </w:p>
        </w:tc>
        <w:tc>
          <w:tcPr>
            <w:tcW w:w="721" w:type="pct"/>
            <w:vAlign w:val="center"/>
          </w:tcPr>
          <w:p w14:paraId="3717A297">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62.30</w:t>
            </w:r>
          </w:p>
        </w:tc>
        <w:tc>
          <w:tcPr>
            <w:tcW w:w="721" w:type="pct"/>
            <w:vAlign w:val="center"/>
          </w:tcPr>
          <w:p w14:paraId="20C53A79">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50.44</w:t>
            </w:r>
          </w:p>
        </w:tc>
        <w:tc>
          <w:tcPr>
            <w:tcW w:w="721" w:type="pct"/>
            <w:vAlign w:val="center"/>
          </w:tcPr>
          <w:p w14:paraId="4960EF9A">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5.67</w:t>
            </w:r>
          </w:p>
        </w:tc>
        <w:tc>
          <w:tcPr>
            <w:tcW w:w="722" w:type="pct"/>
            <w:vAlign w:val="center"/>
          </w:tcPr>
          <w:p w14:paraId="26D4B0E7">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3.73</w:t>
            </w:r>
          </w:p>
        </w:tc>
        <w:tc>
          <w:tcPr>
            <w:tcW w:w="753" w:type="pct"/>
          </w:tcPr>
          <w:p w14:paraId="48934C1C">
            <w:pPr>
              <w:tabs>
                <w:tab w:val="clear" w:pos="480"/>
              </w:tabs>
              <w:adjustRightInd w:val="0"/>
              <w:snapToGrid w:val="0"/>
              <w:spacing w:line="240" w:lineRule="auto"/>
              <w:ind w:firstLine="0" w:firstLineChars="0"/>
              <w:jc w:val="center"/>
              <w:rPr>
                <w:sz w:val="18"/>
                <w:szCs w:val="18"/>
              </w:rPr>
            </w:pPr>
            <w:r>
              <w:rPr>
                <w:rFonts w:hint="eastAsia"/>
                <w:sz w:val="18"/>
                <w:szCs w:val="18"/>
              </w:rPr>
              <w:t>是</w:t>
            </w:r>
          </w:p>
        </w:tc>
      </w:tr>
    </w:tbl>
    <w:p w14:paraId="656A9C8A">
      <w:pPr>
        <w:adjustRightInd w:val="0"/>
        <w:snapToGrid w:val="0"/>
        <w:ind w:firstLine="480"/>
      </w:pPr>
      <w:r>
        <w:rPr>
          <w:rFonts w:hint="eastAsia"/>
        </w:rPr>
        <w:t>本项目风机机位距衡阳县岣嵝乡环洞村山溪水饮用水水源保护区二级陆域最近约</w:t>
      </w:r>
      <w:r>
        <w:t>45.50</w:t>
      </w:r>
      <w:r>
        <w:rPr>
          <w:rFonts w:hint="eastAsia"/>
        </w:rPr>
        <w:t>m，距二级保护区水域最近约9</w:t>
      </w:r>
      <w:r>
        <w:t>9.68</w:t>
      </w:r>
      <w:r>
        <w:rPr>
          <w:rFonts w:hint="eastAsia"/>
        </w:rPr>
        <w:t>m，距一级保护区陆域最近约4</w:t>
      </w:r>
      <w:r>
        <w:t>01.08</w:t>
      </w:r>
      <w:r>
        <w:rPr>
          <w:rFonts w:hint="eastAsia"/>
        </w:rPr>
        <w:t>m，距一级保护区水域最近约4</w:t>
      </w:r>
      <w:r>
        <w:t>12.21</w:t>
      </w:r>
      <w:r>
        <w:rPr>
          <w:rFonts w:hint="eastAsia"/>
        </w:rPr>
        <w:t>m。</w:t>
      </w:r>
    </w:p>
    <w:p w14:paraId="46043791">
      <w:pPr>
        <w:adjustRightInd w:val="0"/>
        <w:snapToGrid w:val="0"/>
        <w:ind w:firstLine="480"/>
      </w:pPr>
      <w:r>
        <w:rPr>
          <w:rFonts w:hint="eastAsia"/>
        </w:rPr>
        <w:t>本项目风电场</w:t>
      </w:r>
      <w:r>
        <w:t>2#~3#</w:t>
      </w:r>
      <w:r>
        <w:rPr>
          <w:rFonts w:hint="eastAsia"/>
        </w:rPr>
        <w:t>风机场内道路距衡阳县岣嵝乡环洞村山溪水饮用水水源保护区二级陆域最近约</w:t>
      </w:r>
      <w:r>
        <w:t>7.35</w:t>
      </w:r>
      <w:r>
        <w:rPr>
          <w:rFonts w:hint="eastAsia"/>
        </w:rPr>
        <w:t>m，距二级保护区水域最近约</w:t>
      </w:r>
      <w:r>
        <w:t>51.64</w:t>
      </w:r>
      <w:r>
        <w:rPr>
          <w:rFonts w:hint="eastAsia"/>
        </w:rPr>
        <w:t>m，距一级保护区陆域最近约</w:t>
      </w:r>
      <w:r>
        <w:t>448.38</w:t>
      </w:r>
      <w:r>
        <w:rPr>
          <w:rFonts w:hint="eastAsia"/>
        </w:rPr>
        <w:t>m，距一级保护区水域最近约</w:t>
      </w:r>
      <w:r>
        <w:t>446.62</w:t>
      </w:r>
      <w:r>
        <w:rPr>
          <w:rFonts w:hint="eastAsia"/>
        </w:rPr>
        <w:t>m。</w:t>
      </w:r>
    </w:p>
    <w:p w14:paraId="2AD4A2EC">
      <w:pPr>
        <w:adjustRightInd w:val="0"/>
        <w:snapToGrid w:val="0"/>
        <w:ind w:firstLine="480"/>
      </w:pPr>
      <w:r>
        <w:rPr>
          <w:rFonts w:hint="eastAsia"/>
        </w:rPr>
        <w:t>本项目风电场</w:t>
      </w:r>
      <w:r>
        <w:t>3#~4#</w:t>
      </w:r>
      <w:r>
        <w:rPr>
          <w:rFonts w:hint="eastAsia"/>
        </w:rPr>
        <w:t>风机场内道路距衡阳县岣嵝乡环洞村山溪水饮用水水源保护区二级陆域最近约</w:t>
      </w:r>
      <w:r>
        <w:t>23.73</w:t>
      </w:r>
      <w:r>
        <w:rPr>
          <w:rFonts w:hint="eastAsia"/>
        </w:rPr>
        <w:t>m，距二级保护区水域最近约</w:t>
      </w:r>
      <w:r>
        <w:t>75.67</w:t>
      </w:r>
      <w:r>
        <w:rPr>
          <w:rFonts w:hint="eastAsia"/>
        </w:rPr>
        <w:t>m，距一级保护区陆域最近约</w:t>
      </w:r>
      <w:r>
        <w:t>250.44</w:t>
      </w:r>
      <w:r>
        <w:rPr>
          <w:rFonts w:hint="eastAsia"/>
        </w:rPr>
        <w:t>m，距一级保护区水域最近约</w:t>
      </w:r>
      <w:r>
        <w:t>262.30</w:t>
      </w:r>
      <w:r>
        <w:rPr>
          <w:rFonts w:hint="eastAsia"/>
        </w:rPr>
        <w:t>m。</w:t>
      </w:r>
    </w:p>
    <w:p w14:paraId="3A7B0B21">
      <w:pPr>
        <w:adjustRightInd w:val="0"/>
        <w:snapToGrid w:val="0"/>
        <w:ind w:firstLine="480"/>
      </w:pPr>
      <w:r>
        <w:rPr>
          <w:rFonts w:hint="eastAsia"/>
        </w:rPr>
        <w:t>项目与衡阳县岣嵝乡环洞村山溪水饮用水水源保护区位置关系见下图。</w:t>
      </w:r>
    </w:p>
    <w:p w14:paraId="1D66D133">
      <w:pPr>
        <w:widowControl/>
        <w:tabs>
          <w:tab w:val="clear" w:pos="480"/>
        </w:tabs>
        <w:snapToGrid w:val="0"/>
        <w:spacing w:before="60" w:after="160" w:line="259" w:lineRule="auto"/>
        <w:ind w:right="113" w:firstLine="0" w:firstLineChars="0"/>
        <w:rPr>
          <w:kern w:val="0"/>
          <w:sz w:val="18"/>
          <w:szCs w:val="20"/>
        </w:rPr>
      </w:pPr>
      <w:bookmarkStart w:id="120" w:name="_Hlk142798408"/>
      <w:r>
        <w:rPr>
          <w:kern w:val="0"/>
          <w:sz w:val="18"/>
          <w:szCs w:val="20"/>
        </w:rPr>
        <w:drawing>
          <wp:inline distT="0" distB="0" distL="0" distR="0">
            <wp:extent cx="5267960" cy="3827780"/>
            <wp:effectExtent l="0" t="0" r="8890" b="1270"/>
            <wp:docPr id="17855294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29463" name="图片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67960" cy="3827780"/>
                    </a:xfrm>
                    <a:prstGeom prst="rect">
                      <a:avLst/>
                    </a:prstGeom>
                    <a:noFill/>
                    <a:ln>
                      <a:noFill/>
                    </a:ln>
                  </pic:spPr>
                </pic:pic>
              </a:graphicData>
            </a:graphic>
          </wp:inline>
        </w:drawing>
      </w:r>
      <w:bookmarkEnd w:id="120"/>
    </w:p>
    <w:p w14:paraId="0C744DB3">
      <w:pPr>
        <w:tabs>
          <w:tab w:val="clear" w:pos="480"/>
        </w:tabs>
        <w:ind w:firstLine="0" w:firstLineChars="0"/>
        <w:jc w:val="center"/>
        <w:rPr>
          <w:b/>
          <w:bCs/>
          <w:kern w:val="0"/>
          <w:sz w:val="21"/>
          <w:szCs w:val="21"/>
        </w:rPr>
      </w:pPr>
      <w:r>
        <w:rPr>
          <w:rFonts w:hint="eastAsia"/>
          <w:b/>
          <w:bCs/>
          <w:kern w:val="0"/>
          <w:sz w:val="21"/>
          <w:szCs w:val="21"/>
        </w:rPr>
        <w:t>图</w:t>
      </w:r>
      <w:r>
        <w:rPr>
          <w:b/>
          <w:bCs/>
          <w:kern w:val="0"/>
          <w:sz w:val="21"/>
          <w:szCs w:val="21"/>
        </w:rPr>
        <w:t xml:space="preserve">5.2-1  </w:t>
      </w:r>
      <w:r>
        <w:rPr>
          <w:rFonts w:hint="eastAsia"/>
          <w:b/>
          <w:bCs/>
          <w:kern w:val="0"/>
          <w:sz w:val="21"/>
          <w:szCs w:val="21"/>
        </w:rPr>
        <w:t>项目与</w:t>
      </w:r>
      <w:bookmarkStart w:id="121" w:name="_Hlk142798494"/>
      <w:r>
        <w:rPr>
          <w:rFonts w:hint="eastAsia"/>
          <w:b/>
          <w:bCs/>
          <w:kern w:val="0"/>
          <w:sz w:val="21"/>
          <w:szCs w:val="21"/>
        </w:rPr>
        <w:t>衡阳县岣嵝乡环洞村山溪水饮用水水源保护区位置关系图</w:t>
      </w:r>
      <w:bookmarkEnd w:id="121"/>
      <w:r>
        <w:rPr>
          <w:rFonts w:hint="eastAsia"/>
          <w:b/>
          <w:bCs/>
          <w:kern w:val="0"/>
          <w:sz w:val="21"/>
          <w:szCs w:val="21"/>
        </w:rPr>
        <w:t>（二维平面）</w:t>
      </w:r>
    </w:p>
    <w:p w14:paraId="64D57A08">
      <w:pPr>
        <w:widowControl/>
        <w:tabs>
          <w:tab w:val="clear" w:pos="480"/>
        </w:tabs>
        <w:snapToGrid w:val="0"/>
        <w:spacing w:before="60" w:after="160" w:line="259" w:lineRule="auto"/>
        <w:ind w:right="113" w:firstLine="0" w:firstLineChars="0"/>
        <w:rPr>
          <w:kern w:val="0"/>
          <w:sz w:val="18"/>
          <w:szCs w:val="20"/>
        </w:rPr>
      </w:pPr>
      <w:r>
        <w:rPr>
          <w:kern w:val="0"/>
          <w:sz w:val="18"/>
          <w:szCs w:val="20"/>
        </w:rPr>
        <w:drawing>
          <wp:inline distT="0" distB="0" distL="0" distR="0">
            <wp:extent cx="5267960" cy="3544570"/>
            <wp:effectExtent l="0" t="0" r="8890" b="0"/>
            <wp:docPr id="11798001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00163" name="图片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67960" cy="3544570"/>
                    </a:xfrm>
                    <a:prstGeom prst="rect">
                      <a:avLst/>
                    </a:prstGeom>
                    <a:noFill/>
                    <a:ln>
                      <a:noFill/>
                    </a:ln>
                  </pic:spPr>
                </pic:pic>
              </a:graphicData>
            </a:graphic>
          </wp:inline>
        </w:drawing>
      </w:r>
    </w:p>
    <w:p w14:paraId="6CB772F9">
      <w:pPr>
        <w:tabs>
          <w:tab w:val="clear" w:pos="480"/>
        </w:tabs>
        <w:adjustRightInd w:val="0"/>
        <w:snapToGrid w:val="0"/>
        <w:ind w:firstLine="0" w:firstLineChars="0"/>
        <w:jc w:val="center"/>
        <w:rPr>
          <w:b/>
          <w:bCs/>
          <w:kern w:val="0"/>
          <w:sz w:val="21"/>
          <w:szCs w:val="21"/>
        </w:rPr>
      </w:pPr>
      <w:r>
        <w:rPr>
          <w:rFonts w:hint="eastAsia"/>
          <w:b/>
          <w:bCs/>
          <w:kern w:val="0"/>
          <w:sz w:val="21"/>
          <w:szCs w:val="21"/>
        </w:rPr>
        <w:t>图</w:t>
      </w:r>
      <w:r>
        <w:rPr>
          <w:b/>
          <w:bCs/>
          <w:kern w:val="0"/>
          <w:sz w:val="21"/>
          <w:szCs w:val="21"/>
        </w:rPr>
        <w:t xml:space="preserve">5.2-2  </w:t>
      </w:r>
      <w:r>
        <w:rPr>
          <w:rFonts w:hint="eastAsia"/>
          <w:b/>
          <w:bCs/>
          <w:kern w:val="0"/>
          <w:sz w:val="21"/>
          <w:szCs w:val="21"/>
        </w:rPr>
        <w:t>项目与衡阳县岣嵝乡环洞村山溪水饮用水水源保护区位置关系图（三维图）</w:t>
      </w:r>
    </w:p>
    <w:p w14:paraId="54C2B424">
      <w:pPr>
        <w:adjustRightInd w:val="0"/>
        <w:snapToGrid w:val="0"/>
        <w:ind w:firstLine="480"/>
      </w:pPr>
      <w:r>
        <w:rPr>
          <w:rFonts w:hint="eastAsia"/>
        </w:rPr>
        <w:t>衡阳县岣嵝乡环洞村山溪水饮用水水源保护区主要供水范围为环洞村，约</w:t>
      </w:r>
      <w:r>
        <w:t>1000</w:t>
      </w:r>
      <w:r>
        <w:rPr>
          <w:rFonts w:hint="eastAsia"/>
        </w:rPr>
        <w:t>人。根据现场走访可知，环洞村居民除由衡阳县岣嵝乡环洞村山溪水饮用水水源保护区供水外，各家各户均有自家水井，作为环洞村山溪水饮用水水源供水不足时的备用水源。</w:t>
      </w:r>
    </w:p>
    <w:p w14:paraId="4C85A251">
      <w:pPr>
        <w:pStyle w:val="4"/>
        <w:tabs>
          <w:tab w:val="clear" w:pos="480"/>
          <w:tab w:val="clear" w:pos="630"/>
        </w:tabs>
        <w:spacing w:before="0" w:after="0"/>
        <w:rPr>
          <w:sz w:val="30"/>
          <w:szCs w:val="30"/>
          <w:lang w:val="en-US"/>
        </w:rPr>
      </w:pPr>
      <w:bookmarkStart w:id="122" w:name="_Toc143799381"/>
      <w:r>
        <w:rPr>
          <w:sz w:val="30"/>
          <w:szCs w:val="30"/>
          <w:lang w:val="en-US"/>
        </w:rPr>
        <w:t>5.3</w:t>
      </w:r>
      <w:r>
        <w:rPr>
          <w:rFonts w:hint="eastAsia"/>
          <w:sz w:val="30"/>
          <w:szCs w:val="30"/>
          <w:lang w:val="en-US"/>
        </w:rPr>
        <w:t>生态敏感区</w:t>
      </w:r>
      <w:bookmarkEnd w:id="122"/>
    </w:p>
    <w:p w14:paraId="3DB0E414">
      <w:pPr>
        <w:adjustRightInd w:val="0"/>
        <w:snapToGrid w:val="0"/>
        <w:ind w:firstLine="480"/>
      </w:pPr>
      <w:r>
        <w:t>通过对本工程所在区域周边各类型生态敏感区进行逐一排查，本风电工程周边</w:t>
      </w:r>
      <w:r>
        <w:rPr>
          <w:rFonts w:hint="eastAsia"/>
        </w:rPr>
        <w:t>分布有湖南衡阳岣嵝峰国家森林公园、衡阳岣嵝峰县级自然保护区</w:t>
      </w:r>
      <w:r>
        <w:t>。</w:t>
      </w:r>
    </w:p>
    <w:p w14:paraId="462AA743">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5.3.1</w:t>
      </w:r>
      <w:r>
        <w:rPr>
          <w:rFonts w:hint="eastAsia" w:ascii="Times New Roman" w:eastAsia="宋体"/>
          <w:sz w:val="28"/>
          <w:szCs w:val="28"/>
          <w:lang w:val="en-US"/>
        </w:rPr>
        <w:t>湖南衡阳岣嵝峰国家森林公园</w:t>
      </w:r>
    </w:p>
    <w:p w14:paraId="6D5F8091">
      <w:pPr>
        <w:adjustRightInd w:val="0"/>
        <w:snapToGrid w:val="0"/>
        <w:ind w:firstLine="480"/>
      </w:pPr>
      <w:r>
        <w:rPr>
          <w:rFonts w:hint="eastAsia"/>
        </w:rPr>
        <w:t>（1）湖南衡阳岣嵝峰国家森林公园概况</w:t>
      </w:r>
    </w:p>
    <w:p w14:paraId="03D4229B">
      <w:pPr>
        <w:adjustRightInd w:val="0"/>
        <w:snapToGrid w:val="0"/>
        <w:ind w:firstLine="480"/>
      </w:pPr>
      <w:bookmarkStart w:id="123" w:name="_Hlk142921546"/>
      <w:r>
        <w:rPr>
          <w:rFonts w:hint="eastAsia"/>
        </w:rPr>
        <w:t>湖南衡阳岣嵝峰国家森林公园成立于1995年11月，2012年评为湖南省生态文明教育基地和国家AAA级旅游景区，2015评为湖南省生态旅游示范区。地处衡阳县东北部,总面积2067公顷,辖南岳七十二峰之岣嵝峰,嫘祖峰、白石峰等五峰,最高海拔1143米。</w:t>
      </w:r>
    </w:p>
    <w:p w14:paraId="7C404562">
      <w:pPr>
        <w:adjustRightInd w:val="0"/>
        <w:snapToGrid w:val="0"/>
        <w:ind w:firstLine="480"/>
      </w:pPr>
      <w:r>
        <w:rPr>
          <w:rFonts w:hint="eastAsia"/>
        </w:rPr>
        <w:t>岣嵝峰森林资源十分丰富，森林覆盖率达95%。它保存湖南的原始次生林1000余亩。境内有各类树种300余种，其中珍稀树种20余种。珍稀树种有黑壳楠、青铜栎、白章、三尖杉、大叶樟、金丝楠等。景区内围王殿右侧的右侧，有4000余岁的古雏栗，树心全空，三根翠竹从树心穿出。有湖南省内最大的摇钱树，有"活化石"之称的银杏、水杉、桫椤树。</w:t>
      </w:r>
    </w:p>
    <w:p w14:paraId="48B2BFD4">
      <w:pPr>
        <w:adjustRightInd w:val="0"/>
        <w:snapToGrid w:val="0"/>
        <w:ind w:firstLine="480"/>
      </w:pPr>
      <w:r>
        <w:rPr>
          <w:rFonts w:hint="eastAsia"/>
        </w:rPr>
        <w:t>岣嵝峰国家森林公园境内有珍稀动物340多种。园内常有野猪、獐、鹿、兔、麂、狸、猴面鹰、画眉、杜鹃、小貌、果子狸、穿山甲以及“活化石”之称的小鲵等野生动物，被生物学家誉为“湘南生物基因库”。</w:t>
      </w:r>
    </w:p>
    <w:p w14:paraId="0C761258">
      <w:pPr>
        <w:adjustRightInd w:val="0"/>
        <w:snapToGrid w:val="0"/>
        <w:ind w:firstLine="480"/>
      </w:pPr>
      <w:bookmarkStart w:id="124" w:name="OLE_LINK1"/>
      <w:r>
        <w:rPr>
          <w:rFonts w:hint="eastAsia"/>
        </w:rPr>
        <w:t>岣嵝峰</w:t>
      </w:r>
      <w:bookmarkEnd w:id="124"/>
      <w:r>
        <w:rPr>
          <w:rFonts w:hint="eastAsia"/>
        </w:rPr>
        <w:t>国家森林公园自建立以来，围绕“建成以休闲度假为主,集避暑疗养、公务活动、科普教育及弘扬禹文化等多功能于一体的综合性森林公园”的总体思路,经过十多年的开发建设,公园建设已初具规模,禹王殿、原始次生林景观、胸有成竹、禹碑、禹泉、仙履石、镇龟洞、望日亭、望江亭、彭公亭、回音古墓、生态观光果园、南林竹海、妙溪飞瀑、老岩奇洞、灵芝岩等景点应声而生,西极</w:t>
      </w:r>
      <w:r>
        <w:rPr>
          <w:rFonts w:hint="eastAsia"/>
          <w:lang w:eastAsia="zh-CN"/>
        </w:rPr>
        <w:t>度假</w:t>
      </w:r>
      <w:r>
        <w:rPr>
          <w:rFonts w:hint="eastAsia"/>
        </w:rPr>
        <w:t>别墅,香冲水上娱乐中心、李山河水滑道,白石峰攀岩基地、老岩探险、射击场、烧烤场、垂钓区、露营区、嫘祖殿、禹王殿、大门休闲观景广场等开发初见成效。形成了集宗教信仰、避暑聚会、娱乐休闲、生态旅游、攀岩探险为一体的城郊型森林公园。</w:t>
      </w:r>
    </w:p>
    <w:bookmarkEnd w:id="123"/>
    <w:p w14:paraId="28AA63C8">
      <w:pPr>
        <w:adjustRightInd w:val="0"/>
        <w:snapToGrid w:val="0"/>
        <w:ind w:firstLine="480"/>
      </w:pPr>
      <w:r>
        <w:rPr>
          <w:rFonts w:hint="eastAsia"/>
        </w:rPr>
        <w:t>（2）本项目与其位置关系</w:t>
      </w:r>
    </w:p>
    <w:p w14:paraId="2BC2B0C5">
      <w:pPr>
        <w:adjustRightInd w:val="0"/>
        <w:snapToGrid w:val="0"/>
        <w:ind w:firstLine="480"/>
      </w:pPr>
      <w:bookmarkStart w:id="125" w:name="_Hlk142921577"/>
      <w:r>
        <w:rPr>
          <w:rFonts w:hint="eastAsia"/>
        </w:rPr>
        <w:t>本项目风机与湖南衡阳岣嵝峰国家森林公园的最近距离为</w:t>
      </w:r>
      <w:r>
        <w:t>140</w:t>
      </w:r>
      <w:r>
        <w:rPr>
          <w:rFonts w:hint="eastAsia"/>
        </w:rPr>
        <w:t>m（</w:t>
      </w:r>
      <w:r>
        <w:t>18</w:t>
      </w:r>
      <w:r>
        <w:rPr>
          <w:rFonts w:hint="eastAsia"/>
        </w:rPr>
        <w:t>风机机位（备选）），道路距湖南衡阳岣嵝峰国家森林公园的最近距离约为2</w:t>
      </w:r>
      <w:r>
        <w:t>5</w:t>
      </w:r>
      <w:r>
        <w:rPr>
          <w:rFonts w:hint="eastAsia"/>
        </w:rPr>
        <w:t>m。本项目各风机机位和道路与湖南衡阳岣嵝峰国家级森林公园位置关系见下表和下图5</w:t>
      </w:r>
      <w:r>
        <w:t>.3-1</w:t>
      </w:r>
      <w:r>
        <w:rPr>
          <w:rFonts w:hint="eastAsia"/>
        </w:rPr>
        <w:t>。</w:t>
      </w:r>
    </w:p>
    <w:p w14:paraId="6704497C">
      <w:pPr>
        <w:tabs>
          <w:tab w:val="clear" w:pos="480"/>
        </w:tabs>
        <w:autoSpaceDE w:val="0"/>
        <w:autoSpaceDN w:val="0"/>
        <w:spacing w:line="240" w:lineRule="auto"/>
        <w:ind w:firstLine="0" w:firstLineChars="0"/>
        <w:jc w:val="center"/>
        <w:rPr>
          <w:b/>
          <w:bCs/>
          <w:kern w:val="0"/>
          <w:szCs w:val="22"/>
        </w:rPr>
      </w:pPr>
      <w:r>
        <w:rPr>
          <w:rFonts w:hint="eastAsia"/>
          <w:b/>
          <w:bCs/>
          <w:kern w:val="0"/>
          <w:szCs w:val="22"/>
        </w:rPr>
        <w:t>表</w:t>
      </w:r>
      <w:r>
        <w:rPr>
          <w:b/>
          <w:bCs/>
          <w:kern w:val="0"/>
          <w:szCs w:val="22"/>
        </w:rPr>
        <w:t xml:space="preserve">5.3-1  </w:t>
      </w:r>
      <w:r>
        <w:rPr>
          <w:rFonts w:hint="eastAsia"/>
          <w:b/>
          <w:bCs/>
          <w:kern w:val="0"/>
          <w:szCs w:val="22"/>
        </w:rPr>
        <w:t>本项目与湖南衡阳岣嵝峰国家级森林位置关系一览表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65"/>
        <w:gridCol w:w="5462"/>
      </w:tblGrid>
      <w:tr w14:paraId="05774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2A8404AC">
            <w:pPr>
              <w:tabs>
                <w:tab w:val="clear" w:pos="480"/>
              </w:tabs>
              <w:adjustRightInd w:val="0"/>
              <w:snapToGrid w:val="0"/>
              <w:spacing w:line="240" w:lineRule="auto"/>
              <w:ind w:firstLine="0" w:firstLineChars="0"/>
              <w:jc w:val="center"/>
              <w:rPr>
                <w:sz w:val="18"/>
                <w:szCs w:val="18"/>
              </w:rPr>
            </w:pPr>
            <w:r>
              <w:rPr>
                <w:sz w:val="18"/>
                <w:szCs w:val="18"/>
              </w:rPr>
              <w:t>工程内容</w:t>
            </w:r>
          </w:p>
        </w:tc>
        <w:tc>
          <w:tcPr>
            <w:tcW w:w="3203" w:type="pct"/>
            <w:shd w:val="clear" w:color="auto" w:fill="auto"/>
            <w:vAlign w:val="center"/>
          </w:tcPr>
          <w:p w14:paraId="25B4002B">
            <w:pPr>
              <w:tabs>
                <w:tab w:val="clear" w:pos="480"/>
              </w:tabs>
              <w:adjustRightInd w:val="0"/>
              <w:snapToGrid w:val="0"/>
              <w:spacing w:line="240" w:lineRule="auto"/>
              <w:ind w:firstLine="0" w:firstLineChars="0"/>
              <w:jc w:val="center"/>
              <w:rPr>
                <w:sz w:val="18"/>
                <w:szCs w:val="18"/>
              </w:rPr>
            </w:pPr>
            <w:r>
              <w:rPr>
                <w:rFonts w:hint="eastAsia"/>
                <w:sz w:val="18"/>
                <w:szCs w:val="18"/>
              </w:rPr>
              <w:t>与保护区最近距离</w:t>
            </w:r>
          </w:p>
        </w:tc>
      </w:tr>
      <w:tr w14:paraId="6163FD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4C298474">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6#</w:t>
            </w:r>
            <w:r>
              <w:rPr>
                <w:rFonts w:hint="eastAsia"/>
                <w:sz w:val="18"/>
                <w:szCs w:val="18"/>
              </w:rPr>
              <w:t>风机机位（备选）</w:t>
            </w:r>
          </w:p>
        </w:tc>
        <w:tc>
          <w:tcPr>
            <w:tcW w:w="3203" w:type="pct"/>
            <w:shd w:val="clear" w:color="auto" w:fill="auto"/>
            <w:vAlign w:val="center"/>
          </w:tcPr>
          <w:p w14:paraId="6FCB32AD">
            <w:pPr>
              <w:tabs>
                <w:tab w:val="clear" w:pos="480"/>
              </w:tabs>
              <w:adjustRightInd w:val="0"/>
              <w:snapToGrid w:val="0"/>
              <w:spacing w:line="240" w:lineRule="auto"/>
              <w:ind w:firstLine="0" w:firstLineChars="0"/>
              <w:jc w:val="center"/>
              <w:rPr>
                <w:sz w:val="18"/>
                <w:szCs w:val="18"/>
              </w:rPr>
            </w:pPr>
            <w:r>
              <w:rPr>
                <w:rFonts w:hint="eastAsia"/>
                <w:sz w:val="18"/>
                <w:szCs w:val="18"/>
              </w:rPr>
              <w:t>风机平台边界南侧最近约1</w:t>
            </w:r>
            <w:r>
              <w:rPr>
                <w:sz w:val="18"/>
                <w:szCs w:val="18"/>
              </w:rPr>
              <w:t>70</w:t>
            </w:r>
            <w:r>
              <w:rPr>
                <w:rFonts w:hint="eastAsia"/>
                <w:sz w:val="18"/>
                <w:szCs w:val="18"/>
              </w:rPr>
              <w:t>m</w:t>
            </w:r>
          </w:p>
        </w:tc>
      </w:tr>
      <w:tr w14:paraId="758F94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53F56C29">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6#</w:t>
            </w:r>
            <w:r>
              <w:rPr>
                <w:rFonts w:hint="eastAsia"/>
                <w:sz w:val="18"/>
                <w:szCs w:val="18"/>
              </w:rPr>
              <w:t>风机（备选）场内道路</w:t>
            </w:r>
          </w:p>
        </w:tc>
        <w:tc>
          <w:tcPr>
            <w:tcW w:w="3203" w:type="pct"/>
            <w:shd w:val="clear" w:color="auto" w:fill="auto"/>
            <w:vAlign w:val="center"/>
          </w:tcPr>
          <w:p w14:paraId="09434A8C">
            <w:pPr>
              <w:tabs>
                <w:tab w:val="clear" w:pos="480"/>
              </w:tabs>
              <w:adjustRightInd w:val="0"/>
              <w:snapToGrid w:val="0"/>
              <w:spacing w:line="240" w:lineRule="auto"/>
              <w:ind w:firstLine="0" w:firstLineChars="0"/>
              <w:jc w:val="center"/>
              <w:rPr>
                <w:sz w:val="18"/>
                <w:szCs w:val="18"/>
              </w:rPr>
            </w:pPr>
            <w:r>
              <w:rPr>
                <w:rFonts w:hint="eastAsia"/>
                <w:sz w:val="18"/>
                <w:szCs w:val="18"/>
              </w:rPr>
              <w:t>道路边界南侧最近约2</w:t>
            </w:r>
            <w:r>
              <w:rPr>
                <w:sz w:val="18"/>
                <w:szCs w:val="18"/>
              </w:rPr>
              <w:t>5</w:t>
            </w:r>
            <w:r>
              <w:rPr>
                <w:rFonts w:hint="eastAsia"/>
                <w:sz w:val="18"/>
                <w:szCs w:val="18"/>
              </w:rPr>
              <w:t>m</w:t>
            </w:r>
          </w:p>
        </w:tc>
      </w:tr>
      <w:tr w14:paraId="08EA69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2047BD6A">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w:t>
            </w:r>
            <w:r>
              <w:rPr>
                <w:rFonts w:hint="eastAsia"/>
                <w:sz w:val="18"/>
                <w:szCs w:val="18"/>
              </w:rPr>
              <w:t>风机机位</w:t>
            </w:r>
          </w:p>
        </w:tc>
        <w:tc>
          <w:tcPr>
            <w:tcW w:w="3203" w:type="pct"/>
            <w:shd w:val="clear" w:color="auto" w:fill="auto"/>
            <w:vAlign w:val="center"/>
          </w:tcPr>
          <w:p w14:paraId="7B3A5C0D">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w:t>
            </w:r>
            <w:r>
              <w:rPr>
                <w:rFonts w:hint="eastAsia"/>
                <w:sz w:val="18"/>
                <w:szCs w:val="18"/>
              </w:rPr>
              <w:t>风机平台西侧最近月1</w:t>
            </w:r>
            <w:r>
              <w:rPr>
                <w:sz w:val="18"/>
                <w:szCs w:val="18"/>
              </w:rPr>
              <w:t>70</w:t>
            </w:r>
            <w:r>
              <w:rPr>
                <w:rFonts w:hint="eastAsia"/>
                <w:sz w:val="18"/>
                <w:szCs w:val="18"/>
              </w:rPr>
              <w:t>m</w:t>
            </w:r>
          </w:p>
        </w:tc>
      </w:tr>
      <w:tr w14:paraId="100C5D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23CC8A76">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w:t>
            </w:r>
            <w:r>
              <w:rPr>
                <w:rFonts w:hint="eastAsia"/>
                <w:sz w:val="18"/>
                <w:szCs w:val="18"/>
              </w:rPr>
              <w:t>风机场内道路</w:t>
            </w:r>
          </w:p>
        </w:tc>
        <w:tc>
          <w:tcPr>
            <w:tcW w:w="3203" w:type="pct"/>
            <w:shd w:val="clear" w:color="auto" w:fill="auto"/>
            <w:vAlign w:val="center"/>
          </w:tcPr>
          <w:p w14:paraId="78E8A4EF">
            <w:pPr>
              <w:tabs>
                <w:tab w:val="clear" w:pos="480"/>
              </w:tabs>
              <w:adjustRightInd w:val="0"/>
              <w:snapToGrid w:val="0"/>
              <w:spacing w:line="240" w:lineRule="auto"/>
              <w:ind w:firstLine="0" w:firstLineChars="0"/>
              <w:jc w:val="center"/>
              <w:rPr>
                <w:sz w:val="18"/>
                <w:szCs w:val="18"/>
              </w:rPr>
            </w:pPr>
            <w:r>
              <w:rPr>
                <w:rFonts w:hint="eastAsia"/>
                <w:sz w:val="18"/>
                <w:szCs w:val="18"/>
              </w:rPr>
              <w:t>道路边界南侧最近约6</w:t>
            </w:r>
            <w:r>
              <w:rPr>
                <w:sz w:val="18"/>
                <w:szCs w:val="18"/>
              </w:rPr>
              <w:t>0</w:t>
            </w:r>
            <w:r>
              <w:rPr>
                <w:rFonts w:hint="eastAsia"/>
                <w:sz w:val="18"/>
                <w:szCs w:val="18"/>
              </w:rPr>
              <w:t>m</w:t>
            </w:r>
          </w:p>
        </w:tc>
      </w:tr>
      <w:tr w14:paraId="0BFC21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45675C7B">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w:t>
            </w:r>
            <w:r>
              <w:rPr>
                <w:rFonts w:hint="eastAsia"/>
                <w:sz w:val="18"/>
                <w:szCs w:val="18"/>
              </w:rPr>
              <w:t>风机场内道路</w:t>
            </w:r>
          </w:p>
        </w:tc>
        <w:tc>
          <w:tcPr>
            <w:tcW w:w="3203" w:type="pct"/>
            <w:shd w:val="clear" w:color="auto" w:fill="auto"/>
            <w:vAlign w:val="center"/>
          </w:tcPr>
          <w:p w14:paraId="2953B965">
            <w:pPr>
              <w:tabs>
                <w:tab w:val="clear" w:pos="480"/>
              </w:tabs>
              <w:adjustRightInd w:val="0"/>
              <w:snapToGrid w:val="0"/>
              <w:spacing w:line="240" w:lineRule="auto"/>
              <w:ind w:firstLine="0" w:firstLineChars="0"/>
              <w:jc w:val="center"/>
              <w:rPr>
                <w:sz w:val="18"/>
                <w:szCs w:val="18"/>
              </w:rPr>
            </w:pPr>
            <w:r>
              <w:rPr>
                <w:rFonts w:hint="eastAsia"/>
                <w:sz w:val="18"/>
                <w:szCs w:val="18"/>
              </w:rPr>
              <w:t>道路边界东侧最近约2</w:t>
            </w:r>
            <w:r>
              <w:rPr>
                <w:sz w:val="18"/>
                <w:szCs w:val="18"/>
              </w:rPr>
              <w:t>5</w:t>
            </w:r>
            <w:r>
              <w:rPr>
                <w:rFonts w:hint="eastAsia"/>
                <w:sz w:val="18"/>
                <w:szCs w:val="18"/>
              </w:rPr>
              <w:t>m</w:t>
            </w:r>
          </w:p>
        </w:tc>
      </w:tr>
      <w:tr w14:paraId="1DE349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62AF1AFA">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8#</w:t>
            </w:r>
            <w:r>
              <w:rPr>
                <w:rFonts w:hint="eastAsia"/>
                <w:sz w:val="18"/>
                <w:szCs w:val="18"/>
              </w:rPr>
              <w:t>风机机位（备选）</w:t>
            </w:r>
          </w:p>
        </w:tc>
        <w:tc>
          <w:tcPr>
            <w:tcW w:w="3203" w:type="pct"/>
            <w:shd w:val="clear" w:color="auto" w:fill="auto"/>
            <w:vAlign w:val="center"/>
          </w:tcPr>
          <w:p w14:paraId="72AACF65">
            <w:pPr>
              <w:tabs>
                <w:tab w:val="clear" w:pos="480"/>
              </w:tabs>
              <w:adjustRightInd w:val="0"/>
              <w:snapToGrid w:val="0"/>
              <w:spacing w:line="240" w:lineRule="auto"/>
              <w:ind w:firstLine="0" w:firstLineChars="0"/>
              <w:jc w:val="center"/>
              <w:rPr>
                <w:sz w:val="18"/>
                <w:szCs w:val="18"/>
              </w:rPr>
            </w:pPr>
            <w:r>
              <w:rPr>
                <w:rFonts w:hint="eastAsia"/>
                <w:sz w:val="18"/>
                <w:szCs w:val="18"/>
              </w:rPr>
              <w:t>风机平台边界最近约1</w:t>
            </w:r>
            <w:r>
              <w:rPr>
                <w:sz w:val="18"/>
                <w:szCs w:val="18"/>
              </w:rPr>
              <w:t>40</w:t>
            </w:r>
            <w:r>
              <w:rPr>
                <w:rFonts w:hint="eastAsia"/>
                <w:sz w:val="18"/>
                <w:szCs w:val="18"/>
              </w:rPr>
              <w:t>m</w:t>
            </w:r>
          </w:p>
        </w:tc>
      </w:tr>
      <w:tr w14:paraId="5A7E3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337779FB">
            <w:pPr>
              <w:tabs>
                <w:tab w:val="clear" w:pos="480"/>
              </w:tabs>
              <w:adjustRightInd w:val="0"/>
              <w:snapToGrid w:val="0"/>
              <w:spacing w:line="240" w:lineRule="auto"/>
              <w:ind w:firstLine="0" w:firstLineChars="0"/>
              <w:jc w:val="center"/>
              <w:rPr>
                <w:sz w:val="18"/>
                <w:szCs w:val="18"/>
              </w:rPr>
            </w:pPr>
            <w:r>
              <w:rPr>
                <w:rFonts w:hint="eastAsia"/>
                <w:sz w:val="18"/>
                <w:szCs w:val="18"/>
              </w:rPr>
              <w:t>5</w:t>
            </w:r>
            <w:r>
              <w:rPr>
                <w:sz w:val="18"/>
                <w:szCs w:val="18"/>
              </w:rPr>
              <w:t>#</w:t>
            </w:r>
            <w:r>
              <w:rPr>
                <w:rFonts w:hint="eastAsia"/>
                <w:sz w:val="18"/>
                <w:szCs w:val="18"/>
              </w:rPr>
              <w:t>风机场内道路</w:t>
            </w:r>
          </w:p>
        </w:tc>
        <w:tc>
          <w:tcPr>
            <w:tcW w:w="3203" w:type="pct"/>
            <w:shd w:val="clear" w:color="auto" w:fill="auto"/>
            <w:vAlign w:val="center"/>
          </w:tcPr>
          <w:p w14:paraId="098F5360">
            <w:pPr>
              <w:tabs>
                <w:tab w:val="clear" w:pos="480"/>
              </w:tabs>
              <w:adjustRightInd w:val="0"/>
              <w:snapToGrid w:val="0"/>
              <w:spacing w:line="240" w:lineRule="auto"/>
              <w:ind w:firstLine="0" w:firstLineChars="0"/>
              <w:jc w:val="center"/>
              <w:rPr>
                <w:sz w:val="18"/>
                <w:szCs w:val="18"/>
              </w:rPr>
            </w:pPr>
            <w:r>
              <w:rPr>
                <w:rFonts w:hint="eastAsia"/>
                <w:sz w:val="18"/>
                <w:szCs w:val="18"/>
              </w:rPr>
              <w:t>道路东侧最近约</w:t>
            </w:r>
            <w:r>
              <w:rPr>
                <w:sz w:val="18"/>
                <w:szCs w:val="18"/>
              </w:rPr>
              <w:t>50</w:t>
            </w:r>
            <w:r>
              <w:rPr>
                <w:rFonts w:hint="eastAsia"/>
                <w:sz w:val="18"/>
                <w:szCs w:val="18"/>
              </w:rPr>
              <w:t>m</w:t>
            </w:r>
          </w:p>
        </w:tc>
      </w:tr>
      <w:tr w14:paraId="31ED2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382CB58F">
            <w:pPr>
              <w:tabs>
                <w:tab w:val="clear" w:pos="480"/>
              </w:tabs>
              <w:adjustRightInd w:val="0"/>
              <w:snapToGrid w:val="0"/>
              <w:spacing w:line="240" w:lineRule="auto"/>
              <w:ind w:firstLine="0" w:firstLineChars="0"/>
              <w:jc w:val="center"/>
              <w:rPr>
                <w:sz w:val="18"/>
                <w:szCs w:val="18"/>
              </w:rPr>
            </w:pPr>
            <w:r>
              <w:rPr>
                <w:rFonts w:hint="eastAsia"/>
                <w:sz w:val="18"/>
                <w:szCs w:val="18"/>
              </w:rPr>
              <w:t>8</w:t>
            </w:r>
            <w:r>
              <w:rPr>
                <w:sz w:val="18"/>
                <w:szCs w:val="18"/>
              </w:rPr>
              <w:t>#</w:t>
            </w:r>
            <w:r>
              <w:rPr>
                <w:rFonts w:hint="eastAsia"/>
                <w:sz w:val="18"/>
                <w:szCs w:val="18"/>
              </w:rPr>
              <w:t>风机机位</w:t>
            </w:r>
          </w:p>
        </w:tc>
        <w:tc>
          <w:tcPr>
            <w:tcW w:w="3203" w:type="pct"/>
            <w:shd w:val="clear" w:color="auto" w:fill="auto"/>
            <w:vAlign w:val="center"/>
          </w:tcPr>
          <w:p w14:paraId="263DF502">
            <w:pPr>
              <w:tabs>
                <w:tab w:val="clear" w:pos="480"/>
              </w:tabs>
              <w:adjustRightInd w:val="0"/>
              <w:snapToGrid w:val="0"/>
              <w:spacing w:line="240" w:lineRule="auto"/>
              <w:ind w:firstLine="0" w:firstLineChars="0"/>
              <w:jc w:val="center"/>
              <w:rPr>
                <w:sz w:val="18"/>
                <w:szCs w:val="18"/>
              </w:rPr>
            </w:pPr>
            <w:r>
              <w:rPr>
                <w:rFonts w:hint="eastAsia"/>
                <w:sz w:val="18"/>
                <w:szCs w:val="18"/>
              </w:rPr>
              <w:t>风机平台边界最近约1</w:t>
            </w:r>
            <w:r>
              <w:rPr>
                <w:sz w:val="18"/>
                <w:szCs w:val="18"/>
              </w:rPr>
              <w:t>80</w:t>
            </w:r>
            <w:r>
              <w:rPr>
                <w:rFonts w:hint="eastAsia"/>
                <w:sz w:val="18"/>
                <w:szCs w:val="18"/>
              </w:rPr>
              <w:t>m</w:t>
            </w:r>
          </w:p>
        </w:tc>
      </w:tr>
      <w:bookmarkEnd w:id="125"/>
    </w:tbl>
    <w:p w14:paraId="711F625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5.3.2</w:t>
      </w:r>
      <w:r>
        <w:rPr>
          <w:rFonts w:hint="eastAsia" w:ascii="Times New Roman" w:eastAsia="宋体"/>
          <w:sz w:val="28"/>
          <w:szCs w:val="28"/>
          <w:lang w:val="en-US"/>
        </w:rPr>
        <w:t>衡阳岣嵝峰县级自然保护区</w:t>
      </w:r>
    </w:p>
    <w:p w14:paraId="5C0C8204">
      <w:pPr>
        <w:adjustRightInd w:val="0"/>
        <w:snapToGrid w:val="0"/>
        <w:ind w:firstLine="480"/>
      </w:pPr>
      <w:r>
        <w:rPr>
          <w:rFonts w:hint="eastAsia"/>
        </w:rPr>
        <w:t>（1）衡阳佝偻峰县级自然保护区概况</w:t>
      </w:r>
    </w:p>
    <w:p w14:paraId="66E4A832">
      <w:pPr>
        <w:adjustRightInd w:val="0"/>
        <w:snapToGrid w:val="0"/>
        <w:ind w:firstLine="480"/>
      </w:pPr>
      <w:bookmarkStart w:id="126" w:name="_Hlk142921654"/>
      <w:r>
        <w:rPr>
          <w:rFonts w:hint="eastAsia"/>
        </w:rPr>
        <w:t>衡阳岣嵝峰自然保护区成立于</w:t>
      </w:r>
      <w:r>
        <w:t>2008</w:t>
      </w:r>
      <w:r>
        <w:rPr>
          <w:rFonts w:hint="eastAsia"/>
        </w:rPr>
        <w:t>，其属于衡阳县县级自然保护区。衡阳岣嵝峰自然保护区为湖南衡阳岣嵝峰国家森林公园的一部分。</w:t>
      </w:r>
    </w:p>
    <w:p w14:paraId="6D1570B6">
      <w:pPr>
        <w:adjustRightInd w:val="0"/>
        <w:snapToGrid w:val="0"/>
        <w:ind w:firstLine="480"/>
      </w:pPr>
      <w:r>
        <w:rPr>
          <w:rFonts w:hint="eastAsia"/>
        </w:rPr>
        <w:t>岣嵝峰森林资源十分丰富，森林覆盖率达95%。它保存湖南的原始次生林1000余亩。境内有各类树种300余种，其中珍稀树种20余种。珍稀树种有黑壳楠、青铜栎、白章、三尖杉、大叶樟、金丝楠等。区域内围王殿右侧的右侧，有4000余岁的古雏栗，树心全空，三根翠竹从树心穿出。有湖南省内最大的摇钱树，有"活化石"之称的银杏、水杉、桫椤树。</w:t>
      </w:r>
    </w:p>
    <w:p w14:paraId="6A91DB31">
      <w:pPr>
        <w:adjustRightInd w:val="0"/>
        <w:snapToGrid w:val="0"/>
        <w:ind w:firstLine="480"/>
      </w:pPr>
      <w:r>
        <w:rPr>
          <w:rFonts w:hint="eastAsia"/>
        </w:rPr>
        <w:t>岣嵝峰境内有珍稀动物340多种。园内常有野猪、獐、鹿、兔、麂、狸、猴面鹰、画眉、杜鹃、小貌、果子狸、穿山甲等野生动物，被生物学家誉为“湘南生物基因库”。</w:t>
      </w:r>
    </w:p>
    <w:bookmarkEnd w:id="126"/>
    <w:p w14:paraId="7892E859">
      <w:pPr>
        <w:adjustRightInd w:val="0"/>
        <w:snapToGrid w:val="0"/>
        <w:ind w:firstLine="480"/>
      </w:pPr>
      <w:r>
        <w:rPr>
          <w:rFonts w:hint="eastAsia"/>
        </w:rPr>
        <w:t>（2）项目与其位置关系</w:t>
      </w:r>
    </w:p>
    <w:p w14:paraId="36E8A0B5">
      <w:pPr>
        <w:adjustRightInd w:val="0"/>
        <w:snapToGrid w:val="0"/>
        <w:ind w:firstLine="480"/>
      </w:pPr>
      <w:r>
        <w:rPr>
          <w:rFonts w:hint="eastAsia"/>
        </w:rPr>
        <w:t>本项目与衡阳佝偻峰县级自然保护区的位置关系见下表和下图5</w:t>
      </w:r>
      <w:r>
        <w:t>.3-2</w:t>
      </w:r>
      <w:r>
        <w:rPr>
          <w:rFonts w:hint="eastAsia"/>
        </w:rPr>
        <w:t>。</w:t>
      </w:r>
    </w:p>
    <w:p w14:paraId="156A1BB2">
      <w:pPr>
        <w:tabs>
          <w:tab w:val="clear" w:pos="480"/>
        </w:tabs>
        <w:autoSpaceDE w:val="0"/>
        <w:autoSpaceDN w:val="0"/>
        <w:spacing w:line="240" w:lineRule="auto"/>
        <w:ind w:firstLine="0" w:firstLineChars="0"/>
        <w:jc w:val="center"/>
        <w:rPr>
          <w:b/>
          <w:bCs/>
          <w:kern w:val="0"/>
          <w:szCs w:val="22"/>
        </w:rPr>
      </w:pPr>
      <w:r>
        <w:rPr>
          <w:rFonts w:hint="eastAsia"/>
          <w:b/>
          <w:bCs/>
          <w:kern w:val="0"/>
          <w:szCs w:val="22"/>
        </w:rPr>
        <w:t>表</w:t>
      </w:r>
      <w:r>
        <w:rPr>
          <w:b/>
          <w:bCs/>
          <w:kern w:val="0"/>
          <w:szCs w:val="22"/>
        </w:rPr>
        <w:t xml:space="preserve">5.3-2 </w:t>
      </w:r>
      <w:r>
        <w:rPr>
          <w:rFonts w:hint="eastAsia"/>
          <w:b/>
          <w:bCs/>
          <w:kern w:val="0"/>
          <w:szCs w:val="22"/>
        </w:rPr>
        <w:t>本项目与衡阳岣嵝峰县级自然保护区位置关系一览表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65"/>
        <w:gridCol w:w="5462"/>
      </w:tblGrid>
      <w:tr w14:paraId="39DF4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22B52A46">
            <w:pPr>
              <w:tabs>
                <w:tab w:val="clear" w:pos="480"/>
              </w:tabs>
              <w:adjustRightInd w:val="0"/>
              <w:snapToGrid w:val="0"/>
              <w:spacing w:line="240" w:lineRule="auto"/>
              <w:ind w:firstLine="0" w:firstLineChars="0"/>
              <w:jc w:val="center"/>
              <w:rPr>
                <w:sz w:val="18"/>
                <w:szCs w:val="18"/>
              </w:rPr>
            </w:pPr>
            <w:r>
              <w:rPr>
                <w:sz w:val="18"/>
                <w:szCs w:val="18"/>
              </w:rPr>
              <w:t>工程内容</w:t>
            </w:r>
          </w:p>
        </w:tc>
        <w:tc>
          <w:tcPr>
            <w:tcW w:w="3203" w:type="pct"/>
            <w:shd w:val="clear" w:color="auto" w:fill="auto"/>
            <w:vAlign w:val="center"/>
          </w:tcPr>
          <w:p w14:paraId="1B237229">
            <w:pPr>
              <w:tabs>
                <w:tab w:val="clear" w:pos="480"/>
              </w:tabs>
              <w:adjustRightInd w:val="0"/>
              <w:snapToGrid w:val="0"/>
              <w:spacing w:line="240" w:lineRule="auto"/>
              <w:ind w:firstLine="0" w:firstLineChars="0"/>
              <w:jc w:val="center"/>
              <w:rPr>
                <w:sz w:val="18"/>
                <w:szCs w:val="18"/>
              </w:rPr>
            </w:pPr>
            <w:r>
              <w:rPr>
                <w:rFonts w:hint="eastAsia"/>
                <w:sz w:val="18"/>
                <w:szCs w:val="18"/>
              </w:rPr>
              <w:t>与保护区最近距离</w:t>
            </w:r>
          </w:p>
        </w:tc>
      </w:tr>
      <w:tr w14:paraId="5A380C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44D6EA20">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8#</w:t>
            </w:r>
            <w:r>
              <w:rPr>
                <w:rFonts w:hint="eastAsia"/>
                <w:sz w:val="18"/>
                <w:szCs w:val="18"/>
              </w:rPr>
              <w:t>风机</w:t>
            </w:r>
          </w:p>
        </w:tc>
        <w:tc>
          <w:tcPr>
            <w:tcW w:w="3203" w:type="pct"/>
            <w:shd w:val="clear" w:color="auto" w:fill="auto"/>
            <w:vAlign w:val="center"/>
          </w:tcPr>
          <w:p w14:paraId="03E0981C">
            <w:pPr>
              <w:tabs>
                <w:tab w:val="clear" w:pos="480"/>
              </w:tabs>
              <w:adjustRightInd w:val="0"/>
              <w:snapToGrid w:val="0"/>
              <w:spacing w:line="240" w:lineRule="auto"/>
              <w:ind w:firstLine="0" w:firstLineChars="0"/>
              <w:jc w:val="center"/>
              <w:rPr>
                <w:sz w:val="18"/>
                <w:szCs w:val="18"/>
              </w:rPr>
            </w:pPr>
            <w:r>
              <w:rPr>
                <w:rFonts w:hint="eastAsia"/>
                <w:sz w:val="18"/>
                <w:szCs w:val="18"/>
              </w:rPr>
              <w:t>平台边界南侧最近约1</w:t>
            </w:r>
            <w:r>
              <w:rPr>
                <w:sz w:val="18"/>
                <w:szCs w:val="18"/>
              </w:rPr>
              <w:t>40</w:t>
            </w:r>
            <w:r>
              <w:rPr>
                <w:rFonts w:hint="eastAsia"/>
                <w:sz w:val="18"/>
                <w:szCs w:val="18"/>
              </w:rPr>
              <w:t>m</w:t>
            </w:r>
          </w:p>
        </w:tc>
      </w:tr>
      <w:tr w14:paraId="31B17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334118B9">
            <w:pPr>
              <w:tabs>
                <w:tab w:val="clear" w:pos="480"/>
              </w:tabs>
              <w:adjustRightInd w:val="0"/>
              <w:snapToGrid w:val="0"/>
              <w:spacing w:line="240" w:lineRule="auto"/>
              <w:ind w:firstLine="0" w:firstLineChars="0"/>
              <w:jc w:val="center"/>
              <w:rPr>
                <w:sz w:val="18"/>
                <w:szCs w:val="18"/>
              </w:rPr>
            </w:pPr>
            <w:r>
              <w:rPr>
                <w:rFonts w:hint="eastAsia"/>
                <w:sz w:val="18"/>
                <w:szCs w:val="18"/>
              </w:rPr>
              <w:t>8</w:t>
            </w:r>
            <w:r>
              <w:rPr>
                <w:sz w:val="18"/>
                <w:szCs w:val="18"/>
              </w:rPr>
              <w:t>#</w:t>
            </w:r>
            <w:r>
              <w:rPr>
                <w:rFonts w:hint="eastAsia"/>
                <w:sz w:val="18"/>
                <w:szCs w:val="18"/>
              </w:rPr>
              <w:t>风机</w:t>
            </w:r>
          </w:p>
        </w:tc>
        <w:tc>
          <w:tcPr>
            <w:tcW w:w="3203" w:type="pct"/>
            <w:shd w:val="clear" w:color="auto" w:fill="auto"/>
            <w:vAlign w:val="center"/>
          </w:tcPr>
          <w:p w14:paraId="635E3F5B">
            <w:pPr>
              <w:tabs>
                <w:tab w:val="clear" w:pos="480"/>
              </w:tabs>
              <w:adjustRightInd w:val="0"/>
              <w:snapToGrid w:val="0"/>
              <w:spacing w:line="240" w:lineRule="auto"/>
              <w:ind w:firstLine="0" w:firstLineChars="0"/>
              <w:jc w:val="center"/>
              <w:rPr>
                <w:sz w:val="18"/>
                <w:szCs w:val="18"/>
              </w:rPr>
            </w:pPr>
            <w:r>
              <w:rPr>
                <w:rFonts w:hint="eastAsia"/>
                <w:sz w:val="18"/>
                <w:szCs w:val="18"/>
              </w:rPr>
              <w:t>平台边界西北侧最近约1</w:t>
            </w:r>
            <w:r>
              <w:rPr>
                <w:sz w:val="18"/>
                <w:szCs w:val="18"/>
              </w:rPr>
              <w:t>80</w:t>
            </w:r>
            <w:r>
              <w:rPr>
                <w:rFonts w:hint="eastAsia"/>
                <w:sz w:val="18"/>
                <w:szCs w:val="18"/>
              </w:rPr>
              <w:t>m</w:t>
            </w:r>
          </w:p>
        </w:tc>
      </w:tr>
      <w:tr w14:paraId="2DFE2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797" w:type="pct"/>
            <w:shd w:val="clear" w:color="auto" w:fill="auto"/>
            <w:vAlign w:val="center"/>
          </w:tcPr>
          <w:p w14:paraId="7F50CE59">
            <w:pPr>
              <w:tabs>
                <w:tab w:val="clear" w:pos="480"/>
              </w:tabs>
              <w:adjustRightInd w:val="0"/>
              <w:snapToGrid w:val="0"/>
              <w:spacing w:line="240" w:lineRule="auto"/>
              <w:ind w:firstLine="0" w:firstLineChars="0"/>
              <w:jc w:val="center"/>
              <w:rPr>
                <w:sz w:val="18"/>
                <w:szCs w:val="18"/>
              </w:rPr>
            </w:pPr>
            <w:r>
              <w:rPr>
                <w:rFonts w:hint="eastAsia"/>
                <w:sz w:val="18"/>
                <w:szCs w:val="18"/>
              </w:rPr>
              <w:t>5</w:t>
            </w:r>
            <w:r>
              <w:rPr>
                <w:sz w:val="18"/>
                <w:szCs w:val="18"/>
              </w:rPr>
              <w:t>#</w:t>
            </w:r>
            <w:r>
              <w:rPr>
                <w:rFonts w:hint="eastAsia"/>
                <w:sz w:val="18"/>
                <w:szCs w:val="18"/>
              </w:rPr>
              <w:t>风机场内道路</w:t>
            </w:r>
          </w:p>
        </w:tc>
        <w:tc>
          <w:tcPr>
            <w:tcW w:w="3203" w:type="pct"/>
            <w:shd w:val="clear" w:color="auto" w:fill="auto"/>
            <w:vAlign w:val="center"/>
          </w:tcPr>
          <w:p w14:paraId="5A093334">
            <w:pPr>
              <w:tabs>
                <w:tab w:val="clear" w:pos="480"/>
              </w:tabs>
              <w:adjustRightInd w:val="0"/>
              <w:snapToGrid w:val="0"/>
              <w:spacing w:line="240" w:lineRule="auto"/>
              <w:ind w:firstLine="0" w:firstLineChars="0"/>
              <w:jc w:val="center"/>
              <w:rPr>
                <w:sz w:val="18"/>
                <w:szCs w:val="18"/>
              </w:rPr>
            </w:pPr>
            <w:r>
              <w:rPr>
                <w:rFonts w:hint="eastAsia"/>
                <w:sz w:val="18"/>
                <w:szCs w:val="18"/>
              </w:rPr>
              <w:t>东南侧最近约5</w:t>
            </w:r>
            <w:r>
              <w:rPr>
                <w:sz w:val="18"/>
                <w:szCs w:val="18"/>
              </w:rPr>
              <w:t>0</w:t>
            </w:r>
            <w:r>
              <w:rPr>
                <w:rFonts w:hint="eastAsia"/>
                <w:sz w:val="18"/>
                <w:szCs w:val="18"/>
              </w:rPr>
              <w:t>m</w:t>
            </w:r>
          </w:p>
        </w:tc>
      </w:tr>
    </w:tbl>
    <w:p w14:paraId="0A9B79B6">
      <w:pPr>
        <w:ind w:firstLine="0" w:firstLineChars="0"/>
      </w:pPr>
    </w:p>
    <w:p w14:paraId="09990453">
      <w:pPr>
        <w:ind w:firstLine="0" w:firstLineChars="0"/>
      </w:pPr>
    </w:p>
    <w:p w14:paraId="4E47A963">
      <w:pPr>
        <w:ind w:firstLine="0" w:firstLineChars="0"/>
        <w:rPr>
          <w:kern w:val="0"/>
          <w:szCs w:val="21"/>
        </w:rPr>
      </w:pPr>
      <w:bookmarkStart w:id="127" w:name="_Hlk142921588"/>
      <w:r>
        <w:rPr>
          <w:kern w:val="0"/>
          <w:szCs w:val="21"/>
        </w:rPr>
        <w:drawing>
          <wp:inline distT="0" distB="0" distL="0" distR="0">
            <wp:extent cx="5090795" cy="7710805"/>
            <wp:effectExtent l="0" t="0" r="0" b="4445"/>
            <wp:docPr id="15908584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58449" name="图片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090795" cy="7710805"/>
                    </a:xfrm>
                    <a:prstGeom prst="rect">
                      <a:avLst/>
                    </a:prstGeom>
                    <a:noFill/>
                    <a:ln>
                      <a:noFill/>
                    </a:ln>
                  </pic:spPr>
                </pic:pic>
              </a:graphicData>
            </a:graphic>
          </wp:inline>
        </w:drawing>
      </w:r>
      <w:bookmarkEnd w:id="127"/>
    </w:p>
    <w:p w14:paraId="2E3A0E83">
      <w:pPr>
        <w:ind w:firstLine="0" w:firstLineChars="0"/>
        <w:jc w:val="center"/>
        <w:rPr>
          <w:b/>
          <w:bCs/>
          <w:kern w:val="0"/>
          <w:szCs w:val="22"/>
        </w:rPr>
      </w:pPr>
      <w:r>
        <w:rPr>
          <w:rFonts w:hint="eastAsia"/>
          <w:b/>
          <w:bCs/>
          <w:kern w:val="0"/>
          <w:szCs w:val="22"/>
        </w:rPr>
        <w:t>图</w:t>
      </w:r>
      <w:r>
        <w:rPr>
          <w:b/>
          <w:bCs/>
          <w:kern w:val="0"/>
          <w:szCs w:val="22"/>
        </w:rPr>
        <w:t xml:space="preserve">5.3-1  </w:t>
      </w:r>
      <w:r>
        <w:rPr>
          <w:rFonts w:hint="eastAsia"/>
          <w:b/>
          <w:bCs/>
          <w:kern w:val="0"/>
          <w:szCs w:val="22"/>
        </w:rPr>
        <w:t>项目与湖南衡阳岣嵝峰国家森林公园位置关系图</w:t>
      </w:r>
    </w:p>
    <w:p w14:paraId="044B7F60">
      <w:pPr>
        <w:ind w:firstLine="0" w:firstLineChars="0"/>
      </w:pPr>
      <w:bookmarkStart w:id="128" w:name="_Hlk142921701"/>
      <w:r>
        <w:drawing>
          <wp:inline distT="0" distB="0" distL="0" distR="0">
            <wp:extent cx="5055870" cy="3525520"/>
            <wp:effectExtent l="0" t="0" r="0" b="0"/>
            <wp:docPr id="1432195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9527" name="图片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055870" cy="3525520"/>
                    </a:xfrm>
                    <a:prstGeom prst="rect">
                      <a:avLst/>
                    </a:prstGeom>
                    <a:noFill/>
                    <a:ln>
                      <a:noFill/>
                    </a:ln>
                  </pic:spPr>
                </pic:pic>
              </a:graphicData>
            </a:graphic>
          </wp:inline>
        </w:drawing>
      </w:r>
      <w:bookmarkEnd w:id="128"/>
    </w:p>
    <w:p w14:paraId="5F6239CC">
      <w:pPr>
        <w:pStyle w:val="2"/>
        <w:ind w:firstLine="0" w:firstLineChars="0"/>
        <w:jc w:val="center"/>
      </w:pPr>
      <w:r>
        <w:rPr>
          <w:rFonts w:hint="eastAsia"/>
          <w:b/>
          <w:bCs/>
          <w:kern w:val="0"/>
          <w:sz w:val="24"/>
          <w:szCs w:val="22"/>
        </w:rPr>
        <w:t>图</w:t>
      </w:r>
      <w:r>
        <w:rPr>
          <w:b/>
          <w:bCs/>
          <w:kern w:val="0"/>
          <w:sz w:val="24"/>
          <w:szCs w:val="22"/>
        </w:rPr>
        <w:t xml:space="preserve">5.3-2 </w:t>
      </w:r>
      <w:r>
        <w:rPr>
          <w:rFonts w:hint="eastAsia"/>
          <w:b/>
          <w:bCs/>
          <w:kern w:val="0"/>
          <w:sz w:val="24"/>
          <w:szCs w:val="22"/>
        </w:rPr>
        <w:t>项目与衡阳岣嵝峰县级自然保护区位置关系图</w:t>
      </w:r>
    </w:p>
    <w:p w14:paraId="56504297">
      <w:pPr>
        <w:pStyle w:val="4"/>
        <w:tabs>
          <w:tab w:val="clear" w:pos="480"/>
          <w:tab w:val="clear" w:pos="630"/>
        </w:tabs>
        <w:spacing w:before="0" w:after="0"/>
        <w:rPr>
          <w:sz w:val="30"/>
          <w:szCs w:val="30"/>
          <w:lang w:val="en-US"/>
        </w:rPr>
      </w:pPr>
      <w:bookmarkStart w:id="129" w:name="_Toc116977998"/>
      <w:bookmarkStart w:id="130" w:name="_Toc143799382"/>
      <w:r>
        <w:rPr>
          <w:sz w:val="30"/>
          <w:szCs w:val="30"/>
          <w:lang w:val="en-US"/>
        </w:rPr>
        <w:t>5.4</w:t>
      </w:r>
      <w:r>
        <w:rPr>
          <w:rFonts w:hint="eastAsia"/>
          <w:sz w:val="30"/>
          <w:szCs w:val="30"/>
          <w:lang w:val="en-US"/>
        </w:rPr>
        <w:t>环境质量现状监测</w:t>
      </w:r>
      <w:bookmarkEnd w:id="129"/>
      <w:bookmarkEnd w:id="130"/>
    </w:p>
    <w:p w14:paraId="601781E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5.4.1</w:t>
      </w:r>
      <w:r>
        <w:rPr>
          <w:rFonts w:hint="eastAsia" w:ascii="Times New Roman" w:eastAsia="宋体"/>
          <w:sz w:val="28"/>
          <w:szCs w:val="28"/>
          <w:lang w:val="en-US"/>
        </w:rPr>
        <w:t>环境空气质量现状评价</w:t>
      </w:r>
    </w:p>
    <w:p w14:paraId="00DE8B94">
      <w:pPr>
        <w:adjustRightInd w:val="0"/>
        <w:snapToGrid w:val="0"/>
        <w:ind w:firstLine="480"/>
      </w:pPr>
      <w:r>
        <w:t>根据《环境影响评价导则 大气环境》（HJ2.2-2018），判定项目所在区域达标情况，优先采用国家或地方生态环境主管部门发布的近3年中相对完整的1个日历年环境质量公告或环境质量报告中的数据或结论。</w:t>
      </w:r>
    </w:p>
    <w:p w14:paraId="749D6363">
      <w:pPr>
        <w:wordWrap w:val="0"/>
        <w:adjustRightInd w:val="0"/>
        <w:snapToGrid w:val="0"/>
        <w:ind w:firstLine="480"/>
      </w:pPr>
      <w:r>
        <w:t>根据衡阳市生态环境局发布的《关于2022年12月及1~12月全市环境质量状况的通报》（网址：</w:t>
      </w:r>
      <w:r>
        <w:fldChar w:fldCharType="begin"/>
      </w:r>
      <w:r>
        <w:instrText xml:space="preserve"> HYPERLINK "http://sthjj.hengyang.gov.cn/hjzl/hjzkgb/20230201/i2921284.html），衡阳县2022" </w:instrText>
      </w:r>
      <w:r>
        <w:fldChar w:fldCharType="separate"/>
      </w:r>
      <w:r>
        <w:t>http://sthjj.hengyang.gov.cn/hjzl/hjzkgb/20230201/i2921284.html），衡阳县2022</w:t>
      </w:r>
      <w:r>
        <w:fldChar w:fldCharType="end"/>
      </w:r>
      <w:r>
        <w:t>年空气质量现状监测数据统计见下表。</w:t>
      </w:r>
    </w:p>
    <w:p w14:paraId="54FAB6C4">
      <w:pPr>
        <w:pStyle w:val="2"/>
        <w:ind w:firstLine="420"/>
      </w:pPr>
    </w:p>
    <w:p w14:paraId="31424E80">
      <w:pPr>
        <w:ind w:firstLine="480"/>
      </w:pPr>
    </w:p>
    <w:p w14:paraId="57CA6169">
      <w:pPr>
        <w:pStyle w:val="2"/>
        <w:ind w:firstLine="420"/>
      </w:pPr>
    </w:p>
    <w:p w14:paraId="0A07DBFB">
      <w:pPr>
        <w:ind w:firstLine="480"/>
      </w:pPr>
    </w:p>
    <w:p w14:paraId="6A8ECFB3">
      <w:pPr>
        <w:pStyle w:val="2"/>
        <w:ind w:firstLine="420"/>
      </w:pPr>
    </w:p>
    <w:p w14:paraId="03C2E39E">
      <w:pPr>
        <w:ind w:firstLine="480"/>
      </w:pPr>
    </w:p>
    <w:p w14:paraId="66A2D2DA">
      <w:pPr>
        <w:pStyle w:val="2"/>
        <w:ind w:firstLine="420"/>
      </w:pPr>
    </w:p>
    <w:p w14:paraId="0F7FE6B7">
      <w:pPr>
        <w:ind w:firstLine="480"/>
      </w:pPr>
    </w:p>
    <w:p w14:paraId="38C2B513">
      <w:pPr>
        <w:pStyle w:val="2"/>
        <w:ind w:firstLine="420"/>
      </w:pPr>
    </w:p>
    <w:p w14:paraId="20A97564">
      <w:pPr>
        <w:ind w:firstLine="0" w:firstLineChars="0"/>
        <w:jc w:val="center"/>
        <w:rPr>
          <w:b/>
          <w:bCs/>
          <w:kern w:val="0"/>
          <w:szCs w:val="22"/>
        </w:rPr>
      </w:pPr>
      <w:r>
        <w:rPr>
          <w:b/>
          <w:bCs/>
          <w:kern w:val="0"/>
          <w:szCs w:val="22"/>
        </w:rPr>
        <w:t>表5.4-1  2021年1-12月衡阳市各县市所在城镇环境空气污染物浓度情况</w:t>
      </w:r>
    </w:p>
    <w:p w14:paraId="20094EDA">
      <w:pPr>
        <w:pStyle w:val="2"/>
        <w:ind w:firstLine="0" w:firstLineChars="0"/>
      </w:pPr>
      <w:r>
        <mc:AlternateContent>
          <mc:Choice Requires="wps">
            <w:drawing>
              <wp:anchor distT="0" distB="0" distL="114300" distR="114300" simplePos="0" relativeHeight="251660288" behindDoc="0" locked="0" layoutInCell="1" allowOverlap="1">
                <wp:simplePos x="0" y="0"/>
                <wp:positionH relativeFrom="column">
                  <wp:posOffset>1905</wp:posOffset>
                </wp:positionH>
                <wp:positionV relativeFrom="paragraph">
                  <wp:posOffset>795655</wp:posOffset>
                </wp:positionV>
                <wp:extent cx="5181600" cy="200660"/>
                <wp:effectExtent l="19050" t="19050" r="19050" b="27940"/>
                <wp:wrapNone/>
                <wp:docPr id="908044439" name="文本框 9"/>
                <wp:cNvGraphicFramePr/>
                <a:graphic xmlns:a="http://schemas.openxmlformats.org/drawingml/2006/main">
                  <a:graphicData uri="http://schemas.microsoft.com/office/word/2010/wordprocessingShape">
                    <wps:wsp>
                      <wps:cNvSpPr txBox="1"/>
                      <wps:spPr>
                        <a:xfrm>
                          <a:off x="0" y="0"/>
                          <a:ext cx="5181600" cy="200891"/>
                        </a:xfrm>
                        <a:prstGeom prst="rect">
                          <a:avLst/>
                        </a:prstGeom>
                        <a:noFill/>
                        <a:ln w="28575">
                          <a:solidFill>
                            <a:srgbClr val="FF0000"/>
                          </a:solidFill>
                        </a:ln>
                      </wps:spPr>
                      <wps:txbx>
                        <w:txbxContent>
                          <w:p w14:paraId="13F95305">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 o:spid="_x0000_s1026" o:spt="202" type="#_x0000_t202" style="position:absolute;left:0pt;margin-left:0.15pt;margin-top:62.65pt;height:15.8pt;width:408pt;z-index:251660288;mso-width-relative:page;mso-height-relative:page;" filled="f" stroked="t" coordsize="21600,21600" o:gfxdata="UEsDBAoAAAAAAIdO4kAAAAAAAAAAAAAAAAAEAAAAZHJzL1BLAwQUAAAACACHTuJALYgujtYAAAAI&#10;AQAADwAAAGRycy9kb3ducmV2LnhtbE1PXUvEMBB8F/wPYQVfxEt6euWsTQ9POBA8EKv4nGvWpths&#10;SpPeh7/e9UnfZmeG2ZlydfS92OMYu0AaspkCgdQE21Gr4f1tc70EEZMha/pAqOGEEVbV+VlpChsO&#10;9Ir7OrWCQygWRoNLaSikjI1Db+IsDEisfYbRm8Tn2Eo7mgOH+17OlcqlNx3xB2cGfHTYfNWT1yC3&#10;p6uP52+nNmtEv1b17cvD9KT15UWm7kEkPKY/M/zW5+pQcaddmMhG0Wu4YR+z8wUDlpdZzmDHzCK/&#10;A1mV8v+A6gdQSwMEFAAAAAgAh07iQMTSTLNaAgAAmAQAAA4AAABkcnMvZTJvRG9jLnhtbK1US27b&#10;MBDdF+gdCO4byamd2IblwHXgokDQBEiLrmmKsgTwV5K2lB6gvUFW3XTfc+UcfaTsxEi7yKJeyMOZ&#10;0eO8NzOaXXRKkp1wvjG6oIOTnBKhuSkbvSno50+rN2NKfGC6ZNJoUdA74enF/PWrWWun4tTURpbC&#10;EYBoP21tQesQ7DTLPK+FYv7EWKERrIxTLODoNlnpWAt0JbPTPD/LWuNK6wwX3sN72QfpHtG9BNBU&#10;VcPFpeFbJXToUZ2QLICSrxvr6TxVW1WCh+uq8iIQWVAwDemJS2Cv4zObz9h045itG74vgb2khGec&#10;FGs0Ln2EumSBka1r/oJSDXfGmyqccKOynkhSBCwG+TNtbmtmReICqb19FN3/P1j+cXfjSFMWdJKP&#10;8+Fw+HZCiWYKjX+4//Hw8/fDr+9kEmVqrZ8i+9YiP3TvTIfhOfg9nJF9VzkV/8GLIA6R7x5FFl0g&#10;HM7RYDw4yxHiiGEgxpMEkz29bZ0P74VRJBoFdWhi0pbtrnxAJUg9pMTLtFk1UqZGSk1agI5H56P0&#10;hjeyKWM05nm3WS+lIzuGWVitcvxi/UA7SsNJajgj255VtEK37vYSrE15BwWc6UfJW75qUOYV8+GG&#10;OcwOmGG7wjUelTQox+wtSmrjvv3LH/PRUkQpaTGLBfVft8wJSuQHjWZPBsMhYEM6DEfnpzi448j6&#10;OKK3amlAcYA9tjyZMT/Ig1k5o75gCRfxVoSY5ri7oOFgLkO/IVhiLhaLlIRxtSxc6VvLI3Qv/GIb&#10;TNWknkSZem326mFgk7j75YobcXxOWU8flP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LYgujtYA&#10;AAAIAQAADwAAAAAAAAABACAAAAAiAAAAZHJzL2Rvd25yZXYueG1sUEsBAhQAFAAAAAgAh07iQMTS&#10;TLNaAgAAmAQAAA4AAAAAAAAAAQAgAAAAJQEAAGRycy9lMm9Eb2MueG1sUEsFBgAAAAAGAAYAWQEA&#10;APEFAAAAAA==&#10;">
                <v:fill on="f" focussize="0,0"/>
                <v:stroke weight="2.25pt" color="#FF0000" joinstyle="round"/>
                <v:imagedata o:title=""/>
                <o:lock v:ext="edit" aspectratio="f"/>
                <v:textbox>
                  <w:txbxContent>
                    <w:p w14:paraId="13F95305">
                      <w:pPr>
                        <w:ind w:firstLine="480"/>
                      </w:pPr>
                    </w:p>
                  </w:txbxContent>
                </v:textbox>
              </v:shape>
            </w:pict>
          </mc:Fallback>
        </mc:AlternateContent>
      </w:r>
      <w:r>
        <w:drawing>
          <wp:inline distT="0" distB="0" distL="0" distR="0">
            <wp:extent cx="5276215" cy="2237105"/>
            <wp:effectExtent l="0" t="0" r="635" b="0"/>
            <wp:docPr id="1982289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9936" name="图片 1"/>
                    <pic:cNvPicPr>
                      <a:picLocks noChangeAspect="1"/>
                    </pic:cNvPicPr>
                  </pic:nvPicPr>
                  <pic:blipFill>
                    <a:blip r:embed="rId39"/>
                    <a:srcRect t="9335" b="16901"/>
                    <a:stretch>
                      <a:fillRect/>
                    </a:stretch>
                  </pic:blipFill>
                  <pic:spPr>
                    <a:xfrm>
                      <a:off x="0" y="0"/>
                      <a:ext cx="5277485" cy="2238017"/>
                    </a:xfrm>
                    <a:prstGeom prst="rect">
                      <a:avLst/>
                    </a:prstGeom>
                    <a:ln>
                      <a:noFill/>
                    </a:ln>
                  </pic:spPr>
                </pic:pic>
              </a:graphicData>
            </a:graphic>
          </wp:inline>
        </w:drawing>
      </w:r>
    </w:p>
    <w:p w14:paraId="2022CCA6">
      <w:pPr>
        <w:tabs>
          <w:tab w:val="clear" w:pos="480"/>
        </w:tabs>
        <w:spacing w:line="240" w:lineRule="auto"/>
        <w:ind w:firstLine="0" w:firstLineChars="0"/>
        <w:jc w:val="center"/>
        <w:rPr>
          <w:b/>
          <w:bCs/>
        </w:rPr>
      </w:pPr>
      <w:r>
        <w:rPr>
          <w:b/>
          <w:bCs/>
        </w:rPr>
        <w:t>表5.4</w:t>
      </w:r>
      <w:r>
        <w:rPr>
          <w:rFonts w:hint="eastAsia"/>
          <w:b/>
          <w:bCs/>
        </w:rPr>
        <w:t>-</w:t>
      </w:r>
      <w:r>
        <w:rPr>
          <w:b/>
          <w:bCs/>
        </w:rPr>
        <w:t xml:space="preserve">2 </w:t>
      </w:r>
      <w:r>
        <w:rPr>
          <w:rFonts w:hAnsi="宋体"/>
          <w:b/>
        </w:rPr>
        <w:t>2022年</w:t>
      </w:r>
      <w:r>
        <w:rPr>
          <w:rFonts w:hint="eastAsia" w:hAnsi="宋体"/>
          <w:b/>
        </w:rPr>
        <w:t>衡阳县</w:t>
      </w:r>
      <w:r>
        <w:rPr>
          <w:rFonts w:hAnsi="宋体"/>
          <w:b/>
        </w:rPr>
        <w:t>区域空气质量现状表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3005"/>
        <w:gridCol w:w="1381"/>
        <w:gridCol w:w="1381"/>
        <w:gridCol w:w="815"/>
        <w:gridCol w:w="756"/>
      </w:tblGrid>
      <w:tr w14:paraId="6EC312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7211D2C5">
            <w:pPr>
              <w:tabs>
                <w:tab w:val="clear" w:pos="480"/>
              </w:tabs>
              <w:adjustRightInd w:val="0"/>
              <w:snapToGrid w:val="0"/>
              <w:spacing w:line="240" w:lineRule="auto"/>
              <w:ind w:firstLine="0" w:firstLineChars="0"/>
              <w:jc w:val="center"/>
              <w:rPr>
                <w:b/>
                <w:sz w:val="21"/>
                <w:szCs w:val="21"/>
              </w:rPr>
            </w:pPr>
            <w:r>
              <w:rPr>
                <w:b/>
                <w:sz w:val="21"/>
                <w:szCs w:val="21"/>
              </w:rPr>
              <w:t>污染物</w:t>
            </w:r>
          </w:p>
        </w:tc>
        <w:tc>
          <w:tcPr>
            <w:tcW w:w="1762" w:type="pct"/>
            <w:vAlign w:val="center"/>
          </w:tcPr>
          <w:p w14:paraId="30CFC0EF">
            <w:pPr>
              <w:tabs>
                <w:tab w:val="clear" w:pos="480"/>
              </w:tabs>
              <w:adjustRightInd w:val="0"/>
              <w:snapToGrid w:val="0"/>
              <w:spacing w:line="240" w:lineRule="auto"/>
              <w:ind w:firstLine="0" w:firstLineChars="0"/>
              <w:jc w:val="center"/>
              <w:rPr>
                <w:b/>
                <w:sz w:val="21"/>
                <w:szCs w:val="21"/>
              </w:rPr>
            </w:pPr>
            <w:r>
              <w:rPr>
                <w:b/>
                <w:sz w:val="21"/>
                <w:szCs w:val="21"/>
              </w:rPr>
              <w:t>日评价指标</w:t>
            </w:r>
          </w:p>
        </w:tc>
        <w:tc>
          <w:tcPr>
            <w:tcW w:w="810" w:type="pct"/>
            <w:vAlign w:val="center"/>
          </w:tcPr>
          <w:p w14:paraId="2D2963EC">
            <w:pPr>
              <w:tabs>
                <w:tab w:val="clear" w:pos="480"/>
              </w:tabs>
              <w:adjustRightInd w:val="0"/>
              <w:snapToGrid w:val="0"/>
              <w:spacing w:line="240" w:lineRule="auto"/>
              <w:ind w:firstLine="0" w:firstLineChars="0"/>
              <w:jc w:val="center"/>
              <w:rPr>
                <w:b/>
                <w:sz w:val="21"/>
                <w:szCs w:val="21"/>
              </w:rPr>
            </w:pPr>
            <w:r>
              <w:rPr>
                <w:b/>
                <w:sz w:val="21"/>
                <w:szCs w:val="21"/>
              </w:rPr>
              <w:t>现状浓度/（μg/m</w:t>
            </w:r>
            <w:r>
              <w:rPr>
                <w:b/>
                <w:sz w:val="21"/>
                <w:szCs w:val="21"/>
                <w:vertAlign w:val="superscript"/>
              </w:rPr>
              <w:t>3</w:t>
            </w:r>
            <w:r>
              <w:rPr>
                <w:b/>
                <w:sz w:val="21"/>
                <w:szCs w:val="21"/>
              </w:rPr>
              <w:t>）</w:t>
            </w:r>
          </w:p>
        </w:tc>
        <w:tc>
          <w:tcPr>
            <w:tcW w:w="810" w:type="pct"/>
            <w:vAlign w:val="center"/>
          </w:tcPr>
          <w:p w14:paraId="27EB1912">
            <w:pPr>
              <w:tabs>
                <w:tab w:val="clear" w:pos="480"/>
              </w:tabs>
              <w:adjustRightInd w:val="0"/>
              <w:snapToGrid w:val="0"/>
              <w:spacing w:line="240" w:lineRule="auto"/>
              <w:ind w:firstLine="0" w:firstLineChars="0"/>
              <w:jc w:val="center"/>
              <w:rPr>
                <w:b/>
                <w:sz w:val="21"/>
                <w:szCs w:val="21"/>
              </w:rPr>
            </w:pPr>
            <w:r>
              <w:rPr>
                <w:b/>
                <w:sz w:val="21"/>
                <w:szCs w:val="21"/>
              </w:rPr>
              <w:t>标准值/（μg/m</w:t>
            </w:r>
            <w:r>
              <w:rPr>
                <w:b/>
                <w:sz w:val="21"/>
                <w:szCs w:val="21"/>
                <w:vertAlign w:val="superscript"/>
              </w:rPr>
              <w:t>3</w:t>
            </w:r>
            <w:r>
              <w:rPr>
                <w:b/>
                <w:sz w:val="21"/>
                <w:szCs w:val="21"/>
              </w:rPr>
              <w:t>）</w:t>
            </w:r>
          </w:p>
        </w:tc>
        <w:tc>
          <w:tcPr>
            <w:tcW w:w="478" w:type="pct"/>
            <w:vAlign w:val="center"/>
          </w:tcPr>
          <w:p w14:paraId="012D9432">
            <w:pPr>
              <w:tabs>
                <w:tab w:val="clear" w:pos="480"/>
              </w:tabs>
              <w:adjustRightInd w:val="0"/>
              <w:snapToGrid w:val="0"/>
              <w:spacing w:line="240" w:lineRule="auto"/>
              <w:ind w:firstLine="0" w:firstLineChars="0"/>
              <w:jc w:val="center"/>
              <w:rPr>
                <w:b/>
                <w:sz w:val="21"/>
                <w:szCs w:val="21"/>
              </w:rPr>
            </w:pPr>
            <w:r>
              <w:rPr>
                <w:b/>
                <w:sz w:val="21"/>
                <w:szCs w:val="21"/>
              </w:rPr>
              <w:t>占标率/%</w:t>
            </w:r>
          </w:p>
        </w:tc>
        <w:tc>
          <w:tcPr>
            <w:tcW w:w="443" w:type="pct"/>
            <w:vAlign w:val="center"/>
          </w:tcPr>
          <w:p w14:paraId="4C9AEEAC">
            <w:pPr>
              <w:tabs>
                <w:tab w:val="clear" w:pos="480"/>
              </w:tabs>
              <w:adjustRightInd w:val="0"/>
              <w:snapToGrid w:val="0"/>
              <w:spacing w:line="240" w:lineRule="auto"/>
              <w:ind w:firstLine="0" w:firstLineChars="0"/>
              <w:jc w:val="center"/>
              <w:rPr>
                <w:b/>
                <w:sz w:val="21"/>
                <w:szCs w:val="21"/>
              </w:rPr>
            </w:pPr>
            <w:r>
              <w:rPr>
                <w:b/>
                <w:sz w:val="21"/>
                <w:szCs w:val="21"/>
              </w:rPr>
              <w:t>达标情况</w:t>
            </w:r>
          </w:p>
        </w:tc>
      </w:tr>
      <w:tr w14:paraId="1AD33F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4CA11245">
            <w:pPr>
              <w:tabs>
                <w:tab w:val="clear" w:pos="480"/>
              </w:tabs>
              <w:adjustRightInd w:val="0"/>
              <w:snapToGrid w:val="0"/>
              <w:spacing w:line="240" w:lineRule="auto"/>
              <w:ind w:firstLine="0" w:firstLineChars="0"/>
              <w:jc w:val="center"/>
              <w:rPr>
                <w:sz w:val="21"/>
                <w:szCs w:val="21"/>
              </w:rPr>
            </w:pPr>
            <w:r>
              <w:rPr>
                <w:sz w:val="21"/>
                <w:szCs w:val="21"/>
              </w:rPr>
              <w:t>SO</w:t>
            </w:r>
            <w:r>
              <w:rPr>
                <w:sz w:val="21"/>
                <w:szCs w:val="21"/>
                <w:vertAlign w:val="subscript"/>
              </w:rPr>
              <w:t>2</w:t>
            </w:r>
          </w:p>
        </w:tc>
        <w:tc>
          <w:tcPr>
            <w:tcW w:w="1762" w:type="pct"/>
            <w:vAlign w:val="center"/>
          </w:tcPr>
          <w:p w14:paraId="5A46D13C">
            <w:pPr>
              <w:tabs>
                <w:tab w:val="clear" w:pos="480"/>
              </w:tabs>
              <w:adjustRightInd w:val="0"/>
              <w:snapToGrid w:val="0"/>
              <w:spacing w:line="240" w:lineRule="auto"/>
              <w:ind w:firstLine="0" w:firstLineChars="0"/>
              <w:jc w:val="center"/>
              <w:rPr>
                <w:sz w:val="21"/>
                <w:szCs w:val="21"/>
              </w:rPr>
            </w:pPr>
            <w:r>
              <w:rPr>
                <w:sz w:val="21"/>
                <w:szCs w:val="21"/>
              </w:rPr>
              <w:t>年平均质量浓度</w:t>
            </w:r>
          </w:p>
        </w:tc>
        <w:tc>
          <w:tcPr>
            <w:tcW w:w="810" w:type="pct"/>
            <w:vAlign w:val="center"/>
          </w:tcPr>
          <w:p w14:paraId="69D5C169">
            <w:pPr>
              <w:tabs>
                <w:tab w:val="clear" w:pos="480"/>
              </w:tabs>
              <w:adjustRightInd w:val="0"/>
              <w:snapToGrid w:val="0"/>
              <w:spacing w:line="240" w:lineRule="auto"/>
              <w:ind w:firstLine="0" w:firstLineChars="0"/>
              <w:jc w:val="center"/>
              <w:rPr>
                <w:sz w:val="21"/>
                <w:szCs w:val="21"/>
              </w:rPr>
            </w:pPr>
            <w:r>
              <w:rPr>
                <w:rFonts w:hint="eastAsia"/>
                <w:sz w:val="21"/>
                <w:szCs w:val="21"/>
              </w:rPr>
              <w:t>6</w:t>
            </w:r>
          </w:p>
        </w:tc>
        <w:tc>
          <w:tcPr>
            <w:tcW w:w="810" w:type="pct"/>
            <w:vAlign w:val="center"/>
          </w:tcPr>
          <w:p w14:paraId="4869D873">
            <w:pPr>
              <w:tabs>
                <w:tab w:val="clear" w:pos="480"/>
              </w:tabs>
              <w:adjustRightInd w:val="0"/>
              <w:snapToGrid w:val="0"/>
              <w:spacing w:line="240" w:lineRule="auto"/>
              <w:ind w:firstLine="0" w:firstLineChars="0"/>
              <w:jc w:val="center"/>
              <w:rPr>
                <w:sz w:val="21"/>
                <w:szCs w:val="21"/>
              </w:rPr>
            </w:pPr>
            <w:r>
              <w:rPr>
                <w:sz w:val="21"/>
                <w:szCs w:val="21"/>
              </w:rPr>
              <w:t>60</w:t>
            </w:r>
          </w:p>
        </w:tc>
        <w:tc>
          <w:tcPr>
            <w:tcW w:w="478" w:type="pct"/>
            <w:vAlign w:val="center"/>
          </w:tcPr>
          <w:p w14:paraId="1FA17E8F">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0</w:t>
            </w:r>
          </w:p>
        </w:tc>
        <w:tc>
          <w:tcPr>
            <w:tcW w:w="443" w:type="pct"/>
            <w:vAlign w:val="center"/>
          </w:tcPr>
          <w:p w14:paraId="1180F211">
            <w:pPr>
              <w:tabs>
                <w:tab w:val="clear" w:pos="480"/>
              </w:tabs>
              <w:adjustRightInd w:val="0"/>
              <w:snapToGrid w:val="0"/>
              <w:spacing w:line="240" w:lineRule="auto"/>
              <w:ind w:firstLine="0" w:firstLineChars="0"/>
              <w:jc w:val="center"/>
              <w:rPr>
                <w:sz w:val="21"/>
                <w:szCs w:val="21"/>
              </w:rPr>
            </w:pPr>
            <w:r>
              <w:rPr>
                <w:sz w:val="21"/>
                <w:szCs w:val="21"/>
              </w:rPr>
              <w:t>达标</w:t>
            </w:r>
          </w:p>
        </w:tc>
      </w:tr>
      <w:tr w14:paraId="5ECCBF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354776EE">
            <w:pPr>
              <w:tabs>
                <w:tab w:val="clear" w:pos="480"/>
              </w:tabs>
              <w:adjustRightInd w:val="0"/>
              <w:snapToGrid w:val="0"/>
              <w:spacing w:line="240" w:lineRule="auto"/>
              <w:ind w:firstLine="0" w:firstLineChars="0"/>
              <w:jc w:val="center"/>
              <w:rPr>
                <w:sz w:val="21"/>
                <w:szCs w:val="21"/>
              </w:rPr>
            </w:pPr>
            <w:r>
              <w:rPr>
                <w:sz w:val="21"/>
                <w:szCs w:val="21"/>
              </w:rPr>
              <w:t>NO</w:t>
            </w:r>
            <w:r>
              <w:rPr>
                <w:sz w:val="21"/>
                <w:szCs w:val="21"/>
                <w:vertAlign w:val="subscript"/>
              </w:rPr>
              <w:t>2</w:t>
            </w:r>
          </w:p>
        </w:tc>
        <w:tc>
          <w:tcPr>
            <w:tcW w:w="1762" w:type="pct"/>
            <w:vAlign w:val="center"/>
          </w:tcPr>
          <w:p w14:paraId="11AA6586">
            <w:pPr>
              <w:tabs>
                <w:tab w:val="clear" w:pos="480"/>
              </w:tabs>
              <w:adjustRightInd w:val="0"/>
              <w:snapToGrid w:val="0"/>
              <w:spacing w:line="240" w:lineRule="auto"/>
              <w:ind w:firstLine="0" w:firstLineChars="0"/>
              <w:jc w:val="center"/>
              <w:rPr>
                <w:sz w:val="21"/>
                <w:szCs w:val="21"/>
              </w:rPr>
            </w:pPr>
            <w:r>
              <w:rPr>
                <w:sz w:val="21"/>
                <w:szCs w:val="21"/>
              </w:rPr>
              <w:t>年平均质量浓度</w:t>
            </w:r>
          </w:p>
        </w:tc>
        <w:tc>
          <w:tcPr>
            <w:tcW w:w="810" w:type="pct"/>
            <w:vAlign w:val="center"/>
          </w:tcPr>
          <w:p w14:paraId="51059015">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3</w:t>
            </w:r>
          </w:p>
        </w:tc>
        <w:tc>
          <w:tcPr>
            <w:tcW w:w="810" w:type="pct"/>
            <w:vAlign w:val="center"/>
          </w:tcPr>
          <w:p w14:paraId="5D755DA1">
            <w:pPr>
              <w:tabs>
                <w:tab w:val="clear" w:pos="480"/>
              </w:tabs>
              <w:adjustRightInd w:val="0"/>
              <w:snapToGrid w:val="0"/>
              <w:spacing w:line="240" w:lineRule="auto"/>
              <w:ind w:firstLine="0" w:firstLineChars="0"/>
              <w:jc w:val="center"/>
              <w:rPr>
                <w:sz w:val="21"/>
                <w:szCs w:val="21"/>
              </w:rPr>
            </w:pPr>
            <w:r>
              <w:rPr>
                <w:sz w:val="21"/>
                <w:szCs w:val="21"/>
              </w:rPr>
              <w:t>40</w:t>
            </w:r>
          </w:p>
        </w:tc>
        <w:tc>
          <w:tcPr>
            <w:tcW w:w="478" w:type="pct"/>
            <w:vAlign w:val="center"/>
          </w:tcPr>
          <w:p w14:paraId="7A95C7D2">
            <w:pPr>
              <w:tabs>
                <w:tab w:val="clear" w:pos="480"/>
              </w:tabs>
              <w:adjustRightInd w:val="0"/>
              <w:snapToGrid w:val="0"/>
              <w:spacing w:line="240" w:lineRule="auto"/>
              <w:ind w:firstLine="0" w:firstLineChars="0"/>
              <w:jc w:val="center"/>
              <w:rPr>
                <w:sz w:val="21"/>
                <w:szCs w:val="21"/>
              </w:rPr>
            </w:pPr>
            <w:r>
              <w:rPr>
                <w:rFonts w:hint="eastAsia"/>
                <w:sz w:val="21"/>
                <w:szCs w:val="21"/>
              </w:rPr>
              <w:t>3</w:t>
            </w:r>
            <w:r>
              <w:rPr>
                <w:sz w:val="21"/>
                <w:szCs w:val="21"/>
              </w:rPr>
              <w:t>2.5</w:t>
            </w:r>
          </w:p>
        </w:tc>
        <w:tc>
          <w:tcPr>
            <w:tcW w:w="443" w:type="pct"/>
            <w:vAlign w:val="center"/>
          </w:tcPr>
          <w:p w14:paraId="5F1FB76D">
            <w:pPr>
              <w:tabs>
                <w:tab w:val="clear" w:pos="480"/>
              </w:tabs>
              <w:adjustRightInd w:val="0"/>
              <w:snapToGrid w:val="0"/>
              <w:spacing w:line="240" w:lineRule="auto"/>
              <w:ind w:firstLine="0" w:firstLineChars="0"/>
              <w:jc w:val="center"/>
              <w:rPr>
                <w:sz w:val="21"/>
                <w:szCs w:val="21"/>
              </w:rPr>
            </w:pPr>
            <w:r>
              <w:rPr>
                <w:sz w:val="21"/>
                <w:szCs w:val="21"/>
              </w:rPr>
              <w:t>达标</w:t>
            </w:r>
          </w:p>
        </w:tc>
      </w:tr>
      <w:tr w14:paraId="1118B2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6FD83825">
            <w:pPr>
              <w:tabs>
                <w:tab w:val="clear" w:pos="480"/>
              </w:tabs>
              <w:adjustRightInd w:val="0"/>
              <w:snapToGrid w:val="0"/>
              <w:spacing w:line="240" w:lineRule="auto"/>
              <w:ind w:firstLine="0" w:firstLineChars="0"/>
              <w:jc w:val="center"/>
              <w:rPr>
                <w:sz w:val="21"/>
                <w:szCs w:val="21"/>
              </w:rPr>
            </w:pPr>
            <w:r>
              <w:rPr>
                <w:sz w:val="21"/>
                <w:szCs w:val="21"/>
              </w:rPr>
              <w:t>PM</w:t>
            </w:r>
            <w:r>
              <w:rPr>
                <w:sz w:val="21"/>
                <w:szCs w:val="21"/>
                <w:vertAlign w:val="subscript"/>
              </w:rPr>
              <w:t>10</w:t>
            </w:r>
          </w:p>
        </w:tc>
        <w:tc>
          <w:tcPr>
            <w:tcW w:w="1762" w:type="pct"/>
            <w:vAlign w:val="center"/>
          </w:tcPr>
          <w:p w14:paraId="54EEE032">
            <w:pPr>
              <w:tabs>
                <w:tab w:val="clear" w:pos="480"/>
              </w:tabs>
              <w:adjustRightInd w:val="0"/>
              <w:snapToGrid w:val="0"/>
              <w:spacing w:line="240" w:lineRule="auto"/>
              <w:ind w:firstLine="0" w:firstLineChars="0"/>
              <w:jc w:val="center"/>
              <w:rPr>
                <w:sz w:val="21"/>
                <w:szCs w:val="21"/>
              </w:rPr>
            </w:pPr>
            <w:r>
              <w:rPr>
                <w:sz w:val="21"/>
                <w:szCs w:val="21"/>
              </w:rPr>
              <w:t>年平均质量浓度</w:t>
            </w:r>
          </w:p>
        </w:tc>
        <w:tc>
          <w:tcPr>
            <w:tcW w:w="810" w:type="pct"/>
            <w:vAlign w:val="center"/>
          </w:tcPr>
          <w:p w14:paraId="6B1BC8A3">
            <w:pPr>
              <w:tabs>
                <w:tab w:val="clear" w:pos="480"/>
              </w:tabs>
              <w:adjustRightInd w:val="0"/>
              <w:snapToGrid w:val="0"/>
              <w:spacing w:line="240" w:lineRule="auto"/>
              <w:ind w:firstLine="0" w:firstLineChars="0"/>
              <w:jc w:val="center"/>
              <w:rPr>
                <w:sz w:val="21"/>
                <w:szCs w:val="21"/>
              </w:rPr>
            </w:pPr>
            <w:r>
              <w:rPr>
                <w:rFonts w:hint="eastAsia"/>
                <w:sz w:val="21"/>
                <w:szCs w:val="21"/>
              </w:rPr>
              <w:t>5</w:t>
            </w:r>
            <w:r>
              <w:rPr>
                <w:sz w:val="21"/>
                <w:szCs w:val="21"/>
              </w:rPr>
              <w:t>4</w:t>
            </w:r>
          </w:p>
        </w:tc>
        <w:tc>
          <w:tcPr>
            <w:tcW w:w="810" w:type="pct"/>
            <w:vAlign w:val="center"/>
          </w:tcPr>
          <w:p w14:paraId="23ECF354">
            <w:pPr>
              <w:tabs>
                <w:tab w:val="clear" w:pos="480"/>
              </w:tabs>
              <w:adjustRightInd w:val="0"/>
              <w:snapToGrid w:val="0"/>
              <w:spacing w:line="240" w:lineRule="auto"/>
              <w:ind w:firstLine="0" w:firstLineChars="0"/>
              <w:jc w:val="center"/>
              <w:rPr>
                <w:sz w:val="21"/>
                <w:szCs w:val="21"/>
              </w:rPr>
            </w:pPr>
            <w:r>
              <w:rPr>
                <w:sz w:val="21"/>
                <w:szCs w:val="21"/>
              </w:rPr>
              <w:t>70</w:t>
            </w:r>
          </w:p>
        </w:tc>
        <w:tc>
          <w:tcPr>
            <w:tcW w:w="478" w:type="pct"/>
            <w:vAlign w:val="center"/>
          </w:tcPr>
          <w:p w14:paraId="543F9663">
            <w:pPr>
              <w:tabs>
                <w:tab w:val="clear" w:pos="480"/>
              </w:tabs>
              <w:adjustRightInd w:val="0"/>
              <w:snapToGrid w:val="0"/>
              <w:spacing w:line="240" w:lineRule="auto"/>
              <w:ind w:firstLine="0" w:firstLineChars="0"/>
              <w:jc w:val="center"/>
              <w:rPr>
                <w:sz w:val="21"/>
                <w:szCs w:val="21"/>
              </w:rPr>
            </w:pPr>
            <w:r>
              <w:rPr>
                <w:rFonts w:hint="eastAsia"/>
                <w:sz w:val="21"/>
                <w:szCs w:val="21"/>
              </w:rPr>
              <w:t>7</w:t>
            </w:r>
            <w:r>
              <w:rPr>
                <w:sz w:val="21"/>
                <w:szCs w:val="21"/>
              </w:rPr>
              <w:t>7.14</w:t>
            </w:r>
          </w:p>
        </w:tc>
        <w:tc>
          <w:tcPr>
            <w:tcW w:w="443" w:type="pct"/>
            <w:vAlign w:val="center"/>
          </w:tcPr>
          <w:p w14:paraId="267928A3">
            <w:pPr>
              <w:tabs>
                <w:tab w:val="clear" w:pos="480"/>
              </w:tabs>
              <w:adjustRightInd w:val="0"/>
              <w:snapToGrid w:val="0"/>
              <w:spacing w:line="240" w:lineRule="auto"/>
              <w:ind w:firstLine="0" w:firstLineChars="0"/>
              <w:jc w:val="center"/>
              <w:rPr>
                <w:sz w:val="21"/>
                <w:szCs w:val="21"/>
              </w:rPr>
            </w:pPr>
            <w:r>
              <w:rPr>
                <w:sz w:val="21"/>
                <w:szCs w:val="21"/>
              </w:rPr>
              <w:t>达标</w:t>
            </w:r>
          </w:p>
        </w:tc>
      </w:tr>
      <w:tr w14:paraId="0FA81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7B820F28">
            <w:pPr>
              <w:tabs>
                <w:tab w:val="clear" w:pos="480"/>
              </w:tabs>
              <w:adjustRightInd w:val="0"/>
              <w:snapToGrid w:val="0"/>
              <w:spacing w:line="240" w:lineRule="auto"/>
              <w:ind w:firstLine="0" w:firstLineChars="0"/>
              <w:jc w:val="center"/>
              <w:rPr>
                <w:sz w:val="21"/>
                <w:szCs w:val="21"/>
              </w:rPr>
            </w:pPr>
            <w:r>
              <w:rPr>
                <w:sz w:val="21"/>
                <w:szCs w:val="21"/>
              </w:rPr>
              <w:t>PM</w:t>
            </w:r>
            <w:r>
              <w:rPr>
                <w:sz w:val="21"/>
                <w:szCs w:val="21"/>
                <w:vertAlign w:val="subscript"/>
              </w:rPr>
              <w:t>2.5</w:t>
            </w:r>
          </w:p>
        </w:tc>
        <w:tc>
          <w:tcPr>
            <w:tcW w:w="1762" w:type="pct"/>
            <w:vAlign w:val="center"/>
          </w:tcPr>
          <w:p w14:paraId="478C72A2">
            <w:pPr>
              <w:tabs>
                <w:tab w:val="clear" w:pos="480"/>
              </w:tabs>
              <w:adjustRightInd w:val="0"/>
              <w:snapToGrid w:val="0"/>
              <w:spacing w:line="240" w:lineRule="auto"/>
              <w:ind w:firstLine="0" w:firstLineChars="0"/>
              <w:jc w:val="center"/>
              <w:rPr>
                <w:sz w:val="21"/>
                <w:szCs w:val="21"/>
              </w:rPr>
            </w:pPr>
            <w:r>
              <w:rPr>
                <w:sz w:val="21"/>
                <w:szCs w:val="21"/>
              </w:rPr>
              <w:t>年平均质量浓度</w:t>
            </w:r>
          </w:p>
        </w:tc>
        <w:tc>
          <w:tcPr>
            <w:tcW w:w="810" w:type="pct"/>
            <w:vAlign w:val="center"/>
          </w:tcPr>
          <w:p w14:paraId="7216897D">
            <w:pPr>
              <w:tabs>
                <w:tab w:val="clear" w:pos="480"/>
              </w:tabs>
              <w:adjustRightInd w:val="0"/>
              <w:snapToGrid w:val="0"/>
              <w:spacing w:line="240" w:lineRule="auto"/>
              <w:ind w:firstLine="0" w:firstLineChars="0"/>
              <w:jc w:val="center"/>
              <w:rPr>
                <w:sz w:val="21"/>
                <w:szCs w:val="21"/>
              </w:rPr>
            </w:pPr>
            <w:r>
              <w:rPr>
                <w:rFonts w:hint="eastAsia"/>
                <w:sz w:val="21"/>
                <w:szCs w:val="21"/>
              </w:rPr>
              <w:t>3</w:t>
            </w:r>
            <w:r>
              <w:rPr>
                <w:sz w:val="21"/>
                <w:szCs w:val="21"/>
              </w:rPr>
              <w:t>5</w:t>
            </w:r>
          </w:p>
        </w:tc>
        <w:tc>
          <w:tcPr>
            <w:tcW w:w="810" w:type="pct"/>
            <w:vAlign w:val="center"/>
          </w:tcPr>
          <w:p w14:paraId="65A57C0A">
            <w:pPr>
              <w:tabs>
                <w:tab w:val="clear" w:pos="480"/>
              </w:tabs>
              <w:adjustRightInd w:val="0"/>
              <w:snapToGrid w:val="0"/>
              <w:spacing w:line="240" w:lineRule="auto"/>
              <w:ind w:firstLine="0" w:firstLineChars="0"/>
              <w:jc w:val="center"/>
              <w:rPr>
                <w:sz w:val="21"/>
                <w:szCs w:val="21"/>
              </w:rPr>
            </w:pPr>
            <w:r>
              <w:rPr>
                <w:sz w:val="21"/>
                <w:szCs w:val="21"/>
              </w:rPr>
              <w:t>35</w:t>
            </w:r>
          </w:p>
        </w:tc>
        <w:tc>
          <w:tcPr>
            <w:tcW w:w="478" w:type="pct"/>
            <w:vAlign w:val="center"/>
          </w:tcPr>
          <w:p w14:paraId="189480C0">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00</w:t>
            </w:r>
          </w:p>
        </w:tc>
        <w:tc>
          <w:tcPr>
            <w:tcW w:w="443" w:type="pct"/>
            <w:vAlign w:val="center"/>
          </w:tcPr>
          <w:p w14:paraId="141BF58F">
            <w:pPr>
              <w:tabs>
                <w:tab w:val="clear" w:pos="480"/>
              </w:tabs>
              <w:adjustRightInd w:val="0"/>
              <w:snapToGrid w:val="0"/>
              <w:spacing w:line="240" w:lineRule="auto"/>
              <w:ind w:firstLine="0" w:firstLineChars="0"/>
              <w:jc w:val="center"/>
              <w:rPr>
                <w:sz w:val="21"/>
                <w:szCs w:val="21"/>
              </w:rPr>
            </w:pPr>
            <w:r>
              <w:rPr>
                <w:sz w:val="21"/>
                <w:szCs w:val="21"/>
              </w:rPr>
              <w:t>达标</w:t>
            </w:r>
          </w:p>
        </w:tc>
      </w:tr>
      <w:tr w14:paraId="2F4D7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3F96C8C5">
            <w:pPr>
              <w:tabs>
                <w:tab w:val="clear" w:pos="480"/>
              </w:tabs>
              <w:adjustRightInd w:val="0"/>
              <w:snapToGrid w:val="0"/>
              <w:spacing w:line="240" w:lineRule="auto"/>
              <w:ind w:firstLine="0" w:firstLineChars="0"/>
              <w:jc w:val="center"/>
              <w:rPr>
                <w:sz w:val="21"/>
                <w:szCs w:val="21"/>
              </w:rPr>
            </w:pPr>
            <w:r>
              <w:rPr>
                <w:sz w:val="21"/>
                <w:szCs w:val="21"/>
              </w:rPr>
              <w:t>CO</w:t>
            </w:r>
          </w:p>
        </w:tc>
        <w:tc>
          <w:tcPr>
            <w:tcW w:w="1762" w:type="pct"/>
            <w:vAlign w:val="center"/>
          </w:tcPr>
          <w:p w14:paraId="16A10FCD">
            <w:pPr>
              <w:tabs>
                <w:tab w:val="clear" w:pos="480"/>
              </w:tabs>
              <w:adjustRightInd w:val="0"/>
              <w:snapToGrid w:val="0"/>
              <w:spacing w:line="240" w:lineRule="auto"/>
              <w:ind w:firstLine="0" w:firstLineChars="0"/>
              <w:jc w:val="center"/>
              <w:rPr>
                <w:sz w:val="21"/>
                <w:szCs w:val="21"/>
              </w:rPr>
            </w:pPr>
            <w:r>
              <w:rPr>
                <w:sz w:val="21"/>
                <w:szCs w:val="21"/>
              </w:rPr>
              <w:t>日均值第95百分位浓度均值</w:t>
            </w:r>
          </w:p>
        </w:tc>
        <w:tc>
          <w:tcPr>
            <w:tcW w:w="810" w:type="pct"/>
            <w:vAlign w:val="center"/>
          </w:tcPr>
          <w:p w14:paraId="3BE7E3F8">
            <w:pPr>
              <w:tabs>
                <w:tab w:val="clear" w:pos="480"/>
              </w:tabs>
              <w:adjustRightInd w:val="0"/>
              <w:snapToGrid w:val="0"/>
              <w:spacing w:line="240" w:lineRule="auto"/>
              <w:ind w:firstLine="0" w:firstLineChars="0"/>
              <w:jc w:val="center"/>
              <w:rPr>
                <w:sz w:val="21"/>
                <w:szCs w:val="21"/>
              </w:rPr>
            </w:pPr>
            <w:r>
              <w:rPr>
                <w:sz w:val="21"/>
                <w:szCs w:val="21"/>
              </w:rPr>
              <w:t>1.0</w:t>
            </w:r>
          </w:p>
        </w:tc>
        <w:tc>
          <w:tcPr>
            <w:tcW w:w="810" w:type="pct"/>
            <w:vAlign w:val="center"/>
          </w:tcPr>
          <w:p w14:paraId="4A217949">
            <w:pPr>
              <w:tabs>
                <w:tab w:val="clear" w:pos="480"/>
              </w:tabs>
              <w:adjustRightInd w:val="0"/>
              <w:snapToGrid w:val="0"/>
              <w:spacing w:line="240" w:lineRule="auto"/>
              <w:ind w:firstLine="0" w:firstLineChars="0"/>
              <w:jc w:val="center"/>
              <w:rPr>
                <w:sz w:val="21"/>
                <w:szCs w:val="21"/>
              </w:rPr>
            </w:pPr>
            <w:r>
              <w:rPr>
                <w:sz w:val="21"/>
                <w:szCs w:val="21"/>
              </w:rPr>
              <w:t>4</w:t>
            </w:r>
          </w:p>
        </w:tc>
        <w:tc>
          <w:tcPr>
            <w:tcW w:w="478" w:type="pct"/>
            <w:vAlign w:val="center"/>
          </w:tcPr>
          <w:p w14:paraId="0136B758">
            <w:pPr>
              <w:tabs>
                <w:tab w:val="clear" w:pos="480"/>
              </w:tabs>
              <w:adjustRightInd w:val="0"/>
              <w:snapToGrid w:val="0"/>
              <w:spacing w:line="240" w:lineRule="auto"/>
              <w:ind w:firstLine="0" w:firstLineChars="0"/>
              <w:jc w:val="center"/>
              <w:rPr>
                <w:sz w:val="21"/>
                <w:szCs w:val="21"/>
              </w:rPr>
            </w:pPr>
            <w:r>
              <w:rPr>
                <w:rFonts w:hint="eastAsia"/>
                <w:sz w:val="21"/>
                <w:szCs w:val="21"/>
              </w:rPr>
              <w:t>2</w:t>
            </w:r>
            <w:r>
              <w:rPr>
                <w:sz w:val="21"/>
                <w:szCs w:val="21"/>
              </w:rPr>
              <w:t>5</w:t>
            </w:r>
          </w:p>
        </w:tc>
        <w:tc>
          <w:tcPr>
            <w:tcW w:w="443" w:type="pct"/>
            <w:vAlign w:val="center"/>
          </w:tcPr>
          <w:p w14:paraId="2B246BEF">
            <w:pPr>
              <w:tabs>
                <w:tab w:val="clear" w:pos="480"/>
              </w:tabs>
              <w:adjustRightInd w:val="0"/>
              <w:snapToGrid w:val="0"/>
              <w:spacing w:line="240" w:lineRule="auto"/>
              <w:ind w:firstLine="0" w:firstLineChars="0"/>
              <w:jc w:val="center"/>
              <w:rPr>
                <w:sz w:val="21"/>
                <w:szCs w:val="21"/>
              </w:rPr>
            </w:pPr>
            <w:r>
              <w:rPr>
                <w:sz w:val="21"/>
                <w:szCs w:val="21"/>
              </w:rPr>
              <w:t>达标</w:t>
            </w:r>
          </w:p>
        </w:tc>
      </w:tr>
      <w:tr w14:paraId="3C7523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7" w:type="pct"/>
            <w:vAlign w:val="center"/>
          </w:tcPr>
          <w:p w14:paraId="49AD5E34">
            <w:pPr>
              <w:tabs>
                <w:tab w:val="clear" w:pos="480"/>
              </w:tabs>
              <w:adjustRightInd w:val="0"/>
              <w:snapToGrid w:val="0"/>
              <w:spacing w:line="240" w:lineRule="auto"/>
              <w:ind w:firstLine="0" w:firstLineChars="0"/>
              <w:jc w:val="center"/>
              <w:rPr>
                <w:sz w:val="21"/>
                <w:szCs w:val="21"/>
              </w:rPr>
            </w:pPr>
            <w:r>
              <w:rPr>
                <w:sz w:val="21"/>
                <w:szCs w:val="21"/>
              </w:rPr>
              <w:t>O</w:t>
            </w:r>
            <w:r>
              <w:rPr>
                <w:sz w:val="21"/>
                <w:szCs w:val="21"/>
                <w:vertAlign w:val="subscript"/>
              </w:rPr>
              <w:t>3</w:t>
            </w:r>
          </w:p>
        </w:tc>
        <w:tc>
          <w:tcPr>
            <w:tcW w:w="1762" w:type="pct"/>
            <w:vAlign w:val="center"/>
          </w:tcPr>
          <w:p w14:paraId="1B03C47A">
            <w:pPr>
              <w:tabs>
                <w:tab w:val="clear" w:pos="480"/>
              </w:tabs>
              <w:adjustRightInd w:val="0"/>
              <w:snapToGrid w:val="0"/>
              <w:spacing w:line="240" w:lineRule="auto"/>
              <w:ind w:firstLine="0" w:firstLineChars="0"/>
              <w:jc w:val="center"/>
              <w:rPr>
                <w:sz w:val="21"/>
                <w:szCs w:val="21"/>
              </w:rPr>
            </w:pPr>
            <w:r>
              <w:rPr>
                <w:sz w:val="21"/>
                <w:szCs w:val="21"/>
              </w:rPr>
              <w:t>日最大8小时平均第90百分位浓度均值</w:t>
            </w:r>
          </w:p>
        </w:tc>
        <w:tc>
          <w:tcPr>
            <w:tcW w:w="810" w:type="pct"/>
            <w:vAlign w:val="center"/>
          </w:tcPr>
          <w:p w14:paraId="7A95345D">
            <w:pPr>
              <w:tabs>
                <w:tab w:val="clear" w:pos="480"/>
              </w:tabs>
              <w:adjustRightInd w:val="0"/>
              <w:snapToGrid w:val="0"/>
              <w:spacing w:line="240" w:lineRule="auto"/>
              <w:ind w:firstLine="0" w:firstLineChars="0"/>
              <w:jc w:val="center"/>
              <w:rPr>
                <w:sz w:val="21"/>
                <w:szCs w:val="21"/>
              </w:rPr>
            </w:pPr>
            <w:r>
              <w:rPr>
                <w:sz w:val="21"/>
                <w:szCs w:val="21"/>
              </w:rPr>
              <w:t>147</w:t>
            </w:r>
          </w:p>
        </w:tc>
        <w:tc>
          <w:tcPr>
            <w:tcW w:w="810" w:type="pct"/>
            <w:vAlign w:val="center"/>
          </w:tcPr>
          <w:p w14:paraId="4906CEE4">
            <w:pPr>
              <w:tabs>
                <w:tab w:val="clear" w:pos="480"/>
              </w:tabs>
              <w:adjustRightInd w:val="0"/>
              <w:snapToGrid w:val="0"/>
              <w:spacing w:line="240" w:lineRule="auto"/>
              <w:ind w:firstLine="0" w:firstLineChars="0"/>
              <w:jc w:val="center"/>
              <w:rPr>
                <w:sz w:val="21"/>
                <w:szCs w:val="21"/>
              </w:rPr>
            </w:pPr>
            <w:r>
              <w:rPr>
                <w:sz w:val="21"/>
                <w:szCs w:val="21"/>
              </w:rPr>
              <w:t>160</w:t>
            </w:r>
          </w:p>
        </w:tc>
        <w:tc>
          <w:tcPr>
            <w:tcW w:w="478" w:type="pct"/>
            <w:vAlign w:val="center"/>
          </w:tcPr>
          <w:p w14:paraId="253BEB74">
            <w:pPr>
              <w:tabs>
                <w:tab w:val="clear" w:pos="480"/>
              </w:tabs>
              <w:adjustRightInd w:val="0"/>
              <w:snapToGrid w:val="0"/>
              <w:spacing w:line="240" w:lineRule="auto"/>
              <w:ind w:firstLine="0" w:firstLineChars="0"/>
              <w:jc w:val="center"/>
              <w:rPr>
                <w:sz w:val="21"/>
                <w:szCs w:val="21"/>
              </w:rPr>
            </w:pPr>
            <w:r>
              <w:rPr>
                <w:rFonts w:hint="eastAsia"/>
                <w:sz w:val="21"/>
                <w:szCs w:val="21"/>
              </w:rPr>
              <w:t>9</w:t>
            </w:r>
            <w:r>
              <w:rPr>
                <w:sz w:val="21"/>
                <w:szCs w:val="21"/>
              </w:rPr>
              <w:t>1.88</w:t>
            </w:r>
          </w:p>
        </w:tc>
        <w:tc>
          <w:tcPr>
            <w:tcW w:w="443" w:type="pct"/>
            <w:vAlign w:val="center"/>
          </w:tcPr>
          <w:p w14:paraId="06C486D4">
            <w:pPr>
              <w:tabs>
                <w:tab w:val="clear" w:pos="480"/>
              </w:tabs>
              <w:adjustRightInd w:val="0"/>
              <w:snapToGrid w:val="0"/>
              <w:spacing w:line="240" w:lineRule="auto"/>
              <w:ind w:firstLine="0" w:firstLineChars="0"/>
              <w:jc w:val="center"/>
              <w:rPr>
                <w:sz w:val="21"/>
                <w:szCs w:val="21"/>
              </w:rPr>
            </w:pPr>
            <w:r>
              <w:rPr>
                <w:sz w:val="21"/>
                <w:szCs w:val="21"/>
              </w:rPr>
              <w:t>达标</w:t>
            </w:r>
          </w:p>
        </w:tc>
      </w:tr>
    </w:tbl>
    <w:p w14:paraId="74E5465B">
      <w:pPr>
        <w:widowControl/>
        <w:tabs>
          <w:tab w:val="clear" w:pos="480"/>
        </w:tabs>
        <w:adjustRightInd w:val="0"/>
        <w:snapToGrid w:val="0"/>
        <w:ind w:firstLine="480"/>
        <w:jc w:val="left"/>
        <w:rPr>
          <w:kern w:val="0"/>
        </w:rPr>
      </w:pPr>
      <w:r>
        <w:rPr>
          <w:kern w:val="0"/>
        </w:rPr>
        <w:t>根据《环境影响评价技术导则 大气环境》（HJ2.2-2018）第6.4.1.1条“城市环境空气质量达标情况评价指标为SO</w:t>
      </w:r>
      <w:r>
        <w:rPr>
          <w:kern w:val="0"/>
          <w:vertAlign w:val="subscript"/>
        </w:rPr>
        <w:t>2</w:t>
      </w:r>
      <w:r>
        <w:rPr>
          <w:kern w:val="0"/>
        </w:rPr>
        <w:t>、NO</w:t>
      </w:r>
      <w:r>
        <w:rPr>
          <w:kern w:val="0"/>
          <w:vertAlign w:val="subscript"/>
        </w:rPr>
        <w:t>2</w:t>
      </w:r>
      <w:r>
        <w:rPr>
          <w:kern w:val="0"/>
        </w:rPr>
        <w:t>、PM</w:t>
      </w:r>
      <w:r>
        <w:rPr>
          <w:kern w:val="0"/>
          <w:vertAlign w:val="subscript"/>
        </w:rPr>
        <w:t>10</w:t>
      </w:r>
      <w:r>
        <w:rPr>
          <w:kern w:val="0"/>
        </w:rPr>
        <w:t>、PM</w:t>
      </w:r>
      <w:r>
        <w:rPr>
          <w:kern w:val="0"/>
          <w:vertAlign w:val="subscript"/>
        </w:rPr>
        <w:t>2.5</w:t>
      </w:r>
      <w:r>
        <w:rPr>
          <w:kern w:val="0"/>
        </w:rPr>
        <w:t>、CO和O</w:t>
      </w:r>
      <w:r>
        <w:rPr>
          <w:kern w:val="0"/>
          <w:vertAlign w:val="subscript"/>
        </w:rPr>
        <w:t>3</w:t>
      </w:r>
      <w:r>
        <w:rPr>
          <w:kern w:val="0"/>
        </w:rPr>
        <w:t>，六项污染物全部达标即为城市环境空气质量达标”，结合上表数据，本项目所在区域2022年均能够达到《环境空气质量标准》（GB3095-2012）及修改单中二级标准，判定本项目所在区域2022年为环境空气质量达标区。</w:t>
      </w:r>
    </w:p>
    <w:p w14:paraId="1AC913F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5.4.2</w:t>
      </w:r>
      <w:r>
        <w:rPr>
          <w:rFonts w:hint="eastAsia" w:ascii="Times New Roman" w:eastAsia="宋体"/>
          <w:sz w:val="28"/>
          <w:szCs w:val="28"/>
          <w:lang w:val="en-US"/>
        </w:rPr>
        <w:t>地表水环境质量现状评价</w:t>
      </w:r>
    </w:p>
    <w:p w14:paraId="2F0F846F">
      <w:pPr>
        <w:adjustRightInd w:val="0"/>
        <w:snapToGrid w:val="0"/>
        <w:ind w:firstLine="480"/>
      </w:pPr>
      <w:r>
        <w:t>本项目营运期无生产废水排放，运行期生活污水经处理后用于</w:t>
      </w:r>
      <w:r>
        <w:rPr>
          <w:rFonts w:hint="eastAsia"/>
        </w:rPr>
        <w:t>升压站周边</w:t>
      </w:r>
      <w:r>
        <w:t>绿化，不外排。经现场调查和访问，项目当地居民主要饮用水源为地下水。项目评价区内无工业污染源，主要的水污染源为区域内农业面源及排放的生活污水。项目区域内主要水体为小溪及池塘，执行地表水Ⅲ类标准。</w:t>
      </w:r>
    </w:p>
    <w:p w14:paraId="0158556B">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5.4.2.1</w:t>
      </w:r>
      <w:r>
        <w:rPr>
          <w:rFonts w:hint="eastAsia" w:ascii="Times New Roman" w:eastAsia="宋体"/>
          <w:sz w:val="24"/>
          <w:szCs w:val="24"/>
        </w:rPr>
        <w:t>区域地表水达标性判定</w:t>
      </w:r>
    </w:p>
    <w:p w14:paraId="34D19B1A">
      <w:pPr>
        <w:adjustRightInd w:val="0"/>
        <w:snapToGrid w:val="0"/>
        <w:ind w:firstLine="480"/>
      </w:pPr>
      <w:r>
        <w:t>根据</w:t>
      </w:r>
      <w:r>
        <w:rPr>
          <w:rFonts w:hint="eastAsia"/>
        </w:rPr>
        <w:t>衡阳市</w:t>
      </w:r>
      <w:r>
        <w:t>生态环境局网站公布的2022</w:t>
      </w:r>
      <w:r>
        <w:rPr>
          <w:rFonts w:hint="eastAsia"/>
        </w:rPr>
        <w:t>年1</w:t>
      </w:r>
      <w:r>
        <w:t>2</w:t>
      </w:r>
      <w:r>
        <w:rPr>
          <w:rFonts w:hint="eastAsia"/>
        </w:rPr>
        <w:t>月及1</w:t>
      </w:r>
      <w:r>
        <w:t>-12</w:t>
      </w:r>
      <w:r>
        <w:rPr>
          <w:rFonts w:hint="eastAsia"/>
        </w:rPr>
        <w:t>月全市环境质量状况的通报（网址：</w:t>
      </w:r>
      <w:r>
        <w:t>http://sthjj.hengyang.gov.cn/hjzl/hjzkgb/20230201/i2921284.html</w:t>
      </w:r>
      <w:r>
        <w:rPr>
          <w:rFonts w:hint="eastAsia"/>
        </w:rPr>
        <w:t>）中描述，</w:t>
      </w:r>
      <w:r>
        <w:t>2022 年1 月-2022</w:t>
      </w:r>
      <w:r>
        <w:rPr>
          <w:rFonts w:hint="eastAsia"/>
        </w:rPr>
        <w:t>年1</w:t>
      </w:r>
      <w:r>
        <w:t>2 月</w:t>
      </w:r>
      <w:r>
        <w:rPr>
          <w:rFonts w:hint="eastAsia"/>
        </w:rPr>
        <w:t>衡阳县各监控断面的水质状况见下表。</w:t>
      </w:r>
    </w:p>
    <w:p w14:paraId="6837F4E2">
      <w:pPr>
        <w:adjustRightInd w:val="0"/>
        <w:snapToGrid w:val="0"/>
        <w:spacing w:line="240" w:lineRule="auto"/>
        <w:ind w:firstLine="482"/>
        <w:jc w:val="center"/>
        <w:rPr>
          <w:rFonts w:hAnsi="宋体"/>
          <w:b/>
          <w:bCs/>
        </w:rPr>
      </w:pPr>
      <w:r>
        <w:rPr>
          <w:rFonts w:hAnsi="宋体"/>
          <w:b/>
          <w:bCs/>
        </w:rPr>
        <w:t>表 5.4-3</w:t>
      </w:r>
      <w:r>
        <w:rPr>
          <w:rFonts w:hint="eastAsia" w:hAnsi="宋体"/>
          <w:b/>
          <w:bCs/>
        </w:rPr>
        <w:t>衡阳县各断面</w:t>
      </w:r>
      <w:r>
        <w:rPr>
          <w:rFonts w:hAnsi="宋体"/>
          <w:b/>
          <w:bCs/>
        </w:rPr>
        <w:t>水质</w:t>
      </w:r>
      <w:r>
        <w:rPr>
          <w:rFonts w:hint="eastAsia" w:hAnsi="宋体"/>
          <w:b/>
          <w:bCs/>
        </w:rPr>
        <w:t>状况</w:t>
      </w:r>
      <w:r>
        <w:rPr>
          <w:rFonts w:hAnsi="宋体"/>
          <w:b/>
          <w:bCs/>
        </w:rPr>
        <w:t>统计结果</w:t>
      </w:r>
    </w:p>
    <w:tbl>
      <w:tblPr>
        <w:tblStyle w:val="8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1231"/>
        <w:gridCol w:w="2438"/>
        <w:gridCol w:w="950"/>
        <w:gridCol w:w="1611"/>
        <w:gridCol w:w="767"/>
      </w:tblGrid>
      <w:tr w14:paraId="13D43C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 w:type="pct"/>
            <w:vAlign w:val="center"/>
          </w:tcPr>
          <w:p w14:paraId="45BA6F89">
            <w:pPr>
              <w:widowControl/>
              <w:tabs>
                <w:tab w:val="clear" w:pos="480"/>
              </w:tabs>
              <w:spacing w:line="240" w:lineRule="auto"/>
              <w:ind w:firstLine="0" w:firstLineChars="0"/>
              <w:jc w:val="center"/>
              <w:rPr>
                <w:b/>
                <w:bCs/>
                <w:sz w:val="21"/>
                <w:szCs w:val="21"/>
              </w:rPr>
            </w:pPr>
            <w:r>
              <w:rPr>
                <w:b/>
                <w:bCs/>
                <w:sz w:val="21"/>
                <w:szCs w:val="21"/>
              </w:rPr>
              <w:t>断面名称</w:t>
            </w:r>
          </w:p>
        </w:tc>
        <w:tc>
          <w:tcPr>
            <w:tcW w:w="722" w:type="pct"/>
            <w:vAlign w:val="center"/>
          </w:tcPr>
          <w:p w14:paraId="1C55AC72">
            <w:pPr>
              <w:widowControl/>
              <w:tabs>
                <w:tab w:val="clear" w:pos="480"/>
              </w:tabs>
              <w:spacing w:line="240" w:lineRule="auto"/>
              <w:ind w:firstLine="0" w:firstLineChars="0"/>
              <w:jc w:val="center"/>
              <w:rPr>
                <w:b/>
                <w:bCs/>
                <w:sz w:val="21"/>
                <w:szCs w:val="21"/>
              </w:rPr>
            </w:pPr>
            <w:r>
              <w:rPr>
                <w:b/>
                <w:bCs/>
                <w:sz w:val="21"/>
                <w:szCs w:val="21"/>
              </w:rPr>
              <w:t>所在河流</w:t>
            </w:r>
          </w:p>
        </w:tc>
        <w:tc>
          <w:tcPr>
            <w:tcW w:w="1430" w:type="pct"/>
            <w:vAlign w:val="center"/>
          </w:tcPr>
          <w:p w14:paraId="1DC54471">
            <w:pPr>
              <w:widowControl/>
              <w:tabs>
                <w:tab w:val="clear" w:pos="480"/>
              </w:tabs>
              <w:spacing w:line="240" w:lineRule="auto"/>
              <w:ind w:firstLine="0" w:firstLineChars="0"/>
              <w:jc w:val="center"/>
              <w:rPr>
                <w:b/>
                <w:bCs/>
                <w:sz w:val="21"/>
                <w:szCs w:val="21"/>
              </w:rPr>
            </w:pPr>
            <w:r>
              <w:rPr>
                <w:b/>
                <w:bCs/>
                <w:sz w:val="21"/>
                <w:szCs w:val="21"/>
              </w:rPr>
              <w:t>断面属性</w:t>
            </w:r>
          </w:p>
        </w:tc>
        <w:tc>
          <w:tcPr>
            <w:tcW w:w="557" w:type="pct"/>
            <w:vAlign w:val="center"/>
          </w:tcPr>
          <w:p w14:paraId="33DF7147">
            <w:pPr>
              <w:widowControl/>
              <w:tabs>
                <w:tab w:val="clear" w:pos="480"/>
              </w:tabs>
              <w:spacing w:line="240" w:lineRule="auto"/>
              <w:ind w:firstLine="0" w:firstLineChars="0"/>
              <w:jc w:val="center"/>
              <w:rPr>
                <w:b/>
                <w:bCs/>
                <w:sz w:val="21"/>
                <w:szCs w:val="21"/>
              </w:rPr>
            </w:pPr>
            <w:r>
              <w:rPr>
                <w:b/>
                <w:bCs/>
                <w:sz w:val="21"/>
                <w:szCs w:val="21"/>
              </w:rPr>
              <w:t>水质类别</w:t>
            </w:r>
          </w:p>
        </w:tc>
        <w:tc>
          <w:tcPr>
            <w:tcW w:w="945" w:type="pct"/>
            <w:vAlign w:val="center"/>
          </w:tcPr>
          <w:p w14:paraId="1E097C8C">
            <w:pPr>
              <w:widowControl/>
              <w:tabs>
                <w:tab w:val="clear" w:pos="480"/>
              </w:tabs>
              <w:spacing w:line="240" w:lineRule="auto"/>
              <w:ind w:firstLine="0" w:firstLineChars="0"/>
              <w:jc w:val="center"/>
              <w:rPr>
                <w:b/>
                <w:bCs/>
                <w:sz w:val="21"/>
                <w:szCs w:val="21"/>
              </w:rPr>
            </w:pPr>
            <w:r>
              <w:rPr>
                <w:b/>
                <w:bCs/>
                <w:sz w:val="21"/>
                <w:szCs w:val="21"/>
              </w:rPr>
              <w:t>《地表水环境质量标准》</w:t>
            </w:r>
          </w:p>
        </w:tc>
        <w:tc>
          <w:tcPr>
            <w:tcW w:w="450" w:type="pct"/>
            <w:vAlign w:val="center"/>
          </w:tcPr>
          <w:p w14:paraId="6CFBD2D6">
            <w:pPr>
              <w:widowControl/>
              <w:tabs>
                <w:tab w:val="clear" w:pos="480"/>
              </w:tabs>
              <w:spacing w:line="240" w:lineRule="auto"/>
              <w:ind w:firstLine="0" w:firstLineChars="0"/>
              <w:jc w:val="center"/>
              <w:rPr>
                <w:b/>
                <w:bCs/>
                <w:sz w:val="21"/>
                <w:szCs w:val="21"/>
              </w:rPr>
            </w:pPr>
            <w:r>
              <w:rPr>
                <w:b/>
                <w:bCs/>
                <w:sz w:val="21"/>
                <w:szCs w:val="21"/>
              </w:rPr>
              <w:t>达标情况</w:t>
            </w:r>
          </w:p>
        </w:tc>
      </w:tr>
      <w:tr w14:paraId="2C841C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 w:type="pct"/>
            <w:vAlign w:val="center"/>
          </w:tcPr>
          <w:p w14:paraId="50269AB8">
            <w:pPr>
              <w:widowControl/>
              <w:tabs>
                <w:tab w:val="clear" w:pos="480"/>
              </w:tabs>
              <w:spacing w:line="240" w:lineRule="auto"/>
              <w:ind w:firstLine="0" w:firstLineChars="0"/>
              <w:jc w:val="center"/>
              <w:rPr>
                <w:sz w:val="21"/>
                <w:szCs w:val="21"/>
              </w:rPr>
            </w:pPr>
            <w:r>
              <w:rPr>
                <w:sz w:val="21"/>
                <w:szCs w:val="21"/>
              </w:rPr>
              <w:t>洪市镇</w:t>
            </w:r>
          </w:p>
        </w:tc>
        <w:tc>
          <w:tcPr>
            <w:tcW w:w="722" w:type="pct"/>
            <w:vAlign w:val="center"/>
          </w:tcPr>
          <w:p w14:paraId="740A6174">
            <w:pPr>
              <w:widowControl/>
              <w:tabs>
                <w:tab w:val="clear" w:pos="480"/>
              </w:tabs>
              <w:spacing w:line="240" w:lineRule="auto"/>
              <w:ind w:firstLine="0" w:firstLineChars="0"/>
              <w:jc w:val="center"/>
              <w:rPr>
                <w:sz w:val="21"/>
                <w:szCs w:val="21"/>
              </w:rPr>
            </w:pPr>
            <w:r>
              <w:rPr>
                <w:sz w:val="21"/>
                <w:szCs w:val="21"/>
              </w:rPr>
              <w:t>湘江蒸水</w:t>
            </w:r>
          </w:p>
        </w:tc>
        <w:tc>
          <w:tcPr>
            <w:tcW w:w="1430" w:type="pct"/>
            <w:vAlign w:val="center"/>
          </w:tcPr>
          <w:p w14:paraId="4D498C76">
            <w:pPr>
              <w:widowControl/>
              <w:tabs>
                <w:tab w:val="clear" w:pos="480"/>
              </w:tabs>
              <w:spacing w:line="240" w:lineRule="auto"/>
              <w:ind w:firstLine="0" w:firstLineChars="0"/>
              <w:jc w:val="center"/>
              <w:rPr>
                <w:sz w:val="21"/>
                <w:szCs w:val="21"/>
              </w:rPr>
            </w:pPr>
            <w:r>
              <w:rPr>
                <w:sz w:val="21"/>
                <w:szCs w:val="21"/>
              </w:rPr>
              <w:t>控制</w:t>
            </w:r>
          </w:p>
        </w:tc>
        <w:tc>
          <w:tcPr>
            <w:tcW w:w="557" w:type="pct"/>
            <w:vAlign w:val="center"/>
          </w:tcPr>
          <w:p w14:paraId="199E654F">
            <w:pPr>
              <w:widowControl/>
              <w:tabs>
                <w:tab w:val="clear" w:pos="480"/>
              </w:tabs>
              <w:spacing w:line="240" w:lineRule="auto"/>
              <w:ind w:firstLine="0" w:firstLineChars="0"/>
              <w:jc w:val="center"/>
              <w:rPr>
                <w:sz w:val="21"/>
                <w:szCs w:val="21"/>
              </w:rPr>
            </w:pPr>
            <w:r>
              <w:rPr>
                <w:sz w:val="21"/>
                <w:szCs w:val="21"/>
              </w:rPr>
              <w:fldChar w:fldCharType="begin"/>
            </w:r>
            <w:r>
              <w:rPr>
                <w:sz w:val="21"/>
                <w:szCs w:val="21"/>
              </w:rPr>
              <w:instrText xml:space="preserve"> = 2 \* ROMAN </w:instrText>
            </w:r>
            <w:r>
              <w:rPr>
                <w:sz w:val="21"/>
                <w:szCs w:val="21"/>
              </w:rPr>
              <w:fldChar w:fldCharType="separate"/>
            </w:r>
            <w:r>
              <w:rPr>
                <w:sz w:val="21"/>
                <w:szCs w:val="21"/>
              </w:rPr>
              <w:t>II</w:t>
            </w:r>
            <w:r>
              <w:rPr>
                <w:sz w:val="21"/>
                <w:szCs w:val="21"/>
              </w:rPr>
              <w:fldChar w:fldCharType="end"/>
            </w:r>
            <w:r>
              <w:rPr>
                <w:sz w:val="21"/>
                <w:szCs w:val="21"/>
              </w:rPr>
              <w:t>类</w:t>
            </w:r>
          </w:p>
        </w:tc>
        <w:tc>
          <w:tcPr>
            <w:tcW w:w="945" w:type="pct"/>
            <w:vAlign w:val="center"/>
          </w:tcPr>
          <w:p w14:paraId="6CA14464">
            <w:pPr>
              <w:widowControl/>
              <w:tabs>
                <w:tab w:val="clear" w:pos="480"/>
              </w:tabs>
              <w:spacing w:line="240" w:lineRule="auto"/>
              <w:ind w:firstLine="0" w:firstLineChars="0"/>
              <w:jc w:val="center"/>
              <w:rPr>
                <w:sz w:val="21"/>
                <w:szCs w:val="21"/>
              </w:rPr>
            </w:pPr>
            <w:r>
              <w:rPr>
                <w:sz w:val="21"/>
                <w:szCs w:val="21"/>
              </w:rPr>
              <w:fldChar w:fldCharType="begin"/>
            </w:r>
            <w:r>
              <w:rPr>
                <w:sz w:val="21"/>
                <w:szCs w:val="21"/>
              </w:rPr>
              <w:instrText xml:space="preserve"> = 2 \* ROMAN </w:instrText>
            </w:r>
            <w:r>
              <w:rPr>
                <w:sz w:val="21"/>
                <w:szCs w:val="21"/>
              </w:rPr>
              <w:fldChar w:fldCharType="separate"/>
            </w:r>
            <w:r>
              <w:rPr>
                <w:sz w:val="21"/>
                <w:szCs w:val="21"/>
              </w:rPr>
              <w:t>II</w:t>
            </w:r>
            <w:r>
              <w:rPr>
                <w:sz w:val="21"/>
                <w:szCs w:val="21"/>
              </w:rPr>
              <w:fldChar w:fldCharType="end"/>
            </w:r>
            <w:r>
              <w:rPr>
                <w:sz w:val="21"/>
                <w:szCs w:val="21"/>
              </w:rPr>
              <w:t>类</w:t>
            </w:r>
          </w:p>
        </w:tc>
        <w:tc>
          <w:tcPr>
            <w:tcW w:w="450" w:type="pct"/>
            <w:vAlign w:val="center"/>
          </w:tcPr>
          <w:p w14:paraId="01C98F1E">
            <w:pPr>
              <w:widowControl/>
              <w:tabs>
                <w:tab w:val="clear" w:pos="480"/>
              </w:tabs>
              <w:spacing w:line="240" w:lineRule="auto"/>
              <w:ind w:firstLine="0" w:firstLineChars="0"/>
              <w:jc w:val="center"/>
              <w:rPr>
                <w:sz w:val="21"/>
                <w:szCs w:val="21"/>
              </w:rPr>
            </w:pPr>
            <w:r>
              <w:rPr>
                <w:sz w:val="21"/>
                <w:szCs w:val="21"/>
              </w:rPr>
              <w:t>达标</w:t>
            </w:r>
          </w:p>
        </w:tc>
      </w:tr>
      <w:tr w14:paraId="260C62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 w:type="pct"/>
            <w:vAlign w:val="center"/>
          </w:tcPr>
          <w:p w14:paraId="6352F44A">
            <w:pPr>
              <w:widowControl/>
              <w:tabs>
                <w:tab w:val="clear" w:pos="480"/>
              </w:tabs>
              <w:spacing w:line="240" w:lineRule="auto"/>
              <w:ind w:firstLine="0" w:firstLineChars="0"/>
              <w:jc w:val="center"/>
              <w:rPr>
                <w:sz w:val="21"/>
                <w:szCs w:val="21"/>
              </w:rPr>
            </w:pPr>
            <w:r>
              <w:rPr>
                <w:sz w:val="21"/>
                <w:szCs w:val="21"/>
              </w:rPr>
              <w:t>西渡水厂</w:t>
            </w:r>
          </w:p>
        </w:tc>
        <w:tc>
          <w:tcPr>
            <w:tcW w:w="722" w:type="pct"/>
            <w:vAlign w:val="center"/>
          </w:tcPr>
          <w:p w14:paraId="0072B4B8">
            <w:pPr>
              <w:widowControl/>
              <w:tabs>
                <w:tab w:val="clear" w:pos="480"/>
              </w:tabs>
              <w:spacing w:line="240" w:lineRule="auto"/>
              <w:ind w:firstLine="0" w:firstLineChars="0"/>
              <w:jc w:val="center"/>
              <w:rPr>
                <w:sz w:val="21"/>
                <w:szCs w:val="21"/>
              </w:rPr>
            </w:pPr>
            <w:r>
              <w:rPr>
                <w:sz w:val="21"/>
                <w:szCs w:val="21"/>
              </w:rPr>
              <w:t>湘江蒸水</w:t>
            </w:r>
          </w:p>
        </w:tc>
        <w:tc>
          <w:tcPr>
            <w:tcW w:w="1430" w:type="pct"/>
            <w:vAlign w:val="center"/>
          </w:tcPr>
          <w:p w14:paraId="4B8BB7A8">
            <w:pPr>
              <w:widowControl/>
              <w:tabs>
                <w:tab w:val="clear" w:pos="480"/>
              </w:tabs>
              <w:spacing w:line="240" w:lineRule="auto"/>
              <w:ind w:firstLine="0" w:firstLineChars="0"/>
              <w:jc w:val="center"/>
              <w:rPr>
                <w:sz w:val="21"/>
                <w:szCs w:val="21"/>
              </w:rPr>
            </w:pPr>
            <w:r>
              <w:rPr>
                <w:sz w:val="21"/>
                <w:szCs w:val="21"/>
              </w:rPr>
              <w:t>饮用水</w:t>
            </w:r>
          </w:p>
        </w:tc>
        <w:tc>
          <w:tcPr>
            <w:tcW w:w="557" w:type="pct"/>
            <w:vAlign w:val="center"/>
          </w:tcPr>
          <w:p w14:paraId="4A118671">
            <w:pPr>
              <w:widowControl/>
              <w:tabs>
                <w:tab w:val="clear" w:pos="480"/>
              </w:tabs>
              <w:spacing w:line="240" w:lineRule="auto"/>
              <w:ind w:firstLine="0" w:firstLineChars="0"/>
              <w:jc w:val="center"/>
              <w:rPr>
                <w:sz w:val="21"/>
                <w:szCs w:val="21"/>
              </w:rPr>
            </w:pPr>
            <w:r>
              <w:rPr>
                <w:sz w:val="21"/>
                <w:szCs w:val="21"/>
              </w:rPr>
              <w:fldChar w:fldCharType="begin"/>
            </w:r>
            <w:r>
              <w:rPr>
                <w:sz w:val="21"/>
                <w:szCs w:val="21"/>
              </w:rPr>
              <w:instrText xml:space="preserve"> = 2 \* ROMAN </w:instrText>
            </w:r>
            <w:r>
              <w:rPr>
                <w:sz w:val="21"/>
                <w:szCs w:val="21"/>
              </w:rPr>
              <w:fldChar w:fldCharType="separate"/>
            </w:r>
            <w:r>
              <w:rPr>
                <w:sz w:val="21"/>
                <w:szCs w:val="21"/>
              </w:rPr>
              <w:t>II</w:t>
            </w:r>
            <w:r>
              <w:rPr>
                <w:sz w:val="21"/>
                <w:szCs w:val="21"/>
              </w:rPr>
              <w:fldChar w:fldCharType="end"/>
            </w:r>
            <w:r>
              <w:rPr>
                <w:sz w:val="21"/>
                <w:szCs w:val="21"/>
              </w:rPr>
              <w:t>类</w:t>
            </w:r>
          </w:p>
        </w:tc>
        <w:tc>
          <w:tcPr>
            <w:tcW w:w="945" w:type="pct"/>
            <w:vAlign w:val="center"/>
          </w:tcPr>
          <w:p w14:paraId="1D5F7D43">
            <w:pPr>
              <w:widowControl/>
              <w:tabs>
                <w:tab w:val="clear" w:pos="480"/>
              </w:tabs>
              <w:spacing w:line="240" w:lineRule="auto"/>
              <w:ind w:firstLine="0" w:firstLineChars="0"/>
              <w:jc w:val="center"/>
              <w:rPr>
                <w:sz w:val="21"/>
                <w:szCs w:val="21"/>
              </w:rPr>
            </w:pPr>
            <w:r>
              <w:rPr>
                <w:sz w:val="21"/>
                <w:szCs w:val="21"/>
              </w:rPr>
              <w:fldChar w:fldCharType="begin"/>
            </w:r>
            <w:r>
              <w:rPr>
                <w:sz w:val="21"/>
                <w:szCs w:val="21"/>
              </w:rPr>
              <w:instrText xml:space="preserve"> = 2 \* ROMAN </w:instrText>
            </w:r>
            <w:r>
              <w:rPr>
                <w:sz w:val="21"/>
                <w:szCs w:val="21"/>
              </w:rPr>
              <w:fldChar w:fldCharType="separate"/>
            </w:r>
            <w:r>
              <w:rPr>
                <w:sz w:val="21"/>
                <w:szCs w:val="21"/>
              </w:rPr>
              <w:t>II</w:t>
            </w:r>
            <w:r>
              <w:rPr>
                <w:sz w:val="21"/>
                <w:szCs w:val="21"/>
              </w:rPr>
              <w:fldChar w:fldCharType="end"/>
            </w:r>
            <w:r>
              <w:rPr>
                <w:sz w:val="21"/>
                <w:szCs w:val="21"/>
              </w:rPr>
              <w:t>类</w:t>
            </w:r>
          </w:p>
        </w:tc>
        <w:tc>
          <w:tcPr>
            <w:tcW w:w="450" w:type="pct"/>
            <w:vAlign w:val="center"/>
          </w:tcPr>
          <w:p w14:paraId="73552F81">
            <w:pPr>
              <w:widowControl/>
              <w:tabs>
                <w:tab w:val="clear" w:pos="480"/>
              </w:tabs>
              <w:spacing w:line="240" w:lineRule="auto"/>
              <w:ind w:firstLine="0" w:firstLineChars="0"/>
              <w:jc w:val="center"/>
              <w:rPr>
                <w:sz w:val="21"/>
                <w:szCs w:val="21"/>
              </w:rPr>
            </w:pPr>
            <w:r>
              <w:rPr>
                <w:sz w:val="21"/>
                <w:szCs w:val="21"/>
              </w:rPr>
              <w:t>达标</w:t>
            </w:r>
          </w:p>
        </w:tc>
      </w:tr>
      <w:tr w14:paraId="1D4606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6" w:type="pct"/>
            <w:vAlign w:val="center"/>
          </w:tcPr>
          <w:p w14:paraId="442F4F70">
            <w:pPr>
              <w:widowControl/>
              <w:tabs>
                <w:tab w:val="clear" w:pos="480"/>
              </w:tabs>
              <w:spacing w:line="240" w:lineRule="auto"/>
              <w:ind w:firstLine="0" w:firstLineChars="0"/>
              <w:jc w:val="center"/>
              <w:rPr>
                <w:sz w:val="21"/>
                <w:szCs w:val="21"/>
              </w:rPr>
            </w:pPr>
            <w:r>
              <w:rPr>
                <w:sz w:val="21"/>
                <w:szCs w:val="21"/>
              </w:rPr>
              <w:t>新化村</w:t>
            </w:r>
          </w:p>
        </w:tc>
        <w:tc>
          <w:tcPr>
            <w:tcW w:w="722" w:type="pct"/>
            <w:vAlign w:val="center"/>
          </w:tcPr>
          <w:p w14:paraId="66075CF1">
            <w:pPr>
              <w:widowControl/>
              <w:tabs>
                <w:tab w:val="clear" w:pos="480"/>
              </w:tabs>
              <w:spacing w:line="240" w:lineRule="auto"/>
              <w:ind w:firstLine="0" w:firstLineChars="0"/>
              <w:jc w:val="center"/>
              <w:rPr>
                <w:sz w:val="21"/>
                <w:szCs w:val="21"/>
              </w:rPr>
            </w:pPr>
            <w:r>
              <w:rPr>
                <w:sz w:val="21"/>
                <w:szCs w:val="21"/>
              </w:rPr>
              <w:t>湘江蒸水</w:t>
            </w:r>
          </w:p>
        </w:tc>
        <w:tc>
          <w:tcPr>
            <w:tcW w:w="1430" w:type="pct"/>
            <w:vAlign w:val="center"/>
          </w:tcPr>
          <w:p w14:paraId="438580E9">
            <w:pPr>
              <w:widowControl/>
              <w:tabs>
                <w:tab w:val="clear" w:pos="480"/>
              </w:tabs>
              <w:spacing w:line="240" w:lineRule="auto"/>
              <w:ind w:firstLine="0" w:firstLineChars="0"/>
              <w:jc w:val="center"/>
              <w:rPr>
                <w:sz w:val="21"/>
                <w:szCs w:val="21"/>
              </w:rPr>
            </w:pPr>
            <w:r>
              <w:rPr>
                <w:sz w:val="21"/>
                <w:szCs w:val="21"/>
              </w:rPr>
              <w:t>县界（衡阳县-衡南县）</w:t>
            </w:r>
          </w:p>
        </w:tc>
        <w:tc>
          <w:tcPr>
            <w:tcW w:w="557" w:type="pct"/>
            <w:vAlign w:val="center"/>
          </w:tcPr>
          <w:p w14:paraId="73AF520B">
            <w:pPr>
              <w:widowControl/>
              <w:tabs>
                <w:tab w:val="clear" w:pos="480"/>
              </w:tabs>
              <w:spacing w:line="240" w:lineRule="auto"/>
              <w:ind w:firstLine="0" w:firstLineChars="0"/>
              <w:jc w:val="center"/>
              <w:rPr>
                <w:sz w:val="21"/>
                <w:szCs w:val="21"/>
              </w:rPr>
            </w:pPr>
            <w:r>
              <w:rPr>
                <w:sz w:val="21"/>
                <w:szCs w:val="21"/>
              </w:rPr>
              <w:fldChar w:fldCharType="begin"/>
            </w:r>
            <w:r>
              <w:rPr>
                <w:sz w:val="21"/>
                <w:szCs w:val="21"/>
              </w:rPr>
              <w:instrText xml:space="preserve"> = 3 \* ROMAN </w:instrText>
            </w:r>
            <w:r>
              <w:rPr>
                <w:sz w:val="21"/>
                <w:szCs w:val="21"/>
              </w:rPr>
              <w:fldChar w:fldCharType="separate"/>
            </w:r>
            <w:r>
              <w:rPr>
                <w:sz w:val="21"/>
                <w:szCs w:val="21"/>
              </w:rPr>
              <w:t>III</w:t>
            </w:r>
            <w:r>
              <w:rPr>
                <w:sz w:val="21"/>
                <w:szCs w:val="21"/>
              </w:rPr>
              <w:fldChar w:fldCharType="end"/>
            </w:r>
            <w:r>
              <w:rPr>
                <w:sz w:val="21"/>
                <w:szCs w:val="21"/>
              </w:rPr>
              <w:t>类</w:t>
            </w:r>
          </w:p>
        </w:tc>
        <w:tc>
          <w:tcPr>
            <w:tcW w:w="945" w:type="pct"/>
            <w:vAlign w:val="center"/>
          </w:tcPr>
          <w:p w14:paraId="27EB6350">
            <w:pPr>
              <w:widowControl/>
              <w:tabs>
                <w:tab w:val="clear" w:pos="480"/>
              </w:tabs>
              <w:spacing w:line="240" w:lineRule="auto"/>
              <w:ind w:firstLine="0" w:firstLineChars="0"/>
              <w:jc w:val="center"/>
              <w:rPr>
                <w:sz w:val="21"/>
                <w:szCs w:val="21"/>
              </w:rPr>
            </w:pPr>
            <w:r>
              <w:rPr>
                <w:sz w:val="21"/>
                <w:szCs w:val="21"/>
              </w:rPr>
              <w:fldChar w:fldCharType="begin"/>
            </w:r>
            <w:r>
              <w:rPr>
                <w:sz w:val="21"/>
                <w:szCs w:val="21"/>
              </w:rPr>
              <w:instrText xml:space="preserve"> = 3 \* ROMAN </w:instrText>
            </w:r>
            <w:r>
              <w:rPr>
                <w:sz w:val="21"/>
                <w:szCs w:val="21"/>
              </w:rPr>
              <w:fldChar w:fldCharType="separate"/>
            </w:r>
            <w:r>
              <w:rPr>
                <w:sz w:val="21"/>
                <w:szCs w:val="21"/>
              </w:rPr>
              <w:t>III</w:t>
            </w:r>
            <w:r>
              <w:rPr>
                <w:sz w:val="21"/>
                <w:szCs w:val="21"/>
              </w:rPr>
              <w:fldChar w:fldCharType="end"/>
            </w:r>
            <w:r>
              <w:rPr>
                <w:sz w:val="21"/>
                <w:szCs w:val="21"/>
              </w:rPr>
              <w:t>类</w:t>
            </w:r>
          </w:p>
        </w:tc>
        <w:tc>
          <w:tcPr>
            <w:tcW w:w="450" w:type="pct"/>
            <w:vAlign w:val="center"/>
          </w:tcPr>
          <w:p w14:paraId="0C4DBC86">
            <w:pPr>
              <w:widowControl/>
              <w:tabs>
                <w:tab w:val="clear" w:pos="480"/>
              </w:tabs>
              <w:spacing w:line="240" w:lineRule="auto"/>
              <w:ind w:firstLine="0" w:firstLineChars="0"/>
              <w:jc w:val="center"/>
              <w:rPr>
                <w:sz w:val="21"/>
                <w:szCs w:val="21"/>
              </w:rPr>
            </w:pPr>
            <w:r>
              <w:rPr>
                <w:sz w:val="21"/>
                <w:szCs w:val="21"/>
              </w:rPr>
              <w:t>达标</w:t>
            </w:r>
          </w:p>
        </w:tc>
      </w:tr>
    </w:tbl>
    <w:p w14:paraId="2277CB9D">
      <w:pPr>
        <w:adjustRightInd w:val="0"/>
        <w:snapToGrid w:val="0"/>
        <w:ind w:firstLine="480"/>
      </w:pPr>
      <w:r>
        <w:t>根据上表可知，衡阳县所在区域地表水各断面水质均能够满足相应标准，项目所在区域为地表水环境质量达标区。</w:t>
      </w:r>
    </w:p>
    <w:p w14:paraId="68CB0A11">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5.4.2.2</w:t>
      </w:r>
      <w:r>
        <w:rPr>
          <w:rFonts w:hint="eastAsia" w:ascii="Times New Roman" w:eastAsia="宋体"/>
          <w:sz w:val="24"/>
          <w:szCs w:val="24"/>
        </w:rPr>
        <w:t>项目区域地表水环境监测与评价</w:t>
      </w:r>
    </w:p>
    <w:p w14:paraId="504E2BAE">
      <w:pPr>
        <w:adjustRightInd w:val="0"/>
        <w:snapToGrid w:val="0"/>
        <w:ind w:firstLine="480"/>
      </w:pPr>
      <w:r>
        <w:t>为反映评价区涉及地表水体水环境质量状况，本次评价委托湖南中诚环境监测技术有限公司于2023年4月21日至23日</w:t>
      </w:r>
      <w:r>
        <w:rPr>
          <w:rFonts w:hint="eastAsia"/>
        </w:rPr>
        <w:t>以及2</w:t>
      </w:r>
      <w:r>
        <w:t>023</w:t>
      </w:r>
      <w:r>
        <w:rPr>
          <w:rFonts w:hint="eastAsia"/>
        </w:rPr>
        <w:t>年8月5日~</w:t>
      </w:r>
      <w:r>
        <w:t>2023</w:t>
      </w:r>
      <w:r>
        <w:rPr>
          <w:rFonts w:hint="eastAsia"/>
        </w:rPr>
        <w:t>年8月7日</w:t>
      </w:r>
      <w:r>
        <w:t>对项目附近水体进行了水质采样及现状监测。</w:t>
      </w:r>
    </w:p>
    <w:p w14:paraId="61EE9590">
      <w:pPr>
        <w:adjustRightInd w:val="0"/>
        <w:snapToGrid w:val="0"/>
        <w:ind w:firstLine="480"/>
      </w:pPr>
      <w:r>
        <w:t>（1）监测断面</w:t>
      </w:r>
    </w:p>
    <w:p w14:paraId="18ECAFF9">
      <w:pPr>
        <w:adjustRightInd w:val="0"/>
        <w:snapToGrid w:val="0"/>
        <w:ind w:firstLine="480"/>
      </w:pPr>
      <w:r>
        <w:t>监测断面详细见下表。</w:t>
      </w:r>
    </w:p>
    <w:p w14:paraId="4B27A432">
      <w:pPr>
        <w:tabs>
          <w:tab w:val="clear" w:pos="480"/>
        </w:tabs>
        <w:spacing w:line="240" w:lineRule="auto"/>
        <w:ind w:firstLine="0" w:firstLineChars="0"/>
        <w:jc w:val="center"/>
        <w:rPr>
          <w:b/>
          <w:bCs/>
        </w:rPr>
      </w:pPr>
      <w:r>
        <w:rPr>
          <w:b/>
          <w:bCs/>
        </w:rPr>
        <w:t>表5.4-4地表水环境监测布点一览表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2043"/>
        <w:gridCol w:w="2481"/>
        <w:gridCol w:w="1161"/>
        <w:gridCol w:w="1271"/>
        <w:gridCol w:w="1001"/>
      </w:tblGrid>
      <w:tr w14:paraId="6019DF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4AD2E99B">
            <w:pPr>
              <w:tabs>
                <w:tab w:val="clear" w:pos="480"/>
              </w:tabs>
              <w:adjustRightInd w:val="0"/>
              <w:snapToGrid w:val="0"/>
              <w:spacing w:line="240" w:lineRule="auto"/>
              <w:ind w:firstLine="0" w:firstLineChars="0"/>
              <w:jc w:val="center"/>
              <w:rPr>
                <w:b/>
                <w:bCs/>
                <w:sz w:val="18"/>
                <w:szCs w:val="18"/>
              </w:rPr>
            </w:pPr>
            <w:r>
              <w:rPr>
                <w:b/>
                <w:bCs/>
                <w:sz w:val="18"/>
                <w:szCs w:val="18"/>
              </w:rPr>
              <w:t>编号</w:t>
            </w:r>
          </w:p>
        </w:tc>
        <w:tc>
          <w:tcPr>
            <w:tcW w:w="1198" w:type="pct"/>
            <w:vAlign w:val="center"/>
          </w:tcPr>
          <w:p w14:paraId="1858B82D">
            <w:pPr>
              <w:tabs>
                <w:tab w:val="clear" w:pos="480"/>
              </w:tabs>
              <w:adjustRightInd w:val="0"/>
              <w:snapToGrid w:val="0"/>
              <w:spacing w:line="240" w:lineRule="auto"/>
              <w:ind w:firstLine="0" w:firstLineChars="0"/>
              <w:jc w:val="center"/>
              <w:rPr>
                <w:b/>
                <w:bCs/>
                <w:sz w:val="18"/>
                <w:szCs w:val="18"/>
              </w:rPr>
            </w:pPr>
            <w:r>
              <w:rPr>
                <w:b/>
                <w:bCs/>
                <w:sz w:val="18"/>
                <w:szCs w:val="18"/>
              </w:rPr>
              <w:t>监测点位</w:t>
            </w:r>
          </w:p>
        </w:tc>
        <w:tc>
          <w:tcPr>
            <w:tcW w:w="1455" w:type="pct"/>
          </w:tcPr>
          <w:p w14:paraId="1E9E5A29">
            <w:pPr>
              <w:tabs>
                <w:tab w:val="clear" w:pos="480"/>
              </w:tabs>
              <w:adjustRightInd w:val="0"/>
              <w:snapToGrid w:val="0"/>
              <w:spacing w:line="240" w:lineRule="auto"/>
              <w:ind w:firstLine="0" w:firstLineChars="0"/>
              <w:jc w:val="center"/>
              <w:rPr>
                <w:b/>
                <w:bCs/>
                <w:sz w:val="18"/>
                <w:szCs w:val="18"/>
              </w:rPr>
            </w:pPr>
            <w:r>
              <w:rPr>
                <w:b/>
                <w:bCs/>
                <w:sz w:val="18"/>
                <w:szCs w:val="18"/>
              </w:rPr>
              <w:t>与本项目位置关系</w:t>
            </w:r>
          </w:p>
        </w:tc>
        <w:tc>
          <w:tcPr>
            <w:tcW w:w="681" w:type="pct"/>
            <w:vAlign w:val="center"/>
          </w:tcPr>
          <w:p w14:paraId="3BF59922">
            <w:pPr>
              <w:tabs>
                <w:tab w:val="clear" w:pos="480"/>
              </w:tabs>
              <w:adjustRightInd w:val="0"/>
              <w:snapToGrid w:val="0"/>
              <w:spacing w:line="240" w:lineRule="auto"/>
              <w:ind w:firstLine="0" w:firstLineChars="0"/>
              <w:jc w:val="center"/>
              <w:rPr>
                <w:b/>
                <w:bCs/>
                <w:sz w:val="18"/>
                <w:szCs w:val="18"/>
              </w:rPr>
            </w:pPr>
            <w:r>
              <w:rPr>
                <w:b/>
                <w:bCs/>
                <w:sz w:val="18"/>
                <w:szCs w:val="18"/>
              </w:rPr>
              <w:t>监测项目</w:t>
            </w:r>
          </w:p>
        </w:tc>
        <w:tc>
          <w:tcPr>
            <w:tcW w:w="745" w:type="pct"/>
          </w:tcPr>
          <w:p w14:paraId="580076B5">
            <w:pPr>
              <w:tabs>
                <w:tab w:val="clear" w:pos="480"/>
              </w:tabs>
              <w:adjustRightInd w:val="0"/>
              <w:snapToGrid w:val="0"/>
              <w:spacing w:line="240" w:lineRule="auto"/>
              <w:ind w:firstLine="0" w:firstLineChars="0"/>
              <w:jc w:val="center"/>
              <w:rPr>
                <w:b/>
                <w:bCs/>
                <w:sz w:val="18"/>
                <w:szCs w:val="18"/>
              </w:rPr>
            </w:pPr>
            <w:r>
              <w:rPr>
                <w:rFonts w:hint="eastAsia"/>
                <w:b/>
                <w:bCs/>
                <w:sz w:val="18"/>
                <w:szCs w:val="18"/>
              </w:rPr>
              <w:t>监测日期</w:t>
            </w:r>
          </w:p>
        </w:tc>
        <w:tc>
          <w:tcPr>
            <w:tcW w:w="587" w:type="pct"/>
            <w:vAlign w:val="center"/>
          </w:tcPr>
          <w:p w14:paraId="24D6D0ED">
            <w:pPr>
              <w:tabs>
                <w:tab w:val="clear" w:pos="480"/>
              </w:tabs>
              <w:adjustRightInd w:val="0"/>
              <w:snapToGrid w:val="0"/>
              <w:spacing w:line="240" w:lineRule="auto"/>
              <w:ind w:firstLine="0" w:firstLineChars="0"/>
              <w:jc w:val="center"/>
              <w:rPr>
                <w:b/>
                <w:bCs/>
                <w:sz w:val="18"/>
                <w:szCs w:val="18"/>
              </w:rPr>
            </w:pPr>
            <w:r>
              <w:rPr>
                <w:b/>
                <w:bCs/>
                <w:sz w:val="18"/>
                <w:szCs w:val="18"/>
              </w:rPr>
              <w:t>监测频次</w:t>
            </w:r>
          </w:p>
        </w:tc>
      </w:tr>
      <w:tr w14:paraId="1125C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5B9C3AF2">
            <w:pPr>
              <w:tabs>
                <w:tab w:val="clear" w:pos="480"/>
              </w:tabs>
              <w:adjustRightInd w:val="0"/>
              <w:snapToGrid w:val="0"/>
              <w:spacing w:line="240" w:lineRule="auto"/>
              <w:ind w:firstLine="0" w:firstLineChars="0"/>
              <w:jc w:val="center"/>
              <w:rPr>
                <w:sz w:val="18"/>
                <w:szCs w:val="18"/>
              </w:rPr>
            </w:pPr>
            <w:r>
              <w:rPr>
                <w:sz w:val="18"/>
                <w:szCs w:val="18"/>
              </w:rPr>
              <w:t>W1</w:t>
            </w:r>
          </w:p>
        </w:tc>
        <w:tc>
          <w:tcPr>
            <w:tcW w:w="1198" w:type="pct"/>
            <w:vAlign w:val="center"/>
          </w:tcPr>
          <w:p w14:paraId="138E4F87">
            <w:pPr>
              <w:tabs>
                <w:tab w:val="clear" w:pos="480"/>
              </w:tabs>
              <w:adjustRightInd w:val="0"/>
              <w:snapToGrid w:val="0"/>
              <w:spacing w:line="240" w:lineRule="auto"/>
              <w:ind w:firstLine="0" w:firstLineChars="0"/>
              <w:jc w:val="center"/>
              <w:rPr>
                <w:sz w:val="18"/>
                <w:szCs w:val="18"/>
              </w:rPr>
            </w:pPr>
            <w:r>
              <w:rPr>
                <w:sz w:val="18"/>
                <w:szCs w:val="18"/>
              </w:rPr>
              <w:t>风电场东侧无名小溪</w:t>
            </w:r>
            <w:r>
              <w:rPr>
                <w:rFonts w:hint="eastAsia"/>
                <w:sz w:val="18"/>
                <w:szCs w:val="18"/>
              </w:rPr>
              <w:t>1</w:t>
            </w:r>
          </w:p>
        </w:tc>
        <w:tc>
          <w:tcPr>
            <w:tcW w:w="1455" w:type="pct"/>
          </w:tcPr>
          <w:p w14:paraId="558D99F3">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w:t>
            </w:r>
            <w:r>
              <w:rPr>
                <w:rFonts w:hint="eastAsia"/>
                <w:sz w:val="18"/>
                <w:szCs w:val="18"/>
              </w:rPr>
              <w:t>风机机位东侧约7</w:t>
            </w:r>
            <w:r>
              <w:rPr>
                <w:sz w:val="18"/>
                <w:szCs w:val="18"/>
              </w:rPr>
              <w:t>00</w:t>
            </w:r>
            <w:r>
              <w:rPr>
                <w:rFonts w:hint="eastAsia"/>
                <w:sz w:val="18"/>
                <w:szCs w:val="18"/>
              </w:rPr>
              <w:t>米小溪</w:t>
            </w:r>
          </w:p>
        </w:tc>
        <w:tc>
          <w:tcPr>
            <w:tcW w:w="681" w:type="pct"/>
            <w:vMerge w:val="restart"/>
            <w:vAlign w:val="center"/>
          </w:tcPr>
          <w:p w14:paraId="3457EA0D">
            <w:pPr>
              <w:tabs>
                <w:tab w:val="clear" w:pos="480"/>
              </w:tabs>
              <w:adjustRightInd w:val="0"/>
              <w:snapToGrid w:val="0"/>
              <w:spacing w:line="240" w:lineRule="auto"/>
              <w:ind w:firstLine="0" w:firstLineChars="0"/>
              <w:jc w:val="center"/>
              <w:rPr>
                <w:sz w:val="18"/>
                <w:szCs w:val="18"/>
              </w:rPr>
            </w:pPr>
            <w:r>
              <w:rPr>
                <w:sz w:val="18"/>
                <w:szCs w:val="18"/>
              </w:rPr>
              <w:t>pH、SS、COD、BOD</w:t>
            </w:r>
            <w:r>
              <w:rPr>
                <w:sz w:val="18"/>
                <w:szCs w:val="18"/>
                <w:vertAlign w:val="subscript"/>
              </w:rPr>
              <w:t>5</w:t>
            </w:r>
            <w:r>
              <w:rPr>
                <w:sz w:val="18"/>
                <w:szCs w:val="18"/>
              </w:rPr>
              <w:t>、总氮、氨氮、石油类</w:t>
            </w:r>
          </w:p>
        </w:tc>
        <w:tc>
          <w:tcPr>
            <w:tcW w:w="745" w:type="pct"/>
            <w:vMerge w:val="restart"/>
          </w:tcPr>
          <w:p w14:paraId="2BBAC858">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023.4.21~</w:t>
            </w:r>
          </w:p>
          <w:p w14:paraId="37A4A6B8">
            <w:pPr>
              <w:tabs>
                <w:tab w:val="clear" w:pos="480"/>
              </w:tabs>
              <w:adjustRightInd w:val="0"/>
              <w:snapToGrid w:val="0"/>
              <w:spacing w:line="240" w:lineRule="auto"/>
              <w:ind w:firstLine="0" w:firstLineChars="0"/>
              <w:jc w:val="center"/>
              <w:rPr>
                <w:sz w:val="18"/>
                <w:szCs w:val="18"/>
              </w:rPr>
            </w:pPr>
            <w:r>
              <w:rPr>
                <w:sz w:val="18"/>
                <w:szCs w:val="18"/>
              </w:rPr>
              <w:t>2023.4.23</w:t>
            </w:r>
          </w:p>
        </w:tc>
        <w:tc>
          <w:tcPr>
            <w:tcW w:w="587" w:type="pct"/>
            <w:vMerge w:val="restart"/>
            <w:vAlign w:val="center"/>
          </w:tcPr>
          <w:p w14:paraId="429CB703">
            <w:pPr>
              <w:tabs>
                <w:tab w:val="clear" w:pos="480"/>
              </w:tabs>
              <w:adjustRightInd w:val="0"/>
              <w:snapToGrid w:val="0"/>
              <w:spacing w:line="240" w:lineRule="auto"/>
              <w:ind w:firstLine="0" w:firstLineChars="0"/>
              <w:jc w:val="center"/>
              <w:rPr>
                <w:sz w:val="18"/>
                <w:szCs w:val="18"/>
              </w:rPr>
            </w:pPr>
            <w:r>
              <w:rPr>
                <w:sz w:val="18"/>
                <w:szCs w:val="18"/>
              </w:rPr>
              <w:t>3天，每天1次</w:t>
            </w:r>
          </w:p>
        </w:tc>
      </w:tr>
      <w:tr w14:paraId="04CFAF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70CD0EA2">
            <w:pPr>
              <w:tabs>
                <w:tab w:val="clear" w:pos="480"/>
              </w:tabs>
              <w:adjustRightInd w:val="0"/>
              <w:snapToGrid w:val="0"/>
              <w:spacing w:line="240" w:lineRule="auto"/>
              <w:ind w:firstLine="0" w:firstLineChars="0"/>
              <w:jc w:val="center"/>
              <w:rPr>
                <w:sz w:val="18"/>
                <w:szCs w:val="18"/>
              </w:rPr>
            </w:pPr>
            <w:r>
              <w:rPr>
                <w:sz w:val="18"/>
                <w:szCs w:val="18"/>
              </w:rPr>
              <w:t>W2</w:t>
            </w:r>
          </w:p>
        </w:tc>
        <w:tc>
          <w:tcPr>
            <w:tcW w:w="1198" w:type="pct"/>
            <w:vAlign w:val="center"/>
          </w:tcPr>
          <w:p w14:paraId="05B73F16">
            <w:pPr>
              <w:tabs>
                <w:tab w:val="clear" w:pos="480"/>
              </w:tabs>
              <w:adjustRightInd w:val="0"/>
              <w:snapToGrid w:val="0"/>
              <w:spacing w:line="240" w:lineRule="auto"/>
              <w:ind w:firstLine="0" w:firstLineChars="0"/>
              <w:jc w:val="center"/>
              <w:rPr>
                <w:sz w:val="18"/>
                <w:szCs w:val="18"/>
              </w:rPr>
            </w:pPr>
            <w:r>
              <w:rPr>
                <w:sz w:val="18"/>
                <w:szCs w:val="18"/>
              </w:rPr>
              <w:t>风电场西侧无名小溪</w:t>
            </w:r>
            <w:r>
              <w:rPr>
                <w:rFonts w:hint="eastAsia"/>
                <w:sz w:val="18"/>
                <w:szCs w:val="18"/>
              </w:rPr>
              <w:t>2</w:t>
            </w:r>
          </w:p>
        </w:tc>
        <w:tc>
          <w:tcPr>
            <w:tcW w:w="1455" w:type="pct"/>
          </w:tcPr>
          <w:p w14:paraId="61FBE790">
            <w:pPr>
              <w:tabs>
                <w:tab w:val="clear" w:pos="480"/>
              </w:tabs>
              <w:adjustRightInd w:val="0"/>
              <w:snapToGrid w:val="0"/>
              <w:spacing w:line="240" w:lineRule="auto"/>
              <w:ind w:firstLine="0" w:firstLineChars="0"/>
              <w:jc w:val="center"/>
              <w:rPr>
                <w:sz w:val="18"/>
                <w:szCs w:val="18"/>
              </w:rPr>
            </w:pPr>
            <w:r>
              <w:rPr>
                <w:rFonts w:hint="eastAsia"/>
                <w:sz w:val="18"/>
                <w:szCs w:val="18"/>
              </w:rPr>
              <w:t>5</w:t>
            </w:r>
            <w:r>
              <w:rPr>
                <w:sz w:val="18"/>
                <w:szCs w:val="18"/>
              </w:rPr>
              <w:t>#</w:t>
            </w:r>
            <w:r>
              <w:rPr>
                <w:rFonts w:hint="eastAsia"/>
                <w:sz w:val="18"/>
                <w:szCs w:val="18"/>
              </w:rPr>
              <w:t>风机东北侧约4</w:t>
            </w:r>
            <w:r>
              <w:rPr>
                <w:sz w:val="18"/>
                <w:szCs w:val="18"/>
              </w:rPr>
              <w:t>00</w:t>
            </w:r>
            <w:r>
              <w:rPr>
                <w:rFonts w:hint="eastAsia"/>
                <w:sz w:val="18"/>
                <w:szCs w:val="18"/>
              </w:rPr>
              <w:t>米小溪</w:t>
            </w:r>
          </w:p>
        </w:tc>
        <w:tc>
          <w:tcPr>
            <w:tcW w:w="681" w:type="pct"/>
            <w:vMerge w:val="continue"/>
            <w:vAlign w:val="center"/>
          </w:tcPr>
          <w:p w14:paraId="17EF5E79">
            <w:pPr>
              <w:tabs>
                <w:tab w:val="clear" w:pos="480"/>
              </w:tabs>
              <w:adjustRightInd w:val="0"/>
              <w:snapToGrid w:val="0"/>
              <w:spacing w:line="240" w:lineRule="auto"/>
              <w:ind w:firstLine="0" w:firstLineChars="0"/>
              <w:jc w:val="center"/>
              <w:rPr>
                <w:sz w:val="18"/>
                <w:szCs w:val="18"/>
              </w:rPr>
            </w:pPr>
          </w:p>
        </w:tc>
        <w:tc>
          <w:tcPr>
            <w:tcW w:w="745" w:type="pct"/>
            <w:vMerge w:val="continue"/>
          </w:tcPr>
          <w:p w14:paraId="550815A8">
            <w:pPr>
              <w:tabs>
                <w:tab w:val="clear" w:pos="480"/>
              </w:tabs>
              <w:adjustRightInd w:val="0"/>
              <w:snapToGrid w:val="0"/>
              <w:spacing w:line="240" w:lineRule="auto"/>
              <w:ind w:firstLine="0" w:firstLineChars="0"/>
              <w:jc w:val="center"/>
              <w:rPr>
                <w:sz w:val="18"/>
                <w:szCs w:val="18"/>
              </w:rPr>
            </w:pPr>
          </w:p>
        </w:tc>
        <w:tc>
          <w:tcPr>
            <w:tcW w:w="587" w:type="pct"/>
            <w:vMerge w:val="continue"/>
            <w:vAlign w:val="center"/>
          </w:tcPr>
          <w:p w14:paraId="3233B5BC">
            <w:pPr>
              <w:tabs>
                <w:tab w:val="clear" w:pos="480"/>
              </w:tabs>
              <w:adjustRightInd w:val="0"/>
              <w:snapToGrid w:val="0"/>
              <w:spacing w:line="240" w:lineRule="auto"/>
              <w:ind w:firstLine="0" w:firstLineChars="0"/>
              <w:jc w:val="center"/>
              <w:rPr>
                <w:sz w:val="18"/>
                <w:szCs w:val="18"/>
              </w:rPr>
            </w:pPr>
          </w:p>
        </w:tc>
      </w:tr>
      <w:tr w14:paraId="4A2074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2E9683BD">
            <w:pPr>
              <w:tabs>
                <w:tab w:val="clear" w:pos="480"/>
              </w:tabs>
              <w:adjustRightInd w:val="0"/>
              <w:snapToGrid w:val="0"/>
              <w:spacing w:line="240" w:lineRule="auto"/>
              <w:ind w:firstLine="0" w:firstLineChars="0"/>
              <w:jc w:val="center"/>
              <w:rPr>
                <w:sz w:val="18"/>
                <w:szCs w:val="18"/>
              </w:rPr>
            </w:pPr>
            <w:r>
              <w:rPr>
                <w:rFonts w:hint="eastAsia"/>
                <w:sz w:val="18"/>
                <w:szCs w:val="18"/>
              </w:rPr>
              <w:t>W</w:t>
            </w:r>
            <w:r>
              <w:rPr>
                <w:sz w:val="18"/>
                <w:szCs w:val="18"/>
              </w:rPr>
              <w:t>3</w:t>
            </w:r>
          </w:p>
        </w:tc>
        <w:tc>
          <w:tcPr>
            <w:tcW w:w="1198" w:type="pct"/>
            <w:vAlign w:val="center"/>
          </w:tcPr>
          <w:p w14:paraId="5F48B077">
            <w:pPr>
              <w:tabs>
                <w:tab w:val="clear" w:pos="480"/>
              </w:tabs>
              <w:adjustRightInd w:val="0"/>
              <w:snapToGrid w:val="0"/>
              <w:spacing w:line="240" w:lineRule="auto"/>
              <w:ind w:firstLine="0" w:firstLineChars="0"/>
              <w:jc w:val="center"/>
              <w:rPr>
                <w:sz w:val="18"/>
                <w:szCs w:val="18"/>
              </w:rPr>
            </w:pPr>
            <w:r>
              <w:rPr>
                <w:rFonts w:hint="eastAsia"/>
                <w:sz w:val="18"/>
                <w:szCs w:val="18"/>
              </w:rPr>
              <w:t>饮用水水源保护区取水口</w:t>
            </w:r>
          </w:p>
        </w:tc>
        <w:tc>
          <w:tcPr>
            <w:tcW w:w="1455" w:type="pct"/>
          </w:tcPr>
          <w:p w14:paraId="02A6B806">
            <w:pPr>
              <w:tabs>
                <w:tab w:val="clear" w:pos="480"/>
              </w:tabs>
              <w:adjustRightInd w:val="0"/>
              <w:snapToGrid w:val="0"/>
              <w:spacing w:line="240" w:lineRule="auto"/>
              <w:ind w:firstLine="0" w:firstLineChars="0"/>
              <w:jc w:val="center"/>
              <w:rPr>
                <w:sz w:val="18"/>
                <w:szCs w:val="18"/>
              </w:rPr>
            </w:pPr>
            <w:r>
              <w:rPr>
                <w:rFonts w:hint="eastAsia"/>
                <w:sz w:val="18"/>
                <w:szCs w:val="18"/>
              </w:rPr>
              <w:t>3</w:t>
            </w:r>
            <w:r>
              <w:rPr>
                <w:sz w:val="18"/>
                <w:szCs w:val="18"/>
              </w:rPr>
              <w:t>#</w:t>
            </w:r>
            <w:r>
              <w:rPr>
                <w:rFonts w:hint="eastAsia"/>
                <w:sz w:val="18"/>
                <w:szCs w:val="18"/>
              </w:rPr>
              <w:t>风机东北侧约</w:t>
            </w:r>
            <w:r>
              <w:rPr>
                <w:sz w:val="18"/>
                <w:szCs w:val="18"/>
              </w:rPr>
              <w:t>697</w:t>
            </w:r>
            <w:r>
              <w:rPr>
                <w:rFonts w:hint="eastAsia"/>
                <w:sz w:val="18"/>
                <w:szCs w:val="18"/>
              </w:rPr>
              <w:t>m处</w:t>
            </w:r>
          </w:p>
        </w:tc>
        <w:tc>
          <w:tcPr>
            <w:tcW w:w="681" w:type="pct"/>
            <w:vMerge w:val="continue"/>
            <w:vAlign w:val="center"/>
          </w:tcPr>
          <w:p w14:paraId="50EE7C25">
            <w:pPr>
              <w:tabs>
                <w:tab w:val="clear" w:pos="480"/>
              </w:tabs>
              <w:adjustRightInd w:val="0"/>
              <w:snapToGrid w:val="0"/>
              <w:spacing w:line="240" w:lineRule="auto"/>
              <w:ind w:firstLine="0" w:firstLineChars="0"/>
              <w:jc w:val="center"/>
              <w:rPr>
                <w:sz w:val="18"/>
                <w:szCs w:val="18"/>
              </w:rPr>
            </w:pPr>
          </w:p>
        </w:tc>
        <w:tc>
          <w:tcPr>
            <w:tcW w:w="745" w:type="pct"/>
            <w:vMerge w:val="restart"/>
          </w:tcPr>
          <w:p w14:paraId="681D7999">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023.8.5~</w:t>
            </w:r>
          </w:p>
          <w:p w14:paraId="4DCED17A">
            <w:pPr>
              <w:tabs>
                <w:tab w:val="clear" w:pos="480"/>
              </w:tabs>
              <w:adjustRightInd w:val="0"/>
              <w:snapToGrid w:val="0"/>
              <w:spacing w:line="240" w:lineRule="auto"/>
              <w:ind w:firstLine="0" w:firstLineChars="0"/>
              <w:jc w:val="center"/>
              <w:rPr>
                <w:sz w:val="18"/>
                <w:szCs w:val="18"/>
              </w:rPr>
            </w:pPr>
            <w:r>
              <w:rPr>
                <w:sz w:val="18"/>
                <w:szCs w:val="18"/>
              </w:rPr>
              <w:t>2023.8.7</w:t>
            </w:r>
          </w:p>
        </w:tc>
        <w:tc>
          <w:tcPr>
            <w:tcW w:w="587" w:type="pct"/>
            <w:vMerge w:val="continue"/>
            <w:vAlign w:val="center"/>
          </w:tcPr>
          <w:p w14:paraId="12470892">
            <w:pPr>
              <w:tabs>
                <w:tab w:val="clear" w:pos="480"/>
              </w:tabs>
              <w:adjustRightInd w:val="0"/>
              <w:snapToGrid w:val="0"/>
              <w:spacing w:line="240" w:lineRule="auto"/>
              <w:ind w:firstLine="0" w:firstLineChars="0"/>
              <w:jc w:val="center"/>
              <w:rPr>
                <w:sz w:val="18"/>
                <w:szCs w:val="18"/>
              </w:rPr>
            </w:pPr>
          </w:p>
        </w:tc>
      </w:tr>
      <w:tr w14:paraId="412437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5A3352B0">
            <w:pPr>
              <w:tabs>
                <w:tab w:val="clear" w:pos="480"/>
              </w:tabs>
              <w:adjustRightInd w:val="0"/>
              <w:snapToGrid w:val="0"/>
              <w:spacing w:line="240" w:lineRule="auto"/>
              <w:ind w:firstLine="0" w:firstLineChars="0"/>
              <w:jc w:val="center"/>
              <w:rPr>
                <w:sz w:val="18"/>
                <w:szCs w:val="18"/>
              </w:rPr>
            </w:pPr>
            <w:r>
              <w:rPr>
                <w:rFonts w:hint="eastAsia"/>
                <w:sz w:val="18"/>
                <w:szCs w:val="18"/>
              </w:rPr>
              <w:t>W</w:t>
            </w:r>
            <w:r>
              <w:rPr>
                <w:sz w:val="18"/>
                <w:szCs w:val="18"/>
              </w:rPr>
              <w:t>4</w:t>
            </w:r>
          </w:p>
        </w:tc>
        <w:tc>
          <w:tcPr>
            <w:tcW w:w="1198" w:type="pct"/>
            <w:vAlign w:val="center"/>
          </w:tcPr>
          <w:p w14:paraId="7DF7FD8E">
            <w:pPr>
              <w:tabs>
                <w:tab w:val="clear" w:pos="480"/>
              </w:tabs>
              <w:adjustRightInd w:val="0"/>
              <w:snapToGrid w:val="0"/>
              <w:spacing w:line="240" w:lineRule="auto"/>
              <w:ind w:firstLine="0" w:firstLineChars="0"/>
              <w:jc w:val="center"/>
              <w:rPr>
                <w:sz w:val="18"/>
                <w:szCs w:val="18"/>
              </w:rPr>
            </w:pPr>
            <w:r>
              <w:rPr>
                <w:rFonts w:hint="eastAsia"/>
                <w:sz w:val="18"/>
                <w:szCs w:val="18"/>
              </w:rPr>
              <w:t>饮用水水源二级保护区</w:t>
            </w:r>
          </w:p>
        </w:tc>
        <w:tc>
          <w:tcPr>
            <w:tcW w:w="1455" w:type="pct"/>
          </w:tcPr>
          <w:p w14:paraId="2DC725B3">
            <w:pPr>
              <w:tabs>
                <w:tab w:val="clear" w:pos="480"/>
              </w:tabs>
              <w:adjustRightInd w:val="0"/>
              <w:snapToGrid w:val="0"/>
              <w:spacing w:line="240" w:lineRule="auto"/>
              <w:ind w:firstLine="0" w:firstLineChars="0"/>
              <w:jc w:val="center"/>
              <w:rPr>
                <w:sz w:val="18"/>
                <w:szCs w:val="18"/>
              </w:rPr>
            </w:pPr>
            <w:r>
              <w:rPr>
                <w:sz w:val="18"/>
                <w:szCs w:val="18"/>
              </w:rPr>
              <w:t>3#</w:t>
            </w:r>
            <w:r>
              <w:rPr>
                <w:rFonts w:hint="eastAsia"/>
                <w:sz w:val="18"/>
                <w:szCs w:val="18"/>
              </w:rPr>
              <w:t>风机东北侧4</w:t>
            </w:r>
            <w:r>
              <w:rPr>
                <w:sz w:val="18"/>
                <w:szCs w:val="18"/>
              </w:rPr>
              <w:t>10</w:t>
            </w:r>
            <w:r>
              <w:rPr>
                <w:rFonts w:hint="eastAsia"/>
                <w:sz w:val="18"/>
                <w:szCs w:val="18"/>
              </w:rPr>
              <w:t>m约</w:t>
            </w:r>
          </w:p>
        </w:tc>
        <w:tc>
          <w:tcPr>
            <w:tcW w:w="681" w:type="pct"/>
            <w:vMerge w:val="continue"/>
            <w:vAlign w:val="center"/>
          </w:tcPr>
          <w:p w14:paraId="4BFE1A45">
            <w:pPr>
              <w:tabs>
                <w:tab w:val="clear" w:pos="480"/>
              </w:tabs>
              <w:adjustRightInd w:val="0"/>
              <w:snapToGrid w:val="0"/>
              <w:spacing w:line="240" w:lineRule="auto"/>
              <w:ind w:firstLine="0" w:firstLineChars="0"/>
              <w:jc w:val="center"/>
              <w:rPr>
                <w:sz w:val="18"/>
                <w:szCs w:val="18"/>
              </w:rPr>
            </w:pPr>
          </w:p>
        </w:tc>
        <w:tc>
          <w:tcPr>
            <w:tcW w:w="745" w:type="pct"/>
            <w:vMerge w:val="continue"/>
          </w:tcPr>
          <w:p w14:paraId="6E42A587">
            <w:pPr>
              <w:tabs>
                <w:tab w:val="clear" w:pos="480"/>
              </w:tabs>
              <w:adjustRightInd w:val="0"/>
              <w:snapToGrid w:val="0"/>
              <w:spacing w:line="240" w:lineRule="auto"/>
              <w:ind w:firstLine="0" w:firstLineChars="0"/>
              <w:jc w:val="center"/>
              <w:rPr>
                <w:sz w:val="18"/>
                <w:szCs w:val="18"/>
              </w:rPr>
            </w:pPr>
          </w:p>
        </w:tc>
        <w:tc>
          <w:tcPr>
            <w:tcW w:w="587" w:type="pct"/>
            <w:vMerge w:val="continue"/>
            <w:vAlign w:val="center"/>
          </w:tcPr>
          <w:p w14:paraId="0DD50B6E">
            <w:pPr>
              <w:tabs>
                <w:tab w:val="clear" w:pos="480"/>
              </w:tabs>
              <w:adjustRightInd w:val="0"/>
              <w:snapToGrid w:val="0"/>
              <w:spacing w:line="240" w:lineRule="auto"/>
              <w:ind w:firstLine="0" w:firstLineChars="0"/>
              <w:jc w:val="center"/>
              <w:rPr>
                <w:sz w:val="18"/>
                <w:szCs w:val="18"/>
              </w:rPr>
            </w:pPr>
          </w:p>
        </w:tc>
      </w:tr>
      <w:tr w14:paraId="0BBF8B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2569811A">
            <w:pPr>
              <w:tabs>
                <w:tab w:val="clear" w:pos="480"/>
              </w:tabs>
              <w:adjustRightInd w:val="0"/>
              <w:snapToGrid w:val="0"/>
              <w:spacing w:line="240" w:lineRule="auto"/>
              <w:ind w:firstLine="0" w:firstLineChars="0"/>
              <w:jc w:val="center"/>
              <w:rPr>
                <w:sz w:val="18"/>
                <w:szCs w:val="18"/>
              </w:rPr>
            </w:pPr>
            <w:r>
              <w:rPr>
                <w:rFonts w:hint="eastAsia"/>
                <w:sz w:val="18"/>
                <w:szCs w:val="18"/>
              </w:rPr>
              <w:t>W</w:t>
            </w:r>
            <w:r>
              <w:rPr>
                <w:sz w:val="18"/>
                <w:szCs w:val="18"/>
              </w:rPr>
              <w:t>5</w:t>
            </w:r>
          </w:p>
        </w:tc>
        <w:tc>
          <w:tcPr>
            <w:tcW w:w="1198" w:type="pct"/>
            <w:vAlign w:val="center"/>
          </w:tcPr>
          <w:p w14:paraId="5B8A81E9">
            <w:pPr>
              <w:tabs>
                <w:tab w:val="clear" w:pos="480"/>
              </w:tabs>
              <w:adjustRightInd w:val="0"/>
              <w:snapToGrid w:val="0"/>
              <w:spacing w:line="240" w:lineRule="auto"/>
              <w:ind w:firstLine="0" w:firstLineChars="0"/>
              <w:jc w:val="center"/>
              <w:rPr>
                <w:sz w:val="18"/>
                <w:szCs w:val="18"/>
              </w:rPr>
            </w:pPr>
            <w:r>
              <w:rPr>
                <w:rFonts w:hint="eastAsia"/>
                <w:sz w:val="18"/>
                <w:szCs w:val="18"/>
              </w:rPr>
              <w:t>无名小溪3</w:t>
            </w:r>
          </w:p>
        </w:tc>
        <w:tc>
          <w:tcPr>
            <w:tcW w:w="1455" w:type="pct"/>
            <w:vAlign w:val="center"/>
          </w:tcPr>
          <w:p w14:paraId="6BA69BB6">
            <w:pPr>
              <w:tabs>
                <w:tab w:val="clear" w:pos="480"/>
              </w:tabs>
              <w:adjustRightInd w:val="0"/>
              <w:snapToGrid w:val="0"/>
              <w:spacing w:line="240" w:lineRule="auto"/>
              <w:ind w:firstLine="0" w:firstLineChars="0"/>
              <w:jc w:val="center"/>
              <w:rPr>
                <w:sz w:val="18"/>
                <w:szCs w:val="18"/>
              </w:rPr>
            </w:pPr>
            <w:r>
              <w:rPr>
                <w:sz w:val="18"/>
                <w:szCs w:val="18"/>
              </w:rPr>
              <w:t>8#</w:t>
            </w:r>
            <w:r>
              <w:rPr>
                <w:rFonts w:hint="eastAsia"/>
                <w:sz w:val="18"/>
                <w:szCs w:val="18"/>
              </w:rPr>
              <w:t>风机机位西侧小溪</w:t>
            </w:r>
          </w:p>
        </w:tc>
        <w:tc>
          <w:tcPr>
            <w:tcW w:w="681" w:type="pct"/>
            <w:vMerge w:val="continue"/>
            <w:vAlign w:val="center"/>
          </w:tcPr>
          <w:p w14:paraId="71B08DAD">
            <w:pPr>
              <w:tabs>
                <w:tab w:val="clear" w:pos="480"/>
              </w:tabs>
              <w:adjustRightInd w:val="0"/>
              <w:snapToGrid w:val="0"/>
              <w:spacing w:line="240" w:lineRule="auto"/>
              <w:ind w:firstLine="0" w:firstLineChars="0"/>
              <w:jc w:val="center"/>
              <w:rPr>
                <w:sz w:val="18"/>
                <w:szCs w:val="18"/>
              </w:rPr>
            </w:pPr>
          </w:p>
        </w:tc>
        <w:tc>
          <w:tcPr>
            <w:tcW w:w="745" w:type="pct"/>
            <w:vMerge w:val="continue"/>
          </w:tcPr>
          <w:p w14:paraId="1D3809BB">
            <w:pPr>
              <w:tabs>
                <w:tab w:val="clear" w:pos="480"/>
              </w:tabs>
              <w:adjustRightInd w:val="0"/>
              <w:snapToGrid w:val="0"/>
              <w:spacing w:line="240" w:lineRule="auto"/>
              <w:ind w:firstLine="0" w:firstLineChars="0"/>
              <w:jc w:val="center"/>
              <w:rPr>
                <w:sz w:val="18"/>
                <w:szCs w:val="18"/>
              </w:rPr>
            </w:pPr>
          </w:p>
        </w:tc>
        <w:tc>
          <w:tcPr>
            <w:tcW w:w="587" w:type="pct"/>
            <w:vMerge w:val="continue"/>
            <w:vAlign w:val="center"/>
          </w:tcPr>
          <w:p w14:paraId="09DA035C">
            <w:pPr>
              <w:tabs>
                <w:tab w:val="clear" w:pos="480"/>
              </w:tabs>
              <w:adjustRightInd w:val="0"/>
              <w:snapToGrid w:val="0"/>
              <w:spacing w:line="240" w:lineRule="auto"/>
              <w:ind w:firstLine="0" w:firstLineChars="0"/>
              <w:jc w:val="center"/>
              <w:rPr>
                <w:sz w:val="18"/>
                <w:szCs w:val="18"/>
              </w:rPr>
            </w:pPr>
          </w:p>
        </w:tc>
      </w:tr>
      <w:tr w14:paraId="00409B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Align w:val="center"/>
          </w:tcPr>
          <w:p w14:paraId="4E4F1F19">
            <w:pPr>
              <w:tabs>
                <w:tab w:val="clear" w:pos="480"/>
              </w:tabs>
              <w:adjustRightInd w:val="0"/>
              <w:snapToGrid w:val="0"/>
              <w:spacing w:line="240" w:lineRule="auto"/>
              <w:ind w:firstLine="0" w:firstLineChars="0"/>
              <w:jc w:val="center"/>
              <w:rPr>
                <w:sz w:val="18"/>
                <w:szCs w:val="18"/>
              </w:rPr>
            </w:pPr>
            <w:r>
              <w:rPr>
                <w:rFonts w:hint="eastAsia"/>
                <w:sz w:val="18"/>
                <w:szCs w:val="18"/>
              </w:rPr>
              <w:t>W</w:t>
            </w:r>
            <w:r>
              <w:rPr>
                <w:sz w:val="18"/>
                <w:szCs w:val="18"/>
              </w:rPr>
              <w:t>6</w:t>
            </w:r>
          </w:p>
        </w:tc>
        <w:tc>
          <w:tcPr>
            <w:tcW w:w="1198" w:type="pct"/>
            <w:vAlign w:val="center"/>
          </w:tcPr>
          <w:p w14:paraId="4C68E908">
            <w:pPr>
              <w:tabs>
                <w:tab w:val="clear" w:pos="480"/>
              </w:tabs>
              <w:adjustRightInd w:val="0"/>
              <w:snapToGrid w:val="0"/>
              <w:spacing w:line="240" w:lineRule="auto"/>
              <w:ind w:firstLine="0" w:firstLineChars="0"/>
              <w:jc w:val="center"/>
              <w:rPr>
                <w:sz w:val="18"/>
                <w:szCs w:val="18"/>
              </w:rPr>
            </w:pPr>
            <w:r>
              <w:rPr>
                <w:rFonts w:hint="eastAsia"/>
                <w:sz w:val="18"/>
                <w:szCs w:val="18"/>
              </w:rPr>
              <w:t>无名小溪4</w:t>
            </w:r>
          </w:p>
        </w:tc>
        <w:tc>
          <w:tcPr>
            <w:tcW w:w="1455" w:type="pct"/>
            <w:vAlign w:val="center"/>
          </w:tcPr>
          <w:p w14:paraId="6FC0C7C6">
            <w:pPr>
              <w:tabs>
                <w:tab w:val="clear" w:pos="480"/>
              </w:tabs>
              <w:adjustRightInd w:val="0"/>
              <w:snapToGrid w:val="0"/>
              <w:spacing w:line="240" w:lineRule="auto"/>
              <w:ind w:firstLine="0" w:firstLineChars="0"/>
              <w:jc w:val="center"/>
              <w:rPr>
                <w:sz w:val="18"/>
                <w:szCs w:val="18"/>
              </w:rPr>
            </w:pPr>
            <w:r>
              <w:rPr>
                <w:sz w:val="18"/>
                <w:szCs w:val="18"/>
              </w:rPr>
              <w:t>18#</w:t>
            </w:r>
            <w:r>
              <w:rPr>
                <w:rFonts w:hint="eastAsia"/>
                <w:sz w:val="18"/>
                <w:szCs w:val="18"/>
              </w:rPr>
              <w:t>（备选）机位东侧小溪</w:t>
            </w:r>
          </w:p>
        </w:tc>
        <w:tc>
          <w:tcPr>
            <w:tcW w:w="681" w:type="pct"/>
            <w:vMerge w:val="continue"/>
            <w:vAlign w:val="center"/>
          </w:tcPr>
          <w:p w14:paraId="51BCD809">
            <w:pPr>
              <w:tabs>
                <w:tab w:val="clear" w:pos="480"/>
              </w:tabs>
              <w:adjustRightInd w:val="0"/>
              <w:snapToGrid w:val="0"/>
              <w:spacing w:line="240" w:lineRule="auto"/>
              <w:ind w:firstLine="0" w:firstLineChars="0"/>
              <w:jc w:val="center"/>
              <w:rPr>
                <w:sz w:val="18"/>
                <w:szCs w:val="18"/>
              </w:rPr>
            </w:pPr>
          </w:p>
        </w:tc>
        <w:tc>
          <w:tcPr>
            <w:tcW w:w="745" w:type="pct"/>
            <w:vMerge w:val="continue"/>
          </w:tcPr>
          <w:p w14:paraId="54B8BAB1">
            <w:pPr>
              <w:tabs>
                <w:tab w:val="clear" w:pos="480"/>
              </w:tabs>
              <w:adjustRightInd w:val="0"/>
              <w:snapToGrid w:val="0"/>
              <w:spacing w:line="240" w:lineRule="auto"/>
              <w:ind w:firstLine="0" w:firstLineChars="0"/>
              <w:jc w:val="center"/>
              <w:rPr>
                <w:sz w:val="18"/>
                <w:szCs w:val="18"/>
              </w:rPr>
            </w:pPr>
          </w:p>
        </w:tc>
        <w:tc>
          <w:tcPr>
            <w:tcW w:w="587" w:type="pct"/>
            <w:vMerge w:val="continue"/>
            <w:vAlign w:val="center"/>
          </w:tcPr>
          <w:p w14:paraId="4DDF07F2">
            <w:pPr>
              <w:tabs>
                <w:tab w:val="clear" w:pos="480"/>
              </w:tabs>
              <w:adjustRightInd w:val="0"/>
              <w:snapToGrid w:val="0"/>
              <w:spacing w:line="240" w:lineRule="auto"/>
              <w:ind w:firstLine="0" w:firstLineChars="0"/>
              <w:jc w:val="center"/>
              <w:rPr>
                <w:sz w:val="18"/>
                <w:szCs w:val="18"/>
              </w:rPr>
            </w:pPr>
          </w:p>
        </w:tc>
      </w:tr>
    </w:tbl>
    <w:p w14:paraId="498B9D52">
      <w:pPr>
        <w:adjustRightInd w:val="0"/>
        <w:snapToGrid w:val="0"/>
        <w:ind w:firstLine="480"/>
      </w:pPr>
      <w:r>
        <w:t>（2）监测因子</w:t>
      </w:r>
    </w:p>
    <w:p w14:paraId="0C1F4150">
      <w:pPr>
        <w:adjustRightInd w:val="0"/>
        <w:snapToGrid w:val="0"/>
        <w:ind w:firstLine="480"/>
      </w:pPr>
      <w:r>
        <w:t>pH、COD、氨氮、BOD</w:t>
      </w:r>
      <w:r>
        <w:rPr>
          <w:vertAlign w:val="subscript"/>
        </w:rPr>
        <w:t>5</w:t>
      </w:r>
      <w:r>
        <w:t>、SS、石油类、悬浮物。</w:t>
      </w:r>
    </w:p>
    <w:p w14:paraId="261958DB">
      <w:pPr>
        <w:adjustRightInd w:val="0"/>
        <w:snapToGrid w:val="0"/>
        <w:ind w:firstLine="480"/>
      </w:pPr>
      <w:r>
        <w:t>（3）采样及监测时间</w:t>
      </w:r>
    </w:p>
    <w:p w14:paraId="35728547">
      <w:pPr>
        <w:adjustRightInd w:val="0"/>
        <w:snapToGrid w:val="0"/>
        <w:ind w:firstLine="480"/>
      </w:pPr>
      <w:r>
        <w:t>于2023年4月21日至2023年4月23日</w:t>
      </w:r>
      <w:r>
        <w:rPr>
          <w:rFonts w:hint="eastAsia"/>
        </w:rPr>
        <w:t>、2</w:t>
      </w:r>
      <w:r>
        <w:t>023</w:t>
      </w:r>
      <w:r>
        <w:rPr>
          <w:rFonts w:hint="eastAsia"/>
        </w:rPr>
        <w:t>年8月5日~</w:t>
      </w:r>
      <w:r>
        <w:t>2023</w:t>
      </w:r>
      <w:r>
        <w:rPr>
          <w:rFonts w:hint="eastAsia"/>
        </w:rPr>
        <w:t>年8月7日</w:t>
      </w:r>
      <w:r>
        <w:t>委托湖南中诚环境监测技术有限公司对项目周边地表水环境进行了监测。</w:t>
      </w:r>
    </w:p>
    <w:p w14:paraId="056FC5B8">
      <w:pPr>
        <w:adjustRightInd w:val="0"/>
        <w:snapToGrid w:val="0"/>
        <w:ind w:firstLine="480"/>
      </w:pPr>
      <w:r>
        <w:t>（4）监测频率</w:t>
      </w:r>
    </w:p>
    <w:p w14:paraId="2C00DDEA">
      <w:pPr>
        <w:adjustRightInd w:val="0"/>
        <w:snapToGrid w:val="0"/>
        <w:ind w:firstLine="480"/>
      </w:pPr>
      <w:r>
        <w:t>每个断面连续监测3天，每天采样1次。</w:t>
      </w:r>
    </w:p>
    <w:p w14:paraId="384E2B15">
      <w:pPr>
        <w:adjustRightInd w:val="0"/>
        <w:snapToGrid w:val="0"/>
        <w:ind w:firstLine="480"/>
      </w:pPr>
      <w:r>
        <w:t>（5）采样和分析方法</w:t>
      </w:r>
    </w:p>
    <w:p w14:paraId="29D78CA3">
      <w:pPr>
        <w:adjustRightInd w:val="0"/>
        <w:snapToGrid w:val="0"/>
        <w:ind w:firstLine="480"/>
      </w:pPr>
      <w:r>
        <w:t>采样：取样断面的选择应符合《环境影响评价技术导则地表水》（HJ2.3-2018）的有关规定。</w:t>
      </w:r>
    </w:p>
    <w:p w14:paraId="4D3B120B">
      <w:pPr>
        <w:adjustRightInd w:val="0"/>
        <w:snapToGrid w:val="0"/>
        <w:ind w:firstLine="480"/>
      </w:pPr>
      <w:r>
        <w:t>分析方法：按照《地表水环境质量标准》（GB3838-2002）的规定进行。</w:t>
      </w:r>
    </w:p>
    <w:p w14:paraId="6E301F1D">
      <w:pPr>
        <w:adjustRightInd w:val="0"/>
        <w:snapToGrid w:val="0"/>
        <w:ind w:firstLine="480"/>
      </w:pPr>
      <w:r>
        <w:t>（6）监测结果及评价</w:t>
      </w:r>
    </w:p>
    <w:p w14:paraId="472683AF">
      <w:pPr>
        <w:adjustRightInd w:val="0"/>
        <w:snapToGrid w:val="0"/>
        <w:ind w:firstLine="480"/>
      </w:pPr>
      <w:r>
        <w:t>水质现状监测结果及评价见下表。</w:t>
      </w:r>
    </w:p>
    <w:p w14:paraId="2B96BCFF">
      <w:pPr>
        <w:tabs>
          <w:tab w:val="clear" w:pos="480"/>
        </w:tabs>
        <w:spacing w:line="240" w:lineRule="auto"/>
        <w:ind w:firstLine="0" w:firstLineChars="0"/>
        <w:jc w:val="center"/>
        <w:rPr>
          <w:b/>
          <w:bCs/>
        </w:rPr>
      </w:pPr>
      <w:r>
        <w:rPr>
          <w:b/>
          <w:bCs/>
        </w:rPr>
        <w:t>表5.4-5地表水监测结果统计表  单位mg/L，pH除外</w:t>
      </w:r>
    </w:p>
    <w:tbl>
      <w:tblPr>
        <w:tblStyle w:val="88"/>
        <w:tblW w:w="7929" w:type="dxa"/>
        <w:jc w:val="center"/>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Layout w:type="autofit"/>
        <w:tblCellMar>
          <w:top w:w="0" w:type="dxa"/>
          <w:left w:w="108" w:type="dxa"/>
          <w:bottom w:w="0" w:type="dxa"/>
          <w:right w:w="108" w:type="dxa"/>
        </w:tblCellMar>
      </w:tblPr>
      <w:tblGrid>
        <w:gridCol w:w="476"/>
        <w:gridCol w:w="1192"/>
        <w:gridCol w:w="993"/>
        <w:gridCol w:w="992"/>
        <w:gridCol w:w="992"/>
        <w:gridCol w:w="657"/>
        <w:gridCol w:w="845"/>
        <w:gridCol w:w="703"/>
        <w:gridCol w:w="1079"/>
      </w:tblGrid>
      <w:tr w14:paraId="266DFEF4">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50DD561B">
            <w:pPr>
              <w:tabs>
                <w:tab w:val="clear" w:pos="480"/>
              </w:tabs>
              <w:adjustRightInd w:val="0"/>
              <w:snapToGrid w:val="0"/>
              <w:spacing w:line="240" w:lineRule="auto"/>
              <w:ind w:firstLine="0" w:firstLineChars="0"/>
              <w:jc w:val="center"/>
              <w:rPr>
                <w:kern w:val="0"/>
                <w:sz w:val="18"/>
                <w:szCs w:val="18"/>
              </w:rPr>
            </w:pPr>
            <w:r>
              <w:rPr>
                <w:kern w:val="0"/>
                <w:sz w:val="18"/>
                <w:szCs w:val="18"/>
              </w:rPr>
              <w:t>采样点位</w:t>
            </w:r>
          </w:p>
        </w:tc>
        <w:tc>
          <w:tcPr>
            <w:tcW w:w="1192" w:type="dxa"/>
            <w:vMerge w:val="restart"/>
            <w:vAlign w:val="center"/>
          </w:tcPr>
          <w:p w14:paraId="563D30FC">
            <w:pPr>
              <w:tabs>
                <w:tab w:val="clear" w:pos="480"/>
              </w:tabs>
              <w:adjustRightInd w:val="0"/>
              <w:snapToGrid w:val="0"/>
              <w:spacing w:line="240" w:lineRule="auto"/>
              <w:ind w:firstLine="0" w:firstLineChars="0"/>
              <w:jc w:val="center"/>
              <w:rPr>
                <w:kern w:val="0"/>
                <w:sz w:val="18"/>
                <w:szCs w:val="18"/>
              </w:rPr>
            </w:pPr>
            <w:r>
              <w:rPr>
                <w:kern w:val="0"/>
                <w:sz w:val="18"/>
                <w:szCs w:val="18"/>
              </w:rPr>
              <w:t>检测项目</w:t>
            </w:r>
          </w:p>
        </w:tc>
        <w:tc>
          <w:tcPr>
            <w:tcW w:w="2977" w:type="dxa"/>
            <w:gridSpan w:val="3"/>
            <w:vAlign w:val="center"/>
          </w:tcPr>
          <w:p w14:paraId="048D11F6">
            <w:pPr>
              <w:tabs>
                <w:tab w:val="clear" w:pos="480"/>
              </w:tabs>
              <w:adjustRightInd w:val="0"/>
              <w:snapToGrid w:val="0"/>
              <w:spacing w:line="240" w:lineRule="auto"/>
              <w:ind w:firstLine="0" w:firstLineChars="0"/>
              <w:jc w:val="center"/>
              <w:rPr>
                <w:kern w:val="0"/>
                <w:sz w:val="18"/>
                <w:szCs w:val="18"/>
              </w:rPr>
            </w:pPr>
            <w:r>
              <w:rPr>
                <w:kern w:val="0"/>
                <w:sz w:val="18"/>
                <w:szCs w:val="18"/>
              </w:rPr>
              <w:t>检测结果</w:t>
            </w:r>
          </w:p>
        </w:tc>
        <w:tc>
          <w:tcPr>
            <w:tcW w:w="657" w:type="dxa"/>
            <w:vMerge w:val="restart"/>
            <w:vAlign w:val="center"/>
          </w:tcPr>
          <w:p w14:paraId="32F6B8C0">
            <w:pPr>
              <w:tabs>
                <w:tab w:val="clear" w:pos="480"/>
              </w:tabs>
              <w:adjustRightInd w:val="0"/>
              <w:snapToGrid w:val="0"/>
              <w:spacing w:line="240" w:lineRule="auto"/>
              <w:ind w:firstLine="0" w:firstLineChars="0"/>
              <w:jc w:val="center"/>
              <w:rPr>
                <w:kern w:val="0"/>
                <w:sz w:val="18"/>
                <w:szCs w:val="18"/>
              </w:rPr>
            </w:pPr>
            <w:r>
              <w:rPr>
                <w:kern w:val="0"/>
                <w:sz w:val="18"/>
                <w:szCs w:val="18"/>
              </w:rPr>
              <w:t>平均值</w:t>
            </w:r>
          </w:p>
        </w:tc>
        <w:tc>
          <w:tcPr>
            <w:tcW w:w="845" w:type="dxa"/>
            <w:vMerge w:val="restart"/>
            <w:vAlign w:val="center"/>
          </w:tcPr>
          <w:p w14:paraId="3E1A61EF">
            <w:pPr>
              <w:tabs>
                <w:tab w:val="clear" w:pos="480"/>
              </w:tabs>
              <w:adjustRightInd w:val="0"/>
              <w:snapToGrid w:val="0"/>
              <w:spacing w:line="240" w:lineRule="auto"/>
              <w:ind w:firstLine="0" w:firstLineChars="0"/>
              <w:jc w:val="center"/>
              <w:rPr>
                <w:kern w:val="0"/>
                <w:sz w:val="18"/>
                <w:szCs w:val="18"/>
              </w:rPr>
            </w:pPr>
            <w:r>
              <w:rPr>
                <w:kern w:val="0"/>
                <w:sz w:val="18"/>
                <w:szCs w:val="18"/>
              </w:rPr>
              <w:t>标准值</w:t>
            </w:r>
          </w:p>
        </w:tc>
        <w:tc>
          <w:tcPr>
            <w:tcW w:w="703" w:type="dxa"/>
            <w:vMerge w:val="restart"/>
            <w:vAlign w:val="center"/>
          </w:tcPr>
          <w:p w14:paraId="152BF2E8">
            <w:pPr>
              <w:tabs>
                <w:tab w:val="clear" w:pos="480"/>
              </w:tabs>
              <w:adjustRightInd w:val="0"/>
              <w:snapToGrid w:val="0"/>
              <w:spacing w:line="240" w:lineRule="auto"/>
              <w:ind w:firstLine="0" w:firstLineChars="0"/>
              <w:jc w:val="center"/>
              <w:rPr>
                <w:kern w:val="0"/>
                <w:sz w:val="18"/>
                <w:szCs w:val="18"/>
              </w:rPr>
            </w:pPr>
            <w:r>
              <w:rPr>
                <w:kern w:val="0"/>
                <w:sz w:val="18"/>
                <w:szCs w:val="18"/>
              </w:rPr>
              <w:t>最大超标倍数</w:t>
            </w:r>
          </w:p>
        </w:tc>
        <w:tc>
          <w:tcPr>
            <w:tcW w:w="1079" w:type="dxa"/>
            <w:vMerge w:val="restart"/>
            <w:vAlign w:val="center"/>
          </w:tcPr>
          <w:p w14:paraId="52126308">
            <w:pPr>
              <w:tabs>
                <w:tab w:val="clear" w:pos="480"/>
              </w:tabs>
              <w:adjustRightInd w:val="0"/>
              <w:snapToGrid w:val="0"/>
              <w:spacing w:line="240" w:lineRule="auto"/>
              <w:ind w:firstLine="0" w:firstLineChars="0"/>
              <w:jc w:val="center"/>
              <w:rPr>
                <w:kern w:val="0"/>
                <w:sz w:val="18"/>
                <w:szCs w:val="18"/>
              </w:rPr>
            </w:pPr>
            <w:r>
              <w:rPr>
                <w:kern w:val="0"/>
                <w:sz w:val="18"/>
                <w:szCs w:val="18"/>
              </w:rPr>
              <w:t>达标情况</w:t>
            </w:r>
          </w:p>
        </w:tc>
      </w:tr>
      <w:tr w14:paraId="02E2E0CA">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4DA9055">
            <w:pPr>
              <w:tabs>
                <w:tab w:val="clear" w:pos="480"/>
              </w:tabs>
              <w:adjustRightInd w:val="0"/>
              <w:snapToGrid w:val="0"/>
              <w:spacing w:line="240" w:lineRule="auto"/>
              <w:ind w:firstLine="0" w:firstLineChars="0"/>
              <w:jc w:val="center"/>
              <w:rPr>
                <w:kern w:val="0"/>
                <w:sz w:val="18"/>
                <w:szCs w:val="18"/>
              </w:rPr>
            </w:pPr>
          </w:p>
        </w:tc>
        <w:tc>
          <w:tcPr>
            <w:tcW w:w="1192" w:type="dxa"/>
            <w:vMerge w:val="continue"/>
            <w:vAlign w:val="center"/>
          </w:tcPr>
          <w:p w14:paraId="2FE007D6">
            <w:pPr>
              <w:tabs>
                <w:tab w:val="clear" w:pos="480"/>
              </w:tabs>
              <w:adjustRightInd w:val="0"/>
              <w:snapToGrid w:val="0"/>
              <w:spacing w:line="240" w:lineRule="auto"/>
              <w:ind w:firstLine="0" w:firstLineChars="0"/>
              <w:jc w:val="center"/>
              <w:rPr>
                <w:kern w:val="0"/>
                <w:sz w:val="18"/>
                <w:szCs w:val="18"/>
              </w:rPr>
            </w:pPr>
          </w:p>
        </w:tc>
        <w:tc>
          <w:tcPr>
            <w:tcW w:w="993" w:type="dxa"/>
            <w:vAlign w:val="center"/>
          </w:tcPr>
          <w:p w14:paraId="4099795B">
            <w:pPr>
              <w:tabs>
                <w:tab w:val="clear" w:pos="480"/>
              </w:tabs>
              <w:adjustRightInd w:val="0"/>
              <w:snapToGrid w:val="0"/>
              <w:spacing w:line="240" w:lineRule="auto"/>
              <w:ind w:firstLine="0" w:firstLineChars="0"/>
              <w:jc w:val="center"/>
              <w:rPr>
                <w:kern w:val="0"/>
                <w:sz w:val="18"/>
                <w:szCs w:val="18"/>
              </w:rPr>
            </w:pPr>
            <w:r>
              <w:rPr>
                <w:kern w:val="0"/>
                <w:sz w:val="18"/>
                <w:szCs w:val="18"/>
              </w:rPr>
              <w:t>2023.4.21</w:t>
            </w:r>
          </w:p>
        </w:tc>
        <w:tc>
          <w:tcPr>
            <w:tcW w:w="992" w:type="dxa"/>
            <w:vAlign w:val="center"/>
          </w:tcPr>
          <w:p w14:paraId="5AD15F04">
            <w:pPr>
              <w:tabs>
                <w:tab w:val="clear" w:pos="480"/>
              </w:tabs>
              <w:adjustRightInd w:val="0"/>
              <w:snapToGrid w:val="0"/>
              <w:spacing w:line="240" w:lineRule="auto"/>
              <w:ind w:firstLine="0" w:firstLineChars="0"/>
              <w:jc w:val="center"/>
              <w:rPr>
                <w:kern w:val="0"/>
                <w:sz w:val="18"/>
                <w:szCs w:val="18"/>
              </w:rPr>
            </w:pPr>
            <w:r>
              <w:rPr>
                <w:kern w:val="0"/>
                <w:sz w:val="18"/>
                <w:szCs w:val="18"/>
              </w:rPr>
              <w:t>2023.4.22</w:t>
            </w:r>
          </w:p>
        </w:tc>
        <w:tc>
          <w:tcPr>
            <w:tcW w:w="992" w:type="dxa"/>
            <w:vAlign w:val="center"/>
          </w:tcPr>
          <w:p w14:paraId="2D36F6D1">
            <w:pPr>
              <w:tabs>
                <w:tab w:val="clear" w:pos="480"/>
              </w:tabs>
              <w:adjustRightInd w:val="0"/>
              <w:snapToGrid w:val="0"/>
              <w:spacing w:line="240" w:lineRule="auto"/>
              <w:ind w:firstLine="0" w:firstLineChars="0"/>
              <w:jc w:val="center"/>
              <w:rPr>
                <w:kern w:val="0"/>
                <w:sz w:val="18"/>
                <w:szCs w:val="18"/>
              </w:rPr>
            </w:pPr>
            <w:r>
              <w:rPr>
                <w:kern w:val="0"/>
                <w:sz w:val="18"/>
                <w:szCs w:val="18"/>
              </w:rPr>
              <w:t>2023.4.23</w:t>
            </w:r>
          </w:p>
        </w:tc>
        <w:tc>
          <w:tcPr>
            <w:tcW w:w="657" w:type="dxa"/>
            <w:vMerge w:val="continue"/>
            <w:vAlign w:val="center"/>
          </w:tcPr>
          <w:p w14:paraId="30A78C04">
            <w:pPr>
              <w:tabs>
                <w:tab w:val="clear" w:pos="480"/>
              </w:tabs>
              <w:adjustRightInd w:val="0"/>
              <w:snapToGrid w:val="0"/>
              <w:spacing w:line="240" w:lineRule="auto"/>
              <w:ind w:firstLine="0" w:firstLineChars="0"/>
              <w:jc w:val="center"/>
              <w:rPr>
                <w:kern w:val="0"/>
                <w:sz w:val="18"/>
                <w:szCs w:val="18"/>
              </w:rPr>
            </w:pPr>
          </w:p>
        </w:tc>
        <w:tc>
          <w:tcPr>
            <w:tcW w:w="845" w:type="dxa"/>
            <w:vMerge w:val="continue"/>
            <w:vAlign w:val="center"/>
          </w:tcPr>
          <w:p w14:paraId="26B331FF">
            <w:pPr>
              <w:tabs>
                <w:tab w:val="clear" w:pos="480"/>
              </w:tabs>
              <w:adjustRightInd w:val="0"/>
              <w:snapToGrid w:val="0"/>
              <w:spacing w:line="240" w:lineRule="auto"/>
              <w:ind w:firstLine="0" w:firstLineChars="0"/>
              <w:jc w:val="center"/>
              <w:rPr>
                <w:kern w:val="0"/>
                <w:sz w:val="18"/>
                <w:szCs w:val="18"/>
              </w:rPr>
            </w:pPr>
          </w:p>
        </w:tc>
        <w:tc>
          <w:tcPr>
            <w:tcW w:w="703" w:type="dxa"/>
            <w:vMerge w:val="continue"/>
            <w:vAlign w:val="center"/>
          </w:tcPr>
          <w:p w14:paraId="4391D47C">
            <w:pPr>
              <w:tabs>
                <w:tab w:val="clear" w:pos="480"/>
              </w:tabs>
              <w:adjustRightInd w:val="0"/>
              <w:snapToGrid w:val="0"/>
              <w:spacing w:line="240" w:lineRule="auto"/>
              <w:ind w:firstLine="0" w:firstLineChars="0"/>
              <w:jc w:val="center"/>
              <w:rPr>
                <w:kern w:val="0"/>
                <w:sz w:val="18"/>
                <w:szCs w:val="18"/>
              </w:rPr>
            </w:pPr>
          </w:p>
        </w:tc>
        <w:tc>
          <w:tcPr>
            <w:tcW w:w="1079" w:type="dxa"/>
            <w:vMerge w:val="continue"/>
            <w:vAlign w:val="center"/>
          </w:tcPr>
          <w:p w14:paraId="4C917283">
            <w:pPr>
              <w:tabs>
                <w:tab w:val="clear" w:pos="480"/>
              </w:tabs>
              <w:adjustRightInd w:val="0"/>
              <w:snapToGrid w:val="0"/>
              <w:spacing w:line="240" w:lineRule="auto"/>
              <w:ind w:firstLine="0" w:firstLineChars="0"/>
              <w:jc w:val="center"/>
              <w:rPr>
                <w:kern w:val="0"/>
                <w:sz w:val="18"/>
                <w:szCs w:val="18"/>
              </w:rPr>
            </w:pPr>
          </w:p>
        </w:tc>
      </w:tr>
      <w:tr w14:paraId="4C279FF7">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54D646A6">
            <w:pPr>
              <w:tabs>
                <w:tab w:val="clear" w:pos="480"/>
              </w:tabs>
              <w:adjustRightInd w:val="0"/>
              <w:snapToGrid w:val="0"/>
              <w:spacing w:line="240" w:lineRule="auto"/>
              <w:ind w:firstLine="0" w:firstLineChars="0"/>
              <w:jc w:val="center"/>
              <w:rPr>
                <w:kern w:val="0"/>
                <w:sz w:val="18"/>
                <w:szCs w:val="18"/>
              </w:rPr>
            </w:pPr>
            <w:r>
              <w:rPr>
                <w:kern w:val="0"/>
                <w:sz w:val="18"/>
                <w:szCs w:val="18"/>
              </w:rPr>
              <w:t>W1</w:t>
            </w:r>
          </w:p>
        </w:tc>
        <w:tc>
          <w:tcPr>
            <w:tcW w:w="1192" w:type="dxa"/>
            <w:vAlign w:val="center"/>
          </w:tcPr>
          <w:p w14:paraId="3B614106">
            <w:pPr>
              <w:tabs>
                <w:tab w:val="clear" w:pos="480"/>
              </w:tabs>
              <w:adjustRightInd w:val="0"/>
              <w:snapToGrid w:val="0"/>
              <w:spacing w:line="240" w:lineRule="auto"/>
              <w:ind w:firstLine="0" w:firstLineChars="0"/>
              <w:jc w:val="center"/>
              <w:rPr>
                <w:kern w:val="0"/>
                <w:sz w:val="18"/>
                <w:szCs w:val="18"/>
              </w:rPr>
            </w:pPr>
            <w:r>
              <w:rPr>
                <w:kern w:val="0"/>
                <w:sz w:val="18"/>
                <w:szCs w:val="18"/>
              </w:rPr>
              <w:t>pH</w:t>
            </w:r>
          </w:p>
        </w:tc>
        <w:tc>
          <w:tcPr>
            <w:tcW w:w="993" w:type="dxa"/>
            <w:vAlign w:val="center"/>
          </w:tcPr>
          <w:p w14:paraId="1D08512F">
            <w:pPr>
              <w:tabs>
                <w:tab w:val="clear" w:pos="480"/>
              </w:tabs>
              <w:adjustRightInd w:val="0"/>
              <w:snapToGrid w:val="0"/>
              <w:spacing w:line="240" w:lineRule="auto"/>
              <w:ind w:firstLine="0" w:firstLineChars="0"/>
              <w:jc w:val="center"/>
              <w:rPr>
                <w:kern w:val="0"/>
                <w:sz w:val="18"/>
                <w:szCs w:val="18"/>
              </w:rPr>
            </w:pPr>
            <w:r>
              <w:rPr>
                <w:kern w:val="0"/>
                <w:sz w:val="18"/>
                <w:szCs w:val="18"/>
              </w:rPr>
              <w:t>7.4</w:t>
            </w:r>
          </w:p>
        </w:tc>
        <w:tc>
          <w:tcPr>
            <w:tcW w:w="992" w:type="dxa"/>
            <w:vAlign w:val="center"/>
          </w:tcPr>
          <w:p w14:paraId="631F2EEB">
            <w:pPr>
              <w:tabs>
                <w:tab w:val="clear" w:pos="480"/>
              </w:tabs>
              <w:adjustRightInd w:val="0"/>
              <w:snapToGrid w:val="0"/>
              <w:spacing w:line="240" w:lineRule="auto"/>
              <w:ind w:firstLine="0" w:firstLineChars="0"/>
              <w:jc w:val="center"/>
              <w:rPr>
                <w:kern w:val="0"/>
                <w:sz w:val="18"/>
                <w:szCs w:val="18"/>
              </w:rPr>
            </w:pPr>
            <w:r>
              <w:rPr>
                <w:kern w:val="0"/>
                <w:sz w:val="18"/>
                <w:szCs w:val="18"/>
              </w:rPr>
              <w:t>7.2</w:t>
            </w:r>
          </w:p>
        </w:tc>
        <w:tc>
          <w:tcPr>
            <w:tcW w:w="992" w:type="dxa"/>
            <w:vAlign w:val="center"/>
          </w:tcPr>
          <w:p w14:paraId="3E57EC13">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657" w:type="dxa"/>
            <w:vAlign w:val="center"/>
          </w:tcPr>
          <w:p w14:paraId="4E0874A9">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845" w:type="dxa"/>
            <w:vAlign w:val="center"/>
          </w:tcPr>
          <w:p w14:paraId="3570567B">
            <w:pPr>
              <w:tabs>
                <w:tab w:val="clear" w:pos="480"/>
              </w:tabs>
              <w:adjustRightInd w:val="0"/>
              <w:snapToGrid w:val="0"/>
              <w:spacing w:line="240" w:lineRule="auto"/>
              <w:ind w:firstLine="0" w:firstLineChars="0"/>
              <w:jc w:val="center"/>
              <w:rPr>
                <w:kern w:val="0"/>
                <w:sz w:val="18"/>
                <w:szCs w:val="18"/>
              </w:rPr>
            </w:pPr>
            <w:r>
              <w:rPr>
                <w:kern w:val="0"/>
                <w:sz w:val="18"/>
                <w:szCs w:val="18"/>
              </w:rPr>
              <w:t>6~9</w:t>
            </w:r>
          </w:p>
        </w:tc>
        <w:tc>
          <w:tcPr>
            <w:tcW w:w="703" w:type="dxa"/>
            <w:vAlign w:val="center"/>
          </w:tcPr>
          <w:p w14:paraId="31B2736B">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26029555">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5EFC165B">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2730A884">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10BD8501">
            <w:pPr>
              <w:tabs>
                <w:tab w:val="clear" w:pos="480"/>
              </w:tabs>
              <w:adjustRightInd w:val="0"/>
              <w:snapToGrid w:val="0"/>
              <w:spacing w:line="240" w:lineRule="auto"/>
              <w:ind w:firstLine="0" w:firstLineChars="0"/>
              <w:jc w:val="center"/>
              <w:rPr>
                <w:kern w:val="0"/>
                <w:sz w:val="18"/>
                <w:szCs w:val="18"/>
              </w:rPr>
            </w:pPr>
            <w:r>
              <w:rPr>
                <w:kern w:val="0"/>
                <w:sz w:val="18"/>
                <w:szCs w:val="18"/>
              </w:rPr>
              <w:t>悬浮物</w:t>
            </w:r>
          </w:p>
        </w:tc>
        <w:tc>
          <w:tcPr>
            <w:tcW w:w="993" w:type="dxa"/>
            <w:vAlign w:val="center"/>
          </w:tcPr>
          <w:p w14:paraId="51A441EB">
            <w:pPr>
              <w:tabs>
                <w:tab w:val="clear" w:pos="480"/>
              </w:tabs>
              <w:adjustRightInd w:val="0"/>
              <w:snapToGrid w:val="0"/>
              <w:spacing w:line="240" w:lineRule="auto"/>
              <w:ind w:firstLine="0" w:firstLineChars="0"/>
              <w:jc w:val="center"/>
              <w:rPr>
                <w:kern w:val="0"/>
                <w:sz w:val="18"/>
                <w:szCs w:val="18"/>
              </w:rPr>
            </w:pPr>
            <w:r>
              <w:rPr>
                <w:w w:val="99"/>
                <w:kern w:val="0"/>
                <w:sz w:val="18"/>
                <w:szCs w:val="18"/>
              </w:rPr>
              <w:t>7</w:t>
            </w:r>
          </w:p>
        </w:tc>
        <w:tc>
          <w:tcPr>
            <w:tcW w:w="992" w:type="dxa"/>
            <w:vAlign w:val="center"/>
          </w:tcPr>
          <w:p w14:paraId="2581A3F2">
            <w:pPr>
              <w:tabs>
                <w:tab w:val="clear" w:pos="480"/>
              </w:tabs>
              <w:adjustRightInd w:val="0"/>
              <w:snapToGrid w:val="0"/>
              <w:spacing w:line="240" w:lineRule="auto"/>
              <w:ind w:firstLine="0" w:firstLineChars="0"/>
              <w:jc w:val="center"/>
              <w:rPr>
                <w:kern w:val="0"/>
                <w:sz w:val="18"/>
                <w:szCs w:val="18"/>
              </w:rPr>
            </w:pPr>
            <w:r>
              <w:rPr>
                <w:w w:val="99"/>
                <w:kern w:val="0"/>
                <w:sz w:val="18"/>
                <w:szCs w:val="18"/>
              </w:rPr>
              <w:t>6</w:t>
            </w:r>
          </w:p>
        </w:tc>
        <w:tc>
          <w:tcPr>
            <w:tcW w:w="992" w:type="dxa"/>
            <w:vAlign w:val="center"/>
          </w:tcPr>
          <w:p w14:paraId="797B5101">
            <w:pPr>
              <w:tabs>
                <w:tab w:val="clear" w:pos="480"/>
              </w:tabs>
              <w:adjustRightInd w:val="0"/>
              <w:snapToGrid w:val="0"/>
              <w:spacing w:line="240" w:lineRule="auto"/>
              <w:ind w:firstLine="0" w:firstLineChars="0"/>
              <w:jc w:val="center"/>
              <w:rPr>
                <w:kern w:val="0"/>
                <w:sz w:val="18"/>
                <w:szCs w:val="18"/>
              </w:rPr>
            </w:pPr>
            <w:r>
              <w:rPr>
                <w:w w:val="99"/>
                <w:kern w:val="0"/>
                <w:sz w:val="18"/>
                <w:szCs w:val="18"/>
              </w:rPr>
              <w:t>7</w:t>
            </w:r>
          </w:p>
        </w:tc>
        <w:tc>
          <w:tcPr>
            <w:tcW w:w="657" w:type="dxa"/>
            <w:vAlign w:val="center"/>
          </w:tcPr>
          <w:p w14:paraId="0ADF8841">
            <w:pPr>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845" w:type="dxa"/>
            <w:vAlign w:val="center"/>
          </w:tcPr>
          <w:p w14:paraId="3C7AE6E0">
            <w:pPr>
              <w:tabs>
                <w:tab w:val="clear" w:pos="480"/>
              </w:tabs>
              <w:adjustRightInd w:val="0"/>
              <w:snapToGrid w:val="0"/>
              <w:spacing w:line="240" w:lineRule="auto"/>
              <w:ind w:firstLine="0" w:firstLineChars="0"/>
              <w:jc w:val="center"/>
              <w:rPr>
                <w:kern w:val="0"/>
                <w:sz w:val="18"/>
                <w:szCs w:val="18"/>
              </w:rPr>
            </w:pPr>
            <w:r>
              <w:rPr>
                <w:kern w:val="0"/>
                <w:sz w:val="18"/>
                <w:szCs w:val="18"/>
              </w:rPr>
              <w:t>30</w:t>
            </w:r>
          </w:p>
        </w:tc>
        <w:tc>
          <w:tcPr>
            <w:tcW w:w="703" w:type="dxa"/>
            <w:vAlign w:val="center"/>
          </w:tcPr>
          <w:p w14:paraId="51F8013B">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325416D1">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7AA6AB3A">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07F29760">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0A5EA16">
            <w:pPr>
              <w:tabs>
                <w:tab w:val="clear" w:pos="480"/>
              </w:tabs>
              <w:adjustRightInd w:val="0"/>
              <w:snapToGrid w:val="0"/>
              <w:spacing w:line="240" w:lineRule="auto"/>
              <w:ind w:firstLine="0" w:firstLineChars="0"/>
              <w:jc w:val="center"/>
              <w:rPr>
                <w:kern w:val="0"/>
                <w:sz w:val="18"/>
                <w:szCs w:val="18"/>
              </w:rPr>
            </w:pPr>
            <w:r>
              <w:rPr>
                <w:kern w:val="0"/>
                <w:sz w:val="18"/>
                <w:szCs w:val="18"/>
              </w:rPr>
              <w:t>氨氮</w:t>
            </w:r>
          </w:p>
        </w:tc>
        <w:tc>
          <w:tcPr>
            <w:tcW w:w="993" w:type="dxa"/>
            <w:vAlign w:val="center"/>
          </w:tcPr>
          <w:p w14:paraId="781207E9">
            <w:pPr>
              <w:tabs>
                <w:tab w:val="clear" w:pos="480"/>
              </w:tabs>
              <w:adjustRightInd w:val="0"/>
              <w:snapToGrid w:val="0"/>
              <w:spacing w:line="240" w:lineRule="auto"/>
              <w:ind w:firstLine="0" w:firstLineChars="0"/>
              <w:jc w:val="center"/>
              <w:rPr>
                <w:kern w:val="0"/>
                <w:sz w:val="18"/>
                <w:szCs w:val="18"/>
              </w:rPr>
            </w:pPr>
            <w:r>
              <w:rPr>
                <w:kern w:val="0"/>
                <w:sz w:val="18"/>
                <w:szCs w:val="18"/>
              </w:rPr>
              <w:t>0.104</w:t>
            </w:r>
          </w:p>
        </w:tc>
        <w:tc>
          <w:tcPr>
            <w:tcW w:w="992" w:type="dxa"/>
            <w:vAlign w:val="center"/>
          </w:tcPr>
          <w:p w14:paraId="66C65F25">
            <w:pPr>
              <w:tabs>
                <w:tab w:val="clear" w:pos="480"/>
              </w:tabs>
              <w:adjustRightInd w:val="0"/>
              <w:snapToGrid w:val="0"/>
              <w:spacing w:line="240" w:lineRule="auto"/>
              <w:ind w:firstLine="0" w:firstLineChars="0"/>
              <w:jc w:val="center"/>
              <w:rPr>
                <w:kern w:val="0"/>
                <w:sz w:val="18"/>
                <w:szCs w:val="18"/>
              </w:rPr>
            </w:pPr>
            <w:r>
              <w:rPr>
                <w:kern w:val="0"/>
                <w:sz w:val="18"/>
                <w:szCs w:val="18"/>
              </w:rPr>
              <w:t>0.111</w:t>
            </w:r>
          </w:p>
        </w:tc>
        <w:tc>
          <w:tcPr>
            <w:tcW w:w="992" w:type="dxa"/>
            <w:vAlign w:val="center"/>
          </w:tcPr>
          <w:p w14:paraId="633CEA3A">
            <w:pPr>
              <w:tabs>
                <w:tab w:val="clear" w:pos="480"/>
              </w:tabs>
              <w:adjustRightInd w:val="0"/>
              <w:snapToGrid w:val="0"/>
              <w:spacing w:line="240" w:lineRule="auto"/>
              <w:ind w:firstLine="0" w:firstLineChars="0"/>
              <w:jc w:val="center"/>
              <w:rPr>
                <w:kern w:val="0"/>
                <w:sz w:val="18"/>
                <w:szCs w:val="18"/>
              </w:rPr>
            </w:pPr>
            <w:r>
              <w:rPr>
                <w:kern w:val="0"/>
                <w:sz w:val="18"/>
                <w:szCs w:val="18"/>
              </w:rPr>
              <w:t>0.118</w:t>
            </w:r>
          </w:p>
        </w:tc>
        <w:tc>
          <w:tcPr>
            <w:tcW w:w="657" w:type="dxa"/>
            <w:vAlign w:val="center"/>
          </w:tcPr>
          <w:p w14:paraId="32F2A077">
            <w:pPr>
              <w:tabs>
                <w:tab w:val="clear" w:pos="480"/>
              </w:tabs>
              <w:adjustRightInd w:val="0"/>
              <w:snapToGrid w:val="0"/>
              <w:spacing w:line="240" w:lineRule="auto"/>
              <w:ind w:firstLine="0" w:firstLineChars="0"/>
              <w:jc w:val="center"/>
              <w:rPr>
                <w:kern w:val="0"/>
                <w:sz w:val="18"/>
                <w:szCs w:val="18"/>
              </w:rPr>
            </w:pPr>
            <w:r>
              <w:rPr>
                <w:kern w:val="0"/>
                <w:sz w:val="18"/>
                <w:szCs w:val="18"/>
              </w:rPr>
              <w:t>0.111</w:t>
            </w:r>
          </w:p>
        </w:tc>
        <w:tc>
          <w:tcPr>
            <w:tcW w:w="845" w:type="dxa"/>
            <w:vAlign w:val="center"/>
          </w:tcPr>
          <w:p w14:paraId="2102D691">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04EE2A48">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3FD8C913">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5C1EB768">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703BB4A">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15350364">
            <w:pPr>
              <w:tabs>
                <w:tab w:val="clear" w:pos="480"/>
              </w:tabs>
              <w:adjustRightInd w:val="0"/>
              <w:snapToGrid w:val="0"/>
              <w:spacing w:line="240" w:lineRule="auto"/>
              <w:ind w:firstLine="0" w:firstLineChars="0"/>
              <w:jc w:val="center"/>
              <w:rPr>
                <w:kern w:val="0"/>
                <w:sz w:val="18"/>
                <w:szCs w:val="18"/>
              </w:rPr>
            </w:pPr>
            <w:r>
              <w:rPr>
                <w:kern w:val="0"/>
                <w:sz w:val="18"/>
                <w:szCs w:val="18"/>
              </w:rPr>
              <w:t>总氮</w:t>
            </w:r>
          </w:p>
        </w:tc>
        <w:tc>
          <w:tcPr>
            <w:tcW w:w="993" w:type="dxa"/>
            <w:vAlign w:val="center"/>
          </w:tcPr>
          <w:p w14:paraId="2DCFD052">
            <w:pPr>
              <w:tabs>
                <w:tab w:val="clear" w:pos="480"/>
              </w:tabs>
              <w:adjustRightInd w:val="0"/>
              <w:snapToGrid w:val="0"/>
              <w:spacing w:line="240" w:lineRule="auto"/>
              <w:ind w:firstLine="0" w:firstLineChars="0"/>
              <w:jc w:val="center"/>
              <w:rPr>
                <w:kern w:val="0"/>
                <w:sz w:val="18"/>
                <w:szCs w:val="18"/>
              </w:rPr>
            </w:pPr>
            <w:r>
              <w:rPr>
                <w:kern w:val="0"/>
                <w:sz w:val="18"/>
                <w:szCs w:val="18"/>
              </w:rPr>
              <w:t>0.87</w:t>
            </w:r>
          </w:p>
        </w:tc>
        <w:tc>
          <w:tcPr>
            <w:tcW w:w="992" w:type="dxa"/>
            <w:vAlign w:val="center"/>
          </w:tcPr>
          <w:p w14:paraId="1877AE16">
            <w:pPr>
              <w:tabs>
                <w:tab w:val="clear" w:pos="480"/>
              </w:tabs>
              <w:adjustRightInd w:val="0"/>
              <w:snapToGrid w:val="0"/>
              <w:spacing w:line="240" w:lineRule="auto"/>
              <w:ind w:firstLine="0" w:firstLineChars="0"/>
              <w:jc w:val="center"/>
              <w:rPr>
                <w:kern w:val="0"/>
                <w:sz w:val="18"/>
                <w:szCs w:val="18"/>
              </w:rPr>
            </w:pPr>
            <w:r>
              <w:rPr>
                <w:kern w:val="0"/>
                <w:sz w:val="18"/>
                <w:szCs w:val="18"/>
              </w:rPr>
              <w:t>0.83</w:t>
            </w:r>
          </w:p>
        </w:tc>
        <w:tc>
          <w:tcPr>
            <w:tcW w:w="992" w:type="dxa"/>
            <w:vAlign w:val="center"/>
          </w:tcPr>
          <w:p w14:paraId="425E42BB">
            <w:pPr>
              <w:tabs>
                <w:tab w:val="clear" w:pos="480"/>
              </w:tabs>
              <w:adjustRightInd w:val="0"/>
              <w:snapToGrid w:val="0"/>
              <w:spacing w:line="240" w:lineRule="auto"/>
              <w:ind w:firstLine="0" w:firstLineChars="0"/>
              <w:jc w:val="center"/>
              <w:rPr>
                <w:kern w:val="0"/>
                <w:sz w:val="18"/>
                <w:szCs w:val="18"/>
              </w:rPr>
            </w:pPr>
            <w:r>
              <w:rPr>
                <w:kern w:val="0"/>
                <w:sz w:val="18"/>
                <w:szCs w:val="18"/>
              </w:rPr>
              <w:t>0.87</w:t>
            </w:r>
          </w:p>
        </w:tc>
        <w:tc>
          <w:tcPr>
            <w:tcW w:w="657" w:type="dxa"/>
            <w:vAlign w:val="center"/>
          </w:tcPr>
          <w:p w14:paraId="3532D760">
            <w:pPr>
              <w:tabs>
                <w:tab w:val="clear" w:pos="480"/>
              </w:tabs>
              <w:adjustRightInd w:val="0"/>
              <w:snapToGrid w:val="0"/>
              <w:spacing w:line="240" w:lineRule="auto"/>
              <w:ind w:firstLine="0" w:firstLineChars="0"/>
              <w:jc w:val="center"/>
              <w:rPr>
                <w:kern w:val="0"/>
                <w:sz w:val="18"/>
                <w:szCs w:val="18"/>
              </w:rPr>
            </w:pPr>
            <w:r>
              <w:rPr>
                <w:kern w:val="0"/>
                <w:sz w:val="18"/>
                <w:szCs w:val="18"/>
              </w:rPr>
              <w:t>0.86</w:t>
            </w:r>
          </w:p>
        </w:tc>
        <w:tc>
          <w:tcPr>
            <w:tcW w:w="845" w:type="dxa"/>
            <w:vAlign w:val="center"/>
          </w:tcPr>
          <w:p w14:paraId="7A7D56BD">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35757AD6">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76F6260D">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6159DA6">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2D11452F">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A97E7FB">
            <w:pPr>
              <w:tabs>
                <w:tab w:val="clear" w:pos="480"/>
              </w:tabs>
              <w:adjustRightInd w:val="0"/>
              <w:snapToGrid w:val="0"/>
              <w:spacing w:line="240" w:lineRule="auto"/>
              <w:ind w:firstLine="0" w:firstLineChars="0"/>
              <w:jc w:val="center"/>
              <w:rPr>
                <w:kern w:val="0"/>
                <w:sz w:val="18"/>
                <w:szCs w:val="18"/>
              </w:rPr>
            </w:pPr>
            <w:r>
              <w:rPr>
                <w:kern w:val="0"/>
                <w:sz w:val="18"/>
                <w:szCs w:val="18"/>
              </w:rPr>
              <w:t>化学需氧量</w:t>
            </w:r>
          </w:p>
        </w:tc>
        <w:tc>
          <w:tcPr>
            <w:tcW w:w="993" w:type="dxa"/>
            <w:vAlign w:val="center"/>
          </w:tcPr>
          <w:p w14:paraId="00AB3BBD">
            <w:pPr>
              <w:tabs>
                <w:tab w:val="clear" w:pos="480"/>
              </w:tabs>
              <w:adjustRightInd w:val="0"/>
              <w:snapToGrid w:val="0"/>
              <w:spacing w:line="240" w:lineRule="auto"/>
              <w:ind w:firstLine="0" w:firstLineChars="0"/>
              <w:jc w:val="center"/>
              <w:rPr>
                <w:kern w:val="0"/>
                <w:sz w:val="18"/>
                <w:szCs w:val="18"/>
              </w:rPr>
            </w:pPr>
            <w:r>
              <w:rPr>
                <w:w w:val="99"/>
                <w:kern w:val="0"/>
                <w:sz w:val="18"/>
                <w:szCs w:val="18"/>
              </w:rPr>
              <w:t>7</w:t>
            </w:r>
          </w:p>
        </w:tc>
        <w:tc>
          <w:tcPr>
            <w:tcW w:w="992" w:type="dxa"/>
            <w:vAlign w:val="center"/>
          </w:tcPr>
          <w:p w14:paraId="441F73F0">
            <w:pPr>
              <w:tabs>
                <w:tab w:val="clear" w:pos="480"/>
              </w:tabs>
              <w:adjustRightInd w:val="0"/>
              <w:snapToGrid w:val="0"/>
              <w:spacing w:line="240" w:lineRule="auto"/>
              <w:ind w:firstLine="0" w:firstLineChars="0"/>
              <w:jc w:val="center"/>
              <w:rPr>
                <w:kern w:val="0"/>
                <w:sz w:val="18"/>
                <w:szCs w:val="18"/>
              </w:rPr>
            </w:pPr>
            <w:r>
              <w:rPr>
                <w:w w:val="99"/>
                <w:kern w:val="0"/>
                <w:sz w:val="18"/>
                <w:szCs w:val="18"/>
              </w:rPr>
              <w:t>8</w:t>
            </w:r>
          </w:p>
        </w:tc>
        <w:tc>
          <w:tcPr>
            <w:tcW w:w="992" w:type="dxa"/>
            <w:vAlign w:val="center"/>
          </w:tcPr>
          <w:p w14:paraId="05AF9376">
            <w:pPr>
              <w:tabs>
                <w:tab w:val="clear" w:pos="480"/>
              </w:tabs>
              <w:adjustRightInd w:val="0"/>
              <w:snapToGrid w:val="0"/>
              <w:spacing w:line="240" w:lineRule="auto"/>
              <w:ind w:firstLine="0" w:firstLineChars="0"/>
              <w:jc w:val="center"/>
              <w:rPr>
                <w:kern w:val="0"/>
                <w:sz w:val="18"/>
                <w:szCs w:val="18"/>
              </w:rPr>
            </w:pPr>
            <w:r>
              <w:rPr>
                <w:w w:val="99"/>
                <w:kern w:val="0"/>
                <w:sz w:val="18"/>
                <w:szCs w:val="18"/>
              </w:rPr>
              <w:t>7</w:t>
            </w:r>
          </w:p>
        </w:tc>
        <w:tc>
          <w:tcPr>
            <w:tcW w:w="657" w:type="dxa"/>
            <w:vAlign w:val="center"/>
          </w:tcPr>
          <w:p w14:paraId="3BB8C991">
            <w:pPr>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845" w:type="dxa"/>
            <w:vAlign w:val="center"/>
          </w:tcPr>
          <w:p w14:paraId="3B19A641">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c>
          <w:tcPr>
            <w:tcW w:w="703" w:type="dxa"/>
            <w:vAlign w:val="center"/>
          </w:tcPr>
          <w:p w14:paraId="620BD8A3">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7B82DAED">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07085D6D">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64DC457">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5072320B">
            <w:pPr>
              <w:tabs>
                <w:tab w:val="clear" w:pos="480"/>
              </w:tabs>
              <w:adjustRightInd w:val="0"/>
              <w:snapToGrid w:val="0"/>
              <w:spacing w:line="240" w:lineRule="auto"/>
              <w:ind w:firstLine="0" w:firstLineChars="0"/>
              <w:jc w:val="center"/>
              <w:rPr>
                <w:kern w:val="0"/>
                <w:sz w:val="18"/>
                <w:szCs w:val="18"/>
              </w:rPr>
            </w:pPr>
            <w:r>
              <w:rPr>
                <w:kern w:val="0"/>
                <w:sz w:val="18"/>
                <w:szCs w:val="18"/>
              </w:rPr>
              <w:t>五日生化需氧量</w:t>
            </w:r>
          </w:p>
        </w:tc>
        <w:tc>
          <w:tcPr>
            <w:tcW w:w="993" w:type="dxa"/>
            <w:vAlign w:val="center"/>
          </w:tcPr>
          <w:p w14:paraId="47F6B42D">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992" w:type="dxa"/>
            <w:vAlign w:val="center"/>
          </w:tcPr>
          <w:p w14:paraId="5E6AF691">
            <w:pPr>
              <w:tabs>
                <w:tab w:val="clear" w:pos="480"/>
              </w:tabs>
              <w:adjustRightInd w:val="0"/>
              <w:snapToGrid w:val="0"/>
              <w:spacing w:line="240" w:lineRule="auto"/>
              <w:ind w:firstLine="0" w:firstLineChars="0"/>
              <w:jc w:val="center"/>
              <w:rPr>
                <w:kern w:val="0"/>
                <w:sz w:val="18"/>
                <w:szCs w:val="18"/>
              </w:rPr>
            </w:pPr>
            <w:r>
              <w:rPr>
                <w:kern w:val="0"/>
                <w:sz w:val="18"/>
                <w:szCs w:val="18"/>
              </w:rPr>
              <w:t>1.1</w:t>
            </w:r>
          </w:p>
        </w:tc>
        <w:tc>
          <w:tcPr>
            <w:tcW w:w="992" w:type="dxa"/>
            <w:vAlign w:val="center"/>
          </w:tcPr>
          <w:p w14:paraId="4881F8CF">
            <w:pPr>
              <w:tabs>
                <w:tab w:val="clear" w:pos="480"/>
              </w:tabs>
              <w:adjustRightInd w:val="0"/>
              <w:snapToGrid w:val="0"/>
              <w:spacing w:line="240" w:lineRule="auto"/>
              <w:ind w:firstLine="0" w:firstLineChars="0"/>
              <w:jc w:val="center"/>
              <w:rPr>
                <w:kern w:val="0"/>
                <w:sz w:val="18"/>
                <w:szCs w:val="18"/>
              </w:rPr>
            </w:pPr>
            <w:r>
              <w:rPr>
                <w:kern w:val="0"/>
                <w:sz w:val="18"/>
                <w:szCs w:val="18"/>
              </w:rPr>
              <w:t>1.2</w:t>
            </w:r>
          </w:p>
        </w:tc>
        <w:tc>
          <w:tcPr>
            <w:tcW w:w="657" w:type="dxa"/>
            <w:vAlign w:val="center"/>
          </w:tcPr>
          <w:p w14:paraId="3D32F8C3">
            <w:pPr>
              <w:tabs>
                <w:tab w:val="clear" w:pos="480"/>
              </w:tabs>
              <w:adjustRightInd w:val="0"/>
              <w:snapToGrid w:val="0"/>
              <w:spacing w:line="240" w:lineRule="auto"/>
              <w:ind w:firstLine="0" w:firstLineChars="0"/>
              <w:jc w:val="center"/>
              <w:rPr>
                <w:kern w:val="0"/>
                <w:sz w:val="18"/>
                <w:szCs w:val="18"/>
              </w:rPr>
            </w:pPr>
            <w:r>
              <w:rPr>
                <w:kern w:val="0"/>
                <w:sz w:val="18"/>
                <w:szCs w:val="18"/>
              </w:rPr>
              <w:t>1.1</w:t>
            </w:r>
          </w:p>
        </w:tc>
        <w:tc>
          <w:tcPr>
            <w:tcW w:w="845" w:type="dxa"/>
            <w:vAlign w:val="center"/>
          </w:tcPr>
          <w:p w14:paraId="677E2954">
            <w:pPr>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703" w:type="dxa"/>
            <w:vAlign w:val="center"/>
          </w:tcPr>
          <w:p w14:paraId="6E046935">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3A451376">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9A7F8E3">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6F4E3FB">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5BDAF5AA">
            <w:pPr>
              <w:tabs>
                <w:tab w:val="clear" w:pos="480"/>
              </w:tabs>
              <w:adjustRightInd w:val="0"/>
              <w:snapToGrid w:val="0"/>
              <w:spacing w:line="240" w:lineRule="auto"/>
              <w:ind w:firstLine="0" w:firstLineChars="0"/>
              <w:jc w:val="center"/>
              <w:rPr>
                <w:kern w:val="0"/>
                <w:sz w:val="18"/>
                <w:szCs w:val="18"/>
              </w:rPr>
            </w:pPr>
            <w:r>
              <w:rPr>
                <w:kern w:val="0"/>
                <w:sz w:val="18"/>
                <w:szCs w:val="18"/>
              </w:rPr>
              <w:t>石油类</w:t>
            </w:r>
          </w:p>
        </w:tc>
        <w:tc>
          <w:tcPr>
            <w:tcW w:w="993" w:type="dxa"/>
            <w:vAlign w:val="center"/>
          </w:tcPr>
          <w:p w14:paraId="7A0F60A8">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3AFC0E6F">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72C28679">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2BADBB1B">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845" w:type="dxa"/>
            <w:vAlign w:val="center"/>
          </w:tcPr>
          <w:p w14:paraId="42EFCB0F">
            <w:pPr>
              <w:tabs>
                <w:tab w:val="clear" w:pos="480"/>
              </w:tabs>
              <w:adjustRightInd w:val="0"/>
              <w:snapToGrid w:val="0"/>
              <w:spacing w:line="240" w:lineRule="auto"/>
              <w:ind w:firstLine="0" w:firstLineChars="0"/>
              <w:jc w:val="center"/>
              <w:rPr>
                <w:kern w:val="0"/>
                <w:sz w:val="18"/>
                <w:szCs w:val="18"/>
              </w:rPr>
            </w:pPr>
            <w:r>
              <w:rPr>
                <w:kern w:val="0"/>
                <w:sz w:val="18"/>
                <w:szCs w:val="18"/>
              </w:rPr>
              <w:t>0.05</w:t>
            </w:r>
          </w:p>
        </w:tc>
        <w:tc>
          <w:tcPr>
            <w:tcW w:w="703" w:type="dxa"/>
            <w:vAlign w:val="center"/>
          </w:tcPr>
          <w:p w14:paraId="044DC689">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36C61F35">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510A8A95">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6C78F88D">
            <w:pPr>
              <w:tabs>
                <w:tab w:val="clear" w:pos="480"/>
              </w:tabs>
              <w:adjustRightInd w:val="0"/>
              <w:snapToGrid w:val="0"/>
              <w:spacing w:line="240" w:lineRule="auto"/>
              <w:ind w:firstLine="0" w:firstLineChars="0"/>
              <w:jc w:val="center"/>
              <w:rPr>
                <w:kern w:val="0"/>
                <w:sz w:val="18"/>
                <w:szCs w:val="18"/>
              </w:rPr>
            </w:pPr>
            <w:r>
              <w:rPr>
                <w:kern w:val="0"/>
                <w:sz w:val="18"/>
                <w:szCs w:val="18"/>
              </w:rPr>
              <w:t>W2</w:t>
            </w:r>
          </w:p>
        </w:tc>
        <w:tc>
          <w:tcPr>
            <w:tcW w:w="1192" w:type="dxa"/>
            <w:vAlign w:val="center"/>
          </w:tcPr>
          <w:p w14:paraId="77E4178E">
            <w:pPr>
              <w:tabs>
                <w:tab w:val="clear" w:pos="480"/>
              </w:tabs>
              <w:adjustRightInd w:val="0"/>
              <w:snapToGrid w:val="0"/>
              <w:spacing w:line="240" w:lineRule="auto"/>
              <w:ind w:firstLine="0" w:firstLineChars="0"/>
              <w:jc w:val="center"/>
              <w:rPr>
                <w:kern w:val="0"/>
                <w:sz w:val="18"/>
                <w:szCs w:val="18"/>
              </w:rPr>
            </w:pPr>
            <w:r>
              <w:rPr>
                <w:kern w:val="0"/>
                <w:sz w:val="18"/>
                <w:szCs w:val="18"/>
              </w:rPr>
              <w:t>pH</w:t>
            </w:r>
          </w:p>
        </w:tc>
        <w:tc>
          <w:tcPr>
            <w:tcW w:w="993" w:type="dxa"/>
            <w:vAlign w:val="center"/>
          </w:tcPr>
          <w:p w14:paraId="046896CE">
            <w:pPr>
              <w:tabs>
                <w:tab w:val="clear" w:pos="480"/>
              </w:tabs>
              <w:adjustRightInd w:val="0"/>
              <w:snapToGrid w:val="0"/>
              <w:spacing w:line="240" w:lineRule="auto"/>
              <w:ind w:firstLine="0" w:firstLineChars="0"/>
              <w:jc w:val="center"/>
              <w:rPr>
                <w:kern w:val="0"/>
                <w:sz w:val="18"/>
                <w:szCs w:val="18"/>
              </w:rPr>
            </w:pPr>
            <w:r>
              <w:rPr>
                <w:kern w:val="0"/>
                <w:sz w:val="18"/>
                <w:szCs w:val="18"/>
              </w:rPr>
              <w:t>7.1</w:t>
            </w:r>
          </w:p>
        </w:tc>
        <w:tc>
          <w:tcPr>
            <w:tcW w:w="992" w:type="dxa"/>
            <w:vAlign w:val="center"/>
          </w:tcPr>
          <w:p w14:paraId="3B6E05D3">
            <w:pPr>
              <w:tabs>
                <w:tab w:val="clear" w:pos="480"/>
              </w:tabs>
              <w:adjustRightInd w:val="0"/>
              <w:snapToGrid w:val="0"/>
              <w:spacing w:line="240" w:lineRule="auto"/>
              <w:ind w:firstLine="0" w:firstLineChars="0"/>
              <w:jc w:val="center"/>
              <w:rPr>
                <w:kern w:val="0"/>
                <w:sz w:val="18"/>
                <w:szCs w:val="18"/>
              </w:rPr>
            </w:pPr>
            <w:r>
              <w:rPr>
                <w:kern w:val="0"/>
                <w:sz w:val="18"/>
                <w:szCs w:val="18"/>
              </w:rPr>
              <w:t>7.2</w:t>
            </w:r>
          </w:p>
        </w:tc>
        <w:tc>
          <w:tcPr>
            <w:tcW w:w="992" w:type="dxa"/>
            <w:vAlign w:val="center"/>
          </w:tcPr>
          <w:p w14:paraId="06E230D8">
            <w:pPr>
              <w:tabs>
                <w:tab w:val="clear" w:pos="480"/>
              </w:tabs>
              <w:adjustRightInd w:val="0"/>
              <w:snapToGrid w:val="0"/>
              <w:spacing w:line="240" w:lineRule="auto"/>
              <w:ind w:firstLine="0" w:firstLineChars="0"/>
              <w:jc w:val="center"/>
              <w:rPr>
                <w:kern w:val="0"/>
                <w:sz w:val="18"/>
                <w:szCs w:val="18"/>
              </w:rPr>
            </w:pPr>
            <w:r>
              <w:rPr>
                <w:kern w:val="0"/>
                <w:sz w:val="18"/>
                <w:szCs w:val="18"/>
              </w:rPr>
              <w:t>7.0</w:t>
            </w:r>
          </w:p>
        </w:tc>
        <w:tc>
          <w:tcPr>
            <w:tcW w:w="657" w:type="dxa"/>
            <w:vAlign w:val="center"/>
          </w:tcPr>
          <w:p w14:paraId="2E7882FF">
            <w:pPr>
              <w:tabs>
                <w:tab w:val="clear" w:pos="480"/>
              </w:tabs>
              <w:adjustRightInd w:val="0"/>
              <w:snapToGrid w:val="0"/>
              <w:spacing w:line="240" w:lineRule="auto"/>
              <w:ind w:firstLine="0" w:firstLineChars="0"/>
              <w:jc w:val="center"/>
              <w:rPr>
                <w:kern w:val="0"/>
                <w:sz w:val="18"/>
                <w:szCs w:val="18"/>
              </w:rPr>
            </w:pPr>
            <w:r>
              <w:rPr>
                <w:kern w:val="0"/>
                <w:sz w:val="18"/>
                <w:szCs w:val="18"/>
              </w:rPr>
              <w:t>7.1</w:t>
            </w:r>
          </w:p>
        </w:tc>
        <w:tc>
          <w:tcPr>
            <w:tcW w:w="845" w:type="dxa"/>
            <w:vAlign w:val="center"/>
          </w:tcPr>
          <w:p w14:paraId="604630C6">
            <w:pPr>
              <w:tabs>
                <w:tab w:val="clear" w:pos="480"/>
              </w:tabs>
              <w:adjustRightInd w:val="0"/>
              <w:snapToGrid w:val="0"/>
              <w:spacing w:line="240" w:lineRule="auto"/>
              <w:ind w:firstLine="0" w:firstLineChars="0"/>
              <w:jc w:val="center"/>
              <w:rPr>
                <w:kern w:val="0"/>
                <w:sz w:val="18"/>
                <w:szCs w:val="18"/>
              </w:rPr>
            </w:pPr>
            <w:r>
              <w:rPr>
                <w:kern w:val="0"/>
                <w:sz w:val="18"/>
                <w:szCs w:val="18"/>
              </w:rPr>
              <w:t>6~9</w:t>
            </w:r>
          </w:p>
        </w:tc>
        <w:tc>
          <w:tcPr>
            <w:tcW w:w="703" w:type="dxa"/>
            <w:vAlign w:val="center"/>
          </w:tcPr>
          <w:p w14:paraId="7FCA0859">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04AF382B">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44A1EA32">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C73627A">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1195AED3">
            <w:pPr>
              <w:tabs>
                <w:tab w:val="clear" w:pos="480"/>
              </w:tabs>
              <w:adjustRightInd w:val="0"/>
              <w:snapToGrid w:val="0"/>
              <w:spacing w:line="240" w:lineRule="auto"/>
              <w:ind w:firstLine="0" w:firstLineChars="0"/>
              <w:jc w:val="center"/>
              <w:rPr>
                <w:kern w:val="0"/>
                <w:sz w:val="18"/>
                <w:szCs w:val="18"/>
              </w:rPr>
            </w:pPr>
            <w:r>
              <w:rPr>
                <w:kern w:val="0"/>
                <w:sz w:val="18"/>
                <w:szCs w:val="18"/>
              </w:rPr>
              <w:t>悬浮物</w:t>
            </w:r>
          </w:p>
        </w:tc>
        <w:tc>
          <w:tcPr>
            <w:tcW w:w="993" w:type="dxa"/>
            <w:vAlign w:val="center"/>
          </w:tcPr>
          <w:p w14:paraId="36609996">
            <w:pPr>
              <w:tabs>
                <w:tab w:val="clear" w:pos="480"/>
              </w:tabs>
              <w:adjustRightInd w:val="0"/>
              <w:snapToGrid w:val="0"/>
              <w:spacing w:line="240" w:lineRule="auto"/>
              <w:ind w:firstLine="0" w:firstLineChars="0"/>
              <w:jc w:val="center"/>
              <w:rPr>
                <w:kern w:val="0"/>
                <w:sz w:val="18"/>
                <w:szCs w:val="18"/>
              </w:rPr>
            </w:pPr>
            <w:r>
              <w:rPr>
                <w:w w:val="99"/>
                <w:kern w:val="0"/>
                <w:sz w:val="18"/>
                <w:szCs w:val="18"/>
              </w:rPr>
              <w:t>6</w:t>
            </w:r>
          </w:p>
        </w:tc>
        <w:tc>
          <w:tcPr>
            <w:tcW w:w="992" w:type="dxa"/>
            <w:vAlign w:val="center"/>
          </w:tcPr>
          <w:p w14:paraId="32F0ED87">
            <w:pPr>
              <w:tabs>
                <w:tab w:val="clear" w:pos="480"/>
              </w:tabs>
              <w:adjustRightInd w:val="0"/>
              <w:snapToGrid w:val="0"/>
              <w:spacing w:line="240" w:lineRule="auto"/>
              <w:ind w:firstLine="0" w:firstLineChars="0"/>
              <w:jc w:val="center"/>
              <w:rPr>
                <w:kern w:val="0"/>
                <w:sz w:val="18"/>
                <w:szCs w:val="18"/>
              </w:rPr>
            </w:pPr>
            <w:r>
              <w:rPr>
                <w:w w:val="99"/>
                <w:kern w:val="0"/>
                <w:sz w:val="18"/>
                <w:szCs w:val="18"/>
              </w:rPr>
              <w:t>5</w:t>
            </w:r>
          </w:p>
        </w:tc>
        <w:tc>
          <w:tcPr>
            <w:tcW w:w="992" w:type="dxa"/>
            <w:vAlign w:val="center"/>
          </w:tcPr>
          <w:p w14:paraId="5FD52C4F">
            <w:pPr>
              <w:tabs>
                <w:tab w:val="clear" w:pos="480"/>
              </w:tabs>
              <w:adjustRightInd w:val="0"/>
              <w:snapToGrid w:val="0"/>
              <w:spacing w:line="240" w:lineRule="auto"/>
              <w:ind w:firstLine="0" w:firstLineChars="0"/>
              <w:jc w:val="center"/>
              <w:rPr>
                <w:kern w:val="0"/>
                <w:sz w:val="18"/>
                <w:szCs w:val="18"/>
              </w:rPr>
            </w:pPr>
            <w:r>
              <w:rPr>
                <w:w w:val="99"/>
                <w:kern w:val="0"/>
                <w:sz w:val="18"/>
                <w:szCs w:val="18"/>
              </w:rPr>
              <w:t>9</w:t>
            </w:r>
          </w:p>
        </w:tc>
        <w:tc>
          <w:tcPr>
            <w:tcW w:w="657" w:type="dxa"/>
            <w:vAlign w:val="center"/>
          </w:tcPr>
          <w:p w14:paraId="1011AB7E">
            <w:pPr>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845" w:type="dxa"/>
            <w:vAlign w:val="center"/>
          </w:tcPr>
          <w:p w14:paraId="10ECBD9E">
            <w:pPr>
              <w:tabs>
                <w:tab w:val="clear" w:pos="480"/>
              </w:tabs>
              <w:adjustRightInd w:val="0"/>
              <w:snapToGrid w:val="0"/>
              <w:spacing w:line="240" w:lineRule="auto"/>
              <w:ind w:firstLine="0" w:firstLineChars="0"/>
              <w:jc w:val="center"/>
              <w:rPr>
                <w:kern w:val="0"/>
                <w:sz w:val="18"/>
                <w:szCs w:val="18"/>
              </w:rPr>
            </w:pPr>
            <w:r>
              <w:rPr>
                <w:kern w:val="0"/>
                <w:sz w:val="18"/>
                <w:szCs w:val="18"/>
              </w:rPr>
              <w:t>30</w:t>
            </w:r>
          </w:p>
        </w:tc>
        <w:tc>
          <w:tcPr>
            <w:tcW w:w="703" w:type="dxa"/>
            <w:vAlign w:val="center"/>
          </w:tcPr>
          <w:p w14:paraId="65331CC1">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74E30774">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C1C1E4E">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2A26026">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7A4F5F6D">
            <w:pPr>
              <w:tabs>
                <w:tab w:val="clear" w:pos="480"/>
              </w:tabs>
              <w:adjustRightInd w:val="0"/>
              <w:snapToGrid w:val="0"/>
              <w:spacing w:line="240" w:lineRule="auto"/>
              <w:ind w:firstLine="0" w:firstLineChars="0"/>
              <w:jc w:val="center"/>
              <w:rPr>
                <w:kern w:val="0"/>
                <w:sz w:val="18"/>
                <w:szCs w:val="18"/>
              </w:rPr>
            </w:pPr>
            <w:r>
              <w:rPr>
                <w:kern w:val="0"/>
                <w:sz w:val="18"/>
                <w:szCs w:val="18"/>
              </w:rPr>
              <w:t>氨氮</w:t>
            </w:r>
          </w:p>
        </w:tc>
        <w:tc>
          <w:tcPr>
            <w:tcW w:w="993" w:type="dxa"/>
            <w:vAlign w:val="center"/>
          </w:tcPr>
          <w:p w14:paraId="520CDFB1">
            <w:pPr>
              <w:tabs>
                <w:tab w:val="clear" w:pos="480"/>
              </w:tabs>
              <w:adjustRightInd w:val="0"/>
              <w:snapToGrid w:val="0"/>
              <w:spacing w:line="240" w:lineRule="auto"/>
              <w:ind w:firstLine="0" w:firstLineChars="0"/>
              <w:jc w:val="center"/>
              <w:rPr>
                <w:kern w:val="0"/>
                <w:sz w:val="18"/>
                <w:szCs w:val="18"/>
              </w:rPr>
            </w:pPr>
            <w:r>
              <w:rPr>
                <w:kern w:val="0"/>
                <w:sz w:val="18"/>
                <w:szCs w:val="18"/>
              </w:rPr>
              <w:t>0.178</w:t>
            </w:r>
          </w:p>
        </w:tc>
        <w:tc>
          <w:tcPr>
            <w:tcW w:w="992" w:type="dxa"/>
            <w:vAlign w:val="center"/>
          </w:tcPr>
          <w:p w14:paraId="52EE7652">
            <w:pPr>
              <w:tabs>
                <w:tab w:val="clear" w:pos="480"/>
              </w:tabs>
              <w:adjustRightInd w:val="0"/>
              <w:snapToGrid w:val="0"/>
              <w:spacing w:line="240" w:lineRule="auto"/>
              <w:ind w:firstLine="0" w:firstLineChars="0"/>
              <w:jc w:val="center"/>
              <w:rPr>
                <w:kern w:val="0"/>
                <w:sz w:val="18"/>
                <w:szCs w:val="18"/>
              </w:rPr>
            </w:pPr>
            <w:r>
              <w:rPr>
                <w:kern w:val="0"/>
                <w:sz w:val="18"/>
                <w:szCs w:val="18"/>
              </w:rPr>
              <w:t>0.160</w:t>
            </w:r>
          </w:p>
        </w:tc>
        <w:tc>
          <w:tcPr>
            <w:tcW w:w="992" w:type="dxa"/>
            <w:vAlign w:val="center"/>
          </w:tcPr>
          <w:p w14:paraId="213E0CA5">
            <w:pPr>
              <w:tabs>
                <w:tab w:val="clear" w:pos="480"/>
              </w:tabs>
              <w:adjustRightInd w:val="0"/>
              <w:snapToGrid w:val="0"/>
              <w:spacing w:line="240" w:lineRule="auto"/>
              <w:ind w:firstLine="0" w:firstLineChars="0"/>
              <w:jc w:val="center"/>
              <w:rPr>
                <w:kern w:val="0"/>
                <w:sz w:val="18"/>
                <w:szCs w:val="18"/>
              </w:rPr>
            </w:pPr>
            <w:r>
              <w:rPr>
                <w:kern w:val="0"/>
                <w:sz w:val="18"/>
                <w:szCs w:val="18"/>
              </w:rPr>
              <w:t>0.154</w:t>
            </w:r>
          </w:p>
        </w:tc>
        <w:tc>
          <w:tcPr>
            <w:tcW w:w="657" w:type="dxa"/>
            <w:vAlign w:val="center"/>
          </w:tcPr>
          <w:p w14:paraId="6477DC26">
            <w:pPr>
              <w:tabs>
                <w:tab w:val="clear" w:pos="480"/>
              </w:tabs>
              <w:adjustRightInd w:val="0"/>
              <w:snapToGrid w:val="0"/>
              <w:spacing w:line="240" w:lineRule="auto"/>
              <w:ind w:firstLine="0" w:firstLineChars="0"/>
              <w:jc w:val="center"/>
              <w:rPr>
                <w:kern w:val="0"/>
                <w:sz w:val="18"/>
                <w:szCs w:val="18"/>
              </w:rPr>
            </w:pPr>
            <w:r>
              <w:rPr>
                <w:kern w:val="0"/>
                <w:sz w:val="18"/>
                <w:szCs w:val="18"/>
              </w:rPr>
              <w:t>0.164</w:t>
            </w:r>
          </w:p>
        </w:tc>
        <w:tc>
          <w:tcPr>
            <w:tcW w:w="845" w:type="dxa"/>
            <w:vAlign w:val="center"/>
          </w:tcPr>
          <w:p w14:paraId="65457F36">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362E198D">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21971562">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F5FF364">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DC357AD">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6A074A4F">
            <w:pPr>
              <w:tabs>
                <w:tab w:val="clear" w:pos="480"/>
              </w:tabs>
              <w:adjustRightInd w:val="0"/>
              <w:snapToGrid w:val="0"/>
              <w:spacing w:line="240" w:lineRule="auto"/>
              <w:ind w:firstLine="0" w:firstLineChars="0"/>
              <w:jc w:val="center"/>
              <w:rPr>
                <w:kern w:val="0"/>
                <w:sz w:val="18"/>
                <w:szCs w:val="18"/>
              </w:rPr>
            </w:pPr>
            <w:r>
              <w:rPr>
                <w:kern w:val="0"/>
                <w:sz w:val="18"/>
                <w:szCs w:val="18"/>
              </w:rPr>
              <w:t>总氮</w:t>
            </w:r>
          </w:p>
        </w:tc>
        <w:tc>
          <w:tcPr>
            <w:tcW w:w="993" w:type="dxa"/>
            <w:vAlign w:val="center"/>
          </w:tcPr>
          <w:p w14:paraId="34BA96F6">
            <w:pPr>
              <w:tabs>
                <w:tab w:val="clear" w:pos="480"/>
              </w:tabs>
              <w:adjustRightInd w:val="0"/>
              <w:snapToGrid w:val="0"/>
              <w:spacing w:line="240" w:lineRule="auto"/>
              <w:ind w:firstLine="0" w:firstLineChars="0"/>
              <w:jc w:val="center"/>
              <w:rPr>
                <w:kern w:val="0"/>
                <w:sz w:val="18"/>
                <w:szCs w:val="18"/>
              </w:rPr>
            </w:pPr>
            <w:r>
              <w:rPr>
                <w:kern w:val="0"/>
                <w:sz w:val="18"/>
                <w:szCs w:val="18"/>
              </w:rPr>
              <w:t>0.81</w:t>
            </w:r>
          </w:p>
        </w:tc>
        <w:tc>
          <w:tcPr>
            <w:tcW w:w="992" w:type="dxa"/>
            <w:vAlign w:val="center"/>
          </w:tcPr>
          <w:p w14:paraId="753E222C">
            <w:pPr>
              <w:tabs>
                <w:tab w:val="clear" w:pos="480"/>
              </w:tabs>
              <w:adjustRightInd w:val="0"/>
              <w:snapToGrid w:val="0"/>
              <w:spacing w:line="240" w:lineRule="auto"/>
              <w:ind w:firstLine="0" w:firstLineChars="0"/>
              <w:jc w:val="center"/>
              <w:rPr>
                <w:kern w:val="0"/>
                <w:sz w:val="18"/>
                <w:szCs w:val="18"/>
              </w:rPr>
            </w:pPr>
            <w:r>
              <w:rPr>
                <w:kern w:val="0"/>
                <w:sz w:val="18"/>
                <w:szCs w:val="18"/>
              </w:rPr>
              <w:t>0.90</w:t>
            </w:r>
          </w:p>
        </w:tc>
        <w:tc>
          <w:tcPr>
            <w:tcW w:w="992" w:type="dxa"/>
            <w:vAlign w:val="center"/>
          </w:tcPr>
          <w:p w14:paraId="6BB1E4C6">
            <w:pPr>
              <w:tabs>
                <w:tab w:val="clear" w:pos="480"/>
              </w:tabs>
              <w:adjustRightInd w:val="0"/>
              <w:snapToGrid w:val="0"/>
              <w:spacing w:line="240" w:lineRule="auto"/>
              <w:ind w:firstLine="0" w:firstLineChars="0"/>
              <w:jc w:val="center"/>
              <w:rPr>
                <w:kern w:val="0"/>
                <w:sz w:val="18"/>
                <w:szCs w:val="18"/>
              </w:rPr>
            </w:pPr>
            <w:r>
              <w:rPr>
                <w:kern w:val="0"/>
                <w:sz w:val="18"/>
                <w:szCs w:val="18"/>
              </w:rPr>
              <w:t>0.82</w:t>
            </w:r>
          </w:p>
        </w:tc>
        <w:tc>
          <w:tcPr>
            <w:tcW w:w="657" w:type="dxa"/>
            <w:vAlign w:val="center"/>
          </w:tcPr>
          <w:p w14:paraId="22A26443">
            <w:pPr>
              <w:tabs>
                <w:tab w:val="clear" w:pos="480"/>
              </w:tabs>
              <w:adjustRightInd w:val="0"/>
              <w:snapToGrid w:val="0"/>
              <w:spacing w:line="240" w:lineRule="auto"/>
              <w:ind w:firstLine="0" w:firstLineChars="0"/>
              <w:jc w:val="center"/>
              <w:rPr>
                <w:kern w:val="0"/>
                <w:sz w:val="18"/>
                <w:szCs w:val="18"/>
              </w:rPr>
            </w:pPr>
            <w:r>
              <w:rPr>
                <w:kern w:val="0"/>
                <w:sz w:val="18"/>
                <w:szCs w:val="18"/>
              </w:rPr>
              <w:t>0.84</w:t>
            </w:r>
          </w:p>
        </w:tc>
        <w:tc>
          <w:tcPr>
            <w:tcW w:w="845" w:type="dxa"/>
            <w:vAlign w:val="center"/>
          </w:tcPr>
          <w:p w14:paraId="4AED1A35">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0513421E">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4EDC2ABA">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22D534F1">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308E740E">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640711AE">
            <w:pPr>
              <w:tabs>
                <w:tab w:val="clear" w:pos="480"/>
              </w:tabs>
              <w:adjustRightInd w:val="0"/>
              <w:snapToGrid w:val="0"/>
              <w:spacing w:line="240" w:lineRule="auto"/>
              <w:ind w:firstLine="0" w:firstLineChars="0"/>
              <w:jc w:val="center"/>
              <w:rPr>
                <w:kern w:val="0"/>
                <w:sz w:val="18"/>
                <w:szCs w:val="18"/>
              </w:rPr>
            </w:pPr>
            <w:r>
              <w:rPr>
                <w:kern w:val="0"/>
                <w:sz w:val="18"/>
                <w:szCs w:val="18"/>
              </w:rPr>
              <w:t>化学需氧量</w:t>
            </w:r>
          </w:p>
        </w:tc>
        <w:tc>
          <w:tcPr>
            <w:tcW w:w="993" w:type="dxa"/>
            <w:vAlign w:val="center"/>
          </w:tcPr>
          <w:p w14:paraId="7E3E1CD2">
            <w:pPr>
              <w:tabs>
                <w:tab w:val="clear" w:pos="480"/>
              </w:tabs>
              <w:adjustRightInd w:val="0"/>
              <w:snapToGrid w:val="0"/>
              <w:spacing w:line="240" w:lineRule="auto"/>
              <w:ind w:firstLine="0" w:firstLineChars="0"/>
              <w:jc w:val="center"/>
              <w:rPr>
                <w:kern w:val="0"/>
                <w:sz w:val="18"/>
                <w:szCs w:val="18"/>
              </w:rPr>
            </w:pPr>
            <w:r>
              <w:rPr>
                <w:w w:val="99"/>
                <w:kern w:val="0"/>
                <w:sz w:val="18"/>
                <w:szCs w:val="18"/>
              </w:rPr>
              <w:t>5</w:t>
            </w:r>
          </w:p>
        </w:tc>
        <w:tc>
          <w:tcPr>
            <w:tcW w:w="992" w:type="dxa"/>
            <w:vAlign w:val="center"/>
          </w:tcPr>
          <w:p w14:paraId="2FE4919C">
            <w:pPr>
              <w:tabs>
                <w:tab w:val="clear" w:pos="480"/>
              </w:tabs>
              <w:adjustRightInd w:val="0"/>
              <w:snapToGrid w:val="0"/>
              <w:spacing w:line="240" w:lineRule="auto"/>
              <w:ind w:firstLine="0" w:firstLineChars="0"/>
              <w:jc w:val="center"/>
              <w:rPr>
                <w:kern w:val="0"/>
                <w:sz w:val="18"/>
                <w:szCs w:val="18"/>
              </w:rPr>
            </w:pPr>
            <w:r>
              <w:rPr>
                <w:w w:val="99"/>
                <w:kern w:val="0"/>
                <w:sz w:val="18"/>
                <w:szCs w:val="18"/>
              </w:rPr>
              <w:t>5</w:t>
            </w:r>
          </w:p>
        </w:tc>
        <w:tc>
          <w:tcPr>
            <w:tcW w:w="992" w:type="dxa"/>
            <w:vAlign w:val="center"/>
          </w:tcPr>
          <w:p w14:paraId="6EB2E81C">
            <w:pPr>
              <w:tabs>
                <w:tab w:val="clear" w:pos="480"/>
              </w:tabs>
              <w:adjustRightInd w:val="0"/>
              <w:snapToGrid w:val="0"/>
              <w:spacing w:line="240" w:lineRule="auto"/>
              <w:ind w:firstLine="0" w:firstLineChars="0"/>
              <w:jc w:val="center"/>
              <w:rPr>
                <w:kern w:val="0"/>
                <w:sz w:val="18"/>
                <w:szCs w:val="18"/>
              </w:rPr>
            </w:pPr>
            <w:r>
              <w:rPr>
                <w:w w:val="99"/>
                <w:kern w:val="0"/>
                <w:sz w:val="18"/>
                <w:szCs w:val="18"/>
              </w:rPr>
              <w:t>5</w:t>
            </w:r>
          </w:p>
        </w:tc>
        <w:tc>
          <w:tcPr>
            <w:tcW w:w="657" w:type="dxa"/>
            <w:vAlign w:val="center"/>
          </w:tcPr>
          <w:p w14:paraId="607F5D3A">
            <w:pPr>
              <w:tabs>
                <w:tab w:val="clear" w:pos="480"/>
              </w:tabs>
              <w:adjustRightInd w:val="0"/>
              <w:snapToGrid w:val="0"/>
              <w:spacing w:line="240" w:lineRule="auto"/>
              <w:ind w:firstLine="0" w:firstLineChars="0"/>
              <w:jc w:val="center"/>
              <w:rPr>
                <w:kern w:val="0"/>
                <w:sz w:val="18"/>
                <w:szCs w:val="18"/>
              </w:rPr>
            </w:pPr>
          </w:p>
        </w:tc>
        <w:tc>
          <w:tcPr>
            <w:tcW w:w="845" w:type="dxa"/>
            <w:vAlign w:val="center"/>
          </w:tcPr>
          <w:p w14:paraId="11285902">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c>
          <w:tcPr>
            <w:tcW w:w="703" w:type="dxa"/>
            <w:vAlign w:val="center"/>
          </w:tcPr>
          <w:p w14:paraId="53EB5A85">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06FC9462">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C6CE9F0">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85CC403">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49D88559">
            <w:pPr>
              <w:tabs>
                <w:tab w:val="clear" w:pos="480"/>
              </w:tabs>
              <w:adjustRightInd w:val="0"/>
              <w:snapToGrid w:val="0"/>
              <w:spacing w:line="240" w:lineRule="auto"/>
              <w:ind w:firstLine="0" w:firstLineChars="0"/>
              <w:jc w:val="center"/>
              <w:rPr>
                <w:kern w:val="0"/>
                <w:sz w:val="18"/>
                <w:szCs w:val="18"/>
              </w:rPr>
            </w:pPr>
            <w:r>
              <w:rPr>
                <w:kern w:val="0"/>
                <w:sz w:val="18"/>
                <w:szCs w:val="18"/>
              </w:rPr>
              <w:t>五日生化需氧量</w:t>
            </w:r>
          </w:p>
        </w:tc>
        <w:tc>
          <w:tcPr>
            <w:tcW w:w="993" w:type="dxa"/>
            <w:vAlign w:val="center"/>
          </w:tcPr>
          <w:p w14:paraId="12809481">
            <w:pPr>
              <w:tabs>
                <w:tab w:val="clear" w:pos="480"/>
              </w:tabs>
              <w:adjustRightInd w:val="0"/>
              <w:snapToGrid w:val="0"/>
              <w:spacing w:line="240" w:lineRule="auto"/>
              <w:ind w:firstLine="0" w:firstLineChars="0"/>
              <w:jc w:val="center"/>
              <w:rPr>
                <w:kern w:val="0"/>
                <w:sz w:val="18"/>
                <w:szCs w:val="18"/>
              </w:rPr>
            </w:pPr>
            <w:r>
              <w:rPr>
                <w:kern w:val="0"/>
                <w:sz w:val="18"/>
                <w:szCs w:val="18"/>
              </w:rPr>
              <w:t>1.1</w:t>
            </w:r>
          </w:p>
        </w:tc>
        <w:tc>
          <w:tcPr>
            <w:tcW w:w="992" w:type="dxa"/>
            <w:vAlign w:val="center"/>
          </w:tcPr>
          <w:p w14:paraId="69CDE54A">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992" w:type="dxa"/>
            <w:vAlign w:val="center"/>
          </w:tcPr>
          <w:p w14:paraId="1AE22C37">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657" w:type="dxa"/>
            <w:vAlign w:val="center"/>
          </w:tcPr>
          <w:p w14:paraId="71C6F5C5">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845" w:type="dxa"/>
            <w:vAlign w:val="center"/>
          </w:tcPr>
          <w:p w14:paraId="78CF84D1">
            <w:pPr>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703" w:type="dxa"/>
            <w:vAlign w:val="center"/>
          </w:tcPr>
          <w:p w14:paraId="4C2748AD">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1A1BED57">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23310250">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39577308">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6AE4C163">
            <w:pPr>
              <w:tabs>
                <w:tab w:val="clear" w:pos="480"/>
              </w:tabs>
              <w:adjustRightInd w:val="0"/>
              <w:snapToGrid w:val="0"/>
              <w:spacing w:line="240" w:lineRule="auto"/>
              <w:ind w:firstLine="0" w:firstLineChars="0"/>
              <w:jc w:val="center"/>
              <w:rPr>
                <w:kern w:val="0"/>
                <w:sz w:val="18"/>
                <w:szCs w:val="18"/>
              </w:rPr>
            </w:pPr>
            <w:r>
              <w:rPr>
                <w:kern w:val="0"/>
                <w:sz w:val="18"/>
                <w:szCs w:val="18"/>
              </w:rPr>
              <w:t>石油类</w:t>
            </w:r>
          </w:p>
        </w:tc>
        <w:tc>
          <w:tcPr>
            <w:tcW w:w="993" w:type="dxa"/>
            <w:vAlign w:val="center"/>
          </w:tcPr>
          <w:p w14:paraId="64DBD7BE">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60F079B3">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0479B487">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4C0F531E">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845" w:type="dxa"/>
            <w:vAlign w:val="center"/>
          </w:tcPr>
          <w:p w14:paraId="02F488F5">
            <w:pPr>
              <w:tabs>
                <w:tab w:val="clear" w:pos="480"/>
              </w:tabs>
              <w:adjustRightInd w:val="0"/>
              <w:snapToGrid w:val="0"/>
              <w:spacing w:line="240" w:lineRule="auto"/>
              <w:ind w:firstLine="0" w:firstLineChars="0"/>
              <w:jc w:val="center"/>
              <w:rPr>
                <w:kern w:val="0"/>
                <w:sz w:val="18"/>
                <w:szCs w:val="18"/>
              </w:rPr>
            </w:pPr>
            <w:r>
              <w:rPr>
                <w:kern w:val="0"/>
                <w:sz w:val="18"/>
                <w:szCs w:val="18"/>
              </w:rPr>
              <w:t>0.05</w:t>
            </w:r>
          </w:p>
        </w:tc>
        <w:tc>
          <w:tcPr>
            <w:tcW w:w="703" w:type="dxa"/>
            <w:vAlign w:val="center"/>
          </w:tcPr>
          <w:p w14:paraId="7A36D76C">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1079" w:type="dxa"/>
            <w:vAlign w:val="center"/>
          </w:tcPr>
          <w:p w14:paraId="24F341D3">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bl>
    <w:p w14:paraId="70DE1757">
      <w:pPr>
        <w:tabs>
          <w:tab w:val="clear" w:pos="480"/>
        </w:tabs>
        <w:spacing w:line="240" w:lineRule="auto"/>
        <w:ind w:firstLine="0" w:firstLineChars="0"/>
        <w:jc w:val="center"/>
        <w:rPr>
          <w:b/>
          <w:bCs/>
        </w:rPr>
      </w:pPr>
      <w:r>
        <w:rPr>
          <w:b/>
          <w:bCs/>
        </w:rPr>
        <w:t>表5.4-6地表水监测结果统计表  单位mg/L，pH除外</w:t>
      </w:r>
    </w:p>
    <w:tbl>
      <w:tblPr>
        <w:tblStyle w:val="88"/>
        <w:tblW w:w="7929" w:type="dxa"/>
        <w:jc w:val="center"/>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Layout w:type="autofit"/>
        <w:tblCellMar>
          <w:top w:w="0" w:type="dxa"/>
          <w:left w:w="108" w:type="dxa"/>
          <w:bottom w:w="0" w:type="dxa"/>
          <w:right w:w="108" w:type="dxa"/>
        </w:tblCellMar>
      </w:tblPr>
      <w:tblGrid>
        <w:gridCol w:w="476"/>
        <w:gridCol w:w="1192"/>
        <w:gridCol w:w="993"/>
        <w:gridCol w:w="992"/>
        <w:gridCol w:w="992"/>
        <w:gridCol w:w="657"/>
        <w:gridCol w:w="845"/>
        <w:gridCol w:w="703"/>
        <w:gridCol w:w="1079"/>
      </w:tblGrid>
      <w:tr w14:paraId="746E4471">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PrEx>
        <w:trPr>
          <w:trHeight w:val="340" w:hRule="atLeast"/>
          <w:jc w:val="center"/>
        </w:trPr>
        <w:tc>
          <w:tcPr>
            <w:tcW w:w="476" w:type="dxa"/>
            <w:vMerge w:val="restart"/>
            <w:vAlign w:val="center"/>
          </w:tcPr>
          <w:p w14:paraId="133248F0">
            <w:pPr>
              <w:tabs>
                <w:tab w:val="clear" w:pos="480"/>
              </w:tabs>
              <w:adjustRightInd w:val="0"/>
              <w:snapToGrid w:val="0"/>
              <w:spacing w:line="240" w:lineRule="auto"/>
              <w:ind w:firstLine="0" w:firstLineChars="0"/>
              <w:jc w:val="center"/>
              <w:rPr>
                <w:kern w:val="0"/>
                <w:sz w:val="18"/>
                <w:szCs w:val="18"/>
              </w:rPr>
            </w:pPr>
            <w:r>
              <w:rPr>
                <w:kern w:val="0"/>
                <w:sz w:val="18"/>
                <w:szCs w:val="18"/>
              </w:rPr>
              <w:t>采样点位</w:t>
            </w:r>
          </w:p>
        </w:tc>
        <w:tc>
          <w:tcPr>
            <w:tcW w:w="1192" w:type="dxa"/>
            <w:vMerge w:val="restart"/>
            <w:vAlign w:val="center"/>
          </w:tcPr>
          <w:p w14:paraId="0B24DB0F">
            <w:pPr>
              <w:tabs>
                <w:tab w:val="clear" w:pos="480"/>
              </w:tabs>
              <w:adjustRightInd w:val="0"/>
              <w:snapToGrid w:val="0"/>
              <w:spacing w:line="240" w:lineRule="auto"/>
              <w:ind w:firstLine="0" w:firstLineChars="0"/>
              <w:jc w:val="center"/>
              <w:rPr>
                <w:kern w:val="0"/>
                <w:sz w:val="18"/>
                <w:szCs w:val="18"/>
              </w:rPr>
            </w:pPr>
            <w:r>
              <w:rPr>
                <w:kern w:val="0"/>
                <w:sz w:val="18"/>
                <w:szCs w:val="18"/>
              </w:rPr>
              <w:t>检测项目</w:t>
            </w:r>
          </w:p>
        </w:tc>
        <w:tc>
          <w:tcPr>
            <w:tcW w:w="2977" w:type="dxa"/>
            <w:gridSpan w:val="3"/>
            <w:vAlign w:val="center"/>
          </w:tcPr>
          <w:p w14:paraId="1FF486F3">
            <w:pPr>
              <w:tabs>
                <w:tab w:val="clear" w:pos="480"/>
              </w:tabs>
              <w:adjustRightInd w:val="0"/>
              <w:snapToGrid w:val="0"/>
              <w:spacing w:line="240" w:lineRule="auto"/>
              <w:ind w:firstLine="0" w:firstLineChars="0"/>
              <w:jc w:val="center"/>
              <w:rPr>
                <w:kern w:val="0"/>
                <w:sz w:val="18"/>
                <w:szCs w:val="18"/>
              </w:rPr>
            </w:pPr>
            <w:r>
              <w:rPr>
                <w:kern w:val="0"/>
                <w:sz w:val="18"/>
                <w:szCs w:val="18"/>
              </w:rPr>
              <w:t>检测结果</w:t>
            </w:r>
          </w:p>
        </w:tc>
        <w:tc>
          <w:tcPr>
            <w:tcW w:w="657" w:type="dxa"/>
            <w:vMerge w:val="restart"/>
            <w:vAlign w:val="center"/>
          </w:tcPr>
          <w:p w14:paraId="02E9CA1C">
            <w:pPr>
              <w:tabs>
                <w:tab w:val="clear" w:pos="480"/>
              </w:tabs>
              <w:adjustRightInd w:val="0"/>
              <w:snapToGrid w:val="0"/>
              <w:spacing w:line="240" w:lineRule="auto"/>
              <w:ind w:firstLine="0" w:firstLineChars="0"/>
              <w:jc w:val="center"/>
              <w:rPr>
                <w:kern w:val="0"/>
                <w:sz w:val="18"/>
                <w:szCs w:val="18"/>
              </w:rPr>
            </w:pPr>
            <w:r>
              <w:rPr>
                <w:kern w:val="0"/>
                <w:sz w:val="18"/>
                <w:szCs w:val="18"/>
              </w:rPr>
              <w:t>平均值</w:t>
            </w:r>
          </w:p>
        </w:tc>
        <w:tc>
          <w:tcPr>
            <w:tcW w:w="845" w:type="dxa"/>
            <w:vMerge w:val="restart"/>
            <w:vAlign w:val="center"/>
          </w:tcPr>
          <w:p w14:paraId="5DFB3FA1">
            <w:pPr>
              <w:tabs>
                <w:tab w:val="clear" w:pos="480"/>
              </w:tabs>
              <w:adjustRightInd w:val="0"/>
              <w:snapToGrid w:val="0"/>
              <w:spacing w:line="240" w:lineRule="auto"/>
              <w:ind w:firstLine="0" w:firstLineChars="0"/>
              <w:jc w:val="center"/>
              <w:rPr>
                <w:kern w:val="0"/>
                <w:sz w:val="18"/>
                <w:szCs w:val="18"/>
              </w:rPr>
            </w:pPr>
            <w:r>
              <w:rPr>
                <w:kern w:val="0"/>
                <w:sz w:val="18"/>
                <w:szCs w:val="18"/>
              </w:rPr>
              <w:t>标准值</w:t>
            </w:r>
          </w:p>
        </w:tc>
        <w:tc>
          <w:tcPr>
            <w:tcW w:w="703" w:type="dxa"/>
            <w:vMerge w:val="restart"/>
            <w:vAlign w:val="center"/>
          </w:tcPr>
          <w:p w14:paraId="0AC4EAD2">
            <w:pPr>
              <w:tabs>
                <w:tab w:val="clear" w:pos="480"/>
              </w:tabs>
              <w:adjustRightInd w:val="0"/>
              <w:snapToGrid w:val="0"/>
              <w:spacing w:line="240" w:lineRule="auto"/>
              <w:ind w:firstLine="0" w:firstLineChars="0"/>
              <w:jc w:val="center"/>
              <w:rPr>
                <w:kern w:val="0"/>
                <w:sz w:val="18"/>
                <w:szCs w:val="18"/>
              </w:rPr>
            </w:pPr>
            <w:r>
              <w:rPr>
                <w:kern w:val="0"/>
                <w:sz w:val="18"/>
                <w:szCs w:val="18"/>
              </w:rPr>
              <w:t>最大超标倍数</w:t>
            </w:r>
          </w:p>
        </w:tc>
        <w:tc>
          <w:tcPr>
            <w:tcW w:w="1079" w:type="dxa"/>
            <w:vMerge w:val="restart"/>
            <w:vAlign w:val="center"/>
          </w:tcPr>
          <w:p w14:paraId="3F7130EA">
            <w:pPr>
              <w:tabs>
                <w:tab w:val="clear" w:pos="480"/>
              </w:tabs>
              <w:adjustRightInd w:val="0"/>
              <w:snapToGrid w:val="0"/>
              <w:spacing w:line="240" w:lineRule="auto"/>
              <w:ind w:firstLine="0" w:firstLineChars="0"/>
              <w:jc w:val="center"/>
              <w:rPr>
                <w:kern w:val="0"/>
                <w:sz w:val="18"/>
                <w:szCs w:val="18"/>
              </w:rPr>
            </w:pPr>
            <w:r>
              <w:rPr>
                <w:kern w:val="0"/>
                <w:sz w:val="18"/>
                <w:szCs w:val="18"/>
              </w:rPr>
              <w:t>达标情况</w:t>
            </w:r>
          </w:p>
        </w:tc>
      </w:tr>
      <w:tr w14:paraId="251AB435">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45448F2C">
            <w:pPr>
              <w:tabs>
                <w:tab w:val="clear" w:pos="480"/>
              </w:tabs>
              <w:adjustRightInd w:val="0"/>
              <w:snapToGrid w:val="0"/>
              <w:spacing w:line="240" w:lineRule="auto"/>
              <w:ind w:firstLine="0" w:firstLineChars="0"/>
              <w:jc w:val="center"/>
              <w:rPr>
                <w:kern w:val="0"/>
                <w:sz w:val="18"/>
                <w:szCs w:val="18"/>
              </w:rPr>
            </w:pPr>
          </w:p>
        </w:tc>
        <w:tc>
          <w:tcPr>
            <w:tcW w:w="1192" w:type="dxa"/>
            <w:vMerge w:val="continue"/>
            <w:vAlign w:val="center"/>
          </w:tcPr>
          <w:p w14:paraId="72356904">
            <w:pPr>
              <w:tabs>
                <w:tab w:val="clear" w:pos="480"/>
              </w:tabs>
              <w:adjustRightInd w:val="0"/>
              <w:snapToGrid w:val="0"/>
              <w:spacing w:line="240" w:lineRule="auto"/>
              <w:ind w:firstLine="0" w:firstLineChars="0"/>
              <w:jc w:val="center"/>
              <w:rPr>
                <w:kern w:val="0"/>
                <w:sz w:val="18"/>
                <w:szCs w:val="18"/>
              </w:rPr>
            </w:pPr>
          </w:p>
        </w:tc>
        <w:tc>
          <w:tcPr>
            <w:tcW w:w="993" w:type="dxa"/>
            <w:vAlign w:val="center"/>
          </w:tcPr>
          <w:p w14:paraId="060ABD16">
            <w:pPr>
              <w:tabs>
                <w:tab w:val="clear" w:pos="480"/>
              </w:tabs>
              <w:adjustRightInd w:val="0"/>
              <w:snapToGrid w:val="0"/>
              <w:spacing w:line="240" w:lineRule="auto"/>
              <w:ind w:firstLine="0" w:firstLineChars="0"/>
              <w:jc w:val="center"/>
              <w:rPr>
                <w:kern w:val="0"/>
                <w:sz w:val="18"/>
                <w:szCs w:val="18"/>
              </w:rPr>
            </w:pPr>
            <w:r>
              <w:rPr>
                <w:kern w:val="0"/>
                <w:sz w:val="18"/>
                <w:szCs w:val="18"/>
              </w:rPr>
              <w:t>2023.8.5</w:t>
            </w:r>
          </w:p>
        </w:tc>
        <w:tc>
          <w:tcPr>
            <w:tcW w:w="992" w:type="dxa"/>
            <w:vAlign w:val="center"/>
          </w:tcPr>
          <w:p w14:paraId="6504A791">
            <w:pPr>
              <w:tabs>
                <w:tab w:val="clear" w:pos="480"/>
              </w:tabs>
              <w:adjustRightInd w:val="0"/>
              <w:snapToGrid w:val="0"/>
              <w:spacing w:line="240" w:lineRule="auto"/>
              <w:ind w:firstLine="0" w:firstLineChars="0"/>
              <w:jc w:val="center"/>
              <w:rPr>
                <w:kern w:val="0"/>
                <w:sz w:val="18"/>
                <w:szCs w:val="18"/>
              </w:rPr>
            </w:pPr>
            <w:r>
              <w:rPr>
                <w:kern w:val="0"/>
                <w:sz w:val="18"/>
                <w:szCs w:val="18"/>
              </w:rPr>
              <w:t>2023.8.6</w:t>
            </w:r>
          </w:p>
        </w:tc>
        <w:tc>
          <w:tcPr>
            <w:tcW w:w="992" w:type="dxa"/>
            <w:vAlign w:val="center"/>
          </w:tcPr>
          <w:p w14:paraId="7E9D56D0">
            <w:pPr>
              <w:tabs>
                <w:tab w:val="clear" w:pos="480"/>
              </w:tabs>
              <w:adjustRightInd w:val="0"/>
              <w:snapToGrid w:val="0"/>
              <w:spacing w:line="240" w:lineRule="auto"/>
              <w:ind w:firstLine="0" w:firstLineChars="0"/>
              <w:jc w:val="center"/>
              <w:rPr>
                <w:kern w:val="0"/>
                <w:sz w:val="18"/>
                <w:szCs w:val="18"/>
              </w:rPr>
            </w:pPr>
            <w:r>
              <w:rPr>
                <w:kern w:val="0"/>
                <w:sz w:val="18"/>
                <w:szCs w:val="18"/>
              </w:rPr>
              <w:t>2023.8.7</w:t>
            </w:r>
          </w:p>
        </w:tc>
        <w:tc>
          <w:tcPr>
            <w:tcW w:w="657" w:type="dxa"/>
            <w:vMerge w:val="continue"/>
            <w:vAlign w:val="center"/>
          </w:tcPr>
          <w:p w14:paraId="75187467">
            <w:pPr>
              <w:tabs>
                <w:tab w:val="clear" w:pos="480"/>
              </w:tabs>
              <w:adjustRightInd w:val="0"/>
              <w:snapToGrid w:val="0"/>
              <w:spacing w:line="240" w:lineRule="auto"/>
              <w:ind w:firstLine="0" w:firstLineChars="0"/>
              <w:jc w:val="center"/>
              <w:rPr>
                <w:kern w:val="0"/>
                <w:sz w:val="18"/>
                <w:szCs w:val="18"/>
              </w:rPr>
            </w:pPr>
          </w:p>
        </w:tc>
        <w:tc>
          <w:tcPr>
            <w:tcW w:w="845" w:type="dxa"/>
            <w:vMerge w:val="continue"/>
            <w:vAlign w:val="center"/>
          </w:tcPr>
          <w:p w14:paraId="46368396">
            <w:pPr>
              <w:tabs>
                <w:tab w:val="clear" w:pos="480"/>
              </w:tabs>
              <w:adjustRightInd w:val="0"/>
              <w:snapToGrid w:val="0"/>
              <w:spacing w:line="240" w:lineRule="auto"/>
              <w:ind w:firstLine="0" w:firstLineChars="0"/>
              <w:jc w:val="center"/>
              <w:rPr>
                <w:kern w:val="0"/>
                <w:sz w:val="18"/>
                <w:szCs w:val="18"/>
              </w:rPr>
            </w:pPr>
          </w:p>
        </w:tc>
        <w:tc>
          <w:tcPr>
            <w:tcW w:w="703" w:type="dxa"/>
            <w:vMerge w:val="continue"/>
            <w:vAlign w:val="center"/>
          </w:tcPr>
          <w:p w14:paraId="3462E82F">
            <w:pPr>
              <w:tabs>
                <w:tab w:val="clear" w:pos="480"/>
              </w:tabs>
              <w:adjustRightInd w:val="0"/>
              <w:snapToGrid w:val="0"/>
              <w:spacing w:line="240" w:lineRule="auto"/>
              <w:ind w:firstLine="0" w:firstLineChars="0"/>
              <w:jc w:val="center"/>
              <w:rPr>
                <w:kern w:val="0"/>
                <w:sz w:val="18"/>
                <w:szCs w:val="18"/>
              </w:rPr>
            </w:pPr>
          </w:p>
        </w:tc>
        <w:tc>
          <w:tcPr>
            <w:tcW w:w="1079" w:type="dxa"/>
            <w:vMerge w:val="continue"/>
            <w:vAlign w:val="center"/>
          </w:tcPr>
          <w:p w14:paraId="517232FB">
            <w:pPr>
              <w:tabs>
                <w:tab w:val="clear" w:pos="480"/>
              </w:tabs>
              <w:adjustRightInd w:val="0"/>
              <w:snapToGrid w:val="0"/>
              <w:spacing w:line="240" w:lineRule="auto"/>
              <w:ind w:firstLine="0" w:firstLineChars="0"/>
              <w:jc w:val="center"/>
              <w:rPr>
                <w:kern w:val="0"/>
                <w:sz w:val="18"/>
                <w:szCs w:val="18"/>
              </w:rPr>
            </w:pPr>
          </w:p>
        </w:tc>
      </w:tr>
      <w:tr w14:paraId="5E1F8C63">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0C8013BF">
            <w:pPr>
              <w:tabs>
                <w:tab w:val="clear" w:pos="480"/>
              </w:tabs>
              <w:adjustRightInd w:val="0"/>
              <w:snapToGrid w:val="0"/>
              <w:spacing w:line="240" w:lineRule="auto"/>
              <w:ind w:firstLine="0" w:firstLineChars="0"/>
              <w:jc w:val="center"/>
              <w:rPr>
                <w:kern w:val="0"/>
                <w:sz w:val="18"/>
                <w:szCs w:val="18"/>
              </w:rPr>
            </w:pPr>
            <w:r>
              <w:rPr>
                <w:kern w:val="0"/>
                <w:sz w:val="18"/>
                <w:szCs w:val="18"/>
              </w:rPr>
              <w:t>W3</w:t>
            </w:r>
          </w:p>
        </w:tc>
        <w:tc>
          <w:tcPr>
            <w:tcW w:w="1192" w:type="dxa"/>
            <w:vAlign w:val="center"/>
          </w:tcPr>
          <w:p w14:paraId="28824C99">
            <w:pPr>
              <w:tabs>
                <w:tab w:val="clear" w:pos="480"/>
              </w:tabs>
              <w:adjustRightInd w:val="0"/>
              <w:snapToGrid w:val="0"/>
              <w:spacing w:line="240" w:lineRule="auto"/>
              <w:ind w:firstLine="0" w:firstLineChars="0"/>
              <w:jc w:val="center"/>
              <w:rPr>
                <w:kern w:val="0"/>
                <w:sz w:val="18"/>
                <w:szCs w:val="18"/>
              </w:rPr>
            </w:pPr>
            <w:r>
              <w:rPr>
                <w:kern w:val="0"/>
                <w:sz w:val="18"/>
                <w:szCs w:val="18"/>
              </w:rPr>
              <w:t>pH 值</w:t>
            </w:r>
          </w:p>
        </w:tc>
        <w:tc>
          <w:tcPr>
            <w:tcW w:w="993" w:type="dxa"/>
            <w:vAlign w:val="center"/>
          </w:tcPr>
          <w:p w14:paraId="29C144A1">
            <w:pPr>
              <w:tabs>
                <w:tab w:val="clear" w:pos="480"/>
              </w:tabs>
              <w:adjustRightInd w:val="0"/>
              <w:snapToGrid w:val="0"/>
              <w:spacing w:line="240" w:lineRule="auto"/>
              <w:ind w:firstLine="0" w:firstLineChars="0"/>
              <w:jc w:val="center"/>
              <w:rPr>
                <w:kern w:val="0"/>
                <w:sz w:val="18"/>
                <w:szCs w:val="18"/>
              </w:rPr>
            </w:pPr>
            <w:r>
              <w:rPr>
                <w:kern w:val="0"/>
                <w:sz w:val="18"/>
                <w:szCs w:val="18"/>
              </w:rPr>
              <w:t>7.2</w:t>
            </w:r>
          </w:p>
        </w:tc>
        <w:tc>
          <w:tcPr>
            <w:tcW w:w="992" w:type="dxa"/>
            <w:vAlign w:val="center"/>
          </w:tcPr>
          <w:p w14:paraId="76728D0E">
            <w:pPr>
              <w:tabs>
                <w:tab w:val="clear" w:pos="480"/>
              </w:tabs>
              <w:adjustRightInd w:val="0"/>
              <w:snapToGrid w:val="0"/>
              <w:spacing w:line="240" w:lineRule="auto"/>
              <w:ind w:firstLine="0" w:firstLineChars="0"/>
              <w:jc w:val="center"/>
              <w:rPr>
                <w:kern w:val="0"/>
                <w:sz w:val="18"/>
                <w:szCs w:val="18"/>
              </w:rPr>
            </w:pPr>
            <w:r>
              <w:rPr>
                <w:kern w:val="0"/>
                <w:sz w:val="18"/>
                <w:szCs w:val="18"/>
              </w:rPr>
              <w:t>7.4</w:t>
            </w:r>
          </w:p>
        </w:tc>
        <w:tc>
          <w:tcPr>
            <w:tcW w:w="992" w:type="dxa"/>
            <w:vAlign w:val="center"/>
          </w:tcPr>
          <w:p w14:paraId="239A579C">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657" w:type="dxa"/>
            <w:vAlign w:val="center"/>
          </w:tcPr>
          <w:p w14:paraId="731FC985">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845" w:type="dxa"/>
            <w:vAlign w:val="center"/>
          </w:tcPr>
          <w:p w14:paraId="2582E8F5">
            <w:pPr>
              <w:tabs>
                <w:tab w:val="clear" w:pos="480"/>
              </w:tabs>
              <w:adjustRightInd w:val="0"/>
              <w:snapToGrid w:val="0"/>
              <w:spacing w:line="240" w:lineRule="auto"/>
              <w:ind w:firstLine="0" w:firstLineChars="0"/>
              <w:jc w:val="center"/>
              <w:rPr>
                <w:kern w:val="0"/>
                <w:sz w:val="18"/>
                <w:szCs w:val="18"/>
              </w:rPr>
            </w:pPr>
            <w:r>
              <w:rPr>
                <w:kern w:val="0"/>
                <w:sz w:val="18"/>
                <w:szCs w:val="18"/>
              </w:rPr>
              <w:t>6~9</w:t>
            </w:r>
          </w:p>
        </w:tc>
        <w:tc>
          <w:tcPr>
            <w:tcW w:w="703" w:type="dxa"/>
            <w:vAlign w:val="center"/>
          </w:tcPr>
          <w:p w14:paraId="2A2FB960">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3E75E76">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4F83731F">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7B59A2A7">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38C1E810">
            <w:pPr>
              <w:tabs>
                <w:tab w:val="clear" w:pos="480"/>
              </w:tabs>
              <w:adjustRightInd w:val="0"/>
              <w:snapToGrid w:val="0"/>
              <w:spacing w:line="240" w:lineRule="auto"/>
              <w:ind w:firstLine="0" w:firstLineChars="0"/>
              <w:jc w:val="center"/>
              <w:rPr>
                <w:kern w:val="0"/>
                <w:sz w:val="18"/>
                <w:szCs w:val="18"/>
              </w:rPr>
            </w:pPr>
            <w:r>
              <w:rPr>
                <w:kern w:val="0"/>
                <w:sz w:val="18"/>
                <w:szCs w:val="18"/>
              </w:rPr>
              <w:t>悬浮物</w:t>
            </w:r>
          </w:p>
        </w:tc>
        <w:tc>
          <w:tcPr>
            <w:tcW w:w="993" w:type="dxa"/>
            <w:vAlign w:val="center"/>
          </w:tcPr>
          <w:p w14:paraId="01F09059">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04DE5458">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60565550">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6B13C860">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845" w:type="dxa"/>
            <w:vAlign w:val="center"/>
          </w:tcPr>
          <w:p w14:paraId="70FAF220">
            <w:pPr>
              <w:tabs>
                <w:tab w:val="clear" w:pos="480"/>
              </w:tabs>
              <w:adjustRightInd w:val="0"/>
              <w:snapToGrid w:val="0"/>
              <w:spacing w:line="240" w:lineRule="auto"/>
              <w:ind w:firstLine="0" w:firstLineChars="0"/>
              <w:jc w:val="center"/>
              <w:rPr>
                <w:kern w:val="0"/>
                <w:sz w:val="18"/>
                <w:szCs w:val="18"/>
              </w:rPr>
            </w:pPr>
            <w:r>
              <w:rPr>
                <w:w w:val="99"/>
                <w:kern w:val="0"/>
                <w:sz w:val="18"/>
                <w:szCs w:val="18"/>
              </w:rPr>
              <w:t>20</w:t>
            </w:r>
          </w:p>
        </w:tc>
        <w:tc>
          <w:tcPr>
            <w:tcW w:w="703" w:type="dxa"/>
            <w:vAlign w:val="center"/>
          </w:tcPr>
          <w:p w14:paraId="66279B27">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187805CE">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0BE72FE">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73AC9A45">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3FA749CB">
            <w:pPr>
              <w:tabs>
                <w:tab w:val="clear" w:pos="480"/>
              </w:tabs>
              <w:adjustRightInd w:val="0"/>
              <w:snapToGrid w:val="0"/>
              <w:spacing w:line="240" w:lineRule="auto"/>
              <w:ind w:firstLine="0" w:firstLineChars="0"/>
              <w:jc w:val="center"/>
              <w:rPr>
                <w:kern w:val="0"/>
                <w:sz w:val="18"/>
                <w:szCs w:val="18"/>
              </w:rPr>
            </w:pPr>
            <w:r>
              <w:rPr>
                <w:kern w:val="0"/>
                <w:sz w:val="18"/>
                <w:szCs w:val="18"/>
              </w:rPr>
              <w:t>化学需氧量</w:t>
            </w:r>
          </w:p>
        </w:tc>
        <w:tc>
          <w:tcPr>
            <w:tcW w:w="993" w:type="dxa"/>
            <w:vAlign w:val="center"/>
          </w:tcPr>
          <w:p w14:paraId="0FC6CCFC">
            <w:pPr>
              <w:tabs>
                <w:tab w:val="clear" w:pos="480"/>
              </w:tabs>
              <w:adjustRightInd w:val="0"/>
              <w:snapToGrid w:val="0"/>
              <w:spacing w:line="240" w:lineRule="auto"/>
              <w:ind w:firstLine="0" w:firstLineChars="0"/>
              <w:jc w:val="center"/>
              <w:rPr>
                <w:kern w:val="0"/>
                <w:sz w:val="18"/>
                <w:szCs w:val="18"/>
              </w:rPr>
            </w:pPr>
            <w:r>
              <w:rPr>
                <w:kern w:val="0"/>
                <w:sz w:val="18"/>
                <w:szCs w:val="18"/>
              </w:rPr>
              <w:t>12</w:t>
            </w:r>
          </w:p>
        </w:tc>
        <w:tc>
          <w:tcPr>
            <w:tcW w:w="992" w:type="dxa"/>
            <w:vAlign w:val="center"/>
          </w:tcPr>
          <w:p w14:paraId="58B2AA06">
            <w:pPr>
              <w:tabs>
                <w:tab w:val="clear" w:pos="480"/>
              </w:tabs>
              <w:adjustRightInd w:val="0"/>
              <w:snapToGrid w:val="0"/>
              <w:spacing w:line="240" w:lineRule="auto"/>
              <w:ind w:firstLine="0" w:firstLineChars="0"/>
              <w:jc w:val="center"/>
              <w:rPr>
                <w:kern w:val="0"/>
                <w:sz w:val="18"/>
                <w:szCs w:val="18"/>
              </w:rPr>
            </w:pPr>
            <w:r>
              <w:rPr>
                <w:kern w:val="0"/>
                <w:sz w:val="18"/>
                <w:szCs w:val="18"/>
              </w:rPr>
              <w:t>12</w:t>
            </w:r>
          </w:p>
        </w:tc>
        <w:tc>
          <w:tcPr>
            <w:tcW w:w="992" w:type="dxa"/>
            <w:vAlign w:val="center"/>
          </w:tcPr>
          <w:p w14:paraId="59319726">
            <w:pPr>
              <w:tabs>
                <w:tab w:val="clear" w:pos="480"/>
              </w:tabs>
              <w:adjustRightInd w:val="0"/>
              <w:snapToGrid w:val="0"/>
              <w:spacing w:line="240" w:lineRule="auto"/>
              <w:ind w:firstLine="0" w:firstLineChars="0"/>
              <w:jc w:val="center"/>
              <w:rPr>
                <w:kern w:val="0"/>
                <w:sz w:val="18"/>
                <w:szCs w:val="18"/>
              </w:rPr>
            </w:pPr>
            <w:r>
              <w:rPr>
                <w:kern w:val="0"/>
                <w:sz w:val="18"/>
                <w:szCs w:val="18"/>
              </w:rPr>
              <w:t>11</w:t>
            </w:r>
          </w:p>
        </w:tc>
        <w:tc>
          <w:tcPr>
            <w:tcW w:w="657" w:type="dxa"/>
            <w:vAlign w:val="center"/>
          </w:tcPr>
          <w:p w14:paraId="5E806704">
            <w:pPr>
              <w:tabs>
                <w:tab w:val="clear" w:pos="480"/>
              </w:tabs>
              <w:adjustRightInd w:val="0"/>
              <w:snapToGrid w:val="0"/>
              <w:spacing w:line="240" w:lineRule="auto"/>
              <w:ind w:firstLine="0" w:firstLineChars="0"/>
              <w:jc w:val="center"/>
              <w:rPr>
                <w:kern w:val="0"/>
                <w:sz w:val="18"/>
                <w:szCs w:val="18"/>
              </w:rPr>
            </w:pPr>
            <w:r>
              <w:rPr>
                <w:kern w:val="0"/>
                <w:sz w:val="18"/>
                <w:szCs w:val="18"/>
              </w:rPr>
              <w:t>12</w:t>
            </w:r>
          </w:p>
        </w:tc>
        <w:tc>
          <w:tcPr>
            <w:tcW w:w="845" w:type="dxa"/>
            <w:vAlign w:val="center"/>
          </w:tcPr>
          <w:p w14:paraId="7EFCF8F7">
            <w:pPr>
              <w:tabs>
                <w:tab w:val="clear" w:pos="480"/>
              </w:tabs>
              <w:adjustRightInd w:val="0"/>
              <w:snapToGrid w:val="0"/>
              <w:spacing w:line="240" w:lineRule="auto"/>
              <w:ind w:firstLine="0" w:firstLineChars="0"/>
              <w:jc w:val="center"/>
              <w:rPr>
                <w:kern w:val="0"/>
                <w:sz w:val="18"/>
                <w:szCs w:val="18"/>
              </w:rPr>
            </w:pPr>
            <w:r>
              <w:rPr>
                <w:kern w:val="0"/>
                <w:sz w:val="18"/>
                <w:szCs w:val="18"/>
              </w:rPr>
              <w:t>15</w:t>
            </w:r>
          </w:p>
        </w:tc>
        <w:tc>
          <w:tcPr>
            <w:tcW w:w="703" w:type="dxa"/>
            <w:vAlign w:val="center"/>
          </w:tcPr>
          <w:p w14:paraId="49E806E1">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655CB5FC">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DBB9A31">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54E4A13">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777C7F89">
            <w:pPr>
              <w:tabs>
                <w:tab w:val="clear" w:pos="480"/>
              </w:tabs>
              <w:adjustRightInd w:val="0"/>
              <w:snapToGrid w:val="0"/>
              <w:spacing w:line="240" w:lineRule="auto"/>
              <w:ind w:firstLine="0" w:firstLineChars="0"/>
              <w:jc w:val="center"/>
              <w:rPr>
                <w:kern w:val="0"/>
                <w:sz w:val="18"/>
                <w:szCs w:val="18"/>
              </w:rPr>
            </w:pPr>
            <w:r>
              <w:rPr>
                <w:kern w:val="0"/>
                <w:sz w:val="18"/>
                <w:szCs w:val="18"/>
              </w:rPr>
              <w:t>五日生化需氧量）</w:t>
            </w:r>
          </w:p>
        </w:tc>
        <w:tc>
          <w:tcPr>
            <w:tcW w:w="993" w:type="dxa"/>
            <w:vAlign w:val="center"/>
          </w:tcPr>
          <w:p w14:paraId="7E35934B">
            <w:pPr>
              <w:tabs>
                <w:tab w:val="clear" w:pos="480"/>
              </w:tabs>
              <w:adjustRightInd w:val="0"/>
              <w:snapToGrid w:val="0"/>
              <w:spacing w:line="240" w:lineRule="auto"/>
              <w:ind w:firstLine="0" w:firstLineChars="0"/>
              <w:jc w:val="center"/>
              <w:rPr>
                <w:kern w:val="0"/>
                <w:sz w:val="18"/>
                <w:szCs w:val="18"/>
              </w:rPr>
            </w:pPr>
            <w:r>
              <w:rPr>
                <w:kern w:val="0"/>
                <w:sz w:val="18"/>
                <w:szCs w:val="18"/>
              </w:rPr>
              <w:t>2.1</w:t>
            </w:r>
          </w:p>
        </w:tc>
        <w:tc>
          <w:tcPr>
            <w:tcW w:w="992" w:type="dxa"/>
            <w:vAlign w:val="center"/>
          </w:tcPr>
          <w:p w14:paraId="68608D12">
            <w:pPr>
              <w:tabs>
                <w:tab w:val="clear" w:pos="480"/>
              </w:tabs>
              <w:adjustRightInd w:val="0"/>
              <w:snapToGrid w:val="0"/>
              <w:spacing w:line="240" w:lineRule="auto"/>
              <w:ind w:firstLine="0" w:firstLineChars="0"/>
              <w:jc w:val="center"/>
              <w:rPr>
                <w:kern w:val="0"/>
                <w:sz w:val="18"/>
                <w:szCs w:val="18"/>
              </w:rPr>
            </w:pPr>
            <w:r>
              <w:rPr>
                <w:kern w:val="0"/>
                <w:sz w:val="18"/>
                <w:szCs w:val="18"/>
              </w:rPr>
              <w:t>2.1</w:t>
            </w:r>
          </w:p>
        </w:tc>
        <w:tc>
          <w:tcPr>
            <w:tcW w:w="992" w:type="dxa"/>
            <w:vAlign w:val="center"/>
          </w:tcPr>
          <w:p w14:paraId="5B10C9DF">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c>
          <w:tcPr>
            <w:tcW w:w="657" w:type="dxa"/>
            <w:vAlign w:val="center"/>
          </w:tcPr>
          <w:p w14:paraId="2E1D6427">
            <w:pPr>
              <w:tabs>
                <w:tab w:val="clear" w:pos="480"/>
              </w:tabs>
              <w:adjustRightInd w:val="0"/>
              <w:snapToGrid w:val="0"/>
              <w:spacing w:line="240" w:lineRule="auto"/>
              <w:ind w:firstLine="0" w:firstLineChars="0"/>
              <w:jc w:val="center"/>
              <w:rPr>
                <w:kern w:val="0"/>
                <w:sz w:val="18"/>
                <w:szCs w:val="18"/>
              </w:rPr>
            </w:pPr>
            <w:r>
              <w:rPr>
                <w:kern w:val="0"/>
                <w:sz w:val="18"/>
                <w:szCs w:val="18"/>
              </w:rPr>
              <w:t>2.1</w:t>
            </w:r>
          </w:p>
        </w:tc>
        <w:tc>
          <w:tcPr>
            <w:tcW w:w="845" w:type="dxa"/>
            <w:vAlign w:val="center"/>
          </w:tcPr>
          <w:p w14:paraId="3897F479">
            <w:pPr>
              <w:tabs>
                <w:tab w:val="clear" w:pos="480"/>
              </w:tabs>
              <w:adjustRightInd w:val="0"/>
              <w:snapToGrid w:val="0"/>
              <w:spacing w:line="240" w:lineRule="auto"/>
              <w:ind w:firstLine="0" w:firstLineChars="0"/>
              <w:jc w:val="center"/>
              <w:rPr>
                <w:kern w:val="0"/>
                <w:sz w:val="18"/>
                <w:szCs w:val="18"/>
              </w:rPr>
            </w:pPr>
            <w:r>
              <w:rPr>
                <w:w w:val="99"/>
                <w:kern w:val="0"/>
                <w:sz w:val="18"/>
                <w:szCs w:val="18"/>
              </w:rPr>
              <w:t>3</w:t>
            </w:r>
          </w:p>
        </w:tc>
        <w:tc>
          <w:tcPr>
            <w:tcW w:w="703" w:type="dxa"/>
            <w:vAlign w:val="center"/>
          </w:tcPr>
          <w:p w14:paraId="388AAAA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3AC1F408">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4EAB6D70">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11727FC">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5065D4C0">
            <w:pPr>
              <w:tabs>
                <w:tab w:val="clear" w:pos="480"/>
              </w:tabs>
              <w:adjustRightInd w:val="0"/>
              <w:snapToGrid w:val="0"/>
              <w:spacing w:line="240" w:lineRule="auto"/>
              <w:ind w:firstLine="0" w:firstLineChars="0"/>
              <w:jc w:val="center"/>
              <w:rPr>
                <w:kern w:val="0"/>
                <w:sz w:val="18"/>
                <w:szCs w:val="18"/>
              </w:rPr>
            </w:pPr>
            <w:r>
              <w:rPr>
                <w:kern w:val="0"/>
                <w:sz w:val="18"/>
                <w:szCs w:val="18"/>
              </w:rPr>
              <w:t>总氮</w:t>
            </w:r>
          </w:p>
        </w:tc>
        <w:tc>
          <w:tcPr>
            <w:tcW w:w="993" w:type="dxa"/>
            <w:vAlign w:val="center"/>
          </w:tcPr>
          <w:p w14:paraId="6D9F9A4C">
            <w:pPr>
              <w:tabs>
                <w:tab w:val="clear" w:pos="480"/>
              </w:tabs>
              <w:adjustRightInd w:val="0"/>
              <w:snapToGrid w:val="0"/>
              <w:spacing w:line="240" w:lineRule="auto"/>
              <w:ind w:firstLine="0" w:firstLineChars="0"/>
              <w:jc w:val="center"/>
              <w:rPr>
                <w:kern w:val="0"/>
                <w:sz w:val="18"/>
                <w:szCs w:val="18"/>
              </w:rPr>
            </w:pPr>
            <w:r>
              <w:rPr>
                <w:kern w:val="0"/>
                <w:sz w:val="18"/>
                <w:szCs w:val="18"/>
              </w:rPr>
              <w:t>0.45</w:t>
            </w:r>
          </w:p>
        </w:tc>
        <w:tc>
          <w:tcPr>
            <w:tcW w:w="992" w:type="dxa"/>
            <w:vAlign w:val="center"/>
          </w:tcPr>
          <w:p w14:paraId="1EEF3991">
            <w:pPr>
              <w:tabs>
                <w:tab w:val="clear" w:pos="480"/>
              </w:tabs>
              <w:adjustRightInd w:val="0"/>
              <w:snapToGrid w:val="0"/>
              <w:spacing w:line="240" w:lineRule="auto"/>
              <w:ind w:firstLine="0" w:firstLineChars="0"/>
              <w:jc w:val="center"/>
              <w:rPr>
                <w:kern w:val="0"/>
                <w:sz w:val="18"/>
                <w:szCs w:val="18"/>
              </w:rPr>
            </w:pPr>
            <w:r>
              <w:rPr>
                <w:kern w:val="0"/>
                <w:sz w:val="18"/>
                <w:szCs w:val="18"/>
              </w:rPr>
              <w:t>0.41</w:t>
            </w:r>
          </w:p>
        </w:tc>
        <w:tc>
          <w:tcPr>
            <w:tcW w:w="992" w:type="dxa"/>
            <w:vAlign w:val="center"/>
          </w:tcPr>
          <w:p w14:paraId="5A802F24">
            <w:pPr>
              <w:tabs>
                <w:tab w:val="clear" w:pos="480"/>
              </w:tabs>
              <w:adjustRightInd w:val="0"/>
              <w:snapToGrid w:val="0"/>
              <w:spacing w:line="240" w:lineRule="auto"/>
              <w:ind w:firstLine="0" w:firstLineChars="0"/>
              <w:jc w:val="center"/>
              <w:rPr>
                <w:kern w:val="0"/>
                <w:sz w:val="18"/>
                <w:szCs w:val="18"/>
              </w:rPr>
            </w:pPr>
            <w:r>
              <w:rPr>
                <w:kern w:val="0"/>
                <w:sz w:val="18"/>
                <w:szCs w:val="18"/>
              </w:rPr>
              <w:t>0.45</w:t>
            </w:r>
          </w:p>
        </w:tc>
        <w:tc>
          <w:tcPr>
            <w:tcW w:w="657" w:type="dxa"/>
            <w:vAlign w:val="center"/>
          </w:tcPr>
          <w:p w14:paraId="029D4C27">
            <w:pPr>
              <w:tabs>
                <w:tab w:val="clear" w:pos="480"/>
              </w:tabs>
              <w:adjustRightInd w:val="0"/>
              <w:snapToGrid w:val="0"/>
              <w:spacing w:line="240" w:lineRule="auto"/>
              <w:ind w:firstLine="0" w:firstLineChars="0"/>
              <w:jc w:val="center"/>
              <w:rPr>
                <w:kern w:val="0"/>
                <w:sz w:val="18"/>
                <w:szCs w:val="18"/>
              </w:rPr>
            </w:pPr>
            <w:r>
              <w:rPr>
                <w:kern w:val="0"/>
                <w:sz w:val="18"/>
                <w:szCs w:val="18"/>
              </w:rPr>
              <w:t>0.44</w:t>
            </w:r>
          </w:p>
        </w:tc>
        <w:tc>
          <w:tcPr>
            <w:tcW w:w="845" w:type="dxa"/>
            <w:vAlign w:val="center"/>
          </w:tcPr>
          <w:p w14:paraId="677F2000">
            <w:pPr>
              <w:tabs>
                <w:tab w:val="clear" w:pos="480"/>
              </w:tabs>
              <w:adjustRightInd w:val="0"/>
              <w:snapToGrid w:val="0"/>
              <w:spacing w:line="240" w:lineRule="auto"/>
              <w:ind w:firstLine="0" w:firstLineChars="0"/>
              <w:jc w:val="center"/>
              <w:rPr>
                <w:kern w:val="0"/>
                <w:sz w:val="18"/>
                <w:szCs w:val="18"/>
              </w:rPr>
            </w:pPr>
            <w:r>
              <w:rPr>
                <w:kern w:val="0"/>
                <w:sz w:val="18"/>
                <w:szCs w:val="18"/>
              </w:rPr>
              <w:t>0.5</w:t>
            </w:r>
          </w:p>
        </w:tc>
        <w:tc>
          <w:tcPr>
            <w:tcW w:w="703" w:type="dxa"/>
            <w:vAlign w:val="center"/>
          </w:tcPr>
          <w:p w14:paraId="12FB83C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55FC6494">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09EAD8D3">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139196B">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169103ED">
            <w:pPr>
              <w:tabs>
                <w:tab w:val="clear" w:pos="480"/>
              </w:tabs>
              <w:adjustRightInd w:val="0"/>
              <w:snapToGrid w:val="0"/>
              <w:spacing w:line="240" w:lineRule="auto"/>
              <w:ind w:firstLine="0" w:firstLineChars="0"/>
              <w:jc w:val="center"/>
              <w:rPr>
                <w:kern w:val="0"/>
                <w:sz w:val="18"/>
                <w:szCs w:val="18"/>
              </w:rPr>
            </w:pPr>
            <w:r>
              <w:rPr>
                <w:kern w:val="0"/>
                <w:sz w:val="18"/>
                <w:szCs w:val="18"/>
              </w:rPr>
              <w:t>氨氮</w:t>
            </w:r>
          </w:p>
        </w:tc>
        <w:tc>
          <w:tcPr>
            <w:tcW w:w="993" w:type="dxa"/>
            <w:vAlign w:val="center"/>
          </w:tcPr>
          <w:p w14:paraId="54505DB5">
            <w:pPr>
              <w:tabs>
                <w:tab w:val="clear" w:pos="480"/>
              </w:tabs>
              <w:adjustRightInd w:val="0"/>
              <w:snapToGrid w:val="0"/>
              <w:spacing w:line="240" w:lineRule="auto"/>
              <w:ind w:firstLine="0" w:firstLineChars="0"/>
              <w:jc w:val="center"/>
              <w:rPr>
                <w:kern w:val="0"/>
                <w:sz w:val="18"/>
                <w:szCs w:val="18"/>
              </w:rPr>
            </w:pPr>
            <w:r>
              <w:rPr>
                <w:kern w:val="0"/>
                <w:sz w:val="18"/>
                <w:szCs w:val="18"/>
              </w:rPr>
              <w:t>0.042</w:t>
            </w:r>
          </w:p>
        </w:tc>
        <w:tc>
          <w:tcPr>
            <w:tcW w:w="992" w:type="dxa"/>
            <w:vAlign w:val="center"/>
          </w:tcPr>
          <w:p w14:paraId="2A27D4F4">
            <w:pPr>
              <w:tabs>
                <w:tab w:val="clear" w:pos="480"/>
              </w:tabs>
              <w:adjustRightInd w:val="0"/>
              <w:snapToGrid w:val="0"/>
              <w:spacing w:line="240" w:lineRule="auto"/>
              <w:ind w:firstLine="0" w:firstLineChars="0"/>
              <w:jc w:val="center"/>
              <w:rPr>
                <w:kern w:val="0"/>
                <w:sz w:val="18"/>
                <w:szCs w:val="18"/>
              </w:rPr>
            </w:pPr>
            <w:r>
              <w:rPr>
                <w:kern w:val="0"/>
                <w:sz w:val="18"/>
                <w:szCs w:val="18"/>
              </w:rPr>
              <w:t>0.052</w:t>
            </w:r>
          </w:p>
        </w:tc>
        <w:tc>
          <w:tcPr>
            <w:tcW w:w="992" w:type="dxa"/>
            <w:vAlign w:val="center"/>
          </w:tcPr>
          <w:p w14:paraId="55215334">
            <w:pPr>
              <w:tabs>
                <w:tab w:val="clear" w:pos="480"/>
              </w:tabs>
              <w:adjustRightInd w:val="0"/>
              <w:snapToGrid w:val="0"/>
              <w:spacing w:line="240" w:lineRule="auto"/>
              <w:ind w:firstLine="0" w:firstLineChars="0"/>
              <w:jc w:val="center"/>
              <w:rPr>
                <w:kern w:val="0"/>
                <w:sz w:val="18"/>
                <w:szCs w:val="18"/>
              </w:rPr>
            </w:pPr>
            <w:r>
              <w:rPr>
                <w:kern w:val="0"/>
                <w:sz w:val="18"/>
                <w:szCs w:val="18"/>
              </w:rPr>
              <w:t>0.070</w:t>
            </w:r>
          </w:p>
        </w:tc>
        <w:tc>
          <w:tcPr>
            <w:tcW w:w="657" w:type="dxa"/>
            <w:vAlign w:val="center"/>
          </w:tcPr>
          <w:p w14:paraId="7A81E56D">
            <w:pPr>
              <w:tabs>
                <w:tab w:val="clear" w:pos="480"/>
              </w:tabs>
              <w:adjustRightInd w:val="0"/>
              <w:snapToGrid w:val="0"/>
              <w:spacing w:line="240" w:lineRule="auto"/>
              <w:ind w:firstLine="0" w:firstLineChars="0"/>
              <w:jc w:val="center"/>
              <w:rPr>
                <w:kern w:val="0"/>
                <w:sz w:val="18"/>
                <w:szCs w:val="18"/>
              </w:rPr>
            </w:pPr>
            <w:r>
              <w:rPr>
                <w:kern w:val="0"/>
                <w:sz w:val="18"/>
                <w:szCs w:val="18"/>
              </w:rPr>
              <w:t>0.055</w:t>
            </w:r>
          </w:p>
        </w:tc>
        <w:tc>
          <w:tcPr>
            <w:tcW w:w="845" w:type="dxa"/>
            <w:vAlign w:val="center"/>
          </w:tcPr>
          <w:p w14:paraId="644B8A3F">
            <w:pPr>
              <w:tabs>
                <w:tab w:val="clear" w:pos="480"/>
              </w:tabs>
              <w:adjustRightInd w:val="0"/>
              <w:snapToGrid w:val="0"/>
              <w:spacing w:line="240" w:lineRule="auto"/>
              <w:ind w:firstLine="0" w:firstLineChars="0"/>
              <w:jc w:val="center"/>
              <w:rPr>
                <w:kern w:val="0"/>
                <w:sz w:val="18"/>
                <w:szCs w:val="18"/>
              </w:rPr>
            </w:pPr>
            <w:r>
              <w:rPr>
                <w:kern w:val="0"/>
                <w:sz w:val="18"/>
                <w:szCs w:val="18"/>
              </w:rPr>
              <w:t>0.5</w:t>
            </w:r>
          </w:p>
        </w:tc>
        <w:tc>
          <w:tcPr>
            <w:tcW w:w="703" w:type="dxa"/>
            <w:vAlign w:val="center"/>
          </w:tcPr>
          <w:p w14:paraId="41037245">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3C43A3AC">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16A738E0">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18CDA3E">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639D29DA">
            <w:pPr>
              <w:tabs>
                <w:tab w:val="clear" w:pos="480"/>
              </w:tabs>
              <w:adjustRightInd w:val="0"/>
              <w:snapToGrid w:val="0"/>
              <w:spacing w:line="240" w:lineRule="auto"/>
              <w:ind w:firstLine="0" w:firstLineChars="0"/>
              <w:jc w:val="center"/>
              <w:rPr>
                <w:kern w:val="0"/>
                <w:sz w:val="18"/>
                <w:szCs w:val="18"/>
              </w:rPr>
            </w:pPr>
            <w:r>
              <w:rPr>
                <w:kern w:val="0"/>
                <w:sz w:val="18"/>
                <w:szCs w:val="18"/>
              </w:rPr>
              <w:t>石油类</w:t>
            </w:r>
          </w:p>
        </w:tc>
        <w:tc>
          <w:tcPr>
            <w:tcW w:w="993" w:type="dxa"/>
            <w:vAlign w:val="center"/>
          </w:tcPr>
          <w:p w14:paraId="1F5B8C47">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162151D8">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174D7AFA">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12738271">
            <w:pPr>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845" w:type="dxa"/>
            <w:vAlign w:val="center"/>
          </w:tcPr>
          <w:p w14:paraId="745FF6AC">
            <w:pPr>
              <w:tabs>
                <w:tab w:val="clear" w:pos="480"/>
              </w:tabs>
              <w:adjustRightInd w:val="0"/>
              <w:snapToGrid w:val="0"/>
              <w:spacing w:line="240" w:lineRule="auto"/>
              <w:ind w:firstLine="0" w:firstLineChars="0"/>
              <w:jc w:val="center"/>
              <w:rPr>
                <w:kern w:val="0"/>
                <w:sz w:val="18"/>
                <w:szCs w:val="18"/>
              </w:rPr>
            </w:pPr>
            <w:r>
              <w:rPr>
                <w:kern w:val="0"/>
                <w:sz w:val="18"/>
                <w:szCs w:val="18"/>
              </w:rPr>
              <w:t>0.05</w:t>
            </w:r>
          </w:p>
        </w:tc>
        <w:tc>
          <w:tcPr>
            <w:tcW w:w="703" w:type="dxa"/>
            <w:vAlign w:val="center"/>
          </w:tcPr>
          <w:p w14:paraId="20872B95">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7C9FB9C8">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192C91F3">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283DAFBC">
            <w:pPr>
              <w:tabs>
                <w:tab w:val="clear" w:pos="480"/>
              </w:tabs>
              <w:adjustRightInd w:val="0"/>
              <w:snapToGrid w:val="0"/>
              <w:spacing w:line="240" w:lineRule="auto"/>
              <w:ind w:firstLine="0" w:firstLineChars="0"/>
              <w:jc w:val="center"/>
              <w:rPr>
                <w:kern w:val="0"/>
                <w:sz w:val="18"/>
                <w:szCs w:val="18"/>
              </w:rPr>
            </w:pPr>
            <w:r>
              <w:rPr>
                <w:kern w:val="0"/>
                <w:sz w:val="18"/>
                <w:szCs w:val="18"/>
              </w:rPr>
              <w:t>W4</w:t>
            </w:r>
          </w:p>
        </w:tc>
        <w:tc>
          <w:tcPr>
            <w:tcW w:w="1192" w:type="dxa"/>
            <w:vAlign w:val="center"/>
          </w:tcPr>
          <w:p w14:paraId="618B8846">
            <w:pPr>
              <w:tabs>
                <w:tab w:val="clear" w:pos="480"/>
              </w:tabs>
              <w:adjustRightInd w:val="0"/>
              <w:snapToGrid w:val="0"/>
              <w:spacing w:line="240" w:lineRule="auto"/>
              <w:ind w:firstLine="0" w:firstLineChars="0"/>
              <w:jc w:val="center"/>
              <w:rPr>
                <w:kern w:val="0"/>
                <w:sz w:val="18"/>
                <w:szCs w:val="18"/>
              </w:rPr>
            </w:pPr>
            <w:r>
              <w:rPr>
                <w:kern w:val="0"/>
                <w:sz w:val="18"/>
                <w:szCs w:val="18"/>
              </w:rPr>
              <w:t>pH 值</w:t>
            </w:r>
          </w:p>
        </w:tc>
        <w:tc>
          <w:tcPr>
            <w:tcW w:w="993" w:type="dxa"/>
            <w:vAlign w:val="center"/>
          </w:tcPr>
          <w:p w14:paraId="40F7E27C">
            <w:pPr>
              <w:tabs>
                <w:tab w:val="clear" w:pos="480"/>
              </w:tabs>
              <w:adjustRightInd w:val="0"/>
              <w:snapToGrid w:val="0"/>
              <w:spacing w:line="240" w:lineRule="auto"/>
              <w:ind w:firstLine="0" w:firstLineChars="0"/>
              <w:jc w:val="center"/>
              <w:rPr>
                <w:kern w:val="0"/>
                <w:sz w:val="18"/>
                <w:szCs w:val="18"/>
              </w:rPr>
            </w:pPr>
            <w:r>
              <w:rPr>
                <w:kern w:val="0"/>
                <w:sz w:val="18"/>
                <w:szCs w:val="18"/>
              </w:rPr>
              <w:t>7.1</w:t>
            </w:r>
          </w:p>
        </w:tc>
        <w:tc>
          <w:tcPr>
            <w:tcW w:w="992" w:type="dxa"/>
            <w:vAlign w:val="center"/>
          </w:tcPr>
          <w:p w14:paraId="00B88EF6">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992" w:type="dxa"/>
            <w:vAlign w:val="center"/>
          </w:tcPr>
          <w:p w14:paraId="435113A9">
            <w:pPr>
              <w:tabs>
                <w:tab w:val="clear" w:pos="480"/>
              </w:tabs>
              <w:adjustRightInd w:val="0"/>
              <w:snapToGrid w:val="0"/>
              <w:spacing w:line="240" w:lineRule="auto"/>
              <w:ind w:firstLine="0" w:firstLineChars="0"/>
              <w:jc w:val="center"/>
              <w:rPr>
                <w:kern w:val="0"/>
                <w:sz w:val="18"/>
                <w:szCs w:val="18"/>
              </w:rPr>
            </w:pPr>
            <w:r>
              <w:rPr>
                <w:kern w:val="0"/>
                <w:sz w:val="18"/>
                <w:szCs w:val="18"/>
              </w:rPr>
              <w:t>7.4</w:t>
            </w:r>
          </w:p>
        </w:tc>
        <w:tc>
          <w:tcPr>
            <w:tcW w:w="657" w:type="dxa"/>
            <w:vAlign w:val="center"/>
          </w:tcPr>
          <w:p w14:paraId="186C1F40">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845" w:type="dxa"/>
            <w:vAlign w:val="center"/>
          </w:tcPr>
          <w:p w14:paraId="06F7ABED">
            <w:pPr>
              <w:tabs>
                <w:tab w:val="clear" w:pos="480"/>
              </w:tabs>
              <w:adjustRightInd w:val="0"/>
              <w:snapToGrid w:val="0"/>
              <w:spacing w:line="240" w:lineRule="auto"/>
              <w:ind w:firstLine="0" w:firstLineChars="0"/>
              <w:jc w:val="center"/>
              <w:rPr>
                <w:kern w:val="0"/>
                <w:sz w:val="18"/>
                <w:szCs w:val="18"/>
              </w:rPr>
            </w:pPr>
            <w:r>
              <w:rPr>
                <w:kern w:val="0"/>
                <w:sz w:val="18"/>
                <w:szCs w:val="18"/>
              </w:rPr>
              <w:t>6~9</w:t>
            </w:r>
          </w:p>
        </w:tc>
        <w:tc>
          <w:tcPr>
            <w:tcW w:w="703" w:type="dxa"/>
            <w:vAlign w:val="center"/>
          </w:tcPr>
          <w:p w14:paraId="668B561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A73D7DB">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67C1C60">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DE7E341">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2406157F">
            <w:pPr>
              <w:tabs>
                <w:tab w:val="clear" w:pos="480"/>
              </w:tabs>
              <w:adjustRightInd w:val="0"/>
              <w:snapToGrid w:val="0"/>
              <w:spacing w:line="240" w:lineRule="auto"/>
              <w:ind w:firstLine="0" w:firstLineChars="0"/>
              <w:jc w:val="center"/>
              <w:rPr>
                <w:kern w:val="0"/>
                <w:sz w:val="18"/>
                <w:szCs w:val="18"/>
              </w:rPr>
            </w:pPr>
            <w:r>
              <w:rPr>
                <w:kern w:val="0"/>
                <w:sz w:val="18"/>
                <w:szCs w:val="18"/>
              </w:rPr>
              <w:t>悬浮物</w:t>
            </w:r>
          </w:p>
        </w:tc>
        <w:tc>
          <w:tcPr>
            <w:tcW w:w="993" w:type="dxa"/>
            <w:vAlign w:val="center"/>
          </w:tcPr>
          <w:p w14:paraId="18737DA9">
            <w:pPr>
              <w:tabs>
                <w:tab w:val="clear" w:pos="480"/>
              </w:tabs>
              <w:adjustRightInd w:val="0"/>
              <w:snapToGrid w:val="0"/>
              <w:spacing w:line="240" w:lineRule="auto"/>
              <w:ind w:firstLine="0" w:firstLineChars="0"/>
              <w:jc w:val="center"/>
              <w:rPr>
                <w:kern w:val="0"/>
                <w:sz w:val="18"/>
                <w:szCs w:val="18"/>
              </w:rPr>
            </w:pPr>
            <w:r>
              <w:rPr>
                <w:w w:val="99"/>
                <w:kern w:val="0"/>
                <w:sz w:val="18"/>
                <w:szCs w:val="18"/>
              </w:rPr>
              <w:t>4</w:t>
            </w:r>
          </w:p>
        </w:tc>
        <w:tc>
          <w:tcPr>
            <w:tcW w:w="992" w:type="dxa"/>
            <w:vAlign w:val="center"/>
          </w:tcPr>
          <w:p w14:paraId="21A86BAD">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553796ED">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50A5DC16">
            <w:pPr>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845" w:type="dxa"/>
            <w:vAlign w:val="center"/>
          </w:tcPr>
          <w:p w14:paraId="05F9179B">
            <w:pPr>
              <w:tabs>
                <w:tab w:val="clear" w:pos="480"/>
              </w:tabs>
              <w:adjustRightInd w:val="0"/>
              <w:snapToGrid w:val="0"/>
              <w:spacing w:line="240" w:lineRule="auto"/>
              <w:ind w:firstLine="0" w:firstLineChars="0"/>
              <w:jc w:val="center"/>
              <w:rPr>
                <w:kern w:val="0"/>
                <w:sz w:val="18"/>
                <w:szCs w:val="18"/>
              </w:rPr>
            </w:pPr>
            <w:r>
              <w:rPr>
                <w:w w:val="99"/>
                <w:kern w:val="0"/>
                <w:sz w:val="18"/>
                <w:szCs w:val="18"/>
              </w:rPr>
              <w:t>30</w:t>
            </w:r>
          </w:p>
        </w:tc>
        <w:tc>
          <w:tcPr>
            <w:tcW w:w="703" w:type="dxa"/>
            <w:vAlign w:val="center"/>
          </w:tcPr>
          <w:p w14:paraId="400B4018">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AA6A7B2">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1CE13E2B">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9A26A87">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46DD936C">
            <w:pPr>
              <w:tabs>
                <w:tab w:val="clear" w:pos="480"/>
              </w:tabs>
              <w:adjustRightInd w:val="0"/>
              <w:snapToGrid w:val="0"/>
              <w:spacing w:line="240" w:lineRule="auto"/>
              <w:ind w:firstLine="0" w:firstLineChars="0"/>
              <w:jc w:val="center"/>
              <w:rPr>
                <w:kern w:val="0"/>
                <w:sz w:val="18"/>
                <w:szCs w:val="18"/>
              </w:rPr>
            </w:pPr>
            <w:r>
              <w:rPr>
                <w:kern w:val="0"/>
                <w:sz w:val="18"/>
                <w:szCs w:val="18"/>
              </w:rPr>
              <w:t>化学需氧量</w:t>
            </w:r>
          </w:p>
        </w:tc>
        <w:tc>
          <w:tcPr>
            <w:tcW w:w="993" w:type="dxa"/>
            <w:vAlign w:val="center"/>
          </w:tcPr>
          <w:p w14:paraId="3D6D69C8">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992" w:type="dxa"/>
            <w:vAlign w:val="center"/>
          </w:tcPr>
          <w:p w14:paraId="297FE570">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992" w:type="dxa"/>
            <w:vAlign w:val="center"/>
          </w:tcPr>
          <w:p w14:paraId="2A91D3FA">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657" w:type="dxa"/>
            <w:vAlign w:val="center"/>
          </w:tcPr>
          <w:p w14:paraId="377DF2F1">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845" w:type="dxa"/>
            <w:vAlign w:val="center"/>
          </w:tcPr>
          <w:p w14:paraId="75DDC836">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c>
          <w:tcPr>
            <w:tcW w:w="703" w:type="dxa"/>
            <w:vAlign w:val="center"/>
          </w:tcPr>
          <w:p w14:paraId="5856B674">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11A25D48">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9E1297A">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081AB524">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3A3DE6E">
            <w:pPr>
              <w:tabs>
                <w:tab w:val="clear" w:pos="480"/>
              </w:tabs>
              <w:adjustRightInd w:val="0"/>
              <w:snapToGrid w:val="0"/>
              <w:spacing w:line="240" w:lineRule="auto"/>
              <w:ind w:firstLine="0" w:firstLineChars="0"/>
              <w:jc w:val="center"/>
              <w:rPr>
                <w:kern w:val="0"/>
                <w:sz w:val="18"/>
                <w:szCs w:val="18"/>
              </w:rPr>
            </w:pPr>
            <w:r>
              <w:rPr>
                <w:kern w:val="0"/>
                <w:sz w:val="18"/>
                <w:szCs w:val="18"/>
              </w:rPr>
              <w:t>五日生化需氧量）</w:t>
            </w:r>
          </w:p>
        </w:tc>
        <w:tc>
          <w:tcPr>
            <w:tcW w:w="993" w:type="dxa"/>
            <w:vAlign w:val="center"/>
          </w:tcPr>
          <w:p w14:paraId="4098C5DA">
            <w:pPr>
              <w:tabs>
                <w:tab w:val="clear" w:pos="480"/>
              </w:tabs>
              <w:adjustRightInd w:val="0"/>
              <w:snapToGrid w:val="0"/>
              <w:spacing w:line="240" w:lineRule="auto"/>
              <w:ind w:firstLine="0" w:firstLineChars="0"/>
              <w:jc w:val="center"/>
              <w:rPr>
                <w:kern w:val="0"/>
                <w:sz w:val="18"/>
                <w:szCs w:val="18"/>
              </w:rPr>
            </w:pPr>
            <w:r>
              <w:rPr>
                <w:kern w:val="0"/>
                <w:sz w:val="18"/>
                <w:szCs w:val="18"/>
              </w:rPr>
              <w:t>1.7</w:t>
            </w:r>
          </w:p>
        </w:tc>
        <w:tc>
          <w:tcPr>
            <w:tcW w:w="992" w:type="dxa"/>
            <w:vAlign w:val="center"/>
          </w:tcPr>
          <w:p w14:paraId="3FEB1642">
            <w:pPr>
              <w:tabs>
                <w:tab w:val="clear" w:pos="480"/>
              </w:tabs>
              <w:adjustRightInd w:val="0"/>
              <w:snapToGrid w:val="0"/>
              <w:spacing w:line="240" w:lineRule="auto"/>
              <w:ind w:firstLine="0" w:firstLineChars="0"/>
              <w:jc w:val="center"/>
              <w:rPr>
                <w:kern w:val="0"/>
                <w:sz w:val="18"/>
                <w:szCs w:val="18"/>
              </w:rPr>
            </w:pPr>
            <w:r>
              <w:rPr>
                <w:kern w:val="0"/>
                <w:sz w:val="18"/>
                <w:szCs w:val="18"/>
              </w:rPr>
              <w:t>1.8</w:t>
            </w:r>
          </w:p>
        </w:tc>
        <w:tc>
          <w:tcPr>
            <w:tcW w:w="992" w:type="dxa"/>
            <w:vAlign w:val="center"/>
          </w:tcPr>
          <w:p w14:paraId="38C1C88E">
            <w:pPr>
              <w:tabs>
                <w:tab w:val="clear" w:pos="480"/>
              </w:tabs>
              <w:adjustRightInd w:val="0"/>
              <w:snapToGrid w:val="0"/>
              <w:spacing w:line="240" w:lineRule="auto"/>
              <w:ind w:firstLine="0" w:firstLineChars="0"/>
              <w:jc w:val="center"/>
              <w:rPr>
                <w:kern w:val="0"/>
                <w:sz w:val="18"/>
                <w:szCs w:val="18"/>
              </w:rPr>
            </w:pPr>
            <w:r>
              <w:rPr>
                <w:kern w:val="0"/>
                <w:sz w:val="18"/>
                <w:szCs w:val="18"/>
              </w:rPr>
              <w:t>1.8</w:t>
            </w:r>
          </w:p>
        </w:tc>
        <w:tc>
          <w:tcPr>
            <w:tcW w:w="657" w:type="dxa"/>
            <w:vAlign w:val="center"/>
          </w:tcPr>
          <w:p w14:paraId="7D37BC9C">
            <w:pPr>
              <w:tabs>
                <w:tab w:val="clear" w:pos="480"/>
              </w:tabs>
              <w:adjustRightInd w:val="0"/>
              <w:snapToGrid w:val="0"/>
              <w:spacing w:line="240" w:lineRule="auto"/>
              <w:ind w:firstLine="0" w:firstLineChars="0"/>
              <w:jc w:val="center"/>
              <w:rPr>
                <w:kern w:val="0"/>
                <w:sz w:val="18"/>
                <w:szCs w:val="18"/>
              </w:rPr>
            </w:pPr>
            <w:r>
              <w:rPr>
                <w:kern w:val="0"/>
                <w:sz w:val="18"/>
                <w:szCs w:val="18"/>
              </w:rPr>
              <w:t>1.8</w:t>
            </w:r>
          </w:p>
        </w:tc>
        <w:tc>
          <w:tcPr>
            <w:tcW w:w="845" w:type="dxa"/>
            <w:vAlign w:val="center"/>
          </w:tcPr>
          <w:p w14:paraId="5E4BA262">
            <w:pPr>
              <w:tabs>
                <w:tab w:val="clear" w:pos="480"/>
              </w:tabs>
              <w:adjustRightInd w:val="0"/>
              <w:snapToGrid w:val="0"/>
              <w:spacing w:line="240" w:lineRule="auto"/>
              <w:ind w:firstLine="0" w:firstLineChars="0"/>
              <w:jc w:val="center"/>
              <w:rPr>
                <w:kern w:val="0"/>
                <w:sz w:val="18"/>
                <w:szCs w:val="18"/>
              </w:rPr>
            </w:pPr>
            <w:r>
              <w:rPr>
                <w:w w:val="99"/>
                <w:kern w:val="0"/>
                <w:sz w:val="18"/>
                <w:szCs w:val="18"/>
              </w:rPr>
              <w:t>4</w:t>
            </w:r>
          </w:p>
        </w:tc>
        <w:tc>
          <w:tcPr>
            <w:tcW w:w="703" w:type="dxa"/>
            <w:vAlign w:val="center"/>
          </w:tcPr>
          <w:p w14:paraId="16A1713B">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4A819FED">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5AAAECE5">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7E011A1D">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B53C0DA">
            <w:pPr>
              <w:tabs>
                <w:tab w:val="clear" w:pos="480"/>
              </w:tabs>
              <w:adjustRightInd w:val="0"/>
              <w:snapToGrid w:val="0"/>
              <w:spacing w:line="240" w:lineRule="auto"/>
              <w:ind w:firstLine="0" w:firstLineChars="0"/>
              <w:jc w:val="center"/>
              <w:rPr>
                <w:kern w:val="0"/>
                <w:sz w:val="18"/>
                <w:szCs w:val="18"/>
              </w:rPr>
            </w:pPr>
            <w:r>
              <w:rPr>
                <w:kern w:val="0"/>
                <w:sz w:val="18"/>
                <w:szCs w:val="18"/>
              </w:rPr>
              <w:t>总氮</w:t>
            </w:r>
          </w:p>
        </w:tc>
        <w:tc>
          <w:tcPr>
            <w:tcW w:w="993" w:type="dxa"/>
            <w:vAlign w:val="center"/>
          </w:tcPr>
          <w:p w14:paraId="271A177B">
            <w:pPr>
              <w:tabs>
                <w:tab w:val="clear" w:pos="480"/>
              </w:tabs>
              <w:adjustRightInd w:val="0"/>
              <w:snapToGrid w:val="0"/>
              <w:spacing w:line="240" w:lineRule="auto"/>
              <w:ind w:firstLine="0" w:firstLineChars="0"/>
              <w:jc w:val="center"/>
              <w:rPr>
                <w:kern w:val="0"/>
                <w:sz w:val="18"/>
                <w:szCs w:val="18"/>
              </w:rPr>
            </w:pPr>
            <w:r>
              <w:rPr>
                <w:kern w:val="0"/>
                <w:sz w:val="18"/>
                <w:szCs w:val="18"/>
              </w:rPr>
              <w:t>0.87</w:t>
            </w:r>
          </w:p>
        </w:tc>
        <w:tc>
          <w:tcPr>
            <w:tcW w:w="992" w:type="dxa"/>
            <w:vAlign w:val="center"/>
          </w:tcPr>
          <w:p w14:paraId="2F038A93">
            <w:pPr>
              <w:tabs>
                <w:tab w:val="clear" w:pos="480"/>
              </w:tabs>
              <w:adjustRightInd w:val="0"/>
              <w:snapToGrid w:val="0"/>
              <w:spacing w:line="240" w:lineRule="auto"/>
              <w:ind w:firstLine="0" w:firstLineChars="0"/>
              <w:jc w:val="center"/>
              <w:rPr>
                <w:kern w:val="0"/>
                <w:sz w:val="18"/>
                <w:szCs w:val="18"/>
              </w:rPr>
            </w:pPr>
            <w:r>
              <w:rPr>
                <w:kern w:val="0"/>
                <w:sz w:val="18"/>
                <w:szCs w:val="18"/>
              </w:rPr>
              <w:t>0.81</w:t>
            </w:r>
          </w:p>
        </w:tc>
        <w:tc>
          <w:tcPr>
            <w:tcW w:w="992" w:type="dxa"/>
            <w:vAlign w:val="center"/>
          </w:tcPr>
          <w:p w14:paraId="35E7E86B">
            <w:pPr>
              <w:tabs>
                <w:tab w:val="clear" w:pos="480"/>
              </w:tabs>
              <w:adjustRightInd w:val="0"/>
              <w:snapToGrid w:val="0"/>
              <w:spacing w:line="240" w:lineRule="auto"/>
              <w:ind w:firstLine="0" w:firstLineChars="0"/>
              <w:jc w:val="center"/>
              <w:rPr>
                <w:kern w:val="0"/>
                <w:sz w:val="18"/>
                <w:szCs w:val="18"/>
              </w:rPr>
            </w:pPr>
            <w:r>
              <w:rPr>
                <w:kern w:val="0"/>
                <w:sz w:val="18"/>
                <w:szCs w:val="18"/>
              </w:rPr>
              <w:t>0.84</w:t>
            </w:r>
          </w:p>
        </w:tc>
        <w:tc>
          <w:tcPr>
            <w:tcW w:w="657" w:type="dxa"/>
            <w:vAlign w:val="center"/>
          </w:tcPr>
          <w:p w14:paraId="1CCC217F">
            <w:pPr>
              <w:tabs>
                <w:tab w:val="clear" w:pos="480"/>
              </w:tabs>
              <w:adjustRightInd w:val="0"/>
              <w:snapToGrid w:val="0"/>
              <w:spacing w:line="240" w:lineRule="auto"/>
              <w:ind w:firstLine="0" w:firstLineChars="0"/>
              <w:jc w:val="center"/>
              <w:rPr>
                <w:kern w:val="0"/>
                <w:sz w:val="18"/>
                <w:szCs w:val="18"/>
              </w:rPr>
            </w:pPr>
            <w:r>
              <w:rPr>
                <w:kern w:val="0"/>
                <w:sz w:val="18"/>
                <w:szCs w:val="18"/>
              </w:rPr>
              <w:t>0.84</w:t>
            </w:r>
          </w:p>
        </w:tc>
        <w:tc>
          <w:tcPr>
            <w:tcW w:w="845" w:type="dxa"/>
            <w:vAlign w:val="center"/>
          </w:tcPr>
          <w:p w14:paraId="5E2DC9B2">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1D9F933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DDFB838">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4340AA28">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2C517C41">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4D188F85">
            <w:pPr>
              <w:tabs>
                <w:tab w:val="clear" w:pos="480"/>
              </w:tabs>
              <w:adjustRightInd w:val="0"/>
              <w:snapToGrid w:val="0"/>
              <w:spacing w:line="240" w:lineRule="auto"/>
              <w:ind w:firstLine="0" w:firstLineChars="0"/>
              <w:jc w:val="center"/>
              <w:rPr>
                <w:kern w:val="0"/>
                <w:sz w:val="18"/>
                <w:szCs w:val="18"/>
              </w:rPr>
            </w:pPr>
            <w:r>
              <w:rPr>
                <w:kern w:val="0"/>
                <w:sz w:val="18"/>
                <w:szCs w:val="18"/>
              </w:rPr>
              <w:t>氨氮</w:t>
            </w:r>
          </w:p>
        </w:tc>
        <w:tc>
          <w:tcPr>
            <w:tcW w:w="993" w:type="dxa"/>
            <w:vAlign w:val="center"/>
          </w:tcPr>
          <w:p w14:paraId="4246CD37">
            <w:pPr>
              <w:tabs>
                <w:tab w:val="clear" w:pos="480"/>
              </w:tabs>
              <w:adjustRightInd w:val="0"/>
              <w:snapToGrid w:val="0"/>
              <w:spacing w:line="240" w:lineRule="auto"/>
              <w:ind w:firstLine="0" w:firstLineChars="0"/>
              <w:jc w:val="center"/>
              <w:rPr>
                <w:kern w:val="0"/>
                <w:sz w:val="18"/>
                <w:szCs w:val="18"/>
              </w:rPr>
            </w:pPr>
            <w:r>
              <w:rPr>
                <w:kern w:val="0"/>
                <w:sz w:val="18"/>
                <w:szCs w:val="18"/>
              </w:rPr>
              <w:t>0.035</w:t>
            </w:r>
          </w:p>
        </w:tc>
        <w:tc>
          <w:tcPr>
            <w:tcW w:w="992" w:type="dxa"/>
            <w:vAlign w:val="center"/>
          </w:tcPr>
          <w:p w14:paraId="313B8009">
            <w:pPr>
              <w:tabs>
                <w:tab w:val="clear" w:pos="480"/>
              </w:tabs>
              <w:adjustRightInd w:val="0"/>
              <w:snapToGrid w:val="0"/>
              <w:spacing w:line="240" w:lineRule="auto"/>
              <w:ind w:firstLine="0" w:firstLineChars="0"/>
              <w:jc w:val="center"/>
              <w:rPr>
                <w:kern w:val="0"/>
                <w:sz w:val="18"/>
                <w:szCs w:val="18"/>
              </w:rPr>
            </w:pPr>
            <w:r>
              <w:rPr>
                <w:kern w:val="0"/>
                <w:sz w:val="18"/>
                <w:szCs w:val="18"/>
              </w:rPr>
              <w:t>0.038</w:t>
            </w:r>
          </w:p>
        </w:tc>
        <w:tc>
          <w:tcPr>
            <w:tcW w:w="992" w:type="dxa"/>
            <w:vAlign w:val="center"/>
          </w:tcPr>
          <w:p w14:paraId="52ABB6EE">
            <w:pPr>
              <w:tabs>
                <w:tab w:val="clear" w:pos="480"/>
              </w:tabs>
              <w:adjustRightInd w:val="0"/>
              <w:snapToGrid w:val="0"/>
              <w:spacing w:line="240" w:lineRule="auto"/>
              <w:ind w:firstLine="0" w:firstLineChars="0"/>
              <w:jc w:val="center"/>
              <w:rPr>
                <w:kern w:val="0"/>
                <w:sz w:val="18"/>
                <w:szCs w:val="18"/>
              </w:rPr>
            </w:pPr>
            <w:r>
              <w:rPr>
                <w:kern w:val="0"/>
                <w:sz w:val="18"/>
                <w:szCs w:val="18"/>
              </w:rPr>
              <w:t>0.052</w:t>
            </w:r>
          </w:p>
        </w:tc>
        <w:tc>
          <w:tcPr>
            <w:tcW w:w="657" w:type="dxa"/>
            <w:vAlign w:val="center"/>
          </w:tcPr>
          <w:p w14:paraId="2095A440">
            <w:pPr>
              <w:tabs>
                <w:tab w:val="clear" w:pos="480"/>
              </w:tabs>
              <w:adjustRightInd w:val="0"/>
              <w:snapToGrid w:val="0"/>
              <w:spacing w:line="240" w:lineRule="auto"/>
              <w:ind w:firstLine="0" w:firstLineChars="0"/>
              <w:jc w:val="center"/>
              <w:rPr>
                <w:kern w:val="0"/>
                <w:sz w:val="18"/>
                <w:szCs w:val="18"/>
              </w:rPr>
            </w:pPr>
            <w:r>
              <w:rPr>
                <w:kern w:val="0"/>
                <w:sz w:val="18"/>
                <w:szCs w:val="18"/>
              </w:rPr>
              <w:t>0.042</w:t>
            </w:r>
          </w:p>
        </w:tc>
        <w:tc>
          <w:tcPr>
            <w:tcW w:w="845" w:type="dxa"/>
            <w:vAlign w:val="center"/>
          </w:tcPr>
          <w:p w14:paraId="27CAF249">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2FBD957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171CB461">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56F2C99D">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22CC8DDC">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1C6AF5C9">
            <w:pPr>
              <w:tabs>
                <w:tab w:val="clear" w:pos="480"/>
              </w:tabs>
              <w:adjustRightInd w:val="0"/>
              <w:snapToGrid w:val="0"/>
              <w:spacing w:line="240" w:lineRule="auto"/>
              <w:ind w:firstLine="0" w:firstLineChars="0"/>
              <w:jc w:val="center"/>
              <w:rPr>
                <w:kern w:val="0"/>
                <w:sz w:val="18"/>
                <w:szCs w:val="18"/>
              </w:rPr>
            </w:pPr>
            <w:r>
              <w:rPr>
                <w:kern w:val="0"/>
                <w:sz w:val="18"/>
                <w:szCs w:val="18"/>
              </w:rPr>
              <w:t>石油类</w:t>
            </w:r>
          </w:p>
        </w:tc>
        <w:tc>
          <w:tcPr>
            <w:tcW w:w="993" w:type="dxa"/>
            <w:vAlign w:val="center"/>
          </w:tcPr>
          <w:p w14:paraId="4E63D0B9">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664B2597">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6BEE10A2">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2700FD95">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845" w:type="dxa"/>
            <w:vAlign w:val="center"/>
          </w:tcPr>
          <w:p w14:paraId="6C0CF1CD">
            <w:pPr>
              <w:tabs>
                <w:tab w:val="clear" w:pos="480"/>
              </w:tabs>
              <w:adjustRightInd w:val="0"/>
              <w:snapToGrid w:val="0"/>
              <w:spacing w:line="240" w:lineRule="auto"/>
              <w:ind w:firstLine="0" w:firstLineChars="0"/>
              <w:jc w:val="center"/>
              <w:rPr>
                <w:kern w:val="0"/>
                <w:sz w:val="18"/>
                <w:szCs w:val="18"/>
              </w:rPr>
            </w:pPr>
            <w:r>
              <w:rPr>
                <w:kern w:val="0"/>
                <w:sz w:val="18"/>
                <w:szCs w:val="18"/>
              </w:rPr>
              <w:t>0.05</w:t>
            </w:r>
          </w:p>
        </w:tc>
        <w:tc>
          <w:tcPr>
            <w:tcW w:w="703" w:type="dxa"/>
            <w:vAlign w:val="center"/>
          </w:tcPr>
          <w:p w14:paraId="47A539E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28AB83FA">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1CDFD495">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3B2D63ED">
            <w:pPr>
              <w:tabs>
                <w:tab w:val="clear" w:pos="480"/>
              </w:tabs>
              <w:adjustRightInd w:val="0"/>
              <w:snapToGrid w:val="0"/>
              <w:spacing w:line="240" w:lineRule="auto"/>
              <w:ind w:firstLine="0" w:firstLineChars="0"/>
              <w:jc w:val="center"/>
              <w:rPr>
                <w:kern w:val="0"/>
                <w:sz w:val="18"/>
                <w:szCs w:val="18"/>
              </w:rPr>
            </w:pPr>
            <w:r>
              <w:rPr>
                <w:kern w:val="0"/>
                <w:sz w:val="18"/>
                <w:szCs w:val="18"/>
              </w:rPr>
              <w:t>W5</w:t>
            </w:r>
          </w:p>
        </w:tc>
        <w:tc>
          <w:tcPr>
            <w:tcW w:w="1192" w:type="dxa"/>
            <w:vAlign w:val="center"/>
          </w:tcPr>
          <w:p w14:paraId="575F5769">
            <w:pPr>
              <w:tabs>
                <w:tab w:val="clear" w:pos="480"/>
              </w:tabs>
              <w:adjustRightInd w:val="0"/>
              <w:snapToGrid w:val="0"/>
              <w:spacing w:line="240" w:lineRule="auto"/>
              <w:ind w:firstLine="0" w:firstLineChars="0"/>
              <w:jc w:val="center"/>
              <w:rPr>
                <w:kern w:val="0"/>
                <w:sz w:val="18"/>
                <w:szCs w:val="18"/>
              </w:rPr>
            </w:pPr>
            <w:r>
              <w:rPr>
                <w:kern w:val="0"/>
                <w:sz w:val="18"/>
                <w:szCs w:val="18"/>
              </w:rPr>
              <w:t>pH 值</w:t>
            </w:r>
          </w:p>
        </w:tc>
        <w:tc>
          <w:tcPr>
            <w:tcW w:w="993" w:type="dxa"/>
            <w:vAlign w:val="center"/>
          </w:tcPr>
          <w:p w14:paraId="7FA92897">
            <w:pPr>
              <w:tabs>
                <w:tab w:val="clear" w:pos="480"/>
              </w:tabs>
              <w:adjustRightInd w:val="0"/>
              <w:snapToGrid w:val="0"/>
              <w:spacing w:line="240" w:lineRule="auto"/>
              <w:ind w:firstLine="0" w:firstLineChars="0"/>
              <w:jc w:val="center"/>
              <w:rPr>
                <w:kern w:val="0"/>
                <w:sz w:val="18"/>
                <w:szCs w:val="18"/>
              </w:rPr>
            </w:pPr>
            <w:r>
              <w:rPr>
                <w:kern w:val="0"/>
                <w:sz w:val="18"/>
                <w:szCs w:val="18"/>
              </w:rPr>
              <w:t>7.4</w:t>
            </w:r>
          </w:p>
        </w:tc>
        <w:tc>
          <w:tcPr>
            <w:tcW w:w="992" w:type="dxa"/>
            <w:vAlign w:val="center"/>
          </w:tcPr>
          <w:p w14:paraId="178713B5">
            <w:pPr>
              <w:tabs>
                <w:tab w:val="clear" w:pos="480"/>
              </w:tabs>
              <w:adjustRightInd w:val="0"/>
              <w:snapToGrid w:val="0"/>
              <w:spacing w:line="240" w:lineRule="auto"/>
              <w:ind w:firstLine="0" w:firstLineChars="0"/>
              <w:jc w:val="center"/>
              <w:rPr>
                <w:kern w:val="0"/>
                <w:sz w:val="18"/>
                <w:szCs w:val="18"/>
              </w:rPr>
            </w:pPr>
            <w:r>
              <w:rPr>
                <w:kern w:val="0"/>
                <w:sz w:val="18"/>
                <w:szCs w:val="18"/>
              </w:rPr>
              <w:t>7.1</w:t>
            </w:r>
          </w:p>
        </w:tc>
        <w:tc>
          <w:tcPr>
            <w:tcW w:w="992" w:type="dxa"/>
            <w:vAlign w:val="center"/>
          </w:tcPr>
          <w:p w14:paraId="340BBB21">
            <w:pPr>
              <w:tabs>
                <w:tab w:val="clear" w:pos="480"/>
              </w:tabs>
              <w:adjustRightInd w:val="0"/>
              <w:snapToGrid w:val="0"/>
              <w:spacing w:line="240" w:lineRule="auto"/>
              <w:ind w:firstLine="0" w:firstLineChars="0"/>
              <w:jc w:val="center"/>
              <w:rPr>
                <w:kern w:val="0"/>
                <w:sz w:val="18"/>
                <w:szCs w:val="18"/>
              </w:rPr>
            </w:pPr>
            <w:r>
              <w:rPr>
                <w:kern w:val="0"/>
                <w:sz w:val="18"/>
                <w:szCs w:val="18"/>
              </w:rPr>
              <w:t>7.0</w:t>
            </w:r>
          </w:p>
        </w:tc>
        <w:tc>
          <w:tcPr>
            <w:tcW w:w="657" w:type="dxa"/>
            <w:vAlign w:val="center"/>
          </w:tcPr>
          <w:p w14:paraId="4116B98E">
            <w:pPr>
              <w:tabs>
                <w:tab w:val="clear" w:pos="480"/>
              </w:tabs>
              <w:adjustRightInd w:val="0"/>
              <w:snapToGrid w:val="0"/>
              <w:spacing w:line="240" w:lineRule="auto"/>
              <w:ind w:firstLine="0" w:firstLineChars="0"/>
              <w:jc w:val="center"/>
              <w:rPr>
                <w:kern w:val="0"/>
                <w:sz w:val="18"/>
                <w:szCs w:val="18"/>
              </w:rPr>
            </w:pPr>
            <w:r>
              <w:rPr>
                <w:kern w:val="0"/>
                <w:sz w:val="18"/>
                <w:szCs w:val="18"/>
              </w:rPr>
              <w:t>7.2</w:t>
            </w:r>
          </w:p>
        </w:tc>
        <w:tc>
          <w:tcPr>
            <w:tcW w:w="845" w:type="dxa"/>
            <w:vAlign w:val="center"/>
          </w:tcPr>
          <w:p w14:paraId="1FD94AE3">
            <w:pPr>
              <w:tabs>
                <w:tab w:val="clear" w:pos="480"/>
              </w:tabs>
              <w:adjustRightInd w:val="0"/>
              <w:snapToGrid w:val="0"/>
              <w:spacing w:line="240" w:lineRule="auto"/>
              <w:ind w:firstLine="0" w:firstLineChars="0"/>
              <w:jc w:val="center"/>
              <w:rPr>
                <w:kern w:val="0"/>
                <w:sz w:val="18"/>
                <w:szCs w:val="18"/>
              </w:rPr>
            </w:pPr>
            <w:r>
              <w:rPr>
                <w:kern w:val="0"/>
                <w:sz w:val="18"/>
                <w:szCs w:val="18"/>
              </w:rPr>
              <w:t>6~9</w:t>
            </w:r>
          </w:p>
        </w:tc>
        <w:tc>
          <w:tcPr>
            <w:tcW w:w="703" w:type="dxa"/>
            <w:vAlign w:val="center"/>
          </w:tcPr>
          <w:p w14:paraId="6E1AB92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123F2E4C">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73390F79">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1EB09BB">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40E12E37">
            <w:pPr>
              <w:tabs>
                <w:tab w:val="clear" w:pos="480"/>
              </w:tabs>
              <w:adjustRightInd w:val="0"/>
              <w:snapToGrid w:val="0"/>
              <w:spacing w:line="240" w:lineRule="auto"/>
              <w:ind w:firstLine="0" w:firstLineChars="0"/>
              <w:jc w:val="center"/>
              <w:rPr>
                <w:kern w:val="0"/>
                <w:sz w:val="18"/>
                <w:szCs w:val="18"/>
              </w:rPr>
            </w:pPr>
            <w:r>
              <w:rPr>
                <w:kern w:val="0"/>
                <w:sz w:val="18"/>
                <w:szCs w:val="18"/>
              </w:rPr>
              <w:t>悬浮物</w:t>
            </w:r>
          </w:p>
        </w:tc>
        <w:tc>
          <w:tcPr>
            <w:tcW w:w="993" w:type="dxa"/>
            <w:vAlign w:val="center"/>
          </w:tcPr>
          <w:p w14:paraId="19B6C14F">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1322B890">
            <w:pPr>
              <w:tabs>
                <w:tab w:val="clear" w:pos="480"/>
              </w:tabs>
              <w:adjustRightInd w:val="0"/>
              <w:snapToGrid w:val="0"/>
              <w:spacing w:line="240" w:lineRule="auto"/>
              <w:ind w:firstLine="0" w:firstLineChars="0"/>
              <w:jc w:val="center"/>
              <w:rPr>
                <w:kern w:val="0"/>
                <w:sz w:val="18"/>
                <w:szCs w:val="18"/>
              </w:rPr>
            </w:pPr>
            <w:r>
              <w:rPr>
                <w:w w:val="99"/>
                <w:kern w:val="0"/>
                <w:sz w:val="18"/>
                <w:szCs w:val="18"/>
              </w:rPr>
              <w:t>5</w:t>
            </w:r>
          </w:p>
        </w:tc>
        <w:tc>
          <w:tcPr>
            <w:tcW w:w="992" w:type="dxa"/>
            <w:vAlign w:val="center"/>
          </w:tcPr>
          <w:p w14:paraId="360F1D04">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7CD8FED6">
            <w:pPr>
              <w:tabs>
                <w:tab w:val="clear" w:pos="480"/>
              </w:tabs>
              <w:adjustRightInd w:val="0"/>
              <w:snapToGrid w:val="0"/>
              <w:spacing w:line="240" w:lineRule="auto"/>
              <w:ind w:firstLine="0" w:firstLineChars="0"/>
              <w:jc w:val="center"/>
              <w:rPr>
                <w:kern w:val="0"/>
                <w:sz w:val="18"/>
                <w:szCs w:val="18"/>
              </w:rPr>
            </w:pPr>
            <w:r>
              <w:rPr>
                <w:kern w:val="0"/>
                <w:sz w:val="18"/>
                <w:szCs w:val="18"/>
              </w:rPr>
              <w:t>5</w:t>
            </w:r>
          </w:p>
        </w:tc>
        <w:tc>
          <w:tcPr>
            <w:tcW w:w="845" w:type="dxa"/>
            <w:vAlign w:val="center"/>
          </w:tcPr>
          <w:p w14:paraId="2BB55686">
            <w:pPr>
              <w:tabs>
                <w:tab w:val="clear" w:pos="480"/>
              </w:tabs>
              <w:adjustRightInd w:val="0"/>
              <w:snapToGrid w:val="0"/>
              <w:spacing w:line="240" w:lineRule="auto"/>
              <w:ind w:firstLine="0" w:firstLineChars="0"/>
              <w:jc w:val="center"/>
              <w:rPr>
                <w:kern w:val="0"/>
                <w:sz w:val="18"/>
                <w:szCs w:val="18"/>
              </w:rPr>
            </w:pPr>
            <w:r>
              <w:rPr>
                <w:w w:val="99"/>
                <w:kern w:val="0"/>
                <w:sz w:val="18"/>
                <w:szCs w:val="18"/>
              </w:rPr>
              <w:t>30</w:t>
            </w:r>
          </w:p>
        </w:tc>
        <w:tc>
          <w:tcPr>
            <w:tcW w:w="703" w:type="dxa"/>
            <w:vAlign w:val="center"/>
          </w:tcPr>
          <w:p w14:paraId="66C5130B">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317867F6">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2DBD648A">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20FA607E">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4054958B">
            <w:pPr>
              <w:tabs>
                <w:tab w:val="clear" w:pos="480"/>
              </w:tabs>
              <w:adjustRightInd w:val="0"/>
              <w:snapToGrid w:val="0"/>
              <w:spacing w:line="240" w:lineRule="auto"/>
              <w:ind w:firstLine="0" w:firstLineChars="0"/>
              <w:jc w:val="center"/>
              <w:rPr>
                <w:kern w:val="0"/>
                <w:sz w:val="18"/>
                <w:szCs w:val="18"/>
              </w:rPr>
            </w:pPr>
            <w:r>
              <w:rPr>
                <w:kern w:val="0"/>
                <w:sz w:val="18"/>
                <w:szCs w:val="18"/>
              </w:rPr>
              <w:t>化学需氧量</w:t>
            </w:r>
          </w:p>
        </w:tc>
        <w:tc>
          <w:tcPr>
            <w:tcW w:w="993" w:type="dxa"/>
            <w:vAlign w:val="center"/>
          </w:tcPr>
          <w:p w14:paraId="07F9D230">
            <w:pPr>
              <w:tabs>
                <w:tab w:val="clear" w:pos="480"/>
              </w:tabs>
              <w:adjustRightInd w:val="0"/>
              <w:snapToGrid w:val="0"/>
              <w:spacing w:line="240" w:lineRule="auto"/>
              <w:ind w:firstLine="0" w:firstLineChars="0"/>
              <w:jc w:val="center"/>
              <w:rPr>
                <w:kern w:val="0"/>
                <w:sz w:val="18"/>
                <w:szCs w:val="18"/>
              </w:rPr>
            </w:pPr>
            <w:r>
              <w:rPr>
                <w:w w:val="99"/>
                <w:kern w:val="0"/>
                <w:sz w:val="18"/>
                <w:szCs w:val="18"/>
              </w:rPr>
              <w:t>9</w:t>
            </w:r>
          </w:p>
        </w:tc>
        <w:tc>
          <w:tcPr>
            <w:tcW w:w="992" w:type="dxa"/>
            <w:vAlign w:val="center"/>
          </w:tcPr>
          <w:p w14:paraId="16012301">
            <w:pPr>
              <w:tabs>
                <w:tab w:val="clear" w:pos="480"/>
              </w:tabs>
              <w:adjustRightInd w:val="0"/>
              <w:snapToGrid w:val="0"/>
              <w:spacing w:line="240" w:lineRule="auto"/>
              <w:ind w:firstLine="0" w:firstLineChars="0"/>
              <w:jc w:val="center"/>
              <w:rPr>
                <w:kern w:val="0"/>
                <w:sz w:val="18"/>
                <w:szCs w:val="18"/>
              </w:rPr>
            </w:pPr>
            <w:r>
              <w:rPr>
                <w:w w:val="99"/>
                <w:kern w:val="0"/>
                <w:sz w:val="18"/>
                <w:szCs w:val="18"/>
              </w:rPr>
              <w:t>9</w:t>
            </w:r>
          </w:p>
        </w:tc>
        <w:tc>
          <w:tcPr>
            <w:tcW w:w="992" w:type="dxa"/>
            <w:vAlign w:val="center"/>
          </w:tcPr>
          <w:p w14:paraId="44A88D3E">
            <w:pPr>
              <w:tabs>
                <w:tab w:val="clear" w:pos="480"/>
              </w:tabs>
              <w:adjustRightInd w:val="0"/>
              <w:snapToGrid w:val="0"/>
              <w:spacing w:line="240" w:lineRule="auto"/>
              <w:ind w:firstLine="0" w:firstLineChars="0"/>
              <w:jc w:val="center"/>
              <w:rPr>
                <w:kern w:val="0"/>
                <w:sz w:val="18"/>
                <w:szCs w:val="18"/>
              </w:rPr>
            </w:pPr>
            <w:r>
              <w:rPr>
                <w:w w:val="99"/>
                <w:kern w:val="0"/>
                <w:sz w:val="18"/>
                <w:szCs w:val="18"/>
              </w:rPr>
              <w:t>8</w:t>
            </w:r>
          </w:p>
        </w:tc>
        <w:tc>
          <w:tcPr>
            <w:tcW w:w="657" w:type="dxa"/>
            <w:vAlign w:val="center"/>
          </w:tcPr>
          <w:p w14:paraId="113F5FFD">
            <w:pPr>
              <w:tabs>
                <w:tab w:val="clear" w:pos="480"/>
              </w:tabs>
              <w:adjustRightInd w:val="0"/>
              <w:snapToGrid w:val="0"/>
              <w:spacing w:line="240" w:lineRule="auto"/>
              <w:ind w:firstLine="0" w:firstLineChars="0"/>
              <w:jc w:val="center"/>
              <w:rPr>
                <w:kern w:val="0"/>
                <w:sz w:val="18"/>
                <w:szCs w:val="18"/>
              </w:rPr>
            </w:pPr>
            <w:r>
              <w:rPr>
                <w:kern w:val="0"/>
                <w:sz w:val="18"/>
                <w:szCs w:val="18"/>
              </w:rPr>
              <w:t>9</w:t>
            </w:r>
          </w:p>
        </w:tc>
        <w:tc>
          <w:tcPr>
            <w:tcW w:w="845" w:type="dxa"/>
            <w:vAlign w:val="center"/>
          </w:tcPr>
          <w:p w14:paraId="475225EE">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c>
          <w:tcPr>
            <w:tcW w:w="703" w:type="dxa"/>
            <w:vAlign w:val="center"/>
          </w:tcPr>
          <w:p w14:paraId="3585FE11">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7070AD83">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4275B985">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5C6D5FA">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480BBB7A">
            <w:pPr>
              <w:tabs>
                <w:tab w:val="clear" w:pos="480"/>
              </w:tabs>
              <w:adjustRightInd w:val="0"/>
              <w:snapToGrid w:val="0"/>
              <w:spacing w:line="240" w:lineRule="auto"/>
              <w:ind w:firstLine="0" w:firstLineChars="0"/>
              <w:jc w:val="center"/>
              <w:rPr>
                <w:kern w:val="0"/>
                <w:sz w:val="18"/>
                <w:szCs w:val="18"/>
              </w:rPr>
            </w:pPr>
            <w:r>
              <w:rPr>
                <w:kern w:val="0"/>
                <w:sz w:val="18"/>
                <w:szCs w:val="18"/>
              </w:rPr>
              <w:t>五日生化需氧量）</w:t>
            </w:r>
          </w:p>
        </w:tc>
        <w:tc>
          <w:tcPr>
            <w:tcW w:w="993" w:type="dxa"/>
            <w:vAlign w:val="center"/>
          </w:tcPr>
          <w:p w14:paraId="05240121">
            <w:pPr>
              <w:tabs>
                <w:tab w:val="clear" w:pos="480"/>
              </w:tabs>
              <w:adjustRightInd w:val="0"/>
              <w:snapToGrid w:val="0"/>
              <w:spacing w:line="240" w:lineRule="auto"/>
              <w:ind w:firstLine="0" w:firstLineChars="0"/>
              <w:jc w:val="center"/>
              <w:rPr>
                <w:kern w:val="0"/>
                <w:sz w:val="18"/>
                <w:szCs w:val="18"/>
              </w:rPr>
            </w:pPr>
            <w:r>
              <w:rPr>
                <w:kern w:val="0"/>
                <w:sz w:val="18"/>
                <w:szCs w:val="18"/>
              </w:rPr>
              <w:t>1.7</w:t>
            </w:r>
          </w:p>
        </w:tc>
        <w:tc>
          <w:tcPr>
            <w:tcW w:w="992" w:type="dxa"/>
            <w:vAlign w:val="center"/>
          </w:tcPr>
          <w:p w14:paraId="514BFF3E">
            <w:pPr>
              <w:tabs>
                <w:tab w:val="clear" w:pos="480"/>
              </w:tabs>
              <w:adjustRightInd w:val="0"/>
              <w:snapToGrid w:val="0"/>
              <w:spacing w:line="240" w:lineRule="auto"/>
              <w:ind w:firstLine="0" w:firstLineChars="0"/>
              <w:jc w:val="center"/>
              <w:rPr>
                <w:kern w:val="0"/>
                <w:sz w:val="18"/>
                <w:szCs w:val="18"/>
              </w:rPr>
            </w:pPr>
            <w:r>
              <w:rPr>
                <w:kern w:val="0"/>
                <w:sz w:val="18"/>
                <w:szCs w:val="18"/>
              </w:rPr>
              <w:t>1.8</w:t>
            </w:r>
          </w:p>
        </w:tc>
        <w:tc>
          <w:tcPr>
            <w:tcW w:w="992" w:type="dxa"/>
            <w:vAlign w:val="center"/>
          </w:tcPr>
          <w:p w14:paraId="6B8BC676">
            <w:pPr>
              <w:tabs>
                <w:tab w:val="clear" w:pos="480"/>
              </w:tabs>
              <w:adjustRightInd w:val="0"/>
              <w:snapToGrid w:val="0"/>
              <w:spacing w:line="240" w:lineRule="auto"/>
              <w:ind w:firstLine="0" w:firstLineChars="0"/>
              <w:jc w:val="center"/>
              <w:rPr>
                <w:kern w:val="0"/>
                <w:sz w:val="18"/>
                <w:szCs w:val="18"/>
              </w:rPr>
            </w:pPr>
            <w:r>
              <w:rPr>
                <w:kern w:val="0"/>
                <w:sz w:val="18"/>
                <w:szCs w:val="18"/>
              </w:rPr>
              <w:t>1.7</w:t>
            </w:r>
          </w:p>
        </w:tc>
        <w:tc>
          <w:tcPr>
            <w:tcW w:w="657" w:type="dxa"/>
            <w:vAlign w:val="center"/>
          </w:tcPr>
          <w:p w14:paraId="6C498E02">
            <w:pPr>
              <w:tabs>
                <w:tab w:val="clear" w:pos="480"/>
              </w:tabs>
              <w:adjustRightInd w:val="0"/>
              <w:snapToGrid w:val="0"/>
              <w:spacing w:line="240" w:lineRule="auto"/>
              <w:ind w:firstLine="0" w:firstLineChars="0"/>
              <w:jc w:val="center"/>
              <w:rPr>
                <w:kern w:val="0"/>
                <w:sz w:val="18"/>
                <w:szCs w:val="18"/>
              </w:rPr>
            </w:pPr>
            <w:r>
              <w:rPr>
                <w:kern w:val="0"/>
                <w:sz w:val="18"/>
                <w:szCs w:val="18"/>
              </w:rPr>
              <w:t>1.7</w:t>
            </w:r>
          </w:p>
        </w:tc>
        <w:tc>
          <w:tcPr>
            <w:tcW w:w="845" w:type="dxa"/>
            <w:vAlign w:val="center"/>
          </w:tcPr>
          <w:p w14:paraId="5CD9C75B">
            <w:pPr>
              <w:tabs>
                <w:tab w:val="clear" w:pos="480"/>
              </w:tabs>
              <w:adjustRightInd w:val="0"/>
              <w:snapToGrid w:val="0"/>
              <w:spacing w:line="240" w:lineRule="auto"/>
              <w:ind w:firstLine="0" w:firstLineChars="0"/>
              <w:jc w:val="center"/>
              <w:rPr>
                <w:kern w:val="0"/>
                <w:sz w:val="18"/>
                <w:szCs w:val="18"/>
              </w:rPr>
            </w:pPr>
            <w:r>
              <w:rPr>
                <w:w w:val="99"/>
                <w:kern w:val="0"/>
                <w:sz w:val="18"/>
                <w:szCs w:val="18"/>
              </w:rPr>
              <w:t>4</w:t>
            </w:r>
          </w:p>
        </w:tc>
        <w:tc>
          <w:tcPr>
            <w:tcW w:w="703" w:type="dxa"/>
            <w:vAlign w:val="center"/>
          </w:tcPr>
          <w:p w14:paraId="29C1C5C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9CE17DA">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810648D">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395B0D6A">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751E7D23">
            <w:pPr>
              <w:tabs>
                <w:tab w:val="clear" w:pos="480"/>
              </w:tabs>
              <w:adjustRightInd w:val="0"/>
              <w:snapToGrid w:val="0"/>
              <w:spacing w:line="240" w:lineRule="auto"/>
              <w:ind w:firstLine="0" w:firstLineChars="0"/>
              <w:jc w:val="center"/>
              <w:rPr>
                <w:kern w:val="0"/>
                <w:sz w:val="18"/>
                <w:szCs w:val="18"/>
              </w:rPr>
            </w:pPr>
            <w:r>
              <w:rPr>
                <w:kern w:val="0"/>
                <w:sz w:val="18"/>
                <w:szCs w:val="18"/>
              </w:rPr>
              <w:t>总氮</w:t>
            </w:r>
          </w:p>
        </w:tc>
        <w:tc>
          <w:tcPr>
            <w:tcW w:w="993" w:type="dxa"/>
            <w:vAlign w:val="center"/>
          </w:tcPr>
          <w:p w14:paraId="2DB39B8E">
            <w:pPr>
              <w:tabs>
                <w:tab w:val="clear" w:pos="480"/>
              </w:tabs>
              <w:adjustRightInd w:val="0"/>
              <w:snapToGrid w:val="0"/>
              <w:spacing w:line="240" w:lineRule="auto"/>
              <w:ind w:firstLine="0" w:firstLineChars="0"/>
              <w:jc w:val="center"/>
              <w:rPr>
                <w:kern w:val="0"/>
                <w:sz w:val="18"/>
                <w:szCs w:val="18"/>
              </w:rPr>
            </w:pPr>
            <w:r>
              <w:rPr>
                <w:kern w:val="0"/>
                <w:sz w:val="18"/>
                <w:szCs w:val="18"/>
              </w:rPr>
              <w:t>0.93</w:t>
            </w:r>
          </w:p>
        </w:tc>
        <w:tc>
          <w:tcPr>
            <w:tcW w:w="992" w:type="dxa"/>
            <w:vAlign w:val="center"/>
          </w:tcPr>
          <w:p w14:paraId="5E636988">
            <w:pPr>
              <w:tabs>
                <w:tab w:val="clear" w:pos="480"/>
              </w:tabs>
              <w:adjustRightInd w:val="0"/>
              <w:snapToGrid w:val="0"/>
              <w:spacing w:line="240" w:lineRule="auto"/>
              <w:ind w:firstLine="0" w:firstLineChars="0"/>
              <w:jc w:val="center"/>
              <w:rPr>
                <w:kern w:val="0"/>
                <w:sz w:val="18"/>
                <w:szCs w:val="18"/>
              </w:rPr>
            </w:pPr>
            <w:r>
              <w:rPr>
                <w:kern w:val="0"/>
                <w:sz w:val="18"/>
                <w:szCs w:val="18"/>
              </w:rPr>
              <w:t>0.90</w:t>
            </w:r>
          </w:p>
        </w:tc>
        <w:tc>
          <w:tcPr>
            <w:tcW w:w="992" w:type="dxa"/>
            <w:vAlign w:val="center"/>
          </w:tcPr>
          <w:p w14:paraId="26D4632B">
            <w:pPr>
              <w:tabs>
                <w:tab w:val="clear" w:pos="480"/>
              </w:tabs>
              <w:adjustRightInd w:val="0"/>
              <w:snapToGrid w:val="0"/>
              <w:spacing w:line="240" w:lineRule="auto"/>
              <w:ind w:firstLine="0" w:firstLineChars="0"/>
              <w:jc w:val="center"/>
              <w:rPr>
                <w:kern w:val="0"/>
                <w:sz w:val="18"/>
                <w:szCs w:val="18"/>
              </w:rPr>
            </w:pPr>
            <w:r>
              <w:rPr>
                <w:kern w:val="0"/>
                <w:sz w:val="18"/>
                <w:szCs w:val="18"/>
              </w:rPr>
              <w:t>0.92</w:t>
            </w:r>
          </w:p>
        </w:tc>
        <w:tc>
          <w:tcPr>
            <w:tcW w:w="657" w:type="dxa"/>
            <w:vAlign w:val="center"/>
          </w:tcPr>
          <w:p w14:paraId="3CED3D84">
            <w:pPr>
              <w:tabs>
                <w:tab w:val="clear" w:pos="480"/>
              </w:tabs>
              <w:adjustRightInd w:val="0"/>
              <w:snapToGrid w:val="0"/>
              <w:spacing w:line="240" w:lineRule="auto"/>
              <w:ind w:firstLine="0" w:firstLineChars="0"/>
              <w:jc w:val="center"/>
              <w:rPr>
                <w:kern w:val="0"/>
                <w:sz w:val="18"/>
                <w:szCs w:val="18"/>
              </w:rPr>
            </w:pPr>
            <w:r>
              <w:rPr>
                <w:kern w:val="0"/>
                <w:sz w:val="18"/>
                <w:szCs w:val="18"/>
              </w:rPr>
              <w:t>0.92</w:t>
            </w:r>
          </w:p>
        </w:tc>
        <w:tc>
          <w:tcPr>
            <w:tcW w:w="845" w:type="dxa"/>
            <w:vAlign w:val="center"/>
          </w:tcPr>
          <w:p w14:paraId="745DC312">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4C118CB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58510A99">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54D3EE1">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6879421E">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EEA63E6">
            <w:pPr>
              <w:tabs>
                <w:tab w:val="clear" w:pos="480"/>
              </w:tabs>
              <w:adjustRightInd w:val="0"/>
              <w:snapToGrid w:val="0"/>
              <w:spacing w:line="240" w:lineRule="auto"/>
              <w:ind w:firstLine="0" w:firstLineChars="0"/>
              <w:jc w:val="center"/>
              <w:rPr>
                <w:kern w:val="0"/>
                <w:sz w:val="18"/>
                <w:szCs w:val="18"/>
              </w:rPr>
            </w:pPr>
            <w:r>
              <w:rPr>
                <w:kern w:val="0"/>
                <w:sz w:val="18"/>
                <w:szCs w:val="18"/>
              </w:rPr>
              <w:t>氨氮</w:t>
            </w:r>
          </w:p>
        </w:tc>
        <w:tc>
          <w:tcPr>
            <w:tcW w:w="993" w:type="dxa"/>
            <w:vAlign w:val="center"/>
          </w:tcPr>
          <w:p w14:paraId="510730B7">
            <w:pPr>
              <w:tabs>
                <w:tab w:val="clear" w:pos="480"/>
              </w:tabs>
              <w:adjustRightInd w:val="0"/>
              <w:snapToGrid w:val="0"/>
              <w:spacing w:line="240" w:lineRule="auto"/>
              <w:ind w:firstLine="0" w:firstLineChars="0"/>
              <w:jc w:val="center"/>
              <w:rPr>
                <w:kern w:val="0"/>
                <w:sz w:val="18"/>
                <w:szCs w:val="18"/>
              </w:rPr>
            </w:pPr>
            <w:r>
              <w:rPr>
                <w:kern w:val="0"/>
                <w:sz w:val="18"/>
                <w:szCs w:val="18"/>
              </w:rPr>
              <w:t>0.032</w:t>
            </w:r>
          </w:p>
        </w:tc>
        <w:tc>
          <w:tcPr>
            <w:tcW w:w="992" w:type="dxa"/>
            <w:vAlign w:val="center"/>
          </w:tcPr>
          <w:p w14:paraId="1BE4C53C">
            <w:pPr>
              <w:tabs>
                <w:tab w:val="clear" w:pos="480"/>
              </w:tabs>
              <w:adjustRightInd w:val="0"/>
              <w:snapToGrid w:val="0"/>
              <w:spacing w:line="240" w:lineRule="auto"/>
              <w:ind w:firstLine="0" w:firstLineChars="0"/>
              <w:jc w:val="center"/>
              <w:rPr>
                <w:kern w:val="0"/>
                <w:sz w:val="18"/>
                <w:szCs w:val="18"/>
              </w:rPr>
            </w:pPr>
            <w:r>
              <w:rPr>
                <w:kern w:val="0"/>
                <w:sz w:val="18"/>
                <w:szCs w:val="18"/>
              </w:rPr>
              <w:t>0.041</w:t>
            </w:r>
          </w:p>
        </w:tc>
        <w:tc>
          <w:tcPr>
            <w:tcW w:w="992" w:type="dxa"/>
            <w:vAlign w:val="center"/>
          </w:tcPr>
          <w:p w14:paraId="326F3FBA">
            <w:pPr>
              <w:tabs>
                <w:tab w:val="clear" w:pos="480"/>
              </w:tabs>
              <w:adjustRightInd w:val="0"/>
              <w:snapToGrid w:val="0"/>
              <w:spacing w:line="240" w:lineRule="auto"/>
              <w:ind w:firstLine="0" w:firstLineChars="0"/>
              <w:jc w:val="center"/>
              <w:rPr>
                <w:kern w:val="0"/>
                <w:sz w:val="18"/>
                <w:szCs w:val="18"/>
              </w:rPr>
            </w:pPr>
            <w:r>
              <w:rPr>
                <w:kern w:val="0"/>
                <w:sz w:val="18"/>
                <w:szCs w:val="18"/>
              </w:rPr>
              <w:t>0.058</w:t>
            </w:r>
          </w:p>
        </w:tc>
        <w:tc>
          <w:tcPr>
            <w:tcW w:w="657" w:type="dxa"/>
            <w:vAlign w:val="center"/>
          </w:tcPr>
          <w:p w14:paraId="70EC8D7F">
            <w:pPr>
              <w:tabs>
                <w:tab w:val="clear" w:pos="480"/>
              </w:tabs>
              <w:adjustRightInd w:val="0"/>
              <w:snapToGrid w:val="0"/>
              <w:spacing w:line="240" w:lineRule="auto"/>
              <w:ind w:firstLine="0" w:firstLineChars="0"/>
              <w:jc w:val="center"/>
              <w:rPr>
                <w:kern w:val="0"/>
                <w:sz w:val="18"/>
                <w:szCs w:val="18"/>
              </w:rPr>
            </w:pPr>
            <w:r>
              <w:rPr>
                <w:kern w:val="0"/>
                <w:sz w:val="18"/>
                <w:szCs w:val="18"/>
              </w:rPr>
              <w:t>0.044</w:t>
            </w:r>
          </w:p>
        </w:tc>
        <w:tc>
          <w:tcPr>
            <w:tcW w:w="845" w:type="dxa"/>
            <w:vAlign w:val="center"/>
          </w:tcPr>
          <w:p w14:paraId="3DFD338D">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35AF9026">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2B39D92C">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A94C5BA">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F722C08">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3A101722">
            <w:pPr>
              <w:tabs>
                <w:tab w:val="clear" w:pos="480"/>
              </w:tabs>
              <w:adjustRightInd w:val="0"/>
              <w:snapToGrid w:val="0"/>
              <w:spacing w:line="240" w:lineRule="auto"/>
              <w:ind w:firstLine="0" w:firstLineChars="0"/>
              <w:jc w:val="center"/>
              <w:rPr>
                <w:kern w:val="0"/>
                <w:sz w:val="18"/>
                <w:szCs w:val="18"/>
              </w:rPr>
            </w:pPr>
            <w:r>
              <w:rPr>
                <w:kern w:val="0"/>
                <w:sz w:val="18"/>
                <w:szCs w:val="18"/>
              </w:rPr>
              <w:t>石油类</w:t>
            </w:r>
          </w:p>
        </w:tc>
        <w:tc>
          <w:tcPr>
            <w:tcW w:w="993" w:type="dxa"/>
            <w:vAlign w:val="center"/>
          </w:tcPr>
          <w:p w14:paraId="1654403B">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3930D8D9">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21FBC644">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52F1D27A">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845" w:type="dxa"/>
            <w:vAlign w:val="center"/>
          </w:tcPr>
          <w:p w14:paraId="22247FDE">
            <w:pPr>
              <w:tabs>
                <w:tab w:val="clear" w:pos="480"/>
              </w:tabs>
              <w:adjustRightInd w:val="0"/>
              <w:snapToGrid w:val="0"/>
              <w:spacing w:line="240" w:lineRule="auto"/>
              <w:ind w:firstLine="0" w:firstLineChars="0"/>
              <w:jc w:val="center"/>
              <w:rPr>
                <w:kern w:val="0"/>
                <w:sz w:val="18"/>
                <w:szCs w:val="18"/>
              </w:rPr>
            </w:pPr>
            <w:r>
              <w:rPr>
                <w:kern w:val="0"/>
                <w:sz w:val="18"/>
                <w:szCs w:val="18"/>
              </w:rPr>
              <w:t>0.05</w:t>
            </w:r>
          </w:p>
        </w:tc>
        <w:tc>
          <w:tcPr>
            <w:tcW w:w="703" w:type="dxa"/>
            <w:vAlign w:val="center"/>
          </w:tcPr>
          <w:p w14:paraId="6D4A308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5235874F">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14DF7D47">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vAlign w:val="center"/>
          </w:tcPr>
          <w:p w14:paraId="68725D37">
            <w:pPr>
              <w:tabs>
                <w:tab w:val="clear" w:pos="480"/>
              </w:tabs>
              <w:adjustRightInd w:val="0"/>
              <w:snapToGrid w:val="0"/>
              <w:spacing w:line="240" w:lineRule="auto"/>
              <w:ind w:firstLine="0" w:firstLineChars="0"/>
              <w:jc w:val="center"/>
              <w:rPr>
                <w:kern w:val="0"/>
                <w:sz w:val="18"/>
                <w:szCs w:val="18"/>
              </w:rPr>
            </w:pPr>
            <w:r>
              <w:rPr>
                <w:kern w:val="0"/>
                <w:sz w:val="18"/>
                <w:szCs w:val="18"/>
              </w:rPr>
              <w:t>W6</w:t>
            </w:r>
          </w:p>
        </w:tc>
        <w:tc>
          <w:tcPr>
            <w:tcW w:w="1192" w:type="dxa"/>
            <w:vAlign w:val="center"/>
          </w:tcPr>
          <w:p w14:paraId="066EEF5C">
            <w:pPr>
              <w:tabs>
                <w:tab w:val="clear" w:pos="480"/>
              </w:tabs>
              <w:adjustRightInd w:val="0"/>
              <w:snapToGrid w:val="0"/>
              <w:spacing w:line="240" w:lineRule="auto"/>
              <w:ind w:firstLine="0" w:firstLineChars="0"/>
              <w:jc w:val="center"/>
              <w:rPr>
                <w:kern w:val="0"/>
                <w:sz w:val="18"/>
                <w:szCs w:val="18"/>
              </w:rPr>
            </w:pPr>
            <w:r>
              <w:rPr>
                <w:kern w:val="0"/>
                <w:sz w:val="18"/>
                <w:szCs w:val="18"/>
              </w:rPr>
              <w:t>pH 值</w:t>
            </w:r>
          </w:p>
        </w:tc>
        <w:tc>
          <w:tcPr>
            <w:tcW w:w="993" w:type="dxa"/>
            <w:vAlign w:val="center"/>
          </w:tcPr>
          <w:p w14:paraId="68E150DF">
            <w:pPr>
              <w:tabs>
                <w:tab w:val="clear" w:pos="480"/>
              </w:tabs>
              <w:adjustRightInd w:val="0"/>
              <w:snapToGrid w:val="0"/>
              <w:spacing w:line="240" w:lineRule="auto"/>
              <w:ind w:firstLine="0" w:firstLineChars="0"/>
              <w:jc w:val="center"/>
              <w:rPr>
                <w:kern w:val="0"/>
                <w:sz w:val="18"/>
                <w:szCs w:val="18"/>
              </w:rPr>
            </w:pPr>
            <w:r>
              <w:rPr>
                <w:kern w:val="0"/>
                <w:sz w:val="18"/>
                <w:szCs w:val="18"/>
              </w:rPr>
              <w:t>7.3</w:t>
            </w:r>
          </w:p>
        </w:tc>
        <w:tc>
          <w:tcPr>
            <w:tcW w:w="992" w:type="dxa"/>
            <w:vAlign w:val="center"/>
          </w:tcPr>
          <w:p w14:paraId="26E85A8C">
            <w:pPr>
              <w:tabs>
                <w:tab w:val="clear" w:pos="480"/>
              </w:tabs>
              <w:adjustRightInd w:val="0"/>
              <w:snapToGrid w:val="0"/>
              <w:spacing w:line="240" w:lineRule="auto"/>
              <w:ind w:firstLine="0" w:firstLineChars="0"/>
              <w:jc w:val="center"/>
              <w:rPr>
                <w:kern w:val="0"/>
                <w:sz w:val="18"/>
                <w:szCs w:val="18"/>
              </w:rPr>
            </w:pPr>
            <w:r>
              <w:rPr>
                <w:kern w:val="0"/>
                <w:sz w:val="18"/>
                <w:szCs w:val="18"/>
              </w:rPr>
              <w:t>7.1</w:t>
            </w:r>
          </w:p>
        </w:tc>
        <w:tc>
          <w:tcPr>
            <w:tcW w:w="992" w:type="dxa"/>
            <w:vAlign w:val="center"/>
          </w:tcPr>
          <w:p w14:paraId="3AE6770A">
            <w:pPr>
              <w:tabs>
                <w:tab w:val="clear" w:pos="480"/>
              </w:tabs>
              <w:adjustRightInd w:val="0"/>
              <w:snapToGrid w:val="0"/>
              <w:spacing w:line="240" w:lineRule="auto"/>
              <w:ind w:firstLine="0" w:firstLineChars="0"/>
              <w:jc w:val="center"/>
              <w:rPr>
                <w:kern w:val="0"/>
                <w:sz w:val="18"/>
                <w:szCs w:val="18"/>
              </w:rPr>
            </w:pPr>
            <w:r>
              <w:rPr>
                <w:kern w:val="0"/>
                <w:sz w:val="18"/>
                <w:szCs w:val="18"/>
              </w:rPr>
              <w:t>7.1</w:t>
            </w:r>
          </w:p>
        </w:tc>
        <w:tc>
          <w:tcPr>
            <w:tcW w:w="657" w:type="dxa"/>
            <w:vAlign w:val="center"/>
          </w:tcPr>
          <w:p w14:paraId="36718DBB">
            <w:pPr>
              <w:tabs>
                <w:tab w:val="clear" w:pos="480"/>
              </w:tabs>
              <w:adjustRightInd w:val="0"/>
              <w:snapToGrid w:val="0"/>
              <w:spacing w:line="240" w:lineRule="auto"/>
              <w:ind w:firstLine="0" w:firstLineChars="0"/>
              <w:jc w:val="center"/>
              <w:rPr>
                <w:kern w:val="0"/>
                <w:sz w:val="18"/>
                <w:szCs w:val="18"/>
              </w:rPr>
            </w:pPr>
            <w:r>
              <w:rPr>
                <w:kern w:val="0"/>
                <w:sz w:val="18"/>
                <w:szCs w:val="18"/>
              </w:rPr>
              <w:t>7.2</w:t>
            </w:r>
          </w:p>
        </w:tc>
        <w:tc>
          <w:tcPr>
            <w:tcW w:w="845" w:type="dxa"/>
            <w:vAlign w:val="center"/>
          </w:tcPr>
          <w:p w14:paraId="3D570345">
            <w:pPr>
              <w:tabs>
                <w:tab w:val="clear" w:pos="480"/>
              </w:tabs>
              <w:adjustRightInd w:val="0"/>
              <w:snapToGrid w:val="0"/>
              <w:spacing w:line="240" w:lineRule="auto"/>
              <w:ind w:firstLine="0" w:firstLineChars="0"/>
              <w:jc w:val="center"/>
              <w:rPr>
                <w:kern w:val="0"/>
                <w:sz w:val="18"/>
                <w:szCs w:val="18"/>
              </w:rPr>
            </w:pPr>
            <w:r>
              <w:rPr>
                <w:kern w:val="0"/>
                <w:sz w:val="18"/>
                <w:szCs w:val="18"/>
              </w:rPr>
              <w:t>6~9</w:t>
            </w:r>
          </w:p>
        </w:tc>
        <w:tc>
          <w:tcPr>
            <w:tcW w:w="703" w:type="dxa"/>
            <w:vAlign w:val="center"/>
          </w:tcPr>
          <w:p w14:paraId="4E253AB8">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54A77B8">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5EE4502">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5CD5BF71">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F1E4A2A">
            <w:pPr>
              <w:tabs>
                <w:tab w:val="clear" w:pos="480"/>
              </w:tabs>
              <w:adjustRightInd w:val="0"/>
              <w:snapToGrid w:val="0"/>
              <w:spacing w:line="240" w:lineRule="auto"/>
              <w:ind w:firstLine="0" w:firstLineChars="0"/>
              <w:jc w:val="center"/>
              <w:rPr>
                <w:kern w:val="0"/>
                <w:sz w:val="18"/>
                <w:szCs w:val="18"/>
              </w:rPr>
            </w:pPr>
            <w:r>
              <w:rPr>
                <w:kern w:val="0"/>
                <w:sz w:val="18"/>
                <w:szCs w:val="18"/>
              </w:rPr>
              <w:t>悬浮物</w:t>
            </w:r>
          </w:p>
        </w:tc>
        <w:tc>
          <w:tcPr>
            <w:tcW w:w="993" w:type="dxa"/>
            <w:vAlign w:val="center"/>
          </w:tcPr>
          <w:p w14:paraId="180FE741">
            <w:pPr>
              <w:tabs>
                <w:tab w:val="clear" w:pos="480"/>
              </w:tabs>
              <w:adjustRightInd w:val="0"/>
              <w:snapToGrid w:val="0"/>
              <w:spacing w:line="240" w:lineRule="auto"/>
              <w:ind w:firstLine="0" w:firstLineChars="0"/>
              <w:jc w:val="center"/>
              <w:rPr>
                <w:kern w:val="0"/>
                <w:sz w:val="18"/>
                <w:szCs w:val="18"/>
              </w:rPr>
            </w:pPr>
            <w:r>
              <w:rPr>
                <w:w w:val="99"/>
                <w:kern w:val="0"/>
                <w:sz w:val="18"/>
                <w:szCs w:val="18"/>
              </w:rPr>
              <w:t>6</w:t>
            </w:r>
          </w:p>
        </w:tc>
        <w:tc>
          <w:tcPr>
            <w:tcW w:w="992" w:type="dxa"/>
            <w:vAlign w:val="center"/>
          </w:tcPr>
          <w:p w14:paraId="352772B8">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4568C8F9">
            <w:pPr>
              <w:tabs>
                <w:tab w:val="clear" w:pos="480"/>
              </w:tabs>
              <w:adjustRightInd w:val="0"/>
              <w:snapToGrid w:val="0"/>
              <w:spacing w:line="240" w:lineRule="auto"/>
              <w:ind w:firstLine="0" w:firstLineChars="0"/>
              <w:jc w:val="center"/>
              <w:rPr>
                <w:kern w:val="0"/>
                <w:sz w:val="18"/>
                <w:szCs w:val="18"/>
              </w:rPr>
            </w:pPr>
            <w:r>
              <w:rPr>
                <w:kern w:val="0"/>
                <w:sz w:val="18"/>
                <w:szCs w:val="18"/>
              </w:rPr>
              <w:t>5</w:t>
            </w:r>
          </w:p>
        </w:tc>
        <w:tc>
          <w:tcPr>
            <w:tcW w:w="657" w:type="dxa"/>
            <w:vAlign w:val="center"/>
          </w:tcPr>
          <w:p w14:paraId="5FF2C0E9">
            <w:pPr>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845" w:type="dxa"/>
            <w:vAlign w:val="center"/>
          </w:tcPr>
          <w:p w14:paraId="7EDF9D48">
            <w:pPr>
              <w:tabs>
                <w:tab w:val="clear" w:pos="480"/>
              </w:tabs>
              <w:adjustRightInd w:val="0"/>
              <w:snapToGrid w:val="0"/>
              <w:spacing w:line="240" w:lineRule="auto"/>
              <w:ind w:firstLine="0" w:firstLineChars="0"/>
              <w:jc w:val="center"/>
              <w:rPr>
                <w:kern w:val="0"/>
                <w:sz w:val="18"/>
                <w:szCs w:val="18"/>
              </w:rPr>
            </w:pPr>
            <w:r>
              <w:rPr>
                <w:w w:val="99"/>
                <w:kern w:val="0"/>
                <w:sz w:val="18"/>
                <w:szCs w:val="18"/>
              </w:rPr>
              <w:t>30</w:t>
            </w:r>
          </w:p>
        </w:tc>
        <w:tc>
          <w:tcPr>
            <w:tcW w:w="703" w:type="dxa"/>
            <w:vAlign w:val="center"/>
          </w:tcPr>
          <w:p w14:paraId="63A1CFE9">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51B2081E">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376499B">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46BC0C1">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4CE6D28">
            <w:pPr>
              <w:tabs>
                <w:tab w:val="clear" w:pos="480"/>
              </w:tabs>
              <w:adjustRightInd w:val="0"/>
              <w:snapToGrid w:val="0"/>
              <w:spacing w:line="240" w:lineRule="auto"/>
              <w:ind w:firstLine="0" w:firstLineChars="0"/>
              <w:jc w:val="center"/>
              <w:rPr>
                <w:kern w:val="0"/>
                <w:sz w:val="18"/>
                <w:szCs w:val="18"/>
              </w:rPr>
            </w:pPr>
            <w:r>
              <w:rPr>
                <w:kern w:val="0"/>
                <w:sz w:val="18"/>
                <w:szCs w:val="18"/>
              </w:rPr>
              <w:t>化学需氧量</w:t>
            </w:r>
          </w:p>
        </w:tc>
        <w:tc>
          <w:tcPr>
            <w:tcW w:w="993" w:type="dxa"/>
            <w:vAlign w:val="center"/>
          </w:tcPr>
          <w:p w14:paraId="7E3E3E1E">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992" w:type="dxa"/>
            <w:vAlign w:val="center"/>
          </w:tcPr>
          <w:p w14:paraId="34E1F3A5">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992" w:type="dxa"/>
            <w:vAlign w:val="center"/>
          </w:tcPr>
          <w:p w14:paraId="5B4CC666">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657" w:type="dxa"/>
            <w:vAlign w:val="center"/>
          </w:tcPr>
          <w:p w14:paraId="2B641F82">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845" w:type="dxa"/>
            <w:vAlign w:val="center"/>
          </w:tcPr>
          <w:p w14:paraId="3B1979A5">
            <w:pPr>
              <w:tabs>
                <w:tab w:val="clear" w:pos="480"/>
              </w:tabs>
              <w:adjustRightInd w:val="0"/>
              <w:snapToGrid w:val="0"/>
              <w:spacing w:line="240" w:lineRule="auto"/>
              <w:ind w:firstLine="0" w:firstLineChars="0"/>
              <w:jc w:val="center"/>
              <w:rPr>
                <w:kern w:val="0"/>
                <w:sz w:val="18"/>
                <w:szCs w:val="18"/>
              </w:rPr>
            </w:pPr>
            <w:r>
              <w:rPr>
                <w:kern w:val="0"/>
                <w:sz w:val="18"/>
                <w:szCs w:val="18"/>
              </w:rPr>
              <w:t>20</w:t>
            </w:r>
          </w:p>
        </w:tc>
        <w:tc>
          <w:tcPr>
            <w:tcW w:w="703" w:type="dxa"/>
            <w:vAlign w:val="center"/>
          </w:tcPr>
          <w:p w14:paraId="5B5C8A5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08348F9E">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6C4EAFDE">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4BF2BBC4">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3A1A1CBB">
            <w:pPr>
              <w:tabs>
                <w:tab w:val="clear" w:pos="480"/>
              </w:tabs>
              <w:adjustRightInd w:val="0"/>
              <w:snapToGrid w:val="0"/>
              <w:spacing w:line="240" w:lineRule="auto"/>
              <w:ind w:firstLine="0" w:firstLineChars="0"/>
              <w:jc w:val="center"/>
              <w:rPr>
                <w:kern w:val="0"/>
                <w:sz w:val="18"/>
                <w:szCs w:val="18"/>
              </w:rPr>
            </w:pPr>
            <w:r>
              <w:rPr>
                <w:kern w:val="0"/>
                <w:sz w:val="18"/>
                <w:szCs w:val="18"/>
              </w:rPr>
              <w:t>五日生化需氧量）</w:t>
            </w:r>
          </w:p>
        </w:tc>
        <w:tc>
          <w:tcPr>
            <w:tcW w:w="993" w:type="dxa"/>
            <w:vAlign w:val="center"/>
          </w:tcPr>
          <w:p w14:paraId="16CCF333">
            <w:pPr>
              <w:tabs>
                <w:tab w:val="clear" w:pos="480"/>
              </w:tabs>
              <w:adjustRightInd w:val="0"/>
              <w:snapToGrid w:val="0"/>
              <w:spacing w:line="240" w:lineRule="auto"/>
              <w:ind w:firstLine="0" w:firstLineChars="0"/>
              <w:jc w:val="center"/>
              <w:rPr>
                <w:kern w:val="0"/>
                <w:sz w:val="18"/>
                <w:szCs w:val="18"/>
              </w:rPr>
            </w:pPr>
            <w:r>
              <w:rPr>
                <w:kern w:val="0"/>
                <w:sz w:val="18"/>
                <w:szCs w:val="18"/>
              </w:rPr>
              <w:t>1.5</w:t>
            </w:r>
          </w:p>
        </w:tc>
        <w:tc>
          <w:tcPr>
            <w:tcW w:w="992" w:type="dxa"/>
            <w:vAlign w:val="center"/>
          </w:tcPr>
          <w:p w14:paraId="4F9AA705">
            <w:pPr>
              <w:tabs>
                <w:tab w:val="clear" w:pos="480"/>
              </w:tabs>
              <w:adjustRightInd w:val="0"/>
              <w:snapToGrid w:val="0"/>
              <w:spacing w:line="240" w:lineRule="auto"/>
              <w:ind w:firstLine="0" w:firstLineChars="0"/>
              <w:jc w:val="center"/>
              <w:rPr>
                <w:kern w:val="0"/>
                <w:sz w:val="18"/>
                <w:szCs w:val="18"/>
              </w:rPr>
            </w:pPr>
            <w:r>
              <w:rPr>
                <w:kern w:val="0"/>
                <w:sz w:val="18"/>
                <w:szCs w:val="18"/>
              </w:rPr>
              <w:t>1.6</w:t>
            </w:r>
          </w:p>
        </w:tc>
        <w:tc>
          <w:tcPr>
            <w:tcW w:w="992" w:type="dxa"/>
            <w:vAlign w:val="center"/>
          </w:tcPr>
          <w:p w14:paraId="7B064D32">
            <w:pPr>
              <w:tabs>
                <w:tab w:val="clear" w:pos="480"/>
              </w:tabs>
              <w:adjustRightInd w:val="0"/>
              <w:snapToGrid w:val="0"/>
              <w:spacing w:line="240" w:lineRule="auto"/>
              <w:ind w:firstLine="0" w:firstLineChars="0"/>
              <w:jc w:val="center"/>
              <w:rPr>
                <w:kern w:val="0"/>
                <w:sz w:val="18"/>
                <w:szCs w:val="18"/>
              </w:rPr>
            </w:pPr>
            <w:r>
              <w:rPr>
                <w:kern w:val="0"/>
                <w:sz w:val="18"/>
                <w:szCs w:val="18"/>
              </w:rPr>
              <w:t>1.6</w:t>
            </w:r>
          </w:p>
        </w:tc>
        <w:tc>
          <w:tcPr>
            <w:tcW w:w="657" w:type="dxa"/>
            <w:vAlign w:val="center"/>
          </w:tcPr>
          <w:p w14:paraId="3BCC63F6">
            <w:pPr>
              <w:tabs>
                <w:tab w:val="clear" w:pos="480"/>
              </w:tabs>
              <w:adjustRightInd w:val="0"/>
              <w:snapToGrid w:val="0"/>
              <w:spacing w:line="240" w:lineRule="auto"/>
              <w:ind w:firstLine="0" w:firstLineChars="0"/>
              <w:jc w:val="center"/>
              <w:rPr>
                <w:kern w:val="0"/>
                <w:sz w:val="18"/>
                <w:szCs w:val="18"/>
              </w:rPr>
            </w:pPr>
            <w:r>
              <w:rPr>
                <w:kern w:val="0"/>
                <w:sz w:val="18"/>
                <w:szCs w:val="18"/>
              </w:rPr>
              <w:t>1.6</w:t>
            </w:r>
          </w:p>
        </w:tc>
        <w:tc>
          <w:tcPr>
            <w:tcW w:w="845" w:type="dxa"/>
            <w:vAlign w:val="center"/>
          </w:tcPr>
          <w:p w14:paraId="2B23A451">
            <w:pPr>
              <w:tabs>
                <w:tab w:val="clear" w:pos="480"/>
              </w:tabs>
              <w:adjustRightInd w:val="0"/>
              <w:snapToGrid w:val="0"/>
              <w:spacing w:line="240" w:lineRule="auto"/>
              <w:ind w:firstLine="0" w:firstLineChars="0"/>
              <w:jc w:val="center"/>
              <w:rPr>
                <w:kern w:val="0"/>
                <w:sz w:val="18"/>
                <w:szCs w:val="18"/>
              </w:rPr>
            </w:pPr>
            <w:r>
              <w:rPr>
                <w:w w:val="99"/>
                <w:kern w:val="0"/>
                <w:sz w:val="18"/>
                <w:szCs w:val="18"/>
              </w:rPr>
              <w:t>4</w:t>
            </w:r>
          </w:p>
        </w:tc>
        <w:tc>
          <w:tcPr>
            <w:tcW w:w="703" w:type="dxa"/>
            <w:vAlign w:val="center"/>
          </w:tcPr>
          <w:p w14:paraId="11638A00">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32B1DBEC">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3E4ED311">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21BDCE43">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099EA880">
            <w:pPr>
              <w:tabs>
                <w:tab w:val="clear" w:pos="480"/>
              </w:tabs>
              <w:adjustRightInd w:val="0"/>
              <w:snapToGrid w:val="0"/>
              <w:spacing w:line="240" w:lineRule="auto"/>
              <w:ind w:firstLine="0" w:firstLineChars="0"/>
              <w:jc w:val="center"/>
              <w:rPr>
                <w:kern w:val="0"/>
                <w:sz w:val="18"/>
                <w:szCs w:val="18"/>
              </w:rPr>
            </w:pPr>
            <w:r>
              <w:rPr>
                <w:kern w:val="0"/>
                <w:sz w:val="18"/>
                <w:szCs w:val="18"/>
              </w:rPr>
              <w:t>总氮</w:t>
            </w:r>
          </w:p>
        </w:tc>
        <w:tc>
          <w:tcPr>
            <w:tcW w:w="993" w:type="dxa"/>
            <w:vAlign w:val="center"/>
          </w:tcPr>
          <w:p w14:paraId="26B2E6E8">
            <w:pPr>
              <w:tabs>
                <w:tab w:val="clear" w:pos="480"/>
              </w:tabs>
              <w:adjustRightInd w:val="0"/>
              <w:snapToGrid w:val="0"/>
              <w:spacing w:line="240" w:lineRule="auto"/>
              <w:ind w:firstLine="0" w:firstLineChars="0"/>
              <w:jc w:val="center"/>
              <w:rPr>
                <w:kern w:val="0"/>
                <w:sz w:val="18"/>
                <w:szCs w:val="18"/>
              </w:rPr>
            </w:pPr>
            <w:r>
              <w:rPr>
                <w:kern w:val="0"/>
                <w:sz w:val="18"/>
                <w:szCs w:val="18"/>
              </w:rPr>
              <w:t>0.77</w:t>
            </w:r>
          </w:p>
        </w:tc>
        <w:tc>
          <w:tcPr>
            <w:tcW w:w="992" w:type="dxa"/>
            <w:vAlign w:val="center"/>
          </w:tcPr>
          <w:p w14:paraId="385112CC">
            <w:pPr>
              <w:tabs>
                <w:tab w:val="clear" w:pos="480"/>
              </w:tabs>
              <w:adjustRightInd w:val="0"/>
              <w:snapToGrid w:val="0"/>
              <w:spacing w:line="240" w:lineRule="auto"/>
              <w:ind w:firstLine="0" w:firstLineChars="0"/>
              <w:jc w:val="center"/>
              <w:rPr>
                <w:kern w:val="0"/>
                <w:sz w:val="18"/>
                <w:szCs w:val="18"/>
              </w:rPr>
            </w:pPr>
            <w:r>
              <w:rPr>
                <w:kern w:val="0"/>
                <w:sz w:val="18"/>
                <w:szCs w:val="18"/>
              </w:rPr>
              <w:t>0.81</w:t>
            </w:r>
          </w:p>
        </w:tc>
        <w:tc>
          <w:tcPr>
            <w:tcW w:w="992" w:type="dxa"/>
            <w:vAlign w:val="center"/>
          </w:tcPr>
          <w:p w14:paraId="194ADEA6">
            <w:pPr>
              <w:tabs>
                <w:tab w:val="clear" w:pos="480"/>
              </w:tabs>
              <w:adjustRightInd w:val="0"/>
              <w:snapToGrid w:val="0"/>
              <w:spacing w:line="240" w:lineRule="auto"/>
              <w:ind w:firstLine="0" w:firstLineChars="0"/>
              <w:jc w:val="center"/>
              <w:rPr>
                <w:kern w:val="0"/>
                <w:sz w:val="18"/>
                <w:szCs w:val="18"/>
              </w:rPr>
            </w:pPr>
            <w:r>
              <w:rPr>
                <w:kern w:val="0"/>
                <w:sz w:val="18"/>
                <w:szCs w:val="18"/>
              </w:rPr>
              <w:t>0.76</w:t>
            </w:r>
          </w:p>
        </w:tc>
        <w:tc>
          <w:tcPr>
            <w:tcW w:w="657" w:type="dxa"/>
            <w:vAlign w:val="center"/>
          </w:tcPr>
          <w:p w14:paraId="684C452B">
            <w:pPr>
              <w:tabs>
                <w:tab w:val="clear" w:pos="480"/>
              </w:tabs>
              <w:adjustRightInd w:val="0"/>
              <w:snapToGrid w:val="0"/>
              <w:spacing w:line="240" w:lineRule="auto"/>
              <w:ind w:firstLine="0" w:firstLineChars="0"/>
              <w:jc w:val="center"/>
              <w:rPr>
                <w:kern w:val="0"/>
                <w:sz w:val="18"/>
                <w:szCs w:val="18"/>
              </w:rPr>
            </w:pPr>
            <w:r>
              <w:rPr>
                <w:kern w:val="0"/>
                <w:sz w:val="18"/>
                <w:szCs w:val="18"/>
              </w:rPr>
              <w:t>0.78</w:t>
            </w:r>
          </w:p>
        </w:tc>
        <w:tc>
          <w:tcPr>
            <w:tcW w:w="845" w:type="dxa"/>
            <w:vAlign w:val="center"/>
          </w:tcPr>
          <w:p w14:paraId="51066BAB">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7E5D7248">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61F63B53">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5FB3D860">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00FF93CC">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67D59A9A">
            <w:pPr>
              <w:tabs>
                <w:tab w:val="clear" w:pos="480"/>
              </w:tabs>
              <w:adjustRightInd w:val="0"/>
              <w:snapToGrid w:val="0"/>
              <w:spacing w:line="240" w:lineRule="auto"/>
              <w:ind w:firstLine="0" w:firstLineChars="0"/>
              <w:jc w:val="center"/>
              <w:rPr>
                <w:kern w:val="0"/>
                <w:sz w:val="18"/>
                <w:szCs w:val="18"/>
              </w:rPr>
            </w:pPr>
            <w:r>
              <w:rPr>
                <w:kern w:val="0"/>
                <w:sz w:val="18"/>
                <w:szCs w:val="18"/>
              </w:rPr>
              <w:t>氨氮</w:t>
            </w:r>
          </w:p>
        </w:tc>
        <w:tc>
          <w:tcPr>
            <w:tcW w:w="993" w:type="dxa"/>
            <w:vAlign w:val="center"/>
          </w:tcPr>
          <w:p w14:paraId="0898E735">
            <w:pPr>
              <w:tabs>
                <w:tab w:val="clear" w:pos="480"/>
              </w:tabs>
              <w:adjustRightInd w:val="0"/>
              <w:snapToGrid w:val="0"/>
              <w:spacing w:line="240" w:lineRule="auto"/>
              <w:ind w:firstLine="0" w:firstLineChars="0"/>
              <w:jc w:val="center"/>
              <w:rPr>
                <w:kern w:val="0"/>
                <w:sz w:val="18"/>
                <w:szCs w:val="18"/>
              </w:rPr>
            </w:pPr>
            <w:r>
              <w:rPr>
                <w:kern w:val="0"/>
                <w:sz w:val="18"/>
                <w:szCs w:val="18"/>
              </w:rPr>
              <w:t>0.035</w:t>
            </w:r>
          </w:p>
        </w:tc>
        <w:tc>
          <w:tcPr>
            <w:tcW w:w="992" w:type="dxa"/>
            <w:vAlign w:val="center"/>
          </w:tcPr>
          <w:p w14:paraId="6CEA925A">
            <w:pPr>
              <w:tabs>
                <w:tab w:val="clear" w:pos="480"/>
              </w:tabs>
              <w:adjustRightInd w:val="0"/>
              <w:snapToGrid w:val="0"/>
              <w:spacing w:line="240" w:lineRule="auto"/>
              <w:ind w:firstLine="0" w:firstLineChars="0"/>
              <w:jc w:val="center"/>
              <w:rPr>
                <w:kern w:val="0"/>
                <w:sz w:val="18"/>
                <w:szCs w:val="18"/>
              </w:rPr>
            </w:pPr>
            <w:r>
              <w:rPr>
                <w:kern w:val="0"/>
                <w:sz w:val="18"/>
                <w:szCs w:val="18"/>
              </w:rPr>
              <w:t>0.043</w:t>
            </w:r>
          </w:p>
        </w:tc>
        <w:tc>
          <w:tcPr>
            <w:tcW w:w="992" w:type="dxa"/>
            <w:vAlign w:val="center"/>
          </w:tcPr>
          <w:p w14:paraId="7DFD6613">
            <w:pPr>
              <w:tabs>
                <w:tab w:val="clear" w:pos="480"/>
              </w:tabs>
              <w:adjustRightInd w:val="0"/>
              <w:snapToGrid w:val="0"/>
              <w:spacing w:line="240" w:lineRule="auto"/>
              <w:ind w:firstLine="0" w:firstLineChars="0"/>
              <w:jc w:val="center"/>
              <w:rPr>
                <w:kern w:val="0"/>
                <w:sz w:val="18"/>
                <w:szCs w:val="18"/>
              </w:rPr>
            </w:pPr>
            <w:r>
              <w:rPr>
                <w:kern w:val="0"/>
                <w:sz w:val="18"/>
                <w:szCs w:val="18"/>
              </w:rPr>
              <w:t>0.049</w:t>
            </w:r>
          </w:p>
        </w:tc>
        <w:tc>
          <w:tcPr>
            <w:tcW w:w="657" w:type="dxa"/>
            <w:vAlign w:val="center"/>
          </w:tcPr>
          <w:p w14:paraId="7D41EFF1">
            <w:pPr>
              <w:tabs>
                <w:tab w:val="clear" w:pos="480"/>
              </w:tabs>
              <w:adjustRightInd w:val="0"/>
              <w:snapToGrid w:val="0"/>
              <w:spacing w:line="240" w:lineRule="auto"/>
              <w:ind w:firstLine="0" w:firstLineChars="0"/>
              <w:jc w:val="center"/>
              <w:rPr>
                <w:kern w:val="0"/>
                <w:sz w:val="18"/>
                <w:szCs w:val="18"/>
              </w:rPr>
            </w:pPr>
            <w:r>
              <w:rPr>
                <w:kern w:val="0"/>
                <w:sz w:val="18"/>
                <w:szCs w:val="18"/>
              </w:rPr>
              <w:t>0.042</w:t>
            </w:r>
          </w:p>
        </w:tc>
        <w:tc>
          <w:tcPr>
            <w:tcW w:w="845" w:type="dxa"/>
            <w:vAlign w:val="center"/>
          </w:tcPr>
          <w:p w14:paraId="659EF94B">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703" w:type="dxa"/>
            <w:vAlign w:val="center"/>
          </w:tcPr>
          <w:p w14:paraId="1ECE9F1F">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77BB18D0">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r w14:paraId="1AFE8D24">
        <w:tblPrEx>
          <w:tblBorders>
            <w:top w:val="single" w:color="000000" w:sz="12" w:space="0"/>
            <w:left w:val="single" w:color="000000" w:sz="12" w:space="0"/>
            <w:bottom w:val="single" w:color="auto"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14:paraId="1180BB9C">
            <w:pPr>
              <w:tabs>
                <w:tab w:val="clear" w:pos="480"/>
              </w:tabs>
              <w:adjustRightInd w:val="0"/>
              <w:snapToGrid w:val="0"/>
              <w:spacing w:line="240" w:lineRule="auto"/>
              <w:ind w:firstLine="0" w:firstLineChars="0"/>
              <w:jc w:val="center"/>
              <w:rPr>
                <w:kern w:val="0"/>
                <w:sz w:val="18"/>
                <w:szCs w:val="18"/>
              </w:rPr>
            </w:pPr>
          </w:p>
        </w:tc>
        <w:tc>
          <w:tcPr>
            <w:tcW w:w="1192" w:type="dxa"/>
            <w:vAlign w:val="center"/>
          </w:tcPr>
          <w:p w14:paraId="12AA1642">
            <w:pPr>
              <w:tabs>
                <w:tab w:val="clear" w:pos="480"/>
              </w:tabs>
              <w:adjustRightInd w:val="0"/>
              <w:snapToGrid w:val="0"/>
              <w:spacing w:line="240" w:lineRule="auto"/>
              <w:ind w:firstLine="0" w:firstLineChars="0"/>
              <w:jc w:val="center"/>
              <w:rPr>
                <w:kern w:val="0"/>
                <w:sz w:val="18"/>
                <w:szCs w:val="18"/>
              </w:rPr>
            </w:pPr>
            <w:r>
              <w:rPr>
                <w:kern w:val="0"/>
                <w:sz w:val="18"/>
                <w:szCs w:val="18"/>
              </w:rPr>
              <w:t>石油类</w:t>
            </w:r>
          </w:p>
        </w:tc>
        <w:tc>
          <w:tcPr>
            <w:tcW w:w="993" w:type="dxa"/>
            <w:vAlign w:val="center"/>
          </w:tcPr>
          <w:p w14:paraId="22249980">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71218DD4">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992" w:type="dxa"/>
            <w:vAlign w:val="center"/>
          </w:tcPr>
          <w:p w14:paraId="2F4ADF0D">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657" w:type="dxa"/>
            <w:vAlign w:val="center"/>
          </w:tcPr>
          <w:p w14:paraId="665BB1E3">
            <w:pPr>
              <w:tabs>
                <w:tab w:val="clear" w:pos="480"/>
              </w:tabs>
              <w:adjustRightInd w:val="0"/>
              <w:snapToGrid w:val="0"/>
              <w:spacing w:line="240" w:lineRule="auto"/>
              <w:ind w:firstLine="0" w:firstLineChars="0"/>
              <w:jc w:val="center"/>
              <w:rPr>
                <w:kern w:val="0"/>
                <w:sz w:val="18"/>
                <w:szCs w:val="18"/>
              </w:rPr>
            </w:pPr>
            <w:r>
              <w:rPr>
                <w:kern w:val="0"/>
                <w:sz w:val="18"/>
                <w:szCs w:val="18"/>
              </w:rPr>
              <w:t>ND</w:t>
            </w:r>
          </w:p>
        </w:tc>
        <w:tc>
          <w:tcPr>
            <w:tcW w:w="845" w:type="dxa"/>
            <w:vAlign w:val="center"/>
          </w:tcPr>
          <w:p w14:paraId="66C44C32">
            <w:pPr>
              <w:tabs>
                <w:tab w:val="clear" w:pos="480"/>
              </w:tabs>
              <w:adjustRightInd w:val="0"/>
              <w:snapToGrid w:val="0"/>
              <w:spacing w:line="240" w:lineRule="auto"/>
              <w:ind w:firstLine="0" w:firstLineChars="0"/>
              <w:jc w:val="center"/>
              <w:rPr>
                <w:kern w:val="0"/>
                <w:sz w:val="18"/>
                <w:szCs w:val="18"/>
              </w:rPr>
            </w:pPr>
            <w:r>
              <w:rPr>
                <w:kern w:val="0"/>
                <w:sz w:val="18"/>
                <w:szCs w:val="18"/>
              </w:rPr>
              <w:t>0.05</w:t>
            </w:r>
          </w:p>
        </w:tc>
        <w:tc>
          <w:tcPr>
            <w:tcW w:w="703" w:type="dxa"/>
            <w:vAlign w:val="center"/>
          </w:tcPr>
          <w:p w14:paraId="13AC083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0</w:t>
            </w:r>
          </w:p>
        </w:tc>
        <w:tc>
          <w:tcPr>
            <w:tcW w:w="1079" w:type="dxa"/>
            <w:vAlign w:val="center"/>
          </w:tcPr>
          <w:p w14:paraId="49C4B91E">
            <w:pPr>
              <w:tabs>
                <w:tab w:val="clear" w:pos="480"/>
              </w:tabs>
              <w:adjustRightInd w:val="0"/>
              <w:snapToGrid w:val="0"/>
              <w:spacing w:line="240" w:lineRule="auto"/>
              <w:ind w:firstLine="0" w:firstLineChars="0"/>
              <w:jc w:val="center"/>
              <w:rPr>
                <w:kern w:val="0"/>
                <w:sz w:val="18"/>
                <w:szCs w:val="18"/>
              </w:rPr>
            </w:pPr>
            <w:r>
              <w:rPr>
                <w:kern w:val="0"/>
                <w:sz w:val="18"/>
                <w:szCs w:val="18"/>
              </w:rPr>
              <w:t>达标</w:t>
            </w:r>
          </w:p>
        </w:tc>
      </w:tr>
    </w:tbl>
    <w:p w14:paraId="32795E5E">
      <w:pPr>
        <w:adjustRightInd w:val="0"/>
        <w:snapToGrid w:val="0"/>
        <w:ind w:firstLine="480"/>
      </w:pPr>
      <w:r>
        <w:t>由上表5.4-5</w:t>
      </w:r>
      <w:r>
        <w:rPr>
          <w:rFonts w:hint="eastAsia"/>
        </w:rPr>
        <w:t>和表</w:t>
      </w:r>
      <w:r>
        <w:t>5.4-6可知，</w:t>
      </w:r>
      <w:bookmarkStart w:id="131" w:name="_Hlk29298846"/>
      <w:r>
        <w:rPr>
          <w:rFonts w:hint="eastAsia"/>
        </w:rPr>
        <w:t>除饮用水水源一级保护区的监测断面各监测因子的现状监测值能够满足《</w:t>
      </w:r>
      <w:r>
        <w:t>地表水环境质量标准》（GB3838-2002）“</w:t>
      </w:r>
      <w:r>
        <w:fldChar w:fldCharType="begin"/>
      </w:r>
      <w:r>
        <w:instrText xml:space="preserve"> </w:instrText>
      </w:r>
      <w:r>
        <w:rPr>
          <w:rFonts w:hint="eastAsia"/>
        </w:rPr>
        <w:instrText xml:space="preserve">= 2 \* ROMAN</w:instrText>
      </w:r>
      <w:r>
        <w:instrText xml:space="preserve"> </w:instrText>
      </w:r>
      <w:r>
        <w:fldChar w:fldCharType="separate"/>
      </w:r>
      <w:r>
        <w:t>II</w:t>
      </w:r>
      <w:r>
        <w:fldChar w:fldCharType="end"/>
      </w:r>
      <w:r>
        <w:t>类”水质标准，其中悬浮物能够满足《地表水资源质量标准》（SL63-1994）中“</w:t>
      </w:r>
      <w:r>
        <w:rPr>
          <w:rFonts w:hint="eastAsia"/>
        </w:rPr>
        <w:t>二</w:t>
      </w:r>
      <w:r>
        <w:t>级”标准</w:t>
      </w:r>
      <w:r>
        <w:rPr>
          <w:rFonts w:hint="eastAsia"/>
        </w:rPr>
        <w:t>；其他各监测断面的各监测因子的现状监测值均能够满足</w:t>
      </w:r>
      <w:r>
        <w:t>《地表水环境质量标准》（GB3838-2002）“III类”水质标准，其中悬浮物能够满足《地表水资源质量标准》（SL63-1994）中“三级”标准。</w:t>
      </w:r>
      <w:bookmarkEnd w:id="131"/>
    </w:p>
    <w:p w14:paraId="75261024">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5.4.3</w:t>
      </w:r>
      <w:r>
        <w:rPr>
          <w:rFonts w:hint="eastAsia" w:ascii="Times New Roman" w:eastAsia="宋体"/>
          <w:sz w:val="28"/>
          <w:szCs w:val="28"/>
          <w:lang w:val="en-US"/>
        </w:rPr>
        <w:t>声环境质量现状评价</w:t>
      </w:r>
    </w:p>
    <w:p w14:paraId="504626AB">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5.4.3.1</w:t>
      </w:r>
      <w:r>
        <w:rPr>
          <w:rFonts w:hint="eastAsia" w:ascii="Times New Roman" w:eastAsia="宋体"/>
          <w:sz w:val="24"/>
          <w:szCs w:val="24"/>
        </w:rPr>
        <w:t>声环境现状监测与评价</w:t>
      </w:r>
    </w:p>
    <w:p w14:paraId="2E46560C">
      <w:pPr>
        <w:adjustRightInd w:val="0"/>
        <w:snapToGrid w:val="0"/>
        <w:ind w:firstLine="480"/>
      </w:pPr>
      <w:r>
        <w:t>（1）声环境现状</w:t>
      </w:r>
    </w:p>
    <w:p w14:paraId="5B5FE1B9">
      <w:pPr>
        <w:adjustRightInd w:val="0"/>
        <w:snapToGrid w:val="0"/>
        <w:ind w:firstLine="480"/>
      </w:pPr>
      <w:r>
        <w:t>风电场位于山区，评价区范围内没有大中型工业污染源。声环境现状主要污染源主要来自居民生产生活及已有道路行车产生的声源。</w:t>
      </w:r>
    </w:p>
    <w:p w14:paraId="08636E78">
      <w:pPr>
        <w:adjustRightInd w:val="0"/>
        <w:snapToGrid w:val="0"/>
        <w:ind w:firstLine="480"/>
      </w:pPr>
      <w:r>
        <w:t>（2）声环境现状监测与评价</w:t>
      </w:r>
    </w:p>
    <w:p w14:paraId="6991B986">
      <w:pPr>
        <w:adjustRightInd w:val="0"/>
        <w:snapToGrid w:val="0"/>
        <w:ind w:firstLine="480"/>
      </w:pPr>
      <w:r>
        <w:t>本次噪声监测委托湖南瑾杰环保科技有限公司</w:t>
      </w:r>
      <w:r>
        <w:rPr>
          <w:rFonts w:hint="eastAsia"/>
        </w:rPr>
        <w:t>承担</w:t>
      </w:r>
      <w:r>
        <w:t>，监测时间为2023年5月2日~3日。</w:t>
      </w:r>
    </w:p>
    <w:p w14:paraId="168731E8">
      <w:pPr>
        <w:adjustRightInd w:val="0"/>
        <w:snapToGrid w:val="0"/>
        <w:ind w:firstLine="480"/>
      </w:pPr>
      <w:r>
        <w:t>（3）监测布点</w:t>
      </w:r>
    </w:p>
    <w:p w14:paraId="5B925E28">
      <w:pPr>
        <w:adjustRightInd w:val="0"/>
        <w:snapToGrid w:val="0"/>
        <w:ind w:firstLine="480"/>
      </w:pPr>
      <w:r>
        <w:t>根据区域声环境调查的结果，本次声环境监测方案共布设6个声环境监测点。</w:t>
      </w:r>
    </w:p>
    <w:p w14:paraId="19330C4F">
      <w:pPr>
        <w:tabs>
          <w:tab w:val="clear" w:pos="480"/>
        </w:tabs>
        <w:spacing w:line="240" w:lineRule="auto"/>
        <w:ind w:firstLine="0" w:firstLineChars="0"/>
        <w:jc w:val="center"/>
        <w:rPr>
          <w:b/>
        </w:rPr>
      </w:pPr>
      <w:r>
        <w:rPr>
          <w:b/>
        </w:rPr>
        <w:t>表5.4-7声环境现状监测点位一览表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2"/>
        <w:gridCol w:w="4867"/>
        <w:gridCol w:w="1255"/>
        <w:gridCol w:w="1513"/>
      </w:tblGrid>
      <w:tr w14:paraId="423DD3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23" w:type="pct"/>
            <w:vAlign w:val="center"/>
          </w:tcPr>
          <w:p w14:paraId="566BFC21">
            <w:pPr>
              <w:tabs>
                <w:tab w:val="clear" w:pos="480"/>
              </w:tabs>
              <w:adjustRightInd w:val="0"/>
              <w:snapToGrid w:val="0"/>
              <w:spacing w:line="240" w:lineRule="auto"/>
              <w:ind w:firstLine="0" w:firstLineChars="0"/>
              <w:jc w:val="center"/>
              <w:rPr>
                <w:b/>
                <w:bCs/>
                <w:sz w:val="21"/>
                <w:szCs w:val="21"/>
              </w:rPr>
            </w:pPr>
            <w:r>
              <w:rPr>
                <w:b/>
                <w:bCs/>
                <w:sz w:val="21"/>
                <w:szCs w:val="21"/>
              </w:rPr>
              <w:t>编号</w:t>
            </w:r>
          </w:p>
        </w:tc>
        <w:tc>
          <w:tcPr>
            <w:tcW w:w="2854" w:type="pct"/>
            <w:vAlign w:val="center"/>
          </w:tcPr>
          <w:p w14:paraId="07B45821">
            <w:pPr>
              <w:tabs>
                <w:tab w:val="clear" w:pos="480"/>
              </w:tabs>
              <w:adjustRightInd w:val="0"/>
              <w:snapToGrid w:val="0"/>
              <w:spacing w:line="240" w:lineRule="auto"/>
              <w:ind w:firstLine="0" w:firstLineChars="0"/>
              <w:jc w:val="center"/>
              <w:rPr>
                <w:b/>
                <w:bCs/>
                <w:sz w:val="21"/>
                <w:szCs w:val="21"/>
              </w:rPr>
            </w:pPr>
            <w:r>
              <w:rPr>
                <w:b/>
                <w:bCs/>
                <w:sz w:val="21"/>
                <w:szCs w:val="21"/>
              </w:rPr>
              <w:t>监测点位</w:t>
            </w:r>
          </w:p>
        </w:tc>
        <w:tc>
          <w:tcPr>
            <w:tcW w:w="736" w:type="pct"/>
            <w:vAlign w:val="center"/>
          </w:tcPr>
          <w:p w14:paraId="2CA5B12C">
            <w:pPr>
              <w:tabs>
                <w:tab w:val="clear" w:pos="480"/>
              </w:tabs>
              <w:adjustRightInd w:val="0"/>
              <w:snapToGrid w:val="0"/>
              <w:spacing w:line="240" w:lineRule="auto"/>
              <w:ind w:firstLine="0" w:firstLineChars="0"/>
              <w:jc w:val="center"/>
              <w:rPr>
                <w:b/>
                <w:bCs/>
                <w:sz w:val="21"/>
                <w:szCs w:val="21"/>
              </w:rPr>
            </w:pPr>
            <w:r>
              <w:rPr>
                <w:b/>
                <w:bCs/>
                <w:sz w:val="21"/>
                <w:szCs w:val="21"/>
              </w:rPr>
              <w:t>监测项目</w:t>
            </w:r>
          </w:p>
        </w:tc>
        <w:tc>
          <w:tcPr>
            <w:tcW w:w="887" w:type="pct"/>
            <w:vAlign w:val="center"/>
          </w:tcPr>
          <w:p w14:paraId="6B8AADE3">
            <w:pPr>
              <w:tabs>
                <w:tab w:val="clear" w:pos="480"/>
              </w:tabs>
              <w:adjustRightInd w:val="0"/>
              <w:snapToGrid w:val="0"/>
              <w:spacing w:line="240" w:lineRule="auto"/>
              <w:ind w:firstLine="0" w:firstLineChars="0"/>
              <w:jc w:val="center"/>
              <w:rPr>
                <w:b/>
                <w:bCs/>
                <w:sz w:val="21"/>
                <w:szCs w:val="21"/>
              </w:rPr>
            </w:pPr>
            <w:r>
              <w:rPr>
                <w:b/>
                <w:bCs/>
                <w:sz w:val="21"/>
                <w:szCs w:val="21"/>
              </w:rPr>
              <w:t>监测频次</w:t>
            </w:r>
          </w:p>
        </w:tc>
      </w:tr>
      <w:tr w14:paraId="06B87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3" w:type="pct"/>
            <w:vAlign w:val="center"/>
          </w:tcPr>
          <w:p w14:paraId="58E9AC40">
            <w:pPr>
              <w:tabs>
                <w:tab w:val="clear" w:pos="480"/>
              </w:tabs>
              <w:adjustRightInd w:val="0"/>
              <w:snapToGrid w:val="0"/>
              <w:spacing w:line="240" w:lineRule="auto"/>
              <w:ind w:firstLine="0" w:firstLineChars="0"/>
              <w:jc w:val="center"/>
              <w:rPr>
                <w:sz w:val="21"/>
                <w:szCs w:val="21"/>
              </w:rPr>
            </w:pPr>
            <w:r>
              <w:rPr>
                <w:rFonts w:hint="eastAsia"/>
                <w:sz w:val="21"/>
                <w:szCs w:val="21"/>
              </w:rPr>
              <w:t>N</w:t>
            </w:r>
            <w:r>
              <w:rPr>
                <w:sz w:val="21"/>
                <w:szCs w:val="21"/>
              </w:rPr>
              <w:t>1</w:t>
            </w:r>
          </w:p>
        </w:tc>
        <w:tc>
          <w:tcPr>
            <w:tcW w:w="2854" w:type="pct"/>
            <w:vAlign w:val="center"/>
          </w:tcPr>
          <w:p w14:paraId="1781FFE6">
            <w:pPr>
              <w:tabs>
                <w:tab w:val="clear" w:pos="480"/>
              </w:tabs>
              <w:adjustRightInd w:val="0"/>
              <w:snapToGrid w:val="0"/>
              <w:spacing w:line="240" w:lineRule="auto"/>
              <w:ind w:firstLine="0" w:firstLineChars="0"/>
              <w:jc w:val="center"/>
              <w:rPr>
                <w:sz w:val="21"/>
                <w:szCs w:val="21"/>
              </w:rPr>
            </w:pPr>
            <w:r>
              <w:t>茅草坳居民点</w:t>
            </w:r>
          </w:p>
        </w:tc>
        <w:tc>
          <w:tcPr>
            <w:tcW w:w="736" w:type="pct"/>
            <w:vMerge w:val="restart"/>
            <w:vAlign w:val="center"/>
          </w:tcPr>
          <w:p w14:paraId="7142DC90">
            <w:pPr>
              <w:tabs>
                <w:tab w:val="clear" w:pos="480"/>
              </w:tabs>
              <w:adjustRightInd w:val="0"/>
              <w:snapToGrid w:val="0"/>
              <w:spacing w:line="240" w:lineRule="auto"/>
              <w:ind w:firstLine="0" w:firstLineChars="0"/>
              <w:jc w:val="center"/>
              <w:rPr>
                <w:kern w:val="0"/>
                <w:sz w:val="21"/>
                <w:szCs w:val="21"/>
                <w:lang w:val="zh-CN" w:bidi="zh-CN"/>
              </w:rPr>
            </w:pPr>
            <w:r>
              <w:rPr>
                <w:kern w:val="0"/>
                <w:sz w:val="21"/>
                <w:szCs w:val="21"/>
                <w:lang w:val="zh-CN" w:bidi="zh-CN"/>
              </w:rPr>
              <w:t>Leq（A）</w:t>
            </w:r>
          </w:p>
        </w:tc>
        <w:tc>
          <w:tcPr>
            <w:tcW w:w="887" w:type="pct"/>
            <w:vMerge w:val="restart"/>
            <w:vAlign w:val="center"/>
          </w:tcPr>
          <w:p w14:paraId="2D14817E">
            <w:pPr>
              <w:tabs>
                <w:tab w:val="clear" w:pos="480"/>
              </w:tabs>
              <w:adjustRightInd w:val="0"/>
              <w:snapToGrid w:val="0"/>
              <w:spacing w:line="240" w:lineRule="auto"/>
              <w:ind w:firstLine="0" w:firstLineChars="0"/>
              <w:jc w:val="center"/>
              <w:rPr>
                <w:sz w:val="21"/>
                <w:szCs w:val="21"/>
              </w:rPr>
            </w:pPr>
            <w:r>
              <w:rPr>
                <w:sz w:val="21"/>
                <w:szCs w:val="21"/>
              </w:rPr>
              <w:t>2天，</w:t>
            </w:r>
            <w:r>
              <w:rPr>
                <w:sz w:val="21"/>
                <w:szCs w:val="21"/>
                <w:lang w:val="zh-CN"/>
              </w:rPr>
              <w:t>昼夜各监测一次</w:t>
            </w:r>
          </w:p>
        </w:tc>
      </w:tr>
      <w:tr w14:paraId="5E2701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3" w:type="pct"/>
            <w:vAlign w:val="center"/>
          </w:tcPr>
          <w:p w14:paraId="6DDE4917">
            <w:pPr>
              <w:tabs>
                <w:tab w:val="clear" w:pos="480"/>
              </w:tabs>
              <w:adjustRightInd w:val="0"/>
              <w:snapToGrid w:val="0"/>
              <w:spacing w:line="240" w:lineRule="auto"/>
              <w:ind w:firstLine="0" w:firstLineChars="0"/>
              <w:jc w:val="center"/>
              <w:rPr>
                <w:sz w:val="21"/>
                <w:szCs w:val="21"/>
              </w:rPr>
            </w:pPr>
            <w:r>
              <w:rPr>
                <w:rFonts w:hint="eastAsia"/>
                <w:sz w:val="21"/>
                <w:szCs w:val="21"/>
              </w:rPr>
              <w:t>N</w:t>
            </w:r>
            <w:r>
              <w:rPr>
                <w:sz w:val="21"/>
                <w:szCs w:val="21"/>
              </w:rPr>
              <w:t>2</w:t>
            </w:r>
          </w:p>
        </w:tc>
        <w:tc>
          <w:tcPr>
            <w:tcW w:w="2854" w:type="pct"/>
            <w:vAlign w:val="center"/>
          </w:tcPr>
          <w:p w14:paraId="03A6F0D1">
            <w:pPr>
              <w:tabs>
                <w:tab w:val="clear" w:pos="480"/>
              </w:tabs>
              <w:adjustRightInd w:val="0"/>
              <w:snapToGrid w:val="0"/>
              <w:spacing w:line="240" w:lineRule="auto"/>
              <w:ind w:firstLine="0" w:firstLineChars="0"/>
              <w:jc w:val="center"/>
              <w:rPr>
                <w:sz w:val="21"/>
                <w:szCs w:val="21"/>
              </w:rPr>
            </w:pPr>
            <w:r>
              <w:t>7#风机机位</w:t>
            </w:r>
          </w:p>
        </w:tc>
        <w:tc>
          <w:tcPr>
            <w:tcW w:w="736" w:type="pct"/>
            <w:vMerge w:val="continue"/>
            <w:vAlign w:val="center"/>
          </w:tcPr>
          <w:p w14:paraId="36714656">
            <w:pPr>
              <w:tabs>
                <w:tab w:val="clear" w:pos="480"/>
              </w:tabs>
              <w:adjustRightInd w:val="0"/>
              <w:snapToGrid w:val="0"/>
              <w:spacing w:line="240" w:lineRule="auto"/>
              <w:ind w:firstLine="0" w:firstLineChars="0"/>
              <w:jc w:val="center"/>
              <w:rPr>
                <w:kern w:val="0"/>
                <w:sz w:val="21"/>
                <w:szCs w:val="21"/>
                <w:lang w:val="zh-CN" w:bidi="zh-CN"/>
              </w:rPr>
            </w:pPr>
          </w:p>
        </w:tc>
        <w:tc>
          <w:tcPr>
            <w:tcW w:w="887" w:type="pct"/>
            <w:vMerge w:val="continue"/>
            <w:vAlign w:val="center"/>
          </w:tcPr>
          <w:p w14:paraId="32A424DD">
            <w:pPr>
              <w:tabs>
                <w:tab w:val="clear" w:pos="480"/>
              </w:tabs>
              <w:adjustRightInd w:val="0"/>
              <w:snapToGrid w:val="0"/>
              <w:spacing w:line="240" w:lineRule="auto"/>
              <w:ind w:firstLine="0" w:firstLineChars="0"/>
              <w:jc w:val="center"/>
              <w:rPr>
                <w:sz w:val="21"/>
                <w:szCs w:val="21"/>
              </w:rPr>
            </w:pPr>
          </w:p>
        </w:tc>
      </w:tr>
      <w:tr w14:paraId="370B0B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3" w:type="pct"/>
            <w:vAlign w:val="center"/>
          </w:tcPr>
          <w:p w14:paraId="195F8C71">
            <w:pPr>
              <w:tabs>
                <w:tab w:val="clear" w:pos="480"/>
              </w:tabs>
              <w:adjustRightInd w:val="0"/>
              <w:snapToGrid w:val="0"/>
              <w:spacing w:line="240" w:lineRule="auto"/>
              <w:ind w:firstLine="0" w:firstLineChars="0"/>
              <w:jc w:val="center"/>
              <w:rPr>
                <w:sz w:val="21"/>
                <w:szCs w:val="21"/>
              </w:rPr>
            </w:pPr>
            <w:r>
              <w:rPr>
                <w:rFonts w:hint="eastAsia"/>
                <w:sz w:val="21"/>
                <w:szCs w:val="21"/>
              </w:rPr>
              <w:t>N</w:t>
            </w:r>
            <w:r>
              <w:rPr>
                <w:sz w:val="21"/>
                <w:szCs w:val="21"/>
              </w:rPr>
              <w:t>3</w:t>
            </w:r>
          </w:p>
        </w:tc>
        <w:tc>
          <w:tcPr>
            <w:tcW w:w="2854" w:type="pct"/>
            <w:vAlign w:val="center"/>
          </w:tcPr>
          <w:p w14:paraId="019B7A2F">
            <w:pPr>
              <w:tabs>
                <w:tab w:val="clear" w:pos="480"/>
              </w:tabs>
              <w:adjustRightInd w:val="0"/>
              <w:snapToGrid w:val="0"/>
              <w:spacing w:line="240" w:lineRule="auto"/>
              <w:ind w:firstLine="0" w:firstLineChars="0"/>
              <w:jc w:val="center"/>
              <w:rPr>
                <w:sz w:val="21"/>
                <w:szCs w:val="21"/>
              </w:rPr>
            </w:pPr>
            <w:r>
              <w:rPr>
                <w:kern w:val="0"/>
                <w:szCs w:val="20"/>
              </w:rPr>
              <w:t>8#风机机位</w:t>
            </w:r>
          </w:p>
        </w:tc>
        <w:tc>
          <w:tcPr>
            <w:tcW w:w="736" w:type="pct"/>
            <w:vMerge w:val="continue"/>
            <w:vAlign w:val="center"/>
          </w:tcPr>
          <w:p w14:paraId="44AB1A37">
            <w:pPr>
              <w:tabs>
                <w:tab w:val="clear" w:pos="480"/>
              </w:tabs>
              <w:adjustRightInd w:val="0"/>
              <w:snapToGrid w:val="0"/>
              <w:spacing w:line="240" w:lineRule="auto"/>
              <w:ind w:firstLine="0" w:firstLineChars="0"/>
              <w:jc w:val="center"/>
              <w:rPr>
                <w:kern w:val="0"/>
                <w:sz w:val="21"/>
                <w:szCs w:val="21"/>
                <w:lang w:val="zh-CN" w:bidi="zh-CN"/>
              </w:rPr>
            </w:pPr>
          </w:p>
        </w:tc>
        <w:tc>
          <w:tcPr>
            <w:tcW w:w="887" w:type="pct"/>
            <w:vMerge w:val="continue"/>
            <w:vAlign w:val="center"/>
          </w:tcPr>
          <w:p w14:paraId="73199236">
            <w:pPr>
              <w:tabs>
                <w:tab w:val="clear" w:pos="480"/>
              </w:tabs>
              <w:adjustRightInd w:val="0"/>
              <w:snapToGrid w:val="0"/>
              <w:spacing w:line="240" w:lineRule="auto"/>
              <w:ind w:firstLine="0" w:firstLineChars="0"/>
              <w:jc w:val="center"/>
              <w:rPr>
                <w:sz w:val="21"/>
                <w:szCs w:val="21"/>
              </w:rPr>
            </w:pPr>
          </w:p>
        </w:tc>
      </w:tr>
      <w:tr w14:paraId="403903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3" w:type="pct"/>
            <w:vAlign w:val="center"/>
          </w:tcPr>
          <w:p w14:paraId="3DD5ECCD">
            <w:pPr>
              <w:tabs>
                <w:tab w:val="clear" w:pos="480"/>
              </w:tabs>
              <w:adjustRightInd w:val="0"/>
              <w:snapToGrid w:val="0"/>
              <w:spacing w:line="240" w:lineRule="auto"/>
              <w:ind w:firstLine="0" w:firstLineChars="0"/>
              <w:jc w:val="center"/>
              <w:rPr>
                <w:sz w:val="21"/>
                <w:szCs w:val="21"/>
              </w:rPr>
            </w:pPr>
            <w:r>
              <w:rPr>
                <w:rFonts w:hint="eastAsia"/>
                <w:sz w:val="21"/>
                <w:szCs w:val="21"/>
              </w:rPr>
              <w:t>N</w:t>
            </w:r>
            <w:r>
              <w:rPr>
                <w:sz w:val="21"/>
                <w:szCs w:val="21"/>
              </w:rPr>
              <w:t>4</w:t>
            </w:r>
          </w:p>
        </w:tc>
        <w:tc>
          <w:tcPr>
            <w:tcW w:w="2854" w:type="pct"/>
            <w:vAlign w:val="center"/>
          </w:tcPr>
          <w:p w14:paraId="52EA3C8E">
            <w:pPr>
              <w:tabs>
                <w:tab w:val="clear" w:pos="480"/>
              </w:tabs>
              <w:adjustRightInd w:val="0"/>
              <w:snapToGrid w:val="0"/>
              <w:spacing w:line="240" w:lineRule="auto"/>
              <w:ind w:firstLine="0" w:firstLineChars="0"/>
              <w:jc w:val="center"/>
              <w:rPr>
                <w:sz w:val="21"/>
                <w:szCs w:val="21"/>
              </w:rPr>
            </w:pPr>
            <w:r>
              <w:rPr>
                <w:kern w:val="0"/>
                <w:szCs w:val="20"/>
              </w:rPr>
              <w:t>5#风机机位</w:t>
            </w:r>
          </w:p>
        </w:tc>
        <w:tc>
          <w:tcPr>
            <w:tcW w:w="736" w:type="pct"/>
            <w:vMerge w:val="continue"/>
            <w:vAlign w:val="center"/>
          </w:tcPr>
          <w:p w14:paraId="7F21E362">
            <w:pPr>
              <w:tabs>
                <w:tab w:val="clear" w:pos="480"/>
              </w:tabs>
              <w:adjustRightInd w:val="0"/>
              <w:snapToGrid w:val="0"/>
              <w:spacing w:line="240" w:lineRule="auto"/>
              <w:ind w:firstLine="0" w:firstLineChars="0"/>
              <w:jc w:val="center"/>
              <w:rPr>
                <w:kern w:val="0"/>
                <w:sz w:val="21"/>
                <w:szCs w:val="21"/>
                <w:lang w:val="zh-CN" w:bidi="zh-CN"/>
              </w:rPr>
            </w:pPr>
          </w:p>
        </w:tc>
        <w:tc>
          <w:tcPr>
            <w:tcW w:w="887" w:type="pct"/>
            <w:vMerge w:val="continue"/>
            <w:vAlign w:val="center"/>
          </w:tcPr>
          <w:p w14:paraId="521D1199">
            <w:pPr>
              <w:tabs>
                <w:tab w:val="clear" w:pos="480"/>
              </w:tabs>
              <w:adjustRightInd w:val="0"/>
              <w:snapToGrid w:val="0"/>
              <w:spacing w:line="240" w:lineRule="auto"/>
              <w:ind w:firstLine="0" w:firstLineChars="0"/>
              <w:jc w:val="center"/>
              <w:rPr>
                <w:sz w:val="21"/>
                <w:szCs w:val="21"/>
              </w:rPr>
            </w:pPr>
          </w:p>
        </w:tc>
      </w:tr>
      <w:tr w14:paraId="2148C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23" w:type="pct"/>
            <w:vAlign w:val="center"/>
          </w:tcPr>
          <w:p w14:paraId="66390B8E">
            <w:pPr>
              <w:tabs>
                <w:tab w:val="clear" w:pos="480"/>
              </w:tabs>
              <w:adjustRightInd w:val="0"/>
              <w:snapToGrid w:val="0"/>
              <w:spacing w:line="240" w:lineRule="auto"/>
              <w:ind w:firstLine="0" w:firstLineChars="0"/>
              <w:jc w:val="center"/>
              <w:rPr>
                <w:sz w:val="21"/>
                <w:szCs w:val="21"/>
              </w:rPr>
            </w:pPr>
            <w:r>
              <w:rPr>
                <w:rFonts w:hint="eastAsia"/>
                <w:sz w:val="21"/>
                <w:szCs w:val="21"/>
              </w:rPr>
              <w:t>N</w:t>
            </w:r>
            <w:r>
              <w:rPr>
                <w:sz w:val="21"/>
                <w:szCs w:val="21"/>
              </w:rPr>
              <w:t>5</w:t>
            </w:r>
          </w:p>
        </w:tc>
        <w:tc>
          <w:tcPr>
            <w:tcW w:w="2854" w:type="pct"/>
            <w:vAlign w:val="center"/>
          </w:tcPr>
          <w:p w14:paraId="357D443E">
            <w:pPr>
              <w:tabs>
                <w:tab w:val="clear" w:pos="480"/>
              </w:tabs>
              <w:adjustRightInd w:val="0"/>
              <w:snapToGrid w:val="0"/>
              <w:spacing w:line="240" w:lineRule="auto"/>
              <w:ind w:firstLine="0" w:firstLineChars="0"/>
              <w:jc w:val="center"/>
              <w:rPr>
                <w:sz w:val="21"/>
                <w:szCs w:val="21"/>
              </w:rPr>
            </w:pPr>
            <w:r>
              <w:rPr>
                <w:kern w:val="0"/>
                <w:szCs w:val="20"/>
              </w:rPr>
              <w:t>9#风机机位</w:t>
            </w:r>
          </w:p>
        </w:tc>
        <w:tc>
          <w:tcPr>
            <w:tcW w:w="736" w:type="pct"/>
            <w:vMerge w:val="continue"/>
            <w:vAlign w:val="center"/>
          </w:tcPr>
          <w:p w14:paraId="21AFC974">
            <w:pPr>
              <w:tabs>
                <w:tab w:val="clear" w:pos="480"/>
              </w:tabs>
              <w:adjustRightInd w:val="0"/>
              <w:snapToGrid w:val="0"/>
              <w:spacing w:line="240" w:lineRule="auto"/>
              <w:ind w:firstLine="0" w:firstLineChars="0"/>
              <w:jc w:val="center"/>
              <w:rPr>
                <w:kern w:val="0"/>
                <w:sz w:val="21"/>
                <w:szCs w:val="21"/>
                <w:lang w:val="zh-CN" w:bidi="zh-CN"/>
              </w:rPr>
            </w:pPr>
          </w:p>
        </w:tc>
        <w:tc>
          <w:tcPr>
            <w:tcW w:w="887" w:type="pct"/>
            <w:vMerge w:val="continue"/>
            <w:vAlign w:val="center"/>
          </w:tcPr>
          <w:p w14:paraId="6FD03331">
            <w:pPr>
              <w:tabs>
                <w:tab w:val="clear" w:pos="480"/>
              </w:tabs>
              <w:adjustRightInd w:val="0"/>
              <w:snapToGrid w:val="0"/>
              <w:spacing w:line="240" w:lineRule="auto"/>
              <w:ind w:firstLine="0" w:firstLineChars="0"/>
              <w:jc w:val="center"/>
              <w:rPr>
                <w:sz w:val="21"/>
                <w:szCs w:val="21"/>
              </w:rPr>
            </w:pPr>
          </w:p>
        </w:tc>
      </w:tr>
      <w:tr w14:paraId="0540B7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pct"/>
            <w:vAlign w:val="center"/>
          </w:tcPr>
          <w:p w14:paraId="7FF9C536">
            <w:pPr>
              <w:tabs>
                <w:tab w:val="clear" w:pos="480"/>
              </w:tabs>
              <w:adjustRightInd w:val="0"/>
              <w:snapToGrid w:val="0"/>
              <w:spacing w:line="240" w:lineRule="auto"/>
              <w:ind w:firstLine="0" w:firstLineChars="0"/>
              <w:jc w:val="center"/>
              <w:rPr>
                <w:sz w:val="21"/>
                <w:szCs w:val="21"/>
              </w:rPr>
            </w:pPr>
            <w:r>
              <w:rPr>
                <w:rFonts w:hint="eastAsia"/>
                <w:sz w:val="21"/>
                <w:szCs w:val="21"/>
              </w:rPr>
              <w:t>N</w:t>
            </w:r>
            <w:r>
              <w:rPr>
                <w:sz w:val="21"/>
                <w:szCs w:val="21"/>
              </w:rPr>
              <w:t>6</w:t>
            </w:r>
          </w:p>
        </w:tc>
        <w:tc>
          <w:tcPr>
            <w:tcW w:w="2854" w:type="pct"/>
            <w:vAlign w:val="center"/>
          </w:tcPr>
          <w:p w14:paraId="2C0FB2F0">
            <w:pPr>
              <w:tabs>
                <w:tab w:val="clear" w:pos="480"/>
              </w:tabs>
              <w:adjustRightInd w:val="0"/>
              <w:snapToGrid w:val="0"/>
              <w:spacing w:line="240" w:lineRule="auto"/>
              <w:ind w:firstLine="0" w:firstLineChars="0"/>
              <w:jc w:val="center"/>
              <w:rPr>
                <w:sz w:val="21"/>
                <w:szCs w:val="21"/>
              </w:rPr>
            </w:pPr>
            <w:r>
              <w:rPr>
                <w:kern w:val="0"/>
                <w:szCs w:val="20"/>
              </w:rPr>
              <w:t>升压站</w:t>
            </w:r>
          </w:p>
        </w:tc>
        <w:tc>
          <w:tcPr>
            <w:tcW w:w="736" w:type="pct"/>
            <w:vMerge w:val="continue"/>
            <w:vAlign w:val="center"/>
          </w:tcPr>
          <w:p w14:paraId="715060A6">
            <w:pPr>
              <w:tabs>
                <w:tab w:val="clear" w:pos="480"/>
              </w:tabs>
              <w:adjustRightInd w:val="0"/>
              <w:snapToGrid w:val="0"/>
              <w:spacing w:line="240" w:lineRule="auto"/>
              <w:ind w:firstLine="0" w:firstLineChars="0"/>
              <w:jc w:val="center"/>
              <w:rPr>
                <w:sz w:val="21"/>
                <w:szCs w:val="21"/>
              </w:rPr>
            </w:pPr>
          </w:p>
        </w:tc>
        <w:tc>
          <w:tcPr>
            <w:tcW w:w="887" w:type="pct"/>
            <w:vMerge w:val="continue"/>
            <w:vAlign w:val="center"/>
          </w:tcPr>
          <w:p w14:paraId="3398BABD">
            <w:pPr>
              <w:tabs>
                <w:tab w:val="clear" w:pos="480"/>
              </w:tabs>
              <w:adjustRightInd w:val="0"/>
              <w:snapToGrid w:val="0"/>
              <w:spacing w:line="240" w:lineRule="auto"/>
              <w:ind w:firstLine="0" w:firstLineChars="0"/>
              <w:jc w:val="center"/>
              <w:rPr>
                <w:sz w:val="21"/>
                <w:szCs w:val="21"/>
              </w:rPr>
            </w:pPr>
          </w:p>
        </w:tc>
      </w:tr>
    </w:tbl>
    <w:p w14:paraId="1EB9931B">
      <w:pPr>
        <w:adjustRightInd w:val="0"/>
        <w:snapToGrid w:val="0"/>
        <w:ind w:firstLine="480"/>
      </w:pPr>
      <w:r>
        <w:t>（4）监测方法及频率</w:t>
      </w:r>
    </w:p>
    <w:p w14:paraId="504D424F">
      <w:pPr>
        <w:adjustRightInd w:val="0"/>
        <w:snapToGrid w:val="0"/>
        <w:ind w:firstLine="480"/>
      </w:pPr>
      <w:r>
        <w:t>按照《声环境质量标准》（GB3096－2008）中有关规定进行。各监测点按昼夜分段监测，昼间：6:00～22:00 ；夜间：22:00～次日6:00。连续监测2天。</w:t>
      </w:r>
    </w:p>
    <w:p w14:paraId="3EF59FD3">
      <w:pPr>
        <w:adjustRightInd w:val="0"/>
        <w:snapToGrid w:val="0"/>
        <w:ind w:firstLine="480"/>
      </w:pPr>
      <w:r>
        <w:t>（5）监测结果及评价</w:t>
      </w:r>
    </w:p>
    <w:p w14:paraId="7001344C">
      <w:pPr>
        <w:adjustRightInd w:val="0"/>
        <w:snapToGrid w:val="0"/>
        <w:ind w:firstLine="480"/>
      </w:pPr>
      <w:r>
        <w:t>本次声环境评价标准执行《声环境质量标准》（GB3096-2008）中2类标准，即昼间≤60dB（A）、夜间≤50dB（A）。各监测点噪声现状值及评价结果见下表。</w:t>
      </w:r>
    </w:p>
    <w:p w14:paraId="79402EDB">
      <w:pPr>
        <w:tabs>
          <w:tab w:val="clear" w:pos="480"/>
        </w:tabs>
        <w:spacing w:line="240" w:lineRule="auto"/>
        <w:ind w:firstLine="0" w:firstLineChars="0"/>
        <w:jc w:val="center"/>
        <w:rPr>
          <w:b/>
        </w:rPr>
      </w:pPr>
      <w:r>
        <w:rPr>
          <w:b/>
        </w:rPr>
        <w:t>表5.4-8声环境现状评价结果统计表    单位dB(A)</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99"/>
        <w:gridCol w:w="1001"/>
        <w:gridCol w:w="1003"/>
        <w:gridCol w:w="1001"/>
        <w:gridCol w:w="1003"/>
        <w:gridCol w:w="721"/>
        <w:gridCol w:w="723"/>
        <w:gridCol w:w="776"/>
      </w:tblGrid>
      <w:tr w14:paraId="63D17F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348" w:type="pct"/>
            <w:vMerge w:val="restart"/>
            <w:vAlign w:val="center"/>
          </w:tcPr>
          <w:p w14:paraId="2E529373">
            <w:pPr>
              <w:tabs>
                <w:tab w:val="clear" w:pos="480"/>
              </w:tabs>
              <w:adjustRightInd w:val="0"/>
              <w:snapToGrid w:val="0"/>
              <w:spacing w:line="240" w:lineRule="auto"/>
              <w:ind w:firstLine="0" w:firstLineChars="0"/>
              <w:jc w:val="center"/>
              <w:rPr>
                <w:kern w:val="0"/>
                <w:sz w:val="21"/>
                <w:szCs w:val="21"/>
              </w:rPr>
            </w:pPr>
            <w:r>
              <w:rPr>
                <w:kern w:val="0"/>
                <w:sz w:val="21"/>
                <w:szCs w:val="21"/>
              </w:rPr>
              <w:t>监测点位</w:t>
            </w:r>
          </w:p>
        </w:tc>
        <w:tc>
          <w:tcPr>
            <w:tcW w:w="1175" w:type="pct"/>
            <w:gridSpan w:val="2"/>
            <w:vAlign w:val="center"/>
          </w:tcPr>
          <w:p w14:paraId="30EF816A">
            <w:pPr>
              <w:tabs>
                <w:tab w:val="clear" w:pos="480"/>
              </w:tabs>
              <w:adjustRightInd w:val="0"/>
              <w:snapToGrid w:val="0"/>
              <w:spacing w:line="240" w:lineRule="auto"/>
              <w:ind w:firstLine="0" w:firstLineChars="0"/>
              <w:jc w:val="center"/>
              <w:rPr>
                <w:kern w:val="0"/>
                <w:sz w:val="21"/>
                <w:szCs w:val="21"/>
              </w:rPr>
            </w:pPr>
            <w:r>
              <w:rPr>
                <w:kern w:val="0"/>
                <w:sz w:val="21"/>
                <w:szCs w:val="21"/>
              </w:rPr>
              <w:t>5月2日</w:t>
            </w:r>
          </w:p>
        </w:tc>
        <w:tc>
          <w:tcPr>
            <w:tcW w:w="1175" w:type="pct"/>
            <w:gridSpan w:val="2"/>
            <w:vAlign w:val="center"/>
          </w:tcPr>
          <w:p w14:paraId="6F4482CA">
            <w:pPr>
              <w:tabs>
                <w:tab w:val="clear" w:pos="480"/>
              </w:tabs>
              <w:adjustRightInd w:val="0"/>
              <w:snapToGrid w:val="0"/>
              <w:spacing w:line="240" w:lineRule="auto"/>
              <w:ind w:firstLine="0" w:firstLineChars="0"/>
              <w:jc w:val="center"/>
              <w:rPr>
                <w:kern w:val="0"/>
                <w:sz w:val="21"/>
                <w:szCs w:val="21"/>
              </w:rPr>
            </w:pPr>
            <w:r>
              <w:rPr>
                <w:kern w:val="0"/>
                <w:sz w:val="21"/>
                <w:szCs w:val="21"/>
              </w:rPr>
              <w:t>5月3日</w:t>
            </w:r>
          </w:p>
        </w:tc>
        <w:tc>
          <w:tcPr>
            <w:tcW w:w="847" w:type="pct"/>
            <w:gridSpan w:val="2"/>
            <w:vAlign w:val="center"/>
          </w:tcPr>
          <w:p w14:paraId="325A83EF">
            <w:pPr>
              <w:tabs>
                <w:tab w:val="clear" w:pos="480"/>
              </w:tabs>
              <w:adjustRightInd w:val="0"/>
              <w:snapToGrid w:val="0"/>
              <w:spacing w:line="240" w:lineRule="auto"/>
              <w:ind w:firstLine="0" w:firstLineChars="0"/>
              <w:jc w:val="center"/>
              <w:rPr>
                <w:kern w:val="0"/>
                <w:sz w:val="21"/>
                <w:szCs w:val="21"/>
              </w:rPr>
            </w:pPr>
            <w:r>
              <w:rPr>
                <w:kern w:val="0"/>
                <w:sz w:val="21"/>
                <w:szCs w:val="21"/>
              </w:rPr>
              <w:t>评价标准</w:t>
            </w:r>
          </w:p>
        </w:tc>
        <w:tc>
          <w:tcPr>
            <w:tcW w:w="456" w:type="pct"/>
            <w:vMerge w:val="restart"/>
            <w:vAlign w:val="center"/>
          </w:tcPr>
          <w:p w14:paraId="558427BD">
            <w:pPr>
              <w:tabs>
                <w:tab w:val="clear" w:pos="480"/>
              </w:tabs>
              <w:adjustRightInd w:val="0"/>
              <w:snapToGrid w:val="0"/>
              <w:spacing w:line="240" w:lineRule="auto"/>
              <w:ind w:firstLine="0" w:firstLineChars="0"/>
              <w:jc w:val="center"/>
              <w:rPr>
                <w:kern w:val="0"/>
                <w:sz w:val="21"/>
                <w:szCs w:val="21"/>
              </w:rPr>
            </w:pPr>
            <w:r>
              <w:rPr>
                <w:kern w:val="0"/>
                <w:sz w:val="21"/>
                <w:szCs w:val="21"/>
              </w:rPr>
              <w:t>是否</w:t>
            </w:r>
          </w:p>
          <w:p w14:paraId="49F5552D">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442FA7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348" w:type="pct"/>
            <w:vMerge w:val="continue"/>
            <w:vAlign w:val="center"/>
          </w:tcPr>
          <w:p w14:paraId="7708EDC3">
            <w:pPr>
              <w:tabs>
                <w:tab w:val="clear" w:pos="480"/>
              </w:tabs>
              <w:adjustRightInd w:val="0"/>
              <w:snapToGrid w:val="0"/>
              <w:spacing w:line="240" w:lineRule="auto"/>
              <w:ind w:firstLine="0" w:firstLineChars="0"/>
              <w:jc w:val="center"/>
              <w:rPr>
                <w:kern w:val="0"/>
                <w:sz w:val="21"/>
                <w:szCs w:val="21"/>
              </w:rPr>
            </w:pPr>
          </w:p>
        </w:tc>
        <w:tc>
          <w:tcPr>
            <w:tcW w:w="587" w:type="pct"/>
            <w:vAlign w:val="center"/>
          </w:tcPr>
          <w:p w14:paraId="2C963AD1">
            <w:pPr>
              <w:tabs>
                <w:tab w:val="clear" w:pos="480"/>
              </w:tabs>
              <w:adjustRightInd w:val="0"/>
              <w:snapToGrid w:val="0"/>
              <w:spacing w:line="240" w:lineRule="auto"/>
              <w:ind w:firstLine="0" w:firstLineChars="0"/>
              <w:jc w:val="center"/>
              <w:rPr>
                <w:kern w:val="0"/>
                <w:sz w:val="21"/>
                <w:szCs w:val="21"/>
              </w:rPr>
            </w:pPr>
            <w:r>
              <w:rPr>
                <w:kern w:val="0"/>
                <w:sz w:val="21"/>
                <w:szCs w:val="21"/>
              </w:rPr>
              <w:t>昼间</w:t>
            </w:r>
          </w:p>
        </w:tc>
        <w:tc>
          <w:tcPr>
            <w:tcW w:w="588" w:type="pct"/>
            <w:vAlign w:val="center"/>
          </w:tcPr>
          <w:p w14:paraId="1A5B29D6">
            <w:pPr>
              <w:tabs>
                <w:tab w:val="clear" w:pos="480"/>
              </w:tabs>
              <w:adjustRightInd w:val="0"/>
              <w:snapToGrid w:val="0"/>
              <w:spacing w:line="240" w:lineRule="auto"/>
              <w:ind w:firstLine="0" w:firstLineChars="0"/>
              <w:jc w:val="center"/>
              <w:rPr>
                <w:kern w:val="0"/>
                <w:sz w:val="21"/>
                <w:szCs w:val="21"/>
              </w:rPr>
            </w:pPr>
            <w:r>
              <w:rPr>
                <w:kern w:val="0"/>
                <w:sz w:val="21"/>
                <w:szCs w:val="21"/>
              </w:rPr>
              <w:t>夜间</w:t>
            </w:r>
          </w:p>
        </w:tc>
        <w:tc>
          <w:tcPr>
            <w:tcW w:w="587" w:type="pct"/>
            <w:vAlign w:val="center"/>
          </w:tcPr>
          <w:p w14:paraId="3660BC47">
            <w:pPr>
              <w:tabs>
                <w:tab w:val="clear" w:pos="480"/>
              </w:tabs>
              <w:adjustRightInd w:val="0"/>
              <w:snapToGrid w:val="0"/>
              <w:spacing w:line="240" w:lineRule="auto"/>
              <w:ind w:firstLine="0" w:firstLineChars="0"/>
              <w:jc w:val="center"/>
              <w:rPr>
                <w:kern w:val="0"/>
                <w:sz w:val="21"/>
                <w:szCs w:val="21"/>
              </w:rPr>
            </w:pPr>
            <w:r>
              <w:rPr>
                <w:kern w:val="0"/>
                <w:sz w:val="21"/>
                <w:szCs w:val="21"/>
              </w:rPr>
              <w:t>昼间</w:t>
            </w:r>
          </w:p>
        </w:tc>
        <w:tc>
          <w:tcPr>
            <w:tcW w:w="588" w:type="pct"/>
            <w:vAlign w:val="center"/>
          </w:tcPr>
          <w:p w14:paraId="3823B8D9">
            <w:pPr>
              <w:tabs>
                <w:tab w:val="clear" w:pos="480"/>
              </w:tabs>
              <w:adjustRightInd w:val="0"/>
              <w:snapToGrid w:val="0"/>
              <w:spacing w:line="240" w:lineRule="auto"/>
              <w:ind w:firstLine="0" w:firstLineChars="0"/>
              <w:jc w:val="center"/>
              <w:rPr>
                <w:kern w:val="0"/>
                <w:sz w:val="21"/>
                <w:szCs w:val="21"/>
              </w:rPr>
            </w:pPr>
            <w:r>
              <w:rPr>
                <w:kern w:val="0"/>
                <w:sz w:val="21"/>
                <w:szCs w:val="21"/>
              </w:rPr>
              <w:t>夜间</w:t>
            </w:r>
          </w:p>
        </w:tc>
        <w:tc>
          <w:tcPr>
            <w:tcW w:w="423" w:type="pct"/>
            <w:vAlign w:val="center"/>
          </w:tcPr>
          <w:p w14:paraId="4D773A7E">
            <w:pPr>
              <w:tabs>
                <w:tab w:val="clear" w:pos="480"/>
              </w:tabs>
              <w:adjustRightInd w:val="0"/>
              <w:snapToGrid w:val="0"/>
              <w:spacing w:line="240" w:lineRule="auto"/>
              <w:ind w:firstLine="0" w:firstLineChars="0"/>
              <w:jc w:val="center"/>
              <w:rPr>
                <w:kern w:val="0"/>
                <w:sz w:val="21"/>
                <w:szCs w:val="21"/>
              </w:rPr>
            </w:pPr>
            <w:r>
              <w:rPr>
                <w:kern w:val="0"/>
                <w:sz w:val="21"/>
                <w:szCs w:val="21"/>
              </w:rPr>
              <w:t>昼间</w:t>
            </w:r>
          </w:p>
        </w:tc>
        <w:tc>
          <w:tcPr>
            <w:tcW w:w="423" w:type="pct"/>
            <w:vAlign w:val="center"/>
          </w:tcPr>
          <w:p w14:paraId="720BCF8F">
            <w:pPr>
              <w:tabs>
                <w:tab w:val="clear" w:pos="480"/>
              </w:tabs>
              <w:adjustRightInd w:val="0"/>
              <w:snapToGrid w:val="0"/>
              <w:spacing w:line="240" w:lineRule="auto"/>
              <w:ind w:firstLine="0" w:firstLineChars="0"/>
              <w:jc w:val="center"/>
              <w:rPr>
                <w:kern w:val="0"/>
                <w:sz w:val="21"/>
                <w:szCs w:val="21"/>
              </w:rPr>
            </w:pPr>
            <w:r>
              <w:rPr>
                <w:kern w:val="0"/>
                <w:sz w:val="21"/>
                <w:szCs w:val="21"/>
              </w:rPr>
              <w:t>夜间</w:t>
            </w:r>
          </w:p>
        </w:tc>
        <w:tc>
          <w:tcPr>
            <w:tcW w:w="456" w:type="pct"/>
            <w:vMerge w:val="continue"/>
            <w:vAlign w:val="center"/>
          </w:tcPr>
          <w:p w14:paraId="4A268E58">
            <w:pPr>
              <w:tabs>
                <w:tab w:val="clear" w:pos="480"/>
              </w:tabs>
              <w:adjustRightInd w:val="0"/>
              <w:snapToGrid w:val="0"/>
              <w:spacing w:line="240" w:lineRule="auto"/>
              <w:ind w:firstLine="0" w:firstLineChars="0"/>
              <w:jc w:val="center"/>
              <w:rPr>
                <w:kern w:val="0"/>
                <w:sz w:val="21"/>
                <w:szCs w:val="21"/>
              </w:rPr>
            </w:pPr>
          </w:p>
        </w:tc>
      </w:tr>
      <w:tr w14:paraId="0D57E4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73320CF0">
            <w:pPr>
              <w:tabs>
                <w:tab w:val="clear" w:pos="480"/>
              </w:tabs>
              <w:adjustRightInd w:val="0"/>
              <w:snapToGrid w:val="0"/>
              <w:spacing w:line="240" w:lineRule="auto"/>
              <w:ind w:firstLine="0" w:firstLineChars="0"/>
              <w:jc w:val="center"/>
              <w:rPr>
                <w:kern w:val="0"/>
                <w:sz w:val="21"/>
                <w:szCs w:val="21"/>
              </w:rPr>
            </w:pPr>
            <w:r>
              <w:rPr>
                <w:kern w:val="0"/>
                <w:sz w:val="21"/>
                <w:szCs w:val="21"/>
              </w:rPr>
              <w:t>茅草坳居民点</w:t>
            </w:r>
          </w:p>
        </w:tc>
        <w:tc>
          <w:tcPr>
            <w:tcW w:w="587" w:type="pct"/>
            <w:vAlign w:val="center"/>
          </w:tcPr>
          <w:p w14:paraId="62273677">
            <w:pPr>
              <w:tabs>
                <w:tab w:val="clear" w:pos="480"/>
              </w:tabs>
              <w:adjustRightInd w:val="0"/>
              <w:snapToGrid w:val="0"/>
              <w:spacing w:line="240" w:lineRule="auto"/>
              <w:ind w:firstLine="0" w:firstLineChars="0"/>
              <w:jc w:val="center"/>
              <w:rPr>
                <w:kern w:val="0"/>
                <w:sz w:val="21"/>
                <w:szCs w:val="21"/>
              </w:rPr>
            </w:pPr>
            <w:r>
              <w:rPr>
                <w:sz w:val="21"/>
                <w:szCs w:val="21"/>
              </w:rPr>
              <w:t>41.9</w:t>
            </w:r>
          </w:p>
        </w:tc>
        <w:tc>
          <w:tcPr>
            <w:tcW w:w="588" w:type="pct"/>
            <w:vAlign w:val="center"/>
          </w:tcPr>
          <w:p w14:paraId="156166FF">
            <w:pPr>
              <w:tabs>
                <w:tab w:val="clear" w:pos="480"/>
              </w:tabs>
              <w:adjustRightInd w:val="0"/>
              <w:snapToGrid w:val="0"/>
              <w:spacing w:line="240" w:lineRule="auto"/>
              <w:ind w:firstLine="0" w:firstLineChars="0"/>
              <w:jc w:val="center"/>
              <w:rPr>
                <w:kern w:val="0"/>
                <w:sz w:val="21"/>
                <w:szCs w:val="21"/>
              </w:rPr>
            </w:pPr>
            <w:r>
              <w:rPr>
                <w:sz w:val="21"/>
                <w:szCs w:val="21"/>
              </w:rPr>
              <w:t>37.5</w:t>
            </w:r>
          </w:p>
        </w:tc>
        <w:tc>
          <w:tcPr>
            <w:tcW w:w="587" w:type="pct"/>
            <w:vAlign w:val="center"/>
          </w:tcPr>
          <w:p w14:paraId="54B91077">
            <w:pPr>
              <w:tabs>
                <w:tab w:val="clear" w:pos="480"/>
              </w:tabs>
              <w:adjustRightInd w:val="0"/>
              <w:snapToGrid w:val="0"/>
              <w:spacing w:line="240" w:lineRule="auto"/>
              <w:ind w:firstLine="0" w:firstLineChars="0"/>
              <w:jc w:val="center"/>
              <w:rPr>
                <w:kern w:val="0"/>
                <w:sz w:val="21"/>
                <w:szCs w:val="21"/>
              </w:rPr>
            </w:pPr>
            <w:r>
              <w:rPr>
                <w:sz w:val="21"/>
                <w:szCs w:val="21"/>
              </w:rPr>
              <w:t>41.8</w:t>
            </w:r>
          </w:p>
        </w:tc>
        <w:tc>
          <w:tcPr>
            <w:tcW w:w="588" w:type="pct"/>
            <w:vAlign w:val="center"/>
          </w:tcPr>
          <w:p w14:paraId="5AB9782D">
            <w:pPr>
              <w:tabs>
                <w:tab w:val="clear" w:pos="480"/>
              </w:tabs>
              <w:adjustRightInd w:val="0"/>
              <w:snapToGrid w:val="0"/>
              <w:spacing w:line="240" w:lineRule="auto"/>
              <w:ind w:firstLine="0" w:firstLineChars="0"/>
              <w:jc w:val="center"/>
              <w:rPr>
                <w:kern w:val="0"/>
                <w:sz w:val="21"/>
                <w:szCs w:val="21"/>
              </w:rPr>
            </w:pPr>
            <w:r>
              <w:rPr>
                <w:sz w:val="21"/>
                <w:szCs w:val="21"/>
              </w:rPr>
              <w:t>37.4</w:t>
            </w:r>
          </w:p>
        </w:tc>
        <w:tc>
          <w:tcPr>
            <w:tcW w:w="423" w:type="pct"/>
            <w:vAlign w:val="center"/>
          </w:tcPr>
          <w:p w14:paraId="1844331D">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0B698E12">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6B7BF44B">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69F30B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7FE3C559">
            <w:pPr>
              <w:tabs>
                <w:tab w:val="clear" w:pos="480"/>
              </w:tabs>
              <w:adjustRightInd w:val="0"/>
              <w:snapToGrid w:val="0"/>
              <w:spacing w:line="240" w:lineRule="auto"/>
              <w:ind w:firstLine="0" w:firstLineChars="0"/>
              <w:jc w:val="center"/>
              <w:rPr>
                <w:kern w:val="0"/>
                <w:sz w:val="21"/>
                <w:szCs w:val="21"/>
              </w:rPr>
            </w:pPr>
            <w:r>
              <w:rPr>
                <w:kern w:val="0"/>
                <w:sz w:val="21"/>
                <w:szCs w:val="21"/>
              </w:rPr>
              <w:t>7#风机机位</w:t>
            </w:r>
          </w:p>
        </w:tc>
        <w:tc>
          <w:tcPr>
            <w:tcW w:w="587" w:type="pct"/>
            <w:vAlign w:val="center"/>
          </w:tcPr>
          <w:p w14:paraId="6016E2AA">
            <w:pPr>
              <w:tabs>
                <w:tab w:val="clear" w:pos="480"/>
              </w:tabs>
              <w:adjustRightInd w:val="0"/>
              <w:snapToGrid w:val="0"/>
              <w:spacing w:line="240" w:lineRule="auto"/>
              <w:ind w:firstLine="0" w:firstLineChars="0"/>
              <w:jc w:val="center"/>
              <w:rPr>
                <w:kern w:val="0"/>
                <w:sz w:val="21"/>
                <w:szCs w:val="21"/>
              </w:rPr>
            </w:pPr>
            <w:r>
              <w:rPr>
                <w:sz w:val="21"/>
                <w:szCs w:val="21"/>
              </w:rPr>
              <w:t>38.4</w:t>
            </w:r>
          </w:p>
        </w:tc>
        <w:tc>
          <w:tcPr>
            <w:tcW w:w="588" w:type="pct"/>
            <w:vAlign w:val="center"/>
          </w:tcPr>
          <w:p w14:paraId="69026CFF">
            <w:pPr>
              <w:tabs>
                <w:tab w:val="clear" w:pos="480"/>
              </w:tabs>
              <w:adjustRightInd w:val="0"/>
              <w:snapToGrid w:val="0"/>
              <w:spacing w:line="240" w:lineRule="auto"/>
              <w:ind w:firstLine="0" w:firstLineChars="0"/>
              <w:jc w:val="center"/>
              <w:rPr>
                <w:kern w:val="0"/>
                <w:sz w:val="21"/>
                <w:szCs w:val="21"/>
              </w:rPr>
            </w:pPr>
            <w:r>
              <w:rPr>
                <w:sz w:val="21"/>
                <w:szCs w:val="21"/>
              </w:rPr>
              <w:t>36.3</w:t>
            </w:r>
          </w:p>
        </w:tc>
        <w:tc>
          <w:tcPr>
            <w:tcW w:w="587" w:type="pct"/>
            <w:vAlign w:val="center"/>
          </w:tcPr>
          <w:p w14:paraId="1D1C594A">
            <w:pPr>
              <w:tabs>
                <w:tab w:val="clear" w:pos="480"/>
              </w:tabs>
              <w:adjustRightInd w:val="0"/>
              <w:snapToGrid w:val="0"/>
              <w:spacing w:line="240" w:lineRule="auto"/>
              <w:ind w:firstLine="0" w:firstLineChars="0"/>
              <w:jc w:val="center"/>
              <w:rPr>
                <w:kern w:val="0"/>
                <w:sz w:val="21"/>
                <w:szCs w:val="21"/>
              </w:rPr>
            </w:pPr>
            <w:r>
              <w:rPr>
                <w:sz w:val="21"/>
                <w:szCs w:val="21"/>
              </w:rPr>
              <w:t>39.2</w:t>
            </w:r>
          </w:p>
        </w:tc>
        <w:tc>
          <w:tcPr>
            <w:tcW w:w="588" w:type="pct"/>
            <w:vAlign w:val="center"/>
          </w:tcPr>
          <w:p w14:paraId="639A3FE0">
            <w:pPr>
              <w:tabs>
                <w:tab w:val="clear" w:pos="480"/>
              </w:tabs>
              <w:adjustRightInd w:val="0"/>
              <w:snapToGrid w:val="0"/>
              <w:spacing w:line="240" w:lineRule="auto"/>
              <w:ind w:firstLine="0" w:firstLineChars="0"/>
              <w:jc w:val="center"/>
              <w:rPr>
                <w:kern w:val="0"/>
                <w:sz w:val="21"/>
                <w:szCs w:val="21"/>
              </w:rPr>
            </w:pPr>
            <w:r>
              <w:rPr>
                <w:sz w:val="21"/>
                <w:szCs w:val="21"/>
              </w:rPr>
              <w:t>35.9</w:t>
            </w:r>
          </w:p>
        </w:tc>
        <w:tc>
          <w:tcPr>
            <w:tcW w:w="423" w:type="pct"/>
            <w:vAlign w:val="center"/>
          </w:tcPr>
          <w:p w14:paraId="2F9165F8">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78019CA7">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70E3B065">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3CAF5A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2BFDBA64">
            <w:pPr>
              <w:tabs>
                <w:tab w:val="clear" w:pos="480"/>
              </w:tabs>
              <w:adjustRightInd w:val="0"/>
              <w:snapToGrid w:val="0"/>
              <w:spacing w:line="240" w:lineRule="auto"/>
              <w:ind w:firstLine="0" w:firstLineChars="0"/>
              <w:jc w:val="center"/>
              <w:rPr>
                <w:kern w:val="0"/>
                <w:sz w:val="21"/>
                <w:szCs w:val="21"/>
              </w:rPr>
            </w:pPr>
            <w:r>
              <w:rPr>
                <w:kern w:val="0"/>
                <w:sz w:val="21"/>
                <w:szCs w:val="21"/>
              </w:rPr>
              <w:t>8#风机机位</w:t>
            </w:r>
          </w:p>
        </w:tc>
        <w:tc>
          <w:tcPr>
            <w:tcW w:w="587" w:type="pct"/>
            <w:vAlign w:val="center"/>
          </w:tcPr>
          <w:p w14:paraId="3FE44EEB">
            <w:pPr>
              <w:tabs>
                <w:tab w:val="clear" w:pos="480"/>
              </w:tabs>
              <w:adjustRightInd w:val="0"/>
              <w:snapToGrid w:val="0"/>
              <w:spacing w:line="240" w:lineRule="auto"/>
              <w:ind w:firstLine="0" w:firstLineChars="0"/>
              <w:jc w:val="center"/>
              <w:rPr>
                <w:kern w:val="0"/>
                <w:sz w:val="21"/>
                <w:szCs w:val="21"/>
              </w:rPr>
            </w:pPr>
            <w:r>
              <w:rPr>
                <w:sz w:val="21"/>
                <w:szCs w:val="21"/>
              </w:rPr>
              <w:t>39.1</w:t>
            </w:r>
          </w:p>
        </w:tc>
        <w:tc>
          <w:tcPr>
            <w:tcW w:w="588" w:type="pct"/>
            <w:vAlign w:val="center"/>
          </w:tcPr>
          <w:p w14:paraId="34B456E0">
            <w:pPr>
              <w:tabs>
                <w:tab w:val="clear" w:pos="480"/>
              </w:tabs>
              <w:adjustRightInd w:val="0"/>
              <w:snapToGrid w:val="0"/>
              <w:spacing w:line="240" w:lineRule="auto"/>
              <w:ind w:firstLine="0" w:firstLineChars="0"/>
              <w:jc w:val="center"/>
              <w:rPr>
                <w:kern w:val="0"/>
                <w:sz w:val="21"/>
                <w:szCs w:val="21"/>
              </w:rPr>
            </w:pPr>
            <w:r>
              <w:rPr>
                <w:sz w:val="21"/>
                <w:szCs w:val="21"/>
              </w:rPr>
              <w:t>35.7</w:t>
            </w:r>
          </w:p>
        </w:tc>
        <w:tc>
          <w:tcPr>
            <w:tcW w:w="587" w:type="pct"/>
            <w:vAlign w:val="center"/>
          </w:tcPr>
          <w:p w14:paraId="0575B07C">
            <w:pPr>
              <w:tabs>
                <w:tab w:val="clear" w:pos="480"/>
              </w:tabs>
              <w:adjustRightInd w:val="0"/>
              <w:snapToGrid w:val="0"/>
              <w:spacing w:line="240" w:lineRule="auto"/>
              <w:ind w:firstLine="0" w:firstLineChars="0"/>
              <w:jc w:val="center"/>
              <w:rPr>
                <w:kern w:val="0"/>
                <w:sz w:val="21"/>
                <w:szCs w:val="21"/>
              </w:rPr>
            </w:pPr>
            <w:r>
              <w:rPr>
                <w:sz w:val="21"/>
                <w:szCs w:val="21"/>
              </w:rPr>
              <w:t>38.6</w:t>
            </w:r>
          </w:p>
        </w:tc>
        <w:tc>
          <w:tcPr>
            <w:tcW w:w="588" w:type="pct"/>
            <w:vAlign w:val="center"/>
          </w:tcPr>
          <w:p w14:paraId="0F00481C">
            <w:pPr>
              <w:tabs>
                <w:tab w:val="clear" w:pos="480"/>
              </w:tabs>
              <w:adjustRightInd w:val="0"/>
              <w:snapToGrid w:val="0"/>
              <w:spacing w:line="240" w:lineRule="auto"/>
              <w:ind w:firstLine="0" w:firstLineChars="0"/>
              <w:jc w:val="center"/>
              <w:rPr>
                <w:kern w:val="0"/>
                <w:sz w:val="21"/>
                <w:szCs w:val="21"/>
              </w:rPr>
            </w:pPr>
            <w:r>
              <w:rPr>
                <w:sz w:val="21"/>
                <w:szCs w:val="21"/>
              </w:rPr>
              <w:t>36.0</w:t>
            </w:r>
          </w:p>
        </w:tc>
        <w:tc>
          <w:tcPr>
            <w:tcW w:w="423" w:type="pct"/>
            <w:vAlign w:val="center"/>
          </w:tcPr>
          <w:p w14:paraId="18DB2374">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29EBE558">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59CA3064">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2FB7DC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2E3D0D9A">
            <w:pPr>
              <w:tabs>
                <w:tab w:val="clear" w:pos="480"/>
              </w:tabs>
              <w:adjustRightInd w:val="0"/>
              <w:snapToGrid w:val="0"/>
              <w:spacing w:line="240" w:lineRule="auto"/>
              <w:ind w:firstLine="0" w:firstLineChars="0"/>
              <w:jc w:val="center"/>
              <w:rPr>
                <w:kern w:val="0"/>
                <w:sz w:val="21"/>
                <w:szCs w:val="21"/>
              </w:rPr>
            </w:pPr>
            <w:r>
              <w:rPr>
                <w:kern w:val="0"/>
                <w:sz w:val="21"/>
                <w:szCs w:val="21"/>
              </w:rPr>
              <w:t>5#风机机位</w:t>
            </w:r>
          </w:p>
        </w:tc>
        <w:tc>
          <w:tcPr>
            <w:tcW w:w="587" w:type="pct"/>
            <w:vAlign w:val="center"/>
          </w:tcPr>
          <w:p w14:paraId="773F8D75">
            <w:pPr>
              <w:tabs>
                <w:tab w:val="clear" w:pos="480"/>
              </w:tabs>
              <w:adjustRightInd w:val="0"/>
              <w:snapToGrid w:val="0"/>
              <w:spacing w:line="240" w:lineRule="auto"/>
              <w:ind w:firstLine="0" w:firstLineChars="0"/>
              <w:jc w:val="center"/>
              <w:rPr>
                <w:kern w:val="0"/>
                <w:sz w:val="21"/>
                <w:szCs w:val="21"/>
              </w:rPr>
            </w:pPr>
            <w:r>
              <w:rPr>
                <w:sz w:val="21"/>
                <w:szCs w:val="21"/>
              </w:rPr>
              <w:t>38.2</w:t>
            </w:r>
          </w:p>
        </w:tc>
        <w:tc>
          <w:tcPr>
            <w:tcW w:w="588" w:type="pct"/>
            <w:vAlign w:val="center"/>
          </w:tcPr>
          <w:p w14:paraId="5C22AA67">
            <w:pPr>
              <w:tabs>
                <w:tab w:val="clear" w:pos="480"/>
              </w:tabs>
              <w:adjustRightInd w:val="0"/>
              <w:snapToGrid w:val="0"/>
              <w:spacing w:line="240" w:lineRule="auto"/>
              <w:ind w:firstLine="0" w:firstLineChars="0"/>
              <w:jc w:val="center"/>
              <w:rPr>
                <w:kern w:val="0"/>
                <w:sz w:val="21"/>
                <w:szCs w:val="21"/>
              </w:rPr>
            </w:pPr>
            <w:r>
              <w:rPr>
                <w:sz w:val="21"/>
                <w:szCs w:val="21"/>
              </w:rPr>
              <w:t>34.9</w:t>
            </w:r>
          </w:p>
        </w:tc>
        <w:tc>
          <w:tcPr>
            <w:tcW w:w="587" w:type="pct"/>
            <w:vAlign w:val="center"/>
          </w:tcPr>
          <w:p w14:paraId="38F016A6">
            <w:pPr>
              <w:tabs>
                <w:tab w:val="clear" w:pos="480"/>
              </w:tabs>
              <w:adjustRightInd w:val="0"/>
              <w:snapToGrid w:val="0"/>
              <w:spacing w:line="240" w:lineRule="auto"/>
              <w:ind w:firstLine="0" w:firstLineChars="0"/>
              <w:jc w:val="center"/>
              <w:rPr>
                <w:kern w:val="0"/>
                <w:sz w:val="21"/>
                <w:szCs w:val="21"/>
              </w:rPr>
            </w:pPr>
            <w:r>
              <w:rPr>
                <w:sz w:val="21"/>
                <w:szCs w:val="21"/>
              </w:rPr>
              <w:t>37.2</w:t>
            </w:r>
          </w:p>
        </w:tc>
        <w:tc>
          <w:tcPr>
            <w:tcW w:w="588" w:type="pct"/>
            <w:vAlign w:val="center"/>
          </w:tcPr>
          <w:p w14:paraId="6DA1A0FD">
            <w:pPr>
              <w:tabs>
                <w:tab w:val="clear" w:pos="480"/>
              </w:tabs>
              <w:adjustRightInd w:val="0"/>
              <w:snapToGrid w:val="0"/>
              <w:spacing w:line="240" w:lineRule="auto"/>
              <w:ind w:firstLine="0" w:firstLineChars="0"/>
              <w:jc w:val="center"/>
              <w:rPr>
                <w:kern w:val="0"/>
                <w:sz w:val="21"/>
                <w:szCs w:val="21"/>
              </w:rPr>
            </w:pPr>
            <w:r>
              <w:rPr>
                <w:sz w:val="21"/>
                <w:szCs w:val="21"/>
              </w:rPr>
              <w:t>36.2</w:t>
            </w:r>
          </w:p>
        </w:tc>
        <w:tc>
          <w:tcPr>
            <w:tcW w:w="423" w:type="pct"/>
            <w:vAlign w:val="center"/>
          </w:tcPr>
          <w:p w14:paraId="6CA9FD13">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505EA2C9">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5997CD9D">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543218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3B989343">
            <w:pPr>
              <w:tabs>
                <w:tab w:val="clear" w:pos="480"/>
              </w:tabs>
              <w:adjustRightInd w:val="0"/>
              <w:snapToGrid w:val="0"/>
              <w:spacing w:line="240" w:lineRule="auto"/>
              <w:ind w:firstLine="0" w:firstLineChars="0"/>
              <w:jc w:val="center"/>
              <w:rPr>
                <w:kern w:val="0"/>
                <w:sz w:val="21"/>
                <w:szCs w:val="21"/>
              </w:rPr>
            </w:pPr>
            <w:r>
              <w:rPr>
                <w:kern w:val="0"/>
                <w:sz w:val="21"/>
                <w:szCs w:val="21"/>
              </w:rPr>
              <w:t>9#风机机位</w:t>
            </w:r>
          </w:p>
        </w:tc>
        <w:tc>
          <w:tcPr>
            <w:tcW w:w="587" w:type="pct"/>
            <w:vAlign w:val="center"/>
          </w:tcPr>
          <w:p w14:paraId="67564BB4">
            <w:pPr>
              <w:tabs>
                <w:tab w:val="clear" w:pos="480"/>
              </w:tabs>
              <w:adjustRightInd w:val="0"/>
              <w:snapToGrid w:val="0"/>
              <w:spacing w:line="240" w:lineRule="auto"/>
              <w:ind w:firstLine="0" w:firstLineChars="0"/>
              <w:jc w:val="center"/>
              <w:rPr>
                <w:kern w:val="0"/>
                <w:sz w:val="21"/>
                <w:szCs w:val="21"/>
              </w:rPr>
            </w:pPr>
            <w:r>
              <w:rPr>
                <w:sz w:val="21"/>
                <w:szCs w:val="21"/>
              </w:rPr>
              <w:t>38.1</w:t>
            </w:r>
          </w:p>
        </w:tc>
        <w:tc>
          <w:tcPr>
            <w:tcW w:w="588" w:type="pct"/>
            <w:vAlign w:val="center"/>
          </w:tcPr>
          <w:p w14:paraId="74A31479">
            <w:pPr>
              <w:tabs>
                <w:tab w:val="clear" w:pos="480"/>
              </w:tabs>
              <w:adjustRightInd w:val="0"/>
              <w:snapToGrid w:val="0"/>
              <w:spacing w:line="240" w:lineRule="auto"/>
              <w:ind w:firstLine="0" w:firstLineChars="0"/>
              <w:jc w:val="center"/>
              <w:rPr>
                <w:kern w:val="0"/>
                <w:sz w:val="21"/>
                <w:szCs w:val="21"/>
              </w:rPr>
            </w:pPr>
            <w:r>
              <w:rPr>
                <w:sz w:val="21"/>
                <w:szCs w:val="21"/>
              </w:rPr>
              <w:t>35.0</w:t>
            </w:r>
          </w:p>
        </w:tc>
        <w:tc>
          <w:tcPr>
            <w:tcW w:w="587" w:type="pct"/>
            <w:vAlign w:val="center"/>
          </w:tcPr>
          <w:p w14:paraId="2F556F3A">
            <w:pPr>
              <w:tabs>
                <w:tab w:val="clear" w:pos="480"/>
              </w:tabs>
              <w:adjustRightInd w:val="0"/>
              <w:snapToGrid w:val="0"/>
              <w:spacing w:line="240" w:lineRule="auto"/>
              <w:ind w:firstLine="0" w:firstLineChars="0"/>
              <w:jc w:val="center"/>
              <w:rPr>
                <w:kern w:val="0"/>
                <w:sz w:val="21"/>
                <w:szCs w:val="21"/>
              </w:rPr>
            </w:pPr>
            <w:r>
              <w:rPr>
                <w:sz w:val="21"/>
                <w:szCs w:val="21"/>
              </w:rPr>
              <w:t>37.8</w:t>
            </w:r>
          </w:p>
        </w:tc>
        <w:tc>
          <w:tcPr>
            <w:tcW w:w="588" w:type="pct"/>
            <w:vAlign w:val="center"/>
          </w:tcPr>
          <w:p w14:paraId="7B98D4EA">
            <w:pPr>
              <w:tabs>
                <w:tab w:val="clear" w:pos="480"/>
              </w:tabs>
              <w:adjustRightInd w:val="0"/>
              <w:snapToGrid w:val="0"/>
              <w:spacing w:line="240" w:lineRule="auto"/>
              <w:ind w:firstLine="0" w:firstLineChars="0"/>
              <w:jc w:val="center"/>
              <w:rPr>
                <w:kern w:val="0"/>
                <w:sz w:val="21"/>
                <w:szCs w:val="21"/>
              </w:rPr>
            </w:pPr>
            <w:r>
              <w:rPr>
                <w:sz w:val="21"/>
                <w:szCs w:val="21"/>
              </w:rPr>
              <w:t>35.2</w:t>
            </w:r>
          </w:p>
        </w:tc>
        <w:tc>
          <w:tcPr>
            <w:tcW w:w="423" w:type="pct"/>
            <w:vAlign w:val="center"/>
          </w:tcPr>
          <w:p w14:paraId="312D14D6">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29852B16">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74D2C08F">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575249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20DFC56C">
            <w:pPr>
              <w:tabs>
                <w:tab w:val="clear" w:pos="480"/>
              </w:tabs>
              <w:adjustRightInd w:val="0"/>
              <w:snapToGrid w:val="0"/>
              <w:spacing w:line="240" w:lineRule="auto"/>
              <w:ind w:firstLine="0" w:firstLineChars="0"/>
              <w:jc w:val="center"/>
              <w:rPr>
                <w:kern w:val="0"/>
                <w:sz w:val="21"/>
                <w:szCs w:val="21"/>
              </w:rPr>
            </w:pPr>
            <w:r>
              <w:rPr>
                <w:kern w:val="0"/>
                <w:sz w:val="21"/>
                <w:szCs w:val="21"/>
              </w:rPr>
              <w:t>升压站</w:t>
            </w:r>
          </w:p>
        </w:tc>
        <w:tc>
          <w:tcPr>
            <w:tcW w:w="587" w:type="pct"/>
            <w:vAlign w:val="center"/>
          </w:tcPr>
          <w:p w14:paraId="43A58013">
            <w:pPr>
              <w:tabs>
                <w:tab w:val="clear" w:pos="480"/>
              </w:tabs>
              <w:adjustRightInd w:val="0"/>
              <w:snapToGrid w:val="0"/>
              <w:spacing w:line="240" w:lineRule="auto"/>
              <w:ind w:firstLine="0" w:firstLineChars="0"/>
              <w:jc w:val="center"/>
              <w:rPr>
                <w:kern w:val="0"/>
                <w:sz w:val="21"/>
                <w:szCs w:val="21"/>
              </w:rPr>
            </w:pPr>
            <w:r>
              <w:rPr>
                <w:sz w:val="21"/>
                <w:szCs w:val="21"/>
              </w:rPr>
              <w:t>38.8</w:t>
            </w:r>
          </w:p>
        </w:tc>
        <w:tc>
          <w:tcPr>
            <w:tcW w:w="588" w:type="pct"/>
            <w:vAlign w:val="center"/>
          </w:tcPr>
          <w:p w14:paraId="3F2F2973">
            <w:pPr>
              <w:tabs>
                <w:tab w:val="clear" w:pos="480"/>
              </w:tabs>
              <w:adjustRightInd w:val="0"/>
              <w:snapToGrid w:val="0"/>
              <w:spacing w:line="240" w:lineRule="auto"/>
              <w:ind w:firstLine="0" w:firstLineChars="0"/>
              <w:jc w:val="center"/>
              <w:rPr>
                <w:kern w:val="0"/>
                <w:sz w:val="21"/>
                <w:szCs w:val="21"/>
              </w:rPr>
            </w:pPr>
            <w:r>
              <w:rPr>
                <w:sz w:val="21"/>
                <w:szCs w:val="21"/>
              </w:rPr>
              <w:t>35.6</w:t>
            </w:r>
          </w:p>
        </w:tc>
        <w:tc>
          <w:tcPr>
            <w:tcW w:w="587" w:type="pct"/>
            <w:vAlign w:val="center"/>
          </w:tcPr>
          <w:p w14:paraId="0F5604BC">
            <w:pPr>
              <w:tabs>
                <w:tab w:val="clear" w:pos="480"/>
              </w:tabs>
              <w:adjustRightInd w:val="0"/>
              <w:snapToGrid w:val="0"/>
              <w:spacing w:line="240" w:lineRule="auto"/>
              <w:ind w:firstLine="0" w:firstLineChars="0"/>
              <w:jc w:val="center"/>
              <w:rPr>
                <w:kern w:val="0"/>
                <w:sz w:val="21"/>
                <w:szCs w:val="21"/>
              </w:rPr>
            </w:pPr>
            <w:r>
              <w:rPr>
                <w:sz w:val="21"/>
                <w:szCs w:val="21"/>
              </w:rPr>
              <w:t>38.1</w:t>
            </w:r>
          </w:p>
        </w:tc>
        <w:tc>
          <w:tcPr>
            <w:tcW w:w="588" w:type="pct"/>
            <w:vAlign w:val="center"/>
          </w:tcPr>
          <w:p w14:paraId="72005F9C">
            <w:pPr>
              <w:tabs>
                <w:tab w:val="clear" w:pos="480"/>
              </w:tabs>
              <w:adjustRightInd w:val="0"/>
              <w:snapToGrid w:val="0"/>
              <w:spacing w:line="240" w:lineRule="auto"/>
              <w:ind w:firstLine="0" w:firstLineChars="0"/>
              <w:jc w:val="center"/>
              <w:rPr>
                <w:kern w:val="0"/>
                <w:sz w:val="21"/>
                <w:szCs w:val="21"/>
              </w:rPr>
            </w:pPr>
            <w:r>
              <w:rPr>
                <w:sz w:val="21"/>
                <w:szCs w:val="21"/>
              </w:rPr>
              <w:t>34.8</w:t>
            </w:r>
          </w:p>
        </w:tc>
        <w:tc>
          <w:tcPr>
            <w:tcW w:w="423" w:type="pct"/>
            <w:vAlign w:val="center"/>
          </w:tcPr>
          <w:p w14:paraId="1360D02C">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041EDC10">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2EED0E81">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bl>
    <w:p w14:paraId="0AE03688">
      <w:pPr>
        <w:adjustRightInd w:val="0"/>
        <w:snapToGrid w:val="0"/>
        <w:ind w:firstLine="480"/>
      </w:pPr>
      <w:r>
        <w:t>从上表可知，各噪声监测点声环境现状监测点均可满足《声环境质量标准》（GB3096-2008）中2类标准（昼间60 dB(A)，夜间50 dB(A)）要求。</w:t>
      </w:r>
    </w:p>
    <w:p w14:paraId="5698AEFC">
      <w:pPr>
        <w:pStyle w:val="6"/>
        <w:numPr>
          <w:ilvl w:val="0"/>
          <w:numId w:val="0"/>
        </w:numPr>
        <w:adjustRightInd w:val="0"/>
        <w:snapToGrid w:val="0"/>
        <w:spacing w:before="0" w:after="0"/>
        <w:rPr>
          <w:rFonts w:ascii="Times New Roman" w:eastAsia="宋体"/>
          <w:sz w:val="24"/>
          <w:szCs w:val="24"/>
        </w:rPr>
      </w:pPr>
      <w:r>
        <w:rPr>
          <w:rFonts w:ascii="Times New Roman" w:eastAsia="宋体"/>
          <w:sz w:val="24"/>
          <w:szCs w:val="24"/>
        </w:rPr>
        <w:t>5.4.3.2</w:t>
      </w:r>
      <w:r>
        <w:rPr>
          <w:rFonts w:hint="eastAsia" w:ascii="Times New Roman" w:eastAsia="宋体"/>
          <w:sz w:val="24"/>
          <w:szCs w:val="24"/>
        </w:rPr>
        <w:t>声环境补充监测</w:t>
      </w:r>
    </w:p>
    <w:p w14:paraId="3A7DE080">
      <w:pPr>
        <w:adjustRightInd w:val="0"/>
        <w:snapToGrid w:val="0"/>
        <w:ind w:firstLine="480"/>
      </w:pPr>
      <w:r>
        <w:t>本次噪声</w:t>
      </w:r>
      <w:r>
        <w:rPr>
          <w:rFonts w:hint="eastAsia"/>
        </w:rPr>
        <w:t>补充</w:t>
      </w:r>
      <w:r>
        <w:t>监测委托</w:t>
      </w:r>
      <w:r>
        <w:rPr>
          <w:rFonts w:hint="eastAsia"/>
        </w:rPr>
        <w:t>湖南中诚环境监测技术有限公司</w:t>
      </w:r>
      <w:r>
        <w:t>担任，监测时间为2023年8月5日~6日。</w:t>
      </w:r>
    </w:p>
    <w:p w14:paraId="0A1A5802">
      <w:pPr>
        <w:adjustRightInd w:val="0"/>
        <w:snapToGrid w:val="0"/>
        <w:ind w:firstLine="480"/>
      </w:pPr>
      <w:r>
        <w:t>（1）监测布点</w:t>
      </w:r>
    </w:p>
    <w:p w14:paraId="2FAEFF79">
      <w:pPr>
        <w:adjustRightInd w:val="0"/>
        <w:snapToGrid w:val="0"/>
        <w:ind w:firstLine="480"/>
      </w:pPr>
      <w:r>
        <w:t>根据区域声环境调查的结果，本次声环境监测方案共布设6个声环境监测点。</w:t>
      </w:r>
    </w:p>
    <w:p w14:paraId="678B8804">
      <w:pPr>
        <w:tabs>
          <w:tab w:val="clear" w:pos="480"/>
        </w:tabs>
        <w:spacing w:line="240" w:lineRule="auto"/>
        <w:ind w:firstLine="0" w:firstLineChars="0"/>
        <w:jc w:val="center"/>
        <w:rPr>
          <w:b/>
        </w:rPr>
      </w:pPr>
      <w:r>
        <w:rPr>
          <w:b/>
        </w:rPr>
        <w:t>表5.4-9声环境现状监测点位一览表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2641"/>
        <w:gridCol w:w="2479"/>
        <w:gridCol w:w="1197"/>
        <w:gridCol w:w="1378"/>
      </w:tblGrid>
      <w:tr w14:paraId="241F6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6EEDF118">
            <w:pPr>
              <w:tabs>
                <w:tab w:val="clear" w:pos="480"/>
              </w:tabs>
              <w:ind w:firstLine="0" w:firstLineChars="0"/>
              <w:jc w:val="center"/>
              <w:rPr>
                <w:sz w:val="18"/>
                <w:szCs w:val="18"/>
              </w:rPr>
            </w:pPr>
            <w:r>
              <w:rPr>
                <w:sz w:val="18"/>
                <w:szCs w:val="18"/>
              </w:rPr>
              <w:t>编号</w:t>
            </w:r>
          </w:p>
        </w:tc>
        <w:tc>
          <w:tcPr>
            <w:tcW w:w="1548" w:type="pct"/>
            <w:tcBorders>
              <w:tl2br w:val="nil"/>
              <w:tr2bl w:val="nil"/>
            </w:tcBorders>
            <w:shd w:val="clear" w:color="auto" w:fill="auto"/>
            <w:vAlign w:val="center"/>
          </w:tcPr>
          <w:p w14:paraId="39471849">
            <w:pPr>
              <w:tabs>
                <w:tab w:val="clear" w:pos="480"/>
              </w:tabs>
              <w:ind w:firstLine="0" w:firstLineChars="0"/>
              <w:jc w:val="center"/>
              <w:rPr>
                <w:sz w:val="18"/>
                <w:szCs w:val="18"/>
              </w:rPr>
            </w:pPr>
            <w:r>
              <w:rPr>
                <w:sz w:val="18"/>
                <w:szCs w:val="18"/>
              </w:rPr>
              <w:t>监测点位</w:t>
            </w:r>
          </w:p>
        </w:tc>
        <w:tc>
          <w:tcPr>
            <w:tcW w:w="1453" w:type="pct"/>
            <w:tcBorders>
              <w:tl2br w:val="nil"/>
              <w:tr2bl w:val="nil"/>
            </w:tcBorders>
            <w:shd w:val="clear" w:color="auto" w:fill="auto"/>
            <w:vAlign w:val="center"/>
          </w:tcPr>
          <w:p w14:paraId="777B7804">
            <w:pPr>
              <w:tabs>
                <w:tab w:val="clear" w:pos="480"/>
              </w:tabs>
              <w:ind w:firstLine="0" w:firstLineChars="0"/>
              <w:jc w:val="center"/>
              <w:rPr>
                <w:sz w:val="18"/>
                <w:szCs w:val="18"/>
              </w:rPr>
            </w:pPr>
            <w:r>
              <w:rPr>
                <w:rFonts w:hint="eastAsia"/>
                <w:sz w:val="18"/>
                <w:szCs w:val="18"/>
              </w:rPr>
              <w:t>与本项目位置关</w:t>
            </w:r>
          </w:p>
        </w:tc>
        <w:tc>
          <w:tcPr>
            <w:tcW w:w="702" w:type="pct"/>
            <w:tcBorders>
              <w:tl2br w:val="nil"/>
              <w:tr2bl w:val="nil"/>
            </w:tcBorders>
            <w:shd w:val="clear" w:color="auto" w:fill="auto"/>
            <w:vAlign w:val="center"/>
          </w:tcPr>
          <w:p w14:paraId="56B826F1">
            <w:pPr>
              <w:tabs>
                <w:tab w:val="clear" w:pos="480"/>
              </w:tabs>
              <w:ind w:firstLine="0" w:firstLineChars="0"/>
              <w:jc w:val="center"/>
              <w:rPr>
                <w:sz w:val="18"/>
                <w:szCs w:val="18"/>
              </w:rPr>
            </w:pPr>
            <w:r>
              <w:rPr>
                <w:sz w:val="18"/>
                <w:szCs w:val="18"/>
              </w:rPr>
              <w:t>监测项目</w:t>
            </w:r>
          </w:p>
        </w:tc>
        <w:tc>
          <w:tcPr>
            <w:tcW w:w="808" w:type="pct"/>
            <w:tcBorders>
              <w:tl2br w:val="nil"/>
              <w:tr2bl w:val="nil"/>
            </w:tcBorders>
            <w:shd w:val="clear" w:color="auto" w:fill="auto"/>
            <w:vAlign w:val="center"/>
          </w:tcPr>
          <w:p w14:paraId="71BABE32">
            <w:pPr>
              <w:tabs>
                <w:tab w:val="clear" w:pos="480"/>
              </w:tabs>
              <w:ind w:firstLine="0" w:firstLineChars="0"/>
              <w:jc w:val="center"/>
              <w:rPr>
                <w:sz w:val="18"/>
                <w:szCs w:val="18"/>
              </w:rPr>
            </w:pPr>
            <w:r>
              <w:rPr>
                <w:sz w:val="18"/>
                <w:szCs w:val="18"/>
              </w:rPr>
              <w:t>监测频次</w:t>
            </w:r>
          </w:p>
        </w:tc>
      </w:tr>
      <w:tr w14:paraId="7217E7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6468A709">
            <w:pPr>
              <w:tabs>
                <w:tab w:val="clear" w:pos="480"/>
              </w:tabs>
              <w:ind w:firstLine="0" w:firstLineChars="0"/>
              <w:jc w:val="center"/>
              <w:rPr>
                <w:sz w:val="18"/>
                <w:szCs w:val="18"/>
              </w:rPr>
            </w:pPr>
            <w:r>
              <w:rPr>
                <w:rFonts w:hint="eastAsia"/>
                <w:sz w:val="18"/>
                <w:szCs w:val="18"/>
              </w:rPr>
              <w:t>N</w:t>
            </w:r>
            <w:r>
              <w:rPr>
                <w:sz w:val="18"/>
                <w:szCs w:val="18"/>
              </w:rPr>
              <w:t>7</w:t>
            </w:r>
          </w:p>
        </w:tc>
        <w:tc>
          <w:tcPr>
            <w:tcW w:w="1548" w:type="pct"/>
            <w:shd w:val="clear" w:color="auto" w:fill="auto"/>
            <w:vAlign w:val="center"/>
          </w:tcPr>
          <w:p w14:paraId="1DDCE2D5">
            <w:pPr>
              <w:tabs>
                <w:tab w:val="clear" w:pos="480"/>
              </w:tabs>
              <w:ind w:firstLine="0" w:firstLineChars="0"/>
              <w:jc w:val="center"/>
              <w:rPr>
                <w:sz w:val="18"/>
                <w:szCs w:val="18"/>
              </w:rPr>
            </w:pPr>
            <w:r>
              <w:rPr>
                <w:rFonts w:hint="eastAsia"/>
                <w:sz w:val="18"/>
                <w:szCs w:val="18"/>
              </w:rPr>
              <w:t>羊角冲居民点</w:t>
            </w:r>
          </w:p>
        </w:tc>
        <w:tc>
          <w:tcPr>
            <w:tcW w:w="1453" w:type="pct"/>
            <w:tcBorders>
              <w:tl2br w:val="nil"/>
              <w:tr2bl w:val="nil"/>
            </w:tcBorders>
            <w:shd w:val="clear" w:color="auto" w:fill="auto"/>
            <w:vAlign w:val="center"/>
          </w:tcPr>
          <w:p w14:paraId="3DF6C1B2">
            <w:pPr>
              <w:tabs>
                <w:tab w:val="clear" w:pos="480"/>
              </w:tabs>
              <w:spacing w:line="240" w:lineRule="auto"/>
              <w:ind w:firstLine="0" w:firstLineChars="0"/>
              <w:jc w:val="center"/>
              <w:rPr>
                <w:kern w:val="0"/>
                <w:sz w:val="18"/>
                <w:szCs w:val="18"/>
                <w:lang w:val="zh-CN" w:bidi="zh-CN"/>
              </w:rPr>
            </w:pPr>
            <w:r>
              <w:rPr>
                <w:rFonts w:hint="eastAsia"/>
                <w:kern w:val="0"/>
                <w:sz w:val="18"/>
                <w:szCs w:val="18"/>
                <w:lang w:val="zh-CN" w:bidi="zh-CN"/>
              </w:rPr>
              <w:t>进场道路附近</w:t>
            </w:r>
          </w:p>
        </w:tc>
        <w:tc>
          <w:tcPr>
            <w:tcW w:w="702" w:type="pct"/>
            <w:vMerge w:val="restart"/>
            <w:tcBorders>
              <w:tl2br w:val="nil"/>
              <w:tr2bl w:val="nil"/>
            </w:tcBorders>
            <w:shd w:val="clear" w:color="auto" w:fill="auto"/>
            <w:vAlign w:val="center"/>
          </w:tcPr>
          <w:p w14:paraId="3E71ABF8">
            <w:pPr>
              <w:tabs>
                <w:tab w:val="clear" w:pos="480"/>
              </w:tabs>
              <w:spacing w:line="240" w:lineRule="auto"/>
              <w:ind w:firstLine="0" w:firstLineChars="0"/>
              <w:jc w:val="center"/>
              <w:rPr>
                <w:kern w:val="0"/>
                <w:sz w:val="18"/>
                <w:szCs w:val="18"/>
                <w:lang w:val="zh-CN" w:bidi="zh-CN"/>
              </w:rPr>
            </w:pPr>
            <w:r>
              <w:rPr>
                <w:kern w:val="0"/>
                <w:sz w:val="21"/>
                <w:szCs w:val="21"/>
                <w:lang w:val="zh-CN" w:bidi="zh-CN"/>
              </w:rPr>
              <w:t>Leq（A）</w:t>
            </w:r>
          </w:p>
        </w:tc>
        <w:tc>
          <w:tcPr>
            <w:tcW w:w="808" w:type="pct"/>
            <w:vMerge w:val="restart"/>
            <w:tcBorders>
              <w:tl2br w:val="nil"/>
              <w:tr2bl w:val="nil"/>
            </w:tcBorders>
            <w:shd w:val="clear" w:color="auto" w:fill="auto"/>
            <w:vAlign w:val="center"/>
          </w:tcPr>
          <w:p w14:paraId="29DF2EEC">
            <w:pPr>
              <w:tabs>
                <w:tab w:val="clear" w:pos="480"/>
              </w:tabs>
              <w:spacing w:line="240" w:lineRule="auto"/>
              <w:ind w:firstLine="0" w:firstLineChars="0"/>
              <w:jc w:val="center"/>
              <w:rPr>
                <w:sz w:val="18"/>
                <w:szCs w:val="18"/>
              </w:rPr>
            </w:pPr>
            <w:r>
              <w:rPr>
                <w:sz w:val="21"/>
                <w:szCs w:val="21"/>
              </w:rPr>
              <w:t>2天，</w:t>
            </w:r>
            <w:r>
              <w:rPr>
                <w:sz w:val="21"/>
                <w:szCs w:val="21"/>
                <w:lang w:val="zh-CN"/>
              </w:rPr>
              <w:t>昼夜各监测一次</w:t>
            </w:r>
          </w:p>
        </w:tc>
      </w:tr>
      <w:tr w14:paraId="53F596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1A249C09">
            <w:pPr>
              <w:tabs>
                <w:tab w:val="clear" w:pos="480"/>
              </w:tabs>
              <w:ind w:firstLine="0" w:firstLineChars="0"/>
              <w:jc w:val="center"/>
              <w:rPr>
                <w:sz w:val="18"/>
                <w:szCs w:val="18"/>
              </w:rPr>
            </w:pPr>
            <w:r>
              <w:rPr>
                <w:rFonts w:hint="eastAsia"/>
                <w:sz w:val="18"/>
                <w:szCs w:val="18"/>
              </w:rPr>
              <w:t>N</w:t>
            </w:r>
            <w:r>
              <w:rPr>
                <w:sz w:val="18"/>
                <w:szCs w:val="18"/>
              </w:rPr>
              <w:t>8</w:t>
            </w:r>
          </w:p>
        </w:tc>
        <w:tc>
          <w:tcPr>
            <w:tcW w:w="1548" w:type="pct"/>
            <w:shd w:val="clear" w:color="auto" w:fill="auto"/>
            <w:vAlign w:val="center"/>
          </w:tcPr>
          <w:p w14:paraId="0982C2CA">
            <w:pPr>
              <w:tabs>
                <w:tab w:val="clear" w:pos="480"/>
              </w:tabs>
              <w:ind w:firstLine="0" w:firstLineChars="0"/>
              <w:jc w:val="center"/>
              <w:rPr>
                <w:sz w:val="18"/>
                <w:szCs w:val="18"/>
              </w:rPr>
            </w:pPr>
            <w:r>
              <w:rPr>
                <w:rFonts w:hint="eastAsia"/>
                <w:sz w:val="18"/>
                <w:szCs w:val="18"/>
              </w:rPr>
              <w:t>岣嵝乡环洞村扶贫基地</w:t>
            </w:r>
          </w:p>
        </w:tc>
        <w:tc>
          <w:tcPr>
            <w:tcW w:w="1453" w:type="pct"/>
            <w:tcBorders>
              <w:tl2br w:val="nil"/>
              <w:tr2bl w:val="nil"/>
            </w:tcBorders>
            <w:shd w:val="clear" w:color="auto" w:fill="auto"/>
            <w:vAlign w:val="center"/>
          </w:tcPr>
          <w:p w14:paraId="787777BA">
            <w:pPr>
              <w:tabs>
                <w:tab w:val="clear" w:pos="480"/>
              </w:tabs>
              <w:spacing w:line="240" w:lineRule="auto"/>
              <w:ind w:firstLine="0" w:firstLineChars="0"/>
              <w:jc w:val="center"/>
              <w:rPr>
                <w:kern w:val="0"/>
                <w:sz w:val="18"/>
                <w:szCs w:val="18"/>
                <w:lang w:val="zh-CN" w:bidi="zh-CN"/>
              </w:rPr>
            </w:pPr>
            <w:r>
              <w:rPr>
                <w:rFonts w:hint="eastAsia"/>
                <w:sz w:val="18"/>
                <w:szCs w:val="18"/>
              </w:rPr>
              <w:t>2</w:t>
            </w:r>
            <w:r>
              <w:rPr>
                <w:sz w:val="18"/>
                <w:szCs w:val="18"/>
              </w:rPr>
              <w:t>#</w:t>
            </w:r>
            <w:r>
              <w:rPr>
                <w:rFonts w:hint="eastAsia"/>
                <w:sz w:val="18"/>
                <w:szCs w:val="18"/>
              </w:rPr>
              <w:t>风机机位东北侧</w:t>
            </w:r>
          </w:p>
        </w:tc>
        <w:tc>
          <w:tcPr>
            <w:tcW w:w="702" w:type="pct"/>
            <w:vMerge w:val="continue"/>
            <w:tcBorders>
              <w:tl2br w:val="nil"/>
              <w:tr2bl w:val="nil"/>
            </w:tcBorders>
            <w:shd w:val="clear" w:color="auto" w:fill="auto"/>
            <w:vAlign w:val="center"/>
          </w:tcPr>
          <w:p w14:paraId="1A390B31">
            <w:pPr>
              <w:tabs>
                <w:tab w:val="clear" w:pos="480"/>
              </w:tabs>
              <w:spacing w:line="240" w:lineRule="auto"/>
              <w:ind w:firstLine="0" w:firstLineChars="0"/>
              <w:jc w:val="center"/>
              <w:rPr>
                <w:kern w:val="0"/>
                <w:sz w:val="18"/>
                <w:szCs w:val="18"/>
                <w:lang w:val="zh-CN" w:bidi="zh-CN"/>
              </w:rPr>
            </w:pPr>
          </w:p>
        </w:tc>
        <w:tc>
          <w:tcPr>
            <w:tcW w:w="808" w:type="pct"/>
            <w:vMerge w:val="continue"/>
            <w:tcBorders>
              <w:tl2br w:val="nil"/>
              <w:tr2bl w:val="nil"/>
            </w:tcBorders>
            <w:shd w:val="clear" w:color="auto" w:fill="auto"/>
            <w:vAlign w:val="center"/>
          </w:tcPr>
          <w:p w14:paraId="196F0A94">
            <w:pPr>
              <w:tabs>
                <w:tab w:val="clear" w:pos="480"/>
              </w:tabs>
              <w:spacing w:line="240" w:lineRule="auto"/>
              <w:ind w:firstLine="0" w:firstLineChars="0"/>
              <w:jc w:val="center"/>
              <w:rPr>
                <w:sz w:val="18"/>
                <w:szCs w:val="18"/>
              </w:rPr>
            </w:pPr>
          </w:p>
        </w:tc>
      </w:tr>
      <w:tr w14:paraId="513D0B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0FACB130">
            <w:pPr>
              <w:tabs>
                <w:tab w:val="clear" w:pos="480"/>
              </w:tabs>
              <w:ind w:firstLine="0" w:firstLineChars="0"/>
              <w:jc w:val="center"/>
              <w:rPr>
                <w:sz w:val="18"/>
                <w:szCs w:val="18"/>
              </w:rPr>
            </w:pPr>
            <w:r>
              <w:rPr>
                <w:rFonts w:hint="eastAsia"/>
                <w:sz w:val="18"/>
                <w:szCs w:val="18"/>
              </w:rPr>
              <w:t>N</w:t>
            </w:r>
            <w:r>
              <w:rPr>
                <w:sz w:val="18"/>
                <w:szCs w:val="18"/>
              </w:rPr>
              <w:t>9</w:t>
            </w:r>
          </w:p>
        </w:tc>
        <w:tc>
          <w:tcPr>
            <w:tcW w:w="1548" w:type="pct"/>
            <w:shd w:val="clear" w:color="auto" w:fill="auto"/>
            <w:vAlign w:val="center"/>
          </w:tcPr>
          <w:p w14:paraId="6F1627CC">
            <w:pPr>
              <w:tabs>
                <w:tab w:val="clear" w:pos="480"/>
              </w:tabs>
              <w:ind w:firstLine="0" w:firstLineChars="0"/>
              <w:jc w:val="center"/>
              <w:rPr>
                <w:sz w:val="18"/>
                <w:szCs w:val="18"/>
              </w:rPr>
            </w:pPr>
            <w:r>
              <w:rPr>
                <w:rFonts w:hint="eastAsia"/>
                <w:sz w:val="18"/>
                <w:szCs w:val="18"/>
              </w:rPr>
              <w:t>2</w:t>
            </w:r>
            <w:r>
              <w:rPr>
                <w:sz w:val="18"/>
                <w:szCs w:val="18"/>
              </w:rPr>
              <w:t>#</w:t>
            </w:r>
            <w:r>
              <w:rPr>
                <w:rFonts w:hint="eastAsia"/>
                <w:sz w:val="18"/>
                <w:szCs w:val="18"/>
              </w:rPr>
              <w:t>风机机位</w:t>
            </w:r>
          </w:p>
        </w:tc>
        <w:tc>
          <w:tcPr>
            <w:tcW w:w="1453" w:type="pct"/>
            <w:tcBorders>
              <w:tl2br w:val="nil"/>
              <w:tr2bl w:val="nil"/>
            </w:tcBorders>
            <w:shd w:val="clear" w:color="auto" w:fill="auto"/>
            <w:vAlign w:val="center"/>
          </w:tcPr>
          <w:p w14:paraId="4001A124">
            <w:pPr>
              <w:tabs>
                <w:tab w:val="clear" w:pos="480"/>
              </w:tabs>
              <w:spacing w:line="240" w:lineRule="auto"/>
              <w:ind w:firstLine="0" w:firstLineChars="0"/>
              <w:jc w:val="center"/>
              <w:rPr>
                <w:sz w:val="18"/>
                <w:szCs w:val="18"/>
              </w:rPr>
            </w:pPr>
            <w:r>
              <w:rPr>
                <w:rFonts w:hint="eastAsia"/>
                <w:sz w:val="18"/>
                <w:szCs w:val="18"/>
              </w:rPr>
              <w:t>/</w:t>
            </w:r>
          </w:p>
        </w:tc>
        <w:tc>
          <w:tcPr>
            <w:tcW w:w="702" w:type="pct"/>
            <w:vMerge w:val="continue"/>
            <w:tcBorders>
              <w:tl2br w:val="nil"/>
              <w:tr2bl w:val="nil"/>
            </w:tcBorders>
            <w:shd w:val="clear" w:color="auto" w:fill="auto"/>
            <w:vAlign w:val="center"/>
          </w:tcPr>
          <w:p w14:paraId="198FA870">
            <w:pPr>
              <w:tabs>
                <w:tab w:val="clear" w:pos="480"/>
              </w:tabs>
              <w:spacing w:line="240" w:lineRule="auto"/>
              <w:ind w:firstLine="0" w:firstLineChars="0"/>
              <w:jc w:val="center"/>
              <w:rPr>
                <w:kern w:val="0"/>
                <w:sz w:val="18"/>
                <w:szCs w:val="18"/>
                <w:lang w:val="zh-CN" w:bidi="zh-CN"/>
              </w:rPr>
            </w:pPr>
          </w:p>
        </w:tc>
        <w:tc>
          <w:tcPr>
            <w:tcW w:w="808" w:type="pct"/>
            <w:vMerge w:val="continue"/>
            <w:tcBorders>
              <w:tl2br w:val="nil"/>
              <w:tr2bl w:val="nil"/>
            </w:tcBorders>
            <w:shd w:val="clear" w:color="auto" w:fill="auto"/>
            <w:vAlign w:val="center"/>
          </w:tcPr>
          <w:p w14:paraId="373D99AB">
            <w:pPr>
              <w:tabs>
                <w:tab w:val="clear" w:pos="480"/>
              </w:tabs>
              <w:spacing w:line="240" w:lineRule="auto"/>
              <w:ind w:firstLine="0" w:firstLineChars="0"/>
              <w:jc w:val="center"/>
              <w:rPr>
                <w:sz w:val="18"/>
                <w:szCs w:val="18"/>
              </w:rPr>
            </w:pPr>
          </w:p>
        </w:tc>
      </w:tr>
      <w:tr w14:paraId="535AB7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2DFB0A79">
            <w:pPr>
              <w:tabs>
                <w:tab w:val="clear" w:pos="480"/>
              </w:tabs>
              <w:ind w:firstLine="0" w:firstLineChars="0"/>
              <w:jc w:val="center"/>
              <w:rPr>
                <w:sz w:val="18"/>
                <w:szCs w:val="18"/>
              </w:rPr>
            </w:pPr>
            <w:r>
              <w:rPr>
                <w:rFonts w:hint="eastAsia"/>
                <w:sz w:val="18"/>
                <w:szCs w:val="18"/>
              </w:rPr>
              <w:t>N</w:t>
            </w:r>
            <w:r>
              <w:rPr>
                <w:sz w:val="18"/>
                <w:szCs w:val="18"/>
              </w:rPr>
              <w:t>10</w:t>
            </w:r>
          </w:p>
        </w:tc>
        <w:tc>
          <w:tcPr>
            <w:tcW w:w="1548" w:type="pct"/>
            <w:shd w:val="clear" w:color="auto" w:fill="auto"/>
            <w:vAlign w:val="center"/>
          </w:tcPr>
          <w:p w14:paraId="12CD8A9E">
            <w:pPr>
              <w:tabs>
                <w:tab w:val="clear" w:pos="480"/>
              </w:tabs>
              <w:ind w:firstLine="0" w:firstLineChars="0"/>
              <w:jc w:val="center"/>
              <w:rPr>
                <w:sz w:val="18"/>
                <w:szCs w:val="18"/>
              </w:rPr>
            </w:pPr>
            <w:r>
              <w:rPr>
                <w:rFonts w:hint="eastAsia"/>
                <w:sz w:val="18"/>
                <w:szCs w:val="18"/>
              </w:rPr>
              <w:t>元冲</w:t>
            </w:r>
          </w:p>
        </w:tc>
        <w:tc>
          <w:tcPr>
            <w:tcW w:w="1453" w:type="pct"/>
            <w:tcBorders>
              <w:tl2br w:val="nil"/>
              <w:tr2bl w:val="nil"/>
            </w:tcBorders>
            <w:shd w:val="clear" w:color="auto" w:fill="auto"/>
            <w:vAlign w:val="center"/>
          </w:tcPr>
          <w:p w14:paraId="724B8DE3">
            <w:pPr>
              <w:tabs>
                <w:tab w:val="clear" w:pos="480"/>
              </w:tabs>
              <w:spacing w:line="240" w:lineRule="auto"/>
              <w:ind w:firstLine="0" w:firstLineChars="0"/>
              <w:jc w:val="center"/>
              <w:rPr>
                <w:sz w:val="18"/>
                <w:szCs w:val="18"/>
              </w:rPr>
            </w:pPr>
            <w:r>
              <w:rPr>
                <w:rFonts w:hint="eastAsia"/>
                <w:sz w:val="18"/>
                <w:szCs w:val="18"/>
              </w:rPr>
              <w:t>检修道路左侧</w:t>
            </w:r>
          </w:p>
        </w:tc>
        <w:tc>
          <w:tcPr>
            <w:tcW w:w="702" w:type="pct"/>
            <w:vMerge w:val="continue"/>
            <w:tcBorders>
              <w:tl2br w:val="nil"/>
              <w:tr2bl w:val="nil"/>
            </w:tcBorders>
            <w:shd w:val="clear" w:color="auto" w:fill="auto"/>
            <w:vAlign w:val="center"/>
          </w:tcPr>
          <w:p w14:paraId="578F2A09">
            <w:pPr>
              <w:tabs>
                <w:tab w:val="clear" w:pos="480"/>
              </w:tabs>
              <w:spacing w:line="240" w:lineRule="auto"/>
              <w:ind w:firstLine="0" w:firstLineChars="0"/>
              <w:jc w:val="center"/>
              <w:rPr>
                <w:kern w:val="0"/>
                <w:sz w:val="18"/>
                <w:szCs w:val="18"/>
                <w:lang w:val="zh-CN" w:bidi="zh-CN"/>
              </w:rPr>
            </w:pPr>
          </w:p>
        </w:tc>
        <w:tc>
          <w:tcPr>
            <w:tcW w:w="808" w:type="pct"/>
            <w:vMerge w:val="continue"/>
            <w:tcBorders>
              <w:tl2br w:val="nil"/>
              <w:tr2bl w:val="nil"/>
            </w:tcBorders>
            <w:shd w:val="clear" w:color="auto" w:fill="auto"/>
            <w:vAlign w:val="center"/>
          </w:tcPr>
          <w:p w14:paraId="2A4C7CC1">
            <w:pPr>
              <w:tabs>
                <w:tab w:val="clear" w:pos="480"/>
              </w:tabs>
              <w:spacing w:line="240" w:lineRule="auto"/>
              <w:ind w:firstLine="0" w:firstLineChars="0"/>
              <w:jc w:val="center"/>
              <w:rPr>
                <w:sz w:val="18"/>
                <w:szCs w:val="18"/>
              </w:rPr>
            </w:pPr>
          </w:p>
        </w:tc>
      </w:tr>
      <w:tr w14:paraId="5C9852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5A445CB4">
            <w:pPr>
              <w:tabs>
                <w:tab w:val="clear" w:pos="480"/>
              </w:tabs>
              <w:ind w:firstLine="0" w:firstLineChars="0"/>
              <w:jc w:val="center"/>
              <w:rPr>
                <w:sz w:val="18"/>
                <w:szCs w:val="18"/>
              </w:rPr>
            </w:pPr>
            <w:r>
              <w:rPr>
                <w:rFonts w:hint="eastAsia"/>
                <w:sz w:val="18"/>
                <w:szCs w:val="18"/>
              </w:rPr>
              <w:t>N</w:t>
            </w:r>
            <w:r>
              <w:rPr>
                <w:sz w:val="18"/>
                <w:szCs w:val="18"/>
              </w:rPr>
              <w:t>11</w:t>
            </w:r>
          </w:p>
        </w:tc>
        <w:tc>
          <w:tcPr>
            <w:tcW w:w="1548" w:type="pct"/>
            <w:shd w:val="clear" w:color="auto" w:fill="auto"/>
            <w:vAlign w:val="center"/>
          </w:tcPr>
          <w:p w14:paraId="0BA559D5">
            <w:pPr>
              <w:tabs>
                <w:tab w:val="clear" w:pos="480"/>
              </w:tabs>
              <w:ind w:firstLine="0" w:firstLineChars="0"/>
              <w:jc w:val="center"/>
              <w:rPr>
                <w:sz w:val="18"/>
                <w:szCs w:val="18"/>
              </w:rPr>
            </w:pPr>
            <w:r>
              <w:rPr>
                <w:rFonts w:hint="eastAsia"/>
                <w:sz w:val="18"/>
                <w:szCs w:val="18"/>
              </w:rPr>
              <w:t>大湾</w:t>
            </w:r>
          </w:p>
        </w:tc>
        <w:tc>
          <w:tcPr>
            <w:tcW w:w="1453" w:type="pct"/>
            <w:tcBorders>
              <w:tl2br w:val="nil"/>
              <w:tr2bl w:val="nil"/>
            </w:tcBorders>
            <w:shd w:val="clear" w:color="auto" w:fill="auto"/>
            <w:vAlign w:val="center"/>
          </w:tcPr>
          <w:p w14:paraId="6173FE31">
            <w:pPr>
              <w:tabs>
                <w:tab w:val="clear" w:pos="480"/>
              </w:tabs>
              <w:spacing w:line="240" w:lineRule="auto"/>
              <w:ind w:firstLine="0" w:firstLineChars="0"/>
              <w:jc w:val="center"/>
              <w:rPr>
                <w:sz w:val="18"/>
                <w:szCs w:val="18"/>
              </w:rPr>
            </w:pPr>
            <w:r>
              <w:rPr>
                <w:rFonts w:hint="eastAsia"/>
                <w:sz w:val="18"/>
                <w:szCs w:val="18"/>
              </w:rPr>
              <w:t>检修道路右侧</w:t>
            </w:r>
          </w:p>
        </w:tc>
        <w:tc>
          <w:tcPr>
            <w:tcW w:w="702" w:type="pct"/>
            <w:vMerge w:val="continue"/>
            <w:tcBorders>
              <w:tl2br w:val="nil"/>
              <w:tr2bl w:val="nil"/>
            </w:tcBorders>
            <w:shd w:val="clear" w:color="auto" w:fill="auto"/>
            <w:vAlign w:val="center"/>
          </w:tcPr>
          <w:p w14:paraId="39EB9862">
            <w:pPr>
              <w:tabs>
                <w:tab w:val="clear" w:pos="480"/>
              </w:tabs>
              <w:spacing w:line="240" w:lineRule="auto"/>
              <w:ind w:firstLine="0" w:firstLineChars="0"/>
              <w:jc w:val="center"/>
              <w:rPr>
                <w:kern w:val="0"/>
                <w:sz w:val="18"/>
                <w:szCs w:val="18"/>
                <w:lang w:val="zh-CN" w:bidi="zh-CN"/>
              </w:rPr>
            </w:pPr>
          </w:p>
        </w:tc>
        <w:tc>
          <w:tcPr>
            <w:tcW w:w="808" w:type="pct"/>
            <w:vMerge w:val="continue"/>
            <w:tcBorders>
              <w:tl2br w:val="nil"/>
              <w:tr2bl w:val="nil"/>
            </w:tcBorders>
            <w:shd w:val="clear" w:color="auto" w:fill="auto"/>
            <w:vAlign w:val="center"/>
          </w:tcPr>
          <w:p w14:paraId="1E41C7BD">
            <w:pPr>
              <w:tabs>
                <w:tab w:val="clear" w:pos="480"/>
              </w:tabs>
              <w:spacing w:line="240" w:lineRule="auto"/>
              <w:ind w:firstLine="0" w:firstLineChars="0"/>
              <w:jc w:val="center"/>
              <w:rPr>
                <w:sz w:val="18"/>
                <w:szCs w:val="18"/>
              </w:rPr>
            </w:pPr>
          </w:p>
        </w:tc>
      </w:tr>
      <w:tr w14:paraId="12B167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8" w:type="pct"/>
            <w:tcBorders>
              <w:tl2br w:val="nil"/>
              <w:tr2bl w:val="nil"/>
            </w:tcBorders>
            <w:shd w:val="clear" w:color="auto" w:fill="auto"/>
            <w:vAlign w:val="center"/>
          </w:tcPr>
          <w:p w14:paraId="5AAF9A69">
            <w:pPr>
              <w:tabs>
                <w:tab w:val="clear" w:pos="480"/>
              </w:tabs>
              <w:ind w:firstLine="0" w:firstLineChars="0"/>
              <w:jc w:val="center"/>
              <w:rPr>
                <w:sz w:val="18"/>
                <w:szCs w:val="18"/>
              </w:rPr>
            </w:pPr>
            <w:r>
              <w:rPr>
                <w:rFonts w:hint="eastAsia"/>
                <w:sz w:val="18"/>
                <w:szCs w:val="18"/>
              </w:rPr>
              <w:t>N</w:t>
            </w:r>
            <w:r>
              <w:rPr>
                <w:sz w:val="18"/>
                <w:szCs w:val="18"/>
              </w:rPr>
              <w:t>12</w:t>
            </w:r>
          </w:p>
        </w:tc>
        <w:tc>
          <w:tcPr>
            <w:tcW w:w="1548" w:type="pct"/>
            <w:shd w:val="clear" w:color="auto" w:fill="auto"/>
            <w:vAlign w:val="center"/>
          </w:tcPr>
          <w:p w14:paraId="1DC39BD8">
            <w:pPr>
              <w:tabs>
                <w:tab w:val="clear" w:pos="480"/>
              </w:tabs>
              <w:ind w:firstLine="0" w:firstLineChars="0"/>
              <w:jc w:val="center"/>
              <w:rPr>
                <w:sz w:val="18"/>
                <w:szCs w:val="18"/>
              </w:rPr>
            </w:pPr>
            <w:r>
              <w:rPr>
                <w:rFonts w:hint="eastAsia"/>
                <w:sz w:val="18"/>
                <w:szCs w:val="18"/>
              </w:rPr>
              <w:t>渣江镇仁黄村居民点</w:t>
            </w:r>
          </w:p>
        </w:tc>
        <w:tc>
          <w:tcPr>
            <w:tcW w:w="1453" w:type="pct"/>
            <w:tcBorders>
              <w:tl2br w:val="nil"/>
              <w:tr2bl w:val="nil"/>
            </w:tcBorders>
            <w:shd w:val="clear" w:color="auto" w:fill="auto"/>
            <w:vAlign w:val="center"/>
          </w:tcPr>
          <w:p w14:paraId="743E5DF2">
            <w:pPr>
              <w:tabs>
                <w:tab w:val="clear" w:pos="480"/>
              </w:tabs>
              <w:spacing w:line="240" w:lineRule="auto"/>
              <w:ind w:firstLine="0" w:firstLineChars="0"/>
              <w:jc w:val="center"/>
              <w:rPr>
                <w:kern w:val="0"/>
                <w:sz w:val="18"/>
                <w:szCs w:val="18"/>
                <w:lang w:bidi="zh-CN"/>
              </w:rPr>
            </w:pPr>
            <w:r>
              <w:rPr>
                <w:sz w:val="18"/>
                <w:szCs w:val="18"/>
              </w:rPr>
              <w:t>6#</w:t>
            </w:r>
            <w:r>
              <w:rPr>
                <w:rFonts w:hint="eastAsia"/>
                <w:sz w:val="18"/>
                <w:szCs w:val="18"/>
              </w:rPr>
              <w:t>风机机位西南侧</w:t>
            </w:r>
          </w:p>
        </w:tc>
        <w:tc>
          <w:tcPr>
            <w:tcW w:w="702" w:type="pct"/>
            <w:vMerge w:val="continue"/>
            <w:tcBorders>
              <w:tl2br w:val="nil"/>
              <w:tr2bl w:val="nil"/>
            </w:tcBorders>
            <w:shd w:val="clear" w:color="auto" w:fill="auto"/>
            <w:vAlign w:val="center"/>
          </w:tcPr>
          <w:p w14:paraId="17A6FAC3">
            <w:pPr>
              <w:tabs>
                <w:tab w:val="clear" w:pos="480"/>
              </w:tabs>
              <w:spacing w:line="240" w:lineRule="auto"/>
              <w:ind w:firstLine="0" w:firstLineChars="0"/>
              <w:jc w:val="center"/>
              <w:rPr>
                <w:kern w:val="0"/>
                <w:sz w:val="18"/>
                <w:szCs w:val="18"/>
                <w:lang w:val="zh-CN" w:bidi="zh-CN"/>
              </w:rPr>
            </w:pPr>
          </w:p>
        </w:tc>
        <w:tc>
          <w:tcPr>
            <w:tcW w:w="808" w:type="pct"/>
            <w:vMerge w:val="continue"/>
            <w:tcBorders>
              <w:tl2br w:val="nil"/>
              <w:tr2bl w:val="nil"/>
            </w:tcBorders>
            <w:shd w:val="clear" w:color="auto" w:fill="auto"/>
            <w:vAlign w:val="center"/>
          </w:tcPr>
          <w:p w14:paraId="7BEEC967">
            <w:pPr>
              <w:tabs>
                <w:tab w:val="clear" w:pos="480"/>
              </w:tabs>
              <w:spacing w:line="240" w:lineRule="auto"/>
              <w:ind w:firstLine="0" w:firstLineChars="0"/>
              <w:jc w:val="center"/>
              <w:rPr>
                <w:sz w:val="18"/>
                <w:szCs w:val="18"/>
              </w:rPr>
            </w:pPr>
          </w:p>
        </w:tc>
      </w:tr>
    </w:tbl>
    <w:p w14:paraId="3AEDFF71">
      <w:pPr>
        <w:adjustRightInd w:val="0"/>
        <w:snapToGrid w:val="0"/>
        <w:ind w:firstLine="480"/>
      </w:pPr>
      <w:r>
        <w:t>（2）监测方法及频率</w:t>
      </w:r>
    </w:p>
    <w:p w14:paraId="576D58EF">
      <w:pPr>
        <w:adjustRightInd w:val="0"/>
        <w:snapToGrid w:val="0"/>
        <w:ind w:firstLine="480"/>
      </w:pPr>
      <w:r>
        <w:t>按照《声环境质量标准》（GB3096－2008）中有关规定进行。各监测点按昼夜分段监测，昼间：6:00～22:00 ；夜间：22:00～次日6:00。连续监测2天。</w:t>
      </w:r>
    </w:p>
    <w:p w14:paraId="18F99C39">
      <w:pPr>
        <w:adjustRightInd w:val="0"/>
        <w:snapToGrid w:val="0"/>
        <w:ind w:firstLine="480"/>
      </w:pPr>
      <w:r>
        <w:t>（3）监测结果及评价</w:t>
      </w:r>
    </w:p>
    <w:p w14:paraId="3AEAF08D">
      <w:pPr>
        <w:adjustRightInd w:val="0"/>
        <w:snapToGrid w:val="0"/>
        <w:ind w:firstLine="480"/>
      </w:pPr>
      <w:r>
        <w:t>本次声环境评价标准执行《声环境质量标准》（GB3096-2008）中2类标准，即昼间≤60dB（A）、夜间≤50dB（A）。各监测点噪声现状值及评价结果见下表。</w:t>
      </w:r>
    </w:p>
    <w:p w14:paraId="621B33C0">
      <w:pPr>
        <w:tabs>
          <w:tab w:val="clear" w:pos="480"/>
        </w:tabs>
        <w:spacing w:line="240" w:lineRule="auto"/>
        <w:ind w:firstLine="0" w:firstLineChars="0"/>
        <w:jc w:val="center"/>
        <w:rPr>
          <w:b/>
        </w:rPr>
      </w:pPr>
      <w:r>
        <w:rPr>
          <w:b/>
        </w:rPr>
        <w:t>表5.4-10声环境现状评价结果统计表    单位dB(A)</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99"/>
        <w:gridCol w:w="1001"/>
        <w:gridCol w:w="1003"/>
        <w:gridCol w:w="1001"/>
        <w:gridCol w:w="1003"/>
        <w:gridCol w:w="721"/>
        <w:gridCol w:w="723"/>
        <w:gridCol w:w="776"/>
      </w:tblGrid>
      <w:tr w14:paraId="638F00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348" w:type="pct"/>
            <w:vMerge w:val="restart"/>
            <w:vAlign w:val="center"/>
          </w:tcPr>
          <w:p w14:paraId="489D477B">
            <w:pPr>
              <w:tabs>
                <w:tab w:val="clear" w:pos="480"/>
              </w:tabs>
              <w:adjustRightInd w:val="0"/>
              <w:snapToGrid w:val="0"/>
              <w:spacing w:line="240" w:lineRule="auto"/>
              <w:ind w:firstLine="0" w:firstLineChars="0"/>
              <w:jc w:val="center"/>
              <w:rPr>
                <w:kern w:val="0"/>
                <w:sz w:val="21"/>
                <w:szCs w:val="21"/>
              </w:rPr>
            </w:pPr>
            <w:r>
              <w:rPr>
                <w:kern w:val="0"/>
                <w:sz w:val="21"/>
                <w:szCs w:val="21"/>
              </w:rPr>
              <w:t>监测点位</w:t>
            </w:r>
          </w:p>
        </w:tc>
        <w:tc>
          <w:tcPr>
            <w:tcW w:w="1175" w:type="pct"/>
            <w:gridSpan w:val="2"/>
            <w:vAlign w:val="center"/>
          </w:tcPr>
          <w:p w14:paraId="54CC27C1">
            <w:pPr>
              <w:tabs>
                <w:tab w:val="clear" w:pos="480"/>
              </w:tabs>
              <w:adjustRightInd w:val="0"/>
              <w:snapToGrid w:val="0"/>
              <w:spacing w:line="240" w:lineRule="auto"/>
              <w:ind w:firstLine="0" w:firstLineChars="0"/>
              <w:jc w:val="center"/>
              <w:rPr>
                <w:kern w:val="0"/>
                <w:sz w:val="21"/>
                <w:szCs w:val="21"/>
              </w:rPr>
            </w:pPr>
            <w:r>
              <w:rPr>
                <w:kern w:val="0"/>
                <w:sz w:val="21"/>
                <w:szCs w:val="21"/>
              </w:rPr>
              <w:t>8月5日</w:t>
            </w:r>
          </w:p>
        </w:tc>
        <w:tc>
          <w:tcPr>
            <w:tcW w:w="1175" w:type="pct"/>
            <w:gridSpan w:val="2"/>
            <w:vAlign w:val="center"/>
          </w:tcPr>
          <w:p w14:paraId="371DEA6F">
            <w:pPr>
              <w:tabs>
                <w:tab w:val="clear" w:pos="480"/>
              </w:tabs>
              <w:adjustRightInd w:val="0"/>
              <w:snapToGrid w:val="0"/>
              <w:spacing w:line="240" w:lineRule="auto"/>
              <w:ind w:firstLine="0" w:firstLineChars="0"/>
              <w:jc w:val="center"/>
              <w:rPr>
                <w:kern w:val="0"/>
                <w:sz w:val="21"/>
                <w:szCs w:val="21"/>
              </w:rPr>
            </w:pPr>
            <w:r>
              <w:rPr>
                <w:kern w:val="0"/>
                <w:sz w:val="21"/>
                <w:szCs w:val="21"/>
              </w:rPr>
              <w:t>8月6日</w:t>
            </w:r>
          </w:p>
        </w:tc>
        <w:tc>
          <w:tcPr>
            <w:tcW w:w="847" w:type="pct"/>
            <w:gridSpan w:val="2"/>
            <w:vAlign w:val="center"/>
          </w:tcPr>
          <w:p w14:paraId="11B77D91">
            <w:pPr>
              <w:tabs>
                <w:tab w:val="clear" w:pos="480"/>
              </w:tabs>
              <w:adjustRightInd w:val="0"/>
              <w:snapToGrid w:val="0"/>
              <w:spacing w:line="240" w:lineRule="auto"/>
              <w:ind w:firstLine="0" w:firstLineChars="0"/>
              <w:jc w:val="center"/>
              <w:rPr>
                <w:kern w:val="0"/>
                <w:sz w:val="21"/>
                <w:szCs w:val="21"/>
              </w:rPr>
            </w:pPr>
            <w:r>
              <w:rPr>
                <w:kern w:val="0"/>
                <w:sz w:val="21"/>
                <w:szCs w:val="21"/>
              </w:rPr>
              <w:t>评价标准</w:t>
            </w:r>
          </w:p>
        </w:tc>
        <w:tc>
          <w:tcPr>
            <w:tcW w:w="456" w:type="pct"/>
            <w:vMerge w:val="restart"/>
            <w:vAlign w:val="center"/>
          </w:tcPr>
          <w:p w14:paraId="4758E3F7">
            <w:pPr>
              <w:tabs>
                <w:tab w:val="clear" w:pos="480"/>
              </w:tabs>
              <w:adjustRightInd w:val="0"/>
              <w:snapToGrid w:val="0"/>
              <w:spacing w:line="240" w:lineRule="auto"/>
              <w:ind w:firstLine="0" w:firstLineChars="0"/>
              <w:jc w:val="center"/>
              <w:rPr>
                <w:kern w:val="0"/>
                <w:sz w:val="21"/>
                <w:szCs w:val="21"/>
              </w:rPr>
            </w:pPr>
            <w:r>
              <w:rPr>
                <w:kern w:val="0"/>
                <w:sz w:val="21"/>
                <w:szCs w:val="21"/>
              </w:rPr>
              <w:t>是否</w:t>
            </w:r>
          </w:p>
          <w:p w14:paraId="382E4EBA">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51A7A0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348" w:type="pct"/>
            <w:vMerge w:val="continue"/>
            <w:vAlign w:val="center"/>
          </w:tcPr>
          <w:p w14:paraId="001E7A0A">
            <w:pPr>
              <w:tabs>
                <w:tab w:val="clear" w:pos="480"/>
              </w:tabs>
              <w:adjustRightInd w:val="0"/>
              <w:snapToGrid w:val="0"/>
              <w:spacing w:line="240" w:lineRule="auto"/>
              <w:ind w:firstLine="0" w:firstLineChars="0"/>
              <w:jc w:val="center"/>
              <w:rPr>
                <w:kern w:val="0"/>
                <w:sz w:val="21"/>
                <w:szCs w:val="21"/>
              </w:rPr>
            </w:pPr>
          </w:p>
        </w:tc>
        <w:tc>
          <w:tcPr>
            <w:tcW w:w="587" w:type="pct"/>
            <w:vAlign w:val="center"/>
          </w:tcPr>
          <w:p w14:paraId="2C3C82A3">
            <w:pPr>
              <w:tabs>
                <w:tab w:val="clear" w:pos="480"/>
              </w:tabs>
              <w:adjustRightInd w:val="0"/>
              <w:snapToGrid w:val="0"/>
              <w:spacing w:line="240" w:lineRule="auto"/>
              <w:ind w:firstLine="0" w:firstLineChars="0"/>
              <w:jc w:val="center"/>
              <w:rPr>
                <w:kern w:val="0"/>
                <w:sz w:val="21"/>
                <w:szCs w:val="21"/>
              </w:rPr>
            </w:pPr>
            <w:r>
              <w:rPr>
                <w:kern w:val="0"/>
                <w:sz w:val="21"/>
                <w:szCs w:val="21"/>
              </w:rPr>
              <w:t>昼间</w:t>
            </w:r>
          </w:p>
        </w:tc>
        <w:tc>
          <w:tcPr>
            <w:tcW w:w="588" w:type="pct"/>
            <w:vAlign w:val="center"/>
          </w:tcPr>
          <w:p w14:paraId="286C791D">
            <w:pPr>
              <w:tabs>
                <w:tab w:val="clear" w:pos="480"/>
              </w:tabs>
              <w:adjustRightInd w:val="0"/>
              <w:snapToGrid w:val="0"/>
              <w:spacing w:line="240" w:lineRule="auto"/>
              <w:ind w:firstLine="0" w:firstLineChars="0"/>
              <w:jc w:val="center"/>
              <w:rPr>
                <w:kern w:val="0"/>
                <w:sz w:val="21"/>
                <w:szCs w:val="21"/>
              </w:rPr>
            </w:pPr>
            <w:r>
              <w:rPr>
                <w:kern w:val="0"/>
                <w:sz w:val="21"/>
                <w:szCs w:val="21"/>
              </w:rPr>
              <w:t>夜间</w:t>
            </w:r>
          </w:p>
        </w:tc>
        <w:tc>
          <w:tcPr>
            <w:tcW w:w="587" w:type="pct"/>
            <w:vAlign w:val="center"/>
          </w:tcPr>
          <w:p w14:paraId="646F23DA">
            <w:pPr>
              <w:tabs>
                <w:tab w:val="clear" w:pos="480"/>
              </w:tabs>
              <w:adjustRightInd w:val="0"/>
              <w:snapToGrid w:val="0"/>
              <w:spacing w:line="240" w:lineRule="auto"/>
              <w:ind w:firstLine="0" w:firstLineChars="0"/>
              <w:jc w:val="center"/>
              <w:rPr>
                <w:kern w:val="0"/>
                <w:sz w:val="21"/>
                <w:szCs w:val="21"/>
              </w:rPr>
            </w:pPr>
            <w:r>
              <w:rPr>
                <w:kern w:val="0"/>
                <w:sz w:val="21"/>
                <w:szCs w:val="21"/>
              </w:rPr>
              <w:t>昼间</w:t>
            </w:r>
          </w:p>
        </w:tc>
        <w:tc>
          <w:tcPr>
            <w:tcW w:w="588" w:type="pct"/>
            <w:vAlign w:val="center"/>
          </w:tcPr>
          <w:p w14:paraId="16BF45A1">
            <w:pPr>
              <w:tabs>
                <w:tab w:val="clear" w:pos="480"/>
              </w:tabs>
              <w:adjustRightInd w:val="0"/>
              <w:snapToGrid w:val="0"/>
              <w:spacing w:line="240" w:lineRule="auto"/>
              <w:ind w:firstLine="0" w:firstLineChars="0"/>
              <w:jc w:val="center"/>
              <w:rPr>
                <w:kern w:val="0"/>
                <w:sz w:val="21"/>
                <w:szCs w:val="21"/>
              </w:rPr>
            </w:pPr>
            <w:r>
              <w:rPr>
                <w:kern w:val="0"/>
                <w:sz w:val="21"/>
                <w:szCs w:val="21"/>
              </w:rPr>
              <w:t>夜间</w:t>
            </w:r>
          </w:p>
        </w:tc>
        <w:tc>
          <w:tcPr>
            <w:tcW w:w="423" w:type="pct"/>
            <w:vAlign w:val="center"/>
          </w:tcPr>
          <w:p w14:paraId="42DEE663">
            <w:pPr>
              <w:tabs>
                <w:tab w:val="clear" w:pos="480"/>
              </w:tabs>
              <w:adjustRightInd w:val="0"/>
              <w:snapToGrid w:val="0"/>
              <w:spacing w:line="240" w:lineRule="auto"/>
              <w:ind w:firstLine="0" w:firstLineChars="0"/>
              <w:jc w:val="center"/>
              <w:rPr>
                <w:kern w:val="0"/>
                <w:sz w:val="21"/>
                <w:szCs w:val="21"/>
              </w:rPr>
            </w:pPr>
            <w:r>
              <w:rPr>
                <w:kern w:val="0"/>
                <w:sz w:val="21"/>
                <w:szCs w:val="21"/>
              </w:rPr>
              <w:t>昼间</w:t>
            </w:r>
          </w:p>
        </w:tc>
        <w:tc>
          <w:tcPr>
            <w:tcW w:w="423" w:type="pct"/>
            <w:vAlign w:val="center"/>
          </w:tcPr>
          <w:p w14:paraId="7C3946F1">
            <w:pPr>
              <w:tabs>
                <w:tab w:val="clear" w:pos="480"/>
              </w:tabs>
              <w:adjustRightInd w:val="0"/>
              <w:snapToGrid w:val="0"/>
              <w:spacing w:line="240" w:lineRule="auto"/>
              <w:ind w:firstLine="0" w:firstLineChars="0"/>
              <w:jc w:val="center"/>
              <w:rPr>
                <w:kern w:val="0"/>
                <w:sz w:val="21"/>
                <w:szCs w:val="21"/>
              </w:rPr>
            </w:pPr>
            <w:r>
              <w:rPr>
                <w:kern w:val="0"/>
                <w:sz w:val="21"/>
                <w:szCs w:val="21"/>
              </w:rPr>
              <w:t>夜间</w:t>
            </w:r>
          </w:p>
        </w:tc>
        <w:tc>
          <w:tcPr>
            <w:tcW w:w="456" w:type="pct"/>
            <w:vMerge w:val="continue"/>
            <w:vAlign w:val="center"/>
          </w:tcPr>
          <w:p w14:paraId="3C6389BB">
            <w:pPr>
              <w:tabs>
                <w:tab w:val="clear" w:pos="480"/>
              </w:tabs>
              <w:adjustRightInd w:val="0"/>
              <w:snapToGrid w:val="0"/>
              <w:spacing w:line="240" w:lineRule="auto"/>
              <w:ind w:firstLine="0" w:firstLineChars="0"/>
              <w:jc w:val="center"/>
              <w:rPr>
                <w:kern w:val="0"/>
                <w:sz w:val="21"/>
                <w:szCs w:val="21"/>
              </w:rPr>
            </w:pPr>
          </w:p>
        </w:tc>
      </w:tr>
      <w:tr w14:paraId="6E4D6C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26BC995D">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羊角冲居民点</w:t>
            </w:r>
          </w:p>
        </w:tc>
        <w:tc>
          <w:tcPr>
            <w:tcW w:w="587" w:type="pct"/>
            <w:vAlign w:val="center"/>
          </w:tcPr>
          <w:p w14:paraId="2C5448E6">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6.8</w:t>
            </w:r>
          </w:p>
        </w:tc>
        <w:tc>
          <w:tcPr>
            <w:tcW w:w="588" w:type="pct"/>
            <w:vAlign w:val="center"/>
          </w:tcPr>
          <w:p w14:paraId="387D574D">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7.1</w:t>
            </w:r>
          </w:p>
        </w:tc>
        <w:tc>
          <w:tcPr>
            <w:tcW w:w="587" w:type="pct"/>
            <w:vAlign w:val="center"/>
          </w:tcPr>
          <w:p w14:paraId="3B8B0435">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6.9</w:t>
            </w:r>
          </w:p>
        </w:tc>
        <w:tc>
          <w:tcPr>
            <w:tcW w:w="588" w:type="pct"/>
            <w:vAlign w:val="center"/>
          </w:tcPr>
          <w:p w14:paraId="5F2D39EC">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7.7</w:t>
            </w:r>
          </w:p>
        </w:tc>
        <w:tc>
          <w:tcPr>
            <w:tcW w:w="423" w:type="pct"/>
            <w:vAlign w:val="center"/>
          </w:tcPr>
          <w:p w14:paraId="6513F650">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49DD4443">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48909914">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3F2D38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2B54F5AE">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岣嵝乡环洞村扶贫基地</w:t>
            </w:r>
          </w:p>
        </w:tc>
        <w:tc>
          <w:tcPr>
            <w:tcW w:w="587" w:type="pct"/>
            <w:vAlign w:val="center"/>
          </w:tcPr>
          <w:p w14:paraId="7561E701">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6.2</w:t>
            </w:r>
          </w:p>
        </w:tc>
        <w:tc>
          <w:tcPr>
            <w:tcW w:w="588" w:type="pct"/>
            <w:vAlign w:val="center"/>
          </w:tcPr>
          <w:p w14:paraId="47E8068D">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7.3</w:t>
            </w:r>
          </w:p>
        </w:tc>
        <w:tc>
          <w:tcPr>
            <w:tcW w:w="587" w:type="pct"/>
            <w:vAlign w:val="center"/>
          </w:tcPr>
          <w:p w14:paraId="2B502C5C">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6.9</w:t>
            </w:r>
          </w:p>
        </w:tc>
        <w:tc>
          <w:tcPr>
            <w:tcW w:w="588" w:type="pct"/>
            <w:vAlign w:val="center"/>
          </w:tcPr>
          <w:p w14:paraId="3DC296CB">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6.8</w:t>
            </w:r>
          </w:p>
        </w:tc>
        <w:tc>
          <w:tcPr>
            <w:tcW w:w="423" w:type="pct"/>
            <w:vAlign w:val="center"/>
          </w:tcPr>
          <w:p w14:paraId="6D1FCDA0">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782051D5">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0AF04900">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62E88A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44E7F17A">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2</w:t>
            </w:r>
            <w:r>
              <w:rPr>
                <w:kern w:val="0"/>
                <w:sz w:val="21"/>
                <w:szCs w:val="21"/>
              </w:rPr>
              <w:t>#</w:t>
            </w:r>
            <w:r>
              <w:rPr>
                <w:rFonts w:hint="eastAsia"/>
                <w:kern w:val="0"/>
                <w:sz w:val="21"/>
                <w:szCs w:val="21"/>
              </w:rPr>
              <w:t>风机机位</w:t>
            </w:r>
          </w:p>
        </w:tc>
        <w:tc>
          <w:tcPr>
            <w:tcW w:w="587" w:type="pct"/>
            <w:vAlign w:val="center"/>
          </w:tcPr>
          <w:p w14:paraId="11279E3B">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6.8</w:t>
            </w:r>
          </w:p>
        </w:tc>
        <w:tc>
          <w:tcPr>
            <w:tcW w:w="588" w:type="pct"/>
            <w:vAlign w:val="center"/>
          </w:tcPr>
          <w:p w14:paraId="37EDE6CB">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7.3</w:t>
            </w:r>
          </w:p>
        </w:tc>
        <w:tc>
          <w:tcPr>
            <w:tcW w:w="587" w:type="pct"/>
            <w:vAlign w:val="center"/>
          </w:tcPr>
          <w:p w14:paraId="3CBBDDC7">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6.4</w:t>
            </w:r>
          </w:p>
        </w:tc>
        <w:tc>
          <w:tcPr>
            <w:tcW w:w="588" w:type="pct"/>
            <w:vAlign w:val="center"/>
          </w:tcPr>
          <w:p w14:paraId="0E37E194">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7.1</w:t>
            </w:r>
          </w:p>
        </w:tc>
        <w:tc>
          <w:tcPr>
            <w:tcW w:w="423" w:type="pct"/>
            <w:vAlign w:val="center"/>
          </w:tcPr>
          <w:p w14:paraId="10D5ACC8">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7052291A">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1AFFD058">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009333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0E0B86C6">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元冲</w:t>
            </w:r>
          </w:p>
        </w:tc>
        <w:tc>
          <w:tcPr>
            <w:tcW w:w="587" w:type="pct"/>
            <w:vAlign w:val="center"/>
          </w:tcPr>
          <w:p w14:paraId="6B3E1A24">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5.6</w:t>
            </w:r>
          </w:p>
        </w:tc>
        <w:tc>
          <w:tcPr>
            <w:tcW w:w="588" w:type="pct"/>
            <w:vAlign w:val="center"/>
          </w:tcPr>
          <w:p w14:paraId="487DCA78">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6.9</w:t>
            </w:r>
          </w:p>
        </w:tc>
        <w:tc>
          <w:tcPr>
            <w:tcW w:w="587" w:type="pct"/>
            <w:vAlign w:val="center"/>
          </w:tcPr>
          <w:p w14:paraId="1CCD2CF2">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7.3</w:t>
            </w:r>
          </w:p>
        </w:tc>
        <w:tc>
          <w:tcPr>
            <w:tcW w:w="588" w:type="pct"/>
            <w:vAlign w:val="center"/>
          </w:tcPr>
          <w:p w14:paraId="0642011B">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6.5</w:t>
            </w:r>
          </w:p>
        </w:tc>
        <w:tc>
          <w:tcPr>
            <w:tcW w:w="423" w:type="pct"/>
            <w:vAlign w:val="center"/>
          </w:tcPr>
          <w:p w14:paraId="2D311D56">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503F2C61">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229671A9">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3BB91B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2A398C77">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大湾</w:t>
            </w:r>
          </w:p>
        </w:tc>
        <w:tc>
          <w:tcPr>
            <w:tcW w:w="587" w:type="pct"/>
            <w:vAlign w:val="center"/>
          </w:tcPr>
          <w:p w14:paraId="7CCE6946">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6.3</w:t>
            </w:r>
          </w:p>
        </w:tc>
        <w:tc>
          <w:tcPr>
            <w:tcW w:w="588" w:type="pct"/>
            <w:vAlign w:val="center"/>
          </w:tcPr>
          <w:p w14:paraId="15A9A90B">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7.1</w:t>
            </w:r>
          </w:p>
        </w:tc>
        <w:tc>
          <w:tcPr>
            <w:tcW w:w="587" w:type="pct"/>
            <w:vAlign w:val="center"/>
          </w:tcPr>
          <w:p w14:paraId="28C6B795">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7.3</w:t>
            </w:r>
          </w:p>
        </w:tc>
        <w:tc>
          <w:tcPr>
            <w:tcW w:w="588" w:type="pct"/>
            <w:vAlign w:val="center"/>
          </w:tcPr>
          <w:p w14:paraId="6A7D8586">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6.2</w:t>
            </w:r>
          </w:p>
        </w:tc>
        <w:tc>
          <w:tcPr>
            <w:tcW w:w="423" w:type="pct"/>
            <w:vAlign w:val="center"/>
          </w:tcPr>
          <w:p w14:paraId="6C7860EF">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612BA94F">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630B1889">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r w14:paraId="1199E6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8" w:type="pct"/>
            <w:vAlign w:val="center"/>
          </w:tcPr>
          <w:p w14:paraId="4765E3DA">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渣江镇仁黄村居民点</w:t>
            </w:r>
          </w:p>
        </w:tc>
        <w:tc>
          <w:tcPr>
            <w:tcW w:w="587" w:type="pct"/>
            <w:vAlign w:val="center"/>
          </w:tcPr>
          <w:p w14:paraId="2AE2FF68">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6.0</w:t>
            </w:r>
          </w:p>
        </w:tc>
        <w:tc>
          <w:tcPr>
            <w:tcW w:w="588" w:type="pct"/>
            <w:vAlign w:val="center"/>
          </w:tcPr>
          <w:p w14:paraId="616D111F">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6.6</w:t>
            </w:r>
          </w:p>
        </w:tc>
        <w:tc>
          <w:tcPr>
            <w:tcW w:w="587" w:type="pct"/>
            <w:vAlign w:val="center"/>
          </w:tcPr>
          <w:p w14:paraId="3036B205">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6.4</w:t>
            </w:r>
          </w:p>
        </w:tc>
        <w:tc>
          <w:tcPr>
            <w:tcW w:w="588" w:type="pct"/>
            <w:vAlign w:val="center"/>
          </w:tcPr>
          <w:p w14:paraId="3D5848E7">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4</w:t>
            </w:r>
            <w:r>
              <w:rPr>
                <w:kern w:val="0"/>
                <w:sz w:val="21"/>
                <w:szCs w:val="21"/>
              </w:rPr>
              <w:t>6.9</w:t>
            </w:r>
          </w:p>
        </w:tc>
        <w:tc>
          <w:tcPr>
            <w:tcW w:w="423" w:type="pct"/>
            <w:vAlign w:val="center"/>
          </w:tcPr>
          <w:p w14:paraId="7EF18CA6">
            <w:pPr>
              <w:tabs>
                <w:tab w:val="clear" w:pos="480"/>
              </w:tabs>
              <w:adjustRightInd w:val="0"/>
              <w:snapToGrid w:val="0"/>
              <w:spacing w:line="240" w:lineRule="auto"/>
              <w:ind w:firstLine="0" w:firstLineChars="0"/>
              <w:jc w:val="center"/>
              <w:rPr>
                <w:kern w:val="0"/>
                <w:sz w:val="21"/>
                <w:szCs w:val="21"/>
              </w:rPr>
            </w:pPr>
            <w:r>
              <w:rPr>
                <w:kern w:val="0"/>
                <w:sz w:val="21"/>
                <w:szCs w:val="21"/>
              </w:rPr>
              <w:t>60</w:t>
            </w:r>
          </w:p>
        </w:tc>
        <w:tc>
          <w:tcPr>
            <w:tcW w:w="423" w:type="pct"/>
            <w:vAlign w:val="center"/>
          </w:tcPr>
          <w:p w14:paraId="13ADA821">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456" w:type="pct"/>
            <w:vAlign w:val="center"/>
          </w:tcPr>
          <w:p w14:paraId="0817BC27">
            <w:pPr>
              <w:tabs>
                <w:tab w:val="clear" w:pos="480"/>
              </w:tabs>
              <w:adjustRightInd w:val="0"/>
              <w:snapToGrid w:val="0"/>
              <w:spacing w:line="240" w:lineRule="auto"/>
              <w:ind w:firstLine="0" w:firstLineChars="0"/>
              <w:jc w:val="center"/>
              <w:rPr>
                <w:kern w:val="0"/>
                <w:sz w:val="21"/>
                <w:szCs w:val="21"/>
              </w:rPr>
            </w:pPr>
            <w:r>
              <w:rPr>
                <w:kern w:val="0"/>
                <w:sz w:val="21"/>
                <w:szCs w:val="21"/>
              </w:rPr>
              <w:t>达标</w:t>
            </w:r>
          </w:p>
        </w:tc>
      </w:tr>
    </w:tbl>
    <w:p w14:paraId="582EACE0">
      <w:pPr>
        <w:adjustRightInd w:val="0"/>
        <w:snapToGrid w:val="0"/>
        <w:ind w:firstLine="480"/>
      </w:pPr>
      <w:r>
        <w:t>从上表可知，各噪声监测点声环境现状监测点均可满足《声环境质量标准》（GB3096-2008）中2类标准（昼间60 dB(A)，夜间50 dB(A)）要求。</w:t>
      </w:r>
    </w:p>
    <w:p w14:paraId="11AAFEA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5.4.4</w:t>
      </w:r>
      <w:r>
        <w:rPr>
          <w:rFonts w:hint="eastAsia" w:ascii="Times New Roman" w:eastAsia="宋体"/>
          <w:sz w:val="28"/>
          <w:szCs w:val="28"/>
          <w:lang w:val="en-US"/>
        </w:rPr>
        <w:t>电磁环境质量现状评价</w:t>
      </w:r>
    </w:p>
    <w:p w14:paraId="67F8B22C">
      <w:pPr>
        <w:adjustRightInd w:val="0"/>
        <w:snapToGrid w:val="0"/>
        <w:ind w:firstLine="480"/>
      </w:pPr>
      <w:r>
        <w:t>（1）监测时间和频率</w:t>
      </w:r>
    </w:p>
    <w:p w14:paraId="4AD829D6">
      <w:pPr>
        <w:adjustRightInd w:val="0"/>
        <w:snapToGrid w:val="0"/>
        <w:ind w:firstLine="480"/>
      </w:pPr>
      <w:r>
        <w:t>2023年5月2号，湖南瑾杰环保科技有限公司对升压站周边电磁环境质量现状进行现场监测。</w:t>
      </w:r>
    </w:p>
    <w:p w14:paraId="61C9C723">
      <w:pPr>
        <w:adjustRightInd w:val="0"/>
        <w:snapToGrid w:val="0"/>
        <w:ind w:firstLine="480"/>
      </w:pPr>
      <w:r>
        <w:t>（2）监测方法和监测仪器</w:t>
      </w:r>
    </w:p>
    <w:p w14:paraId="14E98619">
      <w:pPr>
        <w:adjustRightInd w:val="0"/>
        <w:snapToGrid w:val="0"/>
        <w:ind w:firstLine="480"/>
      </w:pPr>
      <w:r>
        <w:t>工频电场强度、工频磁感应强度监测按《交流输变电工程电磁环境监测方法（试行）》(HJ 681-2013)进行，监测仪器采用工频场强仪NBM-550/EHP-50F。上述设备均在有效检定期内。</w:t>
      </w:r>
    </w:p>
    <w:p w14:paraId="5DCA34A3">
      <w:pPr>
        <w:adjustRightInd w:val="0"/>
        <w:snapToGrid w:val="0"/>
        <w:ind w:firstLine="480"/>
      </w:pPr>
      <w:r>
        <w:rPr>
          <w:rFonts w:hint="eastAsia"/>
        </w:rPr>
        <w:t>（3）</w:t>
      </w:r>
      <w:r>
        <w:t>监测仪器和方法</w:t>
      </w:r>
    </w:p>
    <w:p w14:paraId="31523CF7">
      <w:pPr>
        <w:adjustRightInd w:val="0"/>
        <w:snapToGrid w:val="0"/>
        <w:ind w:firstLine="480"/>
      </w:pPr>
      <w:r>
        <w:t>按照《交流输变电工程电磁环境检测方法（试行）》（HJ681-2013）进行。工频电场强度和工频磁感应强度测量仪器为NBM-550工频电磁场仪/EHP-50F探头。所有测试仪器均检定合格且在有效期内。检测设备参数见下表。</w:t>
      </w:r>
    </w:p>
    <w:p w14:paraId="3AF98AD9">
      <w:pPr>
        <w:tabs>
          <w:tab w:val="clear" w:pos="480"/>
        </w:tabs>
        <w:spacing w:line="240" w:lineRule="auto"/>
        <w:ind w:firstLine="0" w:firstLineChars="0"/>
        <w:jc w:val="center"/>
        <w:rPr>
          <w:b/>
          <w:bCs/>
        </w:rPr>
      </w:pPr>
      <w:r>
        <w:rPr>
          <w:rFonts w:ascii="宋体" w:hAnsi="宋体"/>
          <w:b/>
          <w:bCs/>
        </w:rPr>
        <w:t>表</w:t>
      </w:r>
      <w:r>
        <w:rPr>
          <w:b/>
          <w:bCs/>
        </w:rPr>
        <w:t xml:space="preserve">5.4-11 </w:t>
      </w:r>
      <w:r>
        <w:rPr>
          <w:rFonts w:ascii="宋体" w:hAnsi="宋体"/>
          <w:b/>
          <w:bCs/>
        </w:rPr>
        <w:t xml:space="preserve">电磁环境检测仪器 </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35"/>
        <w:gridCol w:w="1855"/>
        <w:gridCol w:w="2014"/>
        <w:gridCol w:w="2041"/>
        <w:gridCol w:w="1082"/>
      </w:tblGrid>
      <w:tr w14:paraId="199978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0" w:type="pct"/>
            <w:tcBorders>
              <w:top w:val="single" w:color="auto" w:sz="12" w:space="0"/>
              <w:left w:val="single" w:color="auto" w:sz="12" w:space="0"/>
              <w:bottom w:val="single" w:color="auto" w:sz="4" w:space="0"/>
              <w:right w:val="single" w:color="auto" w:sz="4" w:space="0"/>
            </w:tcBorders>
            <w:tcMar>
              <w:top w:w="0" w:type="dxa"/>
              <w:left w:w="108" w:type="dxa"/>
              <w:bottom w:w="0" w:type="dxa"/>
              <w:right w:w="108" w:type="dxa"/>
            </w:tcMar>
            <w:vAlign w:val="center"/>
          </w:tcPr>
          <w:p w14:paraId="12508CBD">
            <w:pPr>
              <w:tabs>
                <w:tab w:val="clear" w:pos="480"/>
              </w:tabs>
              <w:spacing w:line="240" w:lineRule="auto"/>
              <w:ind w:firstLine="0" w:firstLineChars="0"/>
              <w:jc w:val="center"/>
              <w:rPr>
                <w:b/>
                <w:bCs/>
                <w:sz w:val="18"/>
                <w:szCs w:val="18"/>
              </w:rPr>
            </w:pPr>
            <w:r>
              <w:rPr>
                <w:rFonts w:ascii="宋体" w:hAnsi="宋体"/>
                <w:b/>
                <w:bCs/>
                <w:sz w:val="18"/>
                <w:szCs w:val="18"/>
              </w:rPr>
              <w:t>仪器名称</w:t>
            </w:r>
          </w:p>
        </w:tc>
        <w:tc>
          <w:tcPr>
            <w:tcW w:w="1088" w:type="pct"/>
            <w:tcBorders>
              <w:top w:val="single" w:color="auto" w:sz="12"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733E356">
            <w:pPr>
              <w:tabs>
                <w:tab w:val="clear" w:pos="480"/>
              </w:tabs>
              <w:spacing w:line="240" w:lineRule="auto"/>
              <w:ind w:firstLine="0" w:firstLineChars="0"/>
              <w:jc w:val="center"/>
              <w:rPr>
                <w:b/>
                <w:bCs/>
                <w:sz w:val="18"/>
                <w:szCs w:val="18"/>
              </w:rPr>
            </w:pPr>
            <w:r>
              <w:rPr>
                <w:rFonts w:ascii="宋体" w:hAnsi="宋体"/>
                <w:b/>
                <w:bCs/>
                <w:sz w:val="18"/>
                <w:szCs w:val="18"/>
              </w:rPr>
              <w:t>仪器型号</w:t>
            </w:r>
          </w:p>
        </w:tc>
        <w:tc>
          <w:tcPr>
            <w:tcW w:w="1181" w:type="pct"/>
            <w:tcBorders>
              <w:top w:val="single" w:color="auto" w:sz="12" w:space="0"/>
              <w:left w:val="single" w:color="auto" w:sz="4" w:space="0"/>
              <w:bottom w:val="single" w:color="auto" w:sz="4" w:space="0"/>
              <w:right w:val="single" w:color="auto" w:sz="4" w:space="0"/>
            </w:tcBorders>
            <w:tcMar>
              <w:top w:w="0" w:type="dxa"/>
              <w:left w:w="108" w:type="dxa"/>
              <w:bottom w:w="0" w:type="dxa"/>
              <w:right w:w="108" w:type="dxa"/>
            </w:tcMar>
            <w:vAlign w:val="center"/>
          </w:tcPr>
          <w:p w14:paraId="5CA52851">
            <w:pPr>
              <w:tabs>
                <w:tab w:val="clear" w:pos="480"/>
              </w:tabs>
              <w:spacing w:line="240" w:lineRule="auto"/>
              <w:ind w:firstLine="0" w:firstLineChars="0"/>
              <w:jc w:val="center"/>
              <w:rPr>
                <w:b/>
                <w:bCs/>
                <w:sz w:val="18"/>
                <w:szCs w:val="18"/>
              </w:rPr>
            </w:pPr>
            <w:r>
              <w:rPr>
                <w:rFonts w:ascii="宋体" w:hAnsi="宋体"/>
                <w:b/>
                <w:bCs/>
                <w:sz w:val="18"/>
                <w:szCs w:val="18"/>
              </w:rPr>
              <w:t>出厂编号</w:t>
            </w:r>
          </w:p>
        </w:tc>
        <w:tc>
          <w:tcPr>
            <w:tcW w:w="1197" w:type="pct"/>
            <w:tcBorders>
              <w:top w:val="single" w:color="auto" w:sz="12"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7088F9B">
            <w:pPr>
              <w:tabs>
                <w:tab w:val="clear" w:pos="480"/>
              </w:tabs>
              <w:spacing w:line="240" w:lineRule="auto"/>
              <w:ind w:firstLine="0" w:firstLineChars="0"/>
              <w:jc w:val="center"/>
              <w:rPr>
                <w:b/>
                <w:bCs/>
                <w:sz w:val="18"/>
                <w:szCs w:val="18"/>
              </w:rPr>
            </w:pPr>
            <w:r>
              <w:rPr>
                <w:rFonts w:ascii="宋体" w:hAnsi="宋体"/>
                <w:b/>
                <w:bCs/>
                <w:sz w:val="18"/>
                <w:szCs w:val="18"/>
              </w:rPr>
              <w:t>证书编号</w:t>
            </w:r>
          </w:p>
        </w:tc>
        <w:tc>
          <w:tcPr>
            <w:tcW w:w="634" w:type="pct"/>
            <w:tcBorders>
              <w:top w:val="single" w:color="auto" w:sz="12" w:space="0"/>
              <w:left w:val="single" w:color="auto" w:sz="4" w:space="0"/>
              <w:bottom w:val="single" w:color="auto" w:sz="4" w:space="0"/>
              <w:right w:val="single" w:color="auto" w:sz="12" w:space="0"/>
            </w:tcBorders>
            <w:tcMar>
              <w:top w:w="0" w:type="dxa"/>
              <w:left w:w="108" w:type="dxa"/>
              <w:bottom w:w="0" w:type="dxa"/>
              <w:right w:w="108" w:type="dxa"/>
            </w:tcMar>
            <w:vAlign w:val="center"/>
          </w:tcPr>
          <w:p w14:paraId="2E7A0188">
            <w:pPr>
              <w:tabs>
                <w:tab w:val="clear" w:pos="480"/>
              </w:tabs>
              <w:spacing w:line="240" w:lineRule="auto"/>
              <w:ind w:firstLine="0" w:firstLineChars="0"/>
              <w:jc w:val="center"/>
              <w:rPr>
                <w:b/>
                <w:bCs/>
                <w:sz w:val="18"/>
                <w:szCs w:val="18"/>
              </w:rPr>
            </w:pPr>
            <w:r>
              <w:rPr>
                <w:rFonts w:ascii="宋体" w:hAnsi="宋体"/>
                <w:b/>
                <w:bCs/>
                <w:sz w:val="18"/>
                <w:szCs w:val="18"/>
              </w:rPr>
              <w:t>有效期至</w:t>
            </w:r>
          </w:p>
        </w:tc>
      </w:tr>
      <w:tr w14:paraId="7D8FD4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0" w:type="pct"/>
            <w:tcBorders>
              <w:top w:val="single" w:color="auto" w:sz="4" w:space="0"/>
              <w:left w:val="single" w:color="auto" w:sz="12" w:space="0"/>
              <w:bottom w:val="single" w:color="auto" w:sz="4" w:space="0"/>
              <w:right w:val="single" w:color="auto" w:sz="4" w:space="0"/>
            </w:tcBorders>
            <w:tcMar>
              <w:top w:w="0" w:type="dxa"/>
              <w:left w:w="108" w:type="dxa"/>
              <w:bottom w:w="0" w:type="dxa"/>
              <w:right w:w="108" w:type="dxa"/>
            </w:tcMar>
            <w:vAlign w:val="center"/>
          </w:tcPr>
          <w:p w14:paraId="2FA431E9">
            <w:pPr>
              <w:tabs>
                <w:tab w:val="clear" w:pos="480"/>
              </w:tabs>
              <w:spacing w:line="240" w:lineRule="auto"/>
              <w:ind w:firstLine="0" w:firstLineChars="0"/>
              <w:jc w:val="center"/>
              <w:rPr>
                <w:sz w:val="18"/>
                <w:szCs w:val="18"/>
              </w:rPr>
            </w:pPr>
            <w:r>
              <w:rPr>
                <w:rFonts w:ascii="宋体" w:hAnsi="宋体"/>
                <w:sz w:val="18"/>
                <w:szCs w:val="18"/>
              </w:rPr>
              <w:t>电磁辐射分析仪</w:t>
            </w:r>
          </w:p>
        </w:tc>
        <w:tc>
          <w:tcPr>
            <w:tcW w:w="1088"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91B9022">
            <w:pPr>
              <w:tabs>
                <w:tab w:val="clear" w:pos="480"/>
              </w:tabs>
              <w:spacing w:line="240" w:lineRule="auto"/>
              <w:ind w:firstLine="0" w:firstLineChars="0"/>
              <w:jc w:val="center"/>
              <w:rPr>
                <w:sz w:val="18"/>
                <w:szCs w:val="18"/>
              </w:rPr>
            </w:pPr>
            <w:r>
              <w:rPr>
                <w:sz w:val="18"/>
                <w:szCs w:val="18"/>
              </w:rPr>
              <w:t>NBM-550/EHP-50F</w:t>
            </w:r>
          </w:p>
        </w:tc>
        <w:tc>
          <w:tcPr>
            <w:tcW w:w="1181"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175560C">
            <w:pPr>
              <w:tabs>
                <w:tab w:val="clear" w:pos="480"/>
              </w:tabs>
              <w:spacing w:line="240" w:lineRule="auto"/>
              <w:ind w:firstLine="0" w:firstLineChars="0"/>
              <w:jc w:val="center"/>
              <w:rPr>
                <w:sz w:val="18"/>
                <w:szCs w:val="18"/>
              </w:rPr>
            </w:pPr>
            <w:r>
              <w:rPr>
                <w:sz w:val="18"/>
                <w:szCs w:val="18"/>
              </w:rPr>
              <w:t>H-0524/210WY80227</w:t>
            </w:r>
          </w:p>
        </w:tc>
        <w:tc>
          <w:tcPr>
            <w:tcW w:w="1197"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14:paraId="4D72E133">
            <w:pPr>
              <w:tabs>
                <w:tab w:val="clear" w:pos="480"/>
              </w:tabs>
              <w:spacing w:line="240" w:lineRule="auto"/>
              <w:ind w:firstLine="0" w:firstLineChars="0"/>
              <w:jc w:val="center"/>
              <w:rPr>
                <w:sz w:val="18"/>
                <w:szCs w:val="18"/>
              </w:rPr>
            </w:pPr>
            <w:r>
              <w:rPr>
                <w:sz w:val="18"/>
                <w:szCs w:val="18"/>
              </w:rPr>
              <w:t>J202106074232-04-0001</w:t>
            </w:r>
          </w:p>
        </w:tc>
        <w:tc>
          <w:tcPr>
            <w:tcW w:w="634" w:type="pct"/>
            <w:tcBorders>
              <w:top w:val="single" w:color="auto" w:sz="4" w:space="0"/>
              <w:left w:val="single" w:color="auto" w:sz="4" w:space="0"/>
              <w:bottom w:val="single" w:color="auto" w:sz="4" w:space="0"/>
              <w:right w:val="single" w:color="auto" w:sz="12" w:space="0"/>
            </w:tcBorders>
            <w:tcMar>
              <w:top w:w="0" w:type="dxa"/>
              <w:left w:w="108" w:type="dxa"/>
              <w:bottom w:w="0" w:type="dxa"/>
              <w:right w:w="108" w:type="dxa"/>
            </w:tcMar>
            <w:vAlign w:val="center"/>
          </w:tcPr>
          <w:p w14:paraId="4B364F5F">
            <w:pPr>
              <w:tabs>
                <w:tab w:val="clear" w:pos="480"/>
              </w:tabs>
              <w:spacing w:line="240" w:lineRule="auto"/>
              <w:ind w:firstLine="0" w:firstLineChars="0"/>
              <w:jc w:val="center"/>
              <w:rPr>
                <w:sz w:val="18"/>
                <w:szCs w:val="18"/>
              </w:rPr>
            </w:pPr>
            <w:r>
              <w:rPr>
                <w:sz w:val="18"/>
                <w:szCs w:val="18"/>
              </w:rPr>
              <w:t>2023</w:t>
            </w:r>
            <w:r>
              <w:rPr>
                <w:rFonts w:ascii="宋体" w:hAnsi="宋体"/>
                <w:sz w:val="18"/>
                <w:szCs w:val="18"/>
              </w:rPr>
              <w:t>年</w:t>
            </w:r>
            <w:r>
              <w:rPr>
                <w:sz w:val="18"/>
                <w:szCs w:val="18"/>
              </w:rPr>
              <w:t>7</w:t>
            </w:r>
            <w:r>
              <w:rPr>
                <w:rFonts w:ascii="宋体" w:hAnsi="宋体"/>
                <w:sz w:val="18"/>
                <w:szCs w:val="18"/>
              </w:rPr>
              <w:t>月</w:t>
            </w:r>
            <w:r>
              <w:rPr>
                <w:sz w:val="18"/>
                <w:szCs w:val="18"/>
              </w:rPr>
              <w:t>27</w:t>
            </w:r>
            <w:r>
              <w:rPr>
                <w:rFonts w:ascii="宋体" w:hAnsi="宋体"/>
                <w:sz w:val="18"/>
                <w:szCs w:val="18"/>
              </w:rPr>
              <w:t>日</w:t>
            </w:r>
          </w:p>
        </w:tc>
      </w:tr>
      <w:tr w14:paraId="249B3C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0" w:type="pct"/>
            <w:tcBorders>
              <w:top w:val="single" w:color="auto" w:sz="4" w:space="0"/>
              <w:left w:val="single" w:color="auto" w:sz="12" w:space="0"/>
              <w:bottom w:val="single" w:color="auto" w:sz="12" w:space="0"/>
              <w:right w:val="single" w:color="auto" w:sz="4" w:space="0"/>
            </w:tcBorders>
            <w:tcMar>
              <w:top w:w="0" w:type="dxa"/>
              <w:left w:w="108" w:type="dxa"/>
              <w:bottom w:w="0" w:type="dxa"/>
              <w:right w:w="108" w:type="dxa"/>
            </w:tcMar>
            <w:vAlign w:val="center"/>
          </w:tcPr>
          <w:p w14:paraId="11D0007D">
            <w:pPr>
              <w:tabs>
                <w:tab w:val="clear" w:pos="480"/>
              </w:tabs>
              <w:spacing w:line="240" w:lineRule="auto"/>
              <w:ind w:firstLine="0" w:firstLineChars="0"/>
              <w:jc w:val="center"/>
              <w:rPr>
                <w:sz w:val="18"/>
                <w:szCs w:val="18"/>
              </w:rPr>
            </w:pPr>
            <w:r>
              <w:rPr>
                <w:rFonts w:ascii="宋体" w:hAnsi="宋体"/>
                <w:sz w:val="18"/>
                <w:szCs w:val="18"/>
              </w:rPr>
              <w:t>数字温度计</w:t>
            </w:r>
          </w:p>
        </w:tc>
        <w:tc>
          <w:tcPr>
            <w:tcW w:w="1088" w:type="pct"/>
            <w:tcBorders>
              <w:top w:val="single" w:color="auto" w:sz="4" w:space="0"/>
              <w:left w:val="single" w:color="auto" w:sz="4" w:space="0"/>
              <w:bottom w:val="single" w:color="auto" w:sz="12" w:space="0"/>
              <w:right w:val="single" w:color="auto" w:sz="4" w:space="0"/>
            </w:tcBorders>
            <w:tcMar>
              <w:top w:w="0" w:type="dxa"/>
              <w:left w:w="108" w:type="dxa"/>
              <w:bottom w:w="0" w:type="dxa"/>
              <w:right w:w="108" w:type="dxa"/>
            </w:tcMar>
            <w:vAlign w:val="center"/>
          </w:tcPr>
          <w:p w14:paraId="73AF7A92">
            <w:pPr>
              <w:tabs>
                <w:tab w:val="clear" w:pos="480"/>
              </w:tabs>
              <w:spacing w:line="240" w:lineRule="auto"/>
              <w:ind w:firstLine="0" w:firstLineChars="0"/>
              <w:jc w:val="center"/>
              <w:rPr>
                <w:sz w:val="18"/>
                <w:szCs w:val="18"/>
              </w:rPr>
            </w:pPr>
            <w:r>
              <w:rPr>
                <w:sz w:val="18"/>
                <w:szCs w:val="18"/>
              </w:rPr>
              <w:t>TES-1360A</w:t>
            </w:r>
          </w:p>
        </w:tc>
        <w:tc>
          <w:tcPr>
            <w:tcW w:w="1181" w:type="pct"/>
            <w:tcBorders>
              <w:top w:val="single" w:color="auto" w:sz="4" w:space="0"/>
              <w:left w:val="single" w:color="auto" w:sz="4" w:space="0"/>
              <w:bottom w:val="single" w:color="auto" w:sz="12" w:space="0"/>
              <w:right w:val="single" w:color="auto" w:sz="4" w:space="0"/>
            </w:tcBorders>
            <w:tcMar>
              <w:top w:w="0" w:type="dxa"/>
              <w:left w:w="108" w:type="dxa"/>
              <w:bottom w:w="0" w:type="dxa"/>
              <w:right w:w="108" w:type="dxa"/>
            </w:tcMar>
            <w:vAlign w:val="center"/>
          </w:tcPr>
          <w:p w14:paraId="2DFE37F7">
            <w:pPr>
              <w:tabs>
                <w:tab w:val="clear" w:pos="480"/>
              </w:tabs>
              <w:spacing w:line="240" w:lineRule="auto"/>
              <w:ind w:firstLine="0" w:firstLineChars="0"/>
              <w:jc w:val="center"/>
              <w:rPr>
                <w:sz w:val="18"/>
                <w:szCs w:val="18"/>
              </w:rPr>
            </w:pPr>
            <w:r>
              <w:rPr>
                <w:sz w:val="18"/>
                <w:szCs w:val="18"/>
              </w:rPr>
              <w:t xml:space="preserve">210203259 </w:t>
            </w:r>
          </w:p>
        </w:tc>
        <w:tc>
          <w:tcPr>
            <w:tcW w:w="1197" w:type="pct"/>
            <w:tcBorders>
              <w:top w:val="single" w:color="auto" w:sz="4" w:space="0"/>
              <w:left w:val="single" w:color="auto" w:sz="4" w:space="0"/>
              <w:bottom w:val="single" w:color="auto" w:sz="12" w:space="0"/>
              <w:right w:val="single" w:color="auto" w:sz="4" w:space="0"/>
            </w:tcBorders>
            <w:tcMar>
              <w:top w:w="0" w:type="dxa"/>
              <w:left w:w="108" w:type="dxa"/>
              <w:bottom w:w="0" w:type="dxa"/>
              <w:right w:w="108" w:type="dxa"/>
            </w:tcMar>
            <w:vAlign w:val="center"/>
          </w:tcPr>
          <w:p w14:paraId="0CB5BB33">
            <w:pPr>
              <w:tabs>
                <w:tab w:val="clear" w:pos="480"/>
              </w:tabs>
              <w:spacing w:line="240" w:lineRule="auto"/>
              <w:ind w:firstLine="0" w:firstLineChars="0"/>
              <w:jc w:val="center"/>
              <w:rPr>
                <w:sz w:val="18"/>
                <w:szCs w:val="18"/>
              </w:rPr>
            </w:pPr>
            <w:r>
              <w:rPr>
                <w:sz w:val="18"/>
                <w:szCs w:val="18"/>
              </w:rPr>
              <w:t>J202207078354-0001</w:t>
            </w:r>
          </w:p>
        </w:tc>
        <w:tc>
          <w:tcPr>
            <w:tcW w:w="634" w:type="pct"/>
            <w:tcBorders>
              <w:top w:val="single" w:color="auto" w:sz="4" w:space="0"/>
              <w:left w:val="single" w:color="auto" w:sz="4" w:space="0"/>
              <w:bottom w:val="single" w:color="auto" w:sz="12" w:space="0"/>
              <w:right w:val="single" w:color="auto" w:sz="12" w:space="0"/>
            </w:tcBorders>
            <w:tcMar>
              <w:top w:w="0" w:type="dxa"/>
              <w:left w:w="108" w:type="dxa"/>
              <w:bottom w:w="0" w:type="dxa"/>
              <w:right w:w="108" w:type="dxa"/>
            </w:tcMar>
            <w:vAlign w:val="center"/>
          </w:tcPr>
          <w:p w14:paraId="32DB5D68">
            <w:pPr>
              <w:tabs>
                <w:tab w:val="clear" w:pos="480"/>
              </w:tabs>
              <w:spacing w:line="240" w:lineRule="auto"/>
              <w:ind w:firstLine="0" w:firstLineChars="0"/>
              <w:jc w:val="center"/>
              <w:rPr>
                <w:sz w:val="18"/>
                <w:szCs w:val="18"/>
              </w:rPr>
            </w:pPr>
            <w:r>
              <w:rPr>
                <w:sz w:val="18"/>
                <w:szCs w:val="18"/>
              </w:rPr>
              <w:t>2023</w:t>
            </w:r>
            <w:r>
              <w:rPr>
                <w:rFonts w:ascii="宋体" w:hAnsi="宋体"/>
                <w:sz w:val="18"/>
                <w:szCs w:val="18"/>
              </w:rPr>
              <w:t>年</w:t>
            </w:r>
            <w:r>
              <w:rPr>
                <w:sz w:val="18"/>
                <w:szCs w:val="18"/>
              </w:rPr>
              <w:t>7</w:t>
            </w:r>
            <w:r>
              <w:rPr>
                <w:rFonts w:ascii="宋体" w:hAnsi="宋体"/>
                <w:sz w:val="18"/>
                <w:szCs w:val="18"/>
              </w:rPr>
              <w:t>月</w:t>
            </w:r>
            <w:r>
              <w:rPr>
                <w:sz w:val="18"/>
                <w:szCs w:val="18"/>
              </w:rPr>
              <w:t>10</w:t>
            </w:r>
            <w:r>
              <w:rPr>
                <w:rFonts w:ascii="宋体" w:hAnsi="宋体"/>
                <w:sz w:val="18"/>
                <w:szCs w:val="18"/>
              </w:rPr>
              <w:t>日</w:t>
            </w:r>
          </w:p>
        </w:tc>
      </w:tr>
    </w:tbl>
    <w:p w14:paraId="7267B6F7">
      <w:pPr>
        <w:adjustRightInd w:val="0"/>
        <w:snapToGrid w:val="0"/>
        <w:ind w:firstLine="480"/>
      </w:pPr>
      <w:r>
        <w:rPr>
          <w:rFonts w:hint="eastAsia"/>
        </w:rPr>
        <w:t>（4）监测时间、频次</w:t>
      </w:r>
    </w:p>
    <w:p w14:paraId="0FE31340">
      <w:pPr>
        <w:adjustRightInd w:val="0"/>
        <w:snapToGrid w:val="0"/>
        <w:ind w:firstLine="480"/>
      </w:pPr>
      <w:r>
        <w:t>检测频次：每个监测点监测一次；</w:t>
      </w:r>
    </w:p>
    <w:p w14:paraId="156638EC">
      <w:pPr>
        <w:adjustRightInd w:val="0"/>
        <w:snapToGrid w:val="0"/>
        <w:ind w:firstLine="480"/>
      </w:pPr>
      <w:r>
        <w:t>检测时间及环境条件见下表。</w:t>
      </w:r>
    </w:p>
    <w:p w14:paraId="0DA271D5">
      <w:pPr>
        <w:tabs>
          <w:tab w:val="clear" w:pos="480"/>
        </w:tabs>
        <w:spacing w:line="240" w:lineRule="auto"/>
        <w:ind w:firstLine="0" w:firstLineChars="0"/>
        <w:jc w:val="center"/>
        <w:rPr>
          <w:b/>
          <w:bCs/>
        </w:rPr>
      </w:pPr>
      <w:r>
        <w:rPr>
          <w:rFonts w:ascii="宋体" w:hAnsi="宋体"/>
          <w:b/>
          <w:bCs/>
        </w:rPr>
        <w:t>表</w:t>
      </w:r>
      <w:r>
        <w:rPr>
          <w:b/>
          <w:bCs/>
        </w:rPr>
        <w:t xml:space="preserve">5.4-12  </w:t>
      </w:r>
      <w:r>
        <w:rPr>
          <w:rFonts w:ascii="宋体" w:hAnsi="宋体"/>
          <w:b/>
          <w:bCs/>
        </w:rPr>
        <w:t>检测时间及环境条件一览表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22"/>
        <w:gridCol w:w="2812"/>
        <w:gridCol w:w="1433"/>
        <w:gridCol w:w="1711"/>
        <w:gridCol w:w="1349"/>
      </w:tblGrid>
      <w:tr w14:paraId="718B80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7" w:type="pct"/>
            <w:tcBorders>
              <w:top w:val="single" w:color="auto" w:sz="12" w:space="0"/>
              <w:left w:val="single" w:color="auto" w:sz="12" w:space="0"/>
              <w:bottom w:val="single" w:color="auto" w:sz="4" w:space="0"/>
              <w:right w:val="single" w:color="auto" w:sz="4" w:space="0"/>
            </w:tcBorders>
            <w:tcMar>
              <w:top w:w="0" w:type="dxa"/>
              <w:left w:w="108" w:type="dxa"/>
              <w:bottom w:w="0" w:type="dxa"/>
              <w:right w:w="108" w:type="dxa"/>
            </w:tcMar>
            <w:vAlign w:val="center"/>
          </w:tcPr>
          <w:p w14:paraId="2BF59F6B">
            <w:pPr>
              <w:tabs>
                <w:tab w:val="clear" w:pos="480"/>
              </w:tabs>
              <w:spacing w:line="240" w:lineRule="auto"/>
              <w:ind w:firstLine="0" w:firstLineChars="0"/>
              <w:jc w:val="center"/>
              <w:rPr>
                <w:b/>
                <w:bCs/>
                <w:sz w:val="21"/>
                <w:szCs w:val="21"/>
              </w:rPr>
            </w:pPr>
            <w:r>
              <w:rPr>
                <w:rFonts w:ascii="宋体" w:hAnsi="宋体"/>
                <w:b/>
                <w:bCs/>
                <w:sz w:val="21"/>
                <w:szCs w:val="21"/>
              </w:rPr>
              <w:t>序号</w:t>
            </w:r>
          </w:p>
        </w:tc>
        <w:tc>
          <w:tcPr>
            <w:tcW w:w="1649" w:type="pct"/>
            <w:tcBorders>
              <w:top w:val="single" w:color="auto" w:sz="12" w:space="0"/>
              <w:left w:val="single" w:color="auto" w:sz="4" w:space="0"/>
              <w:bottom w:val="single" w:color="auto" w:sz="4" w:space="0"/>
              <w:right w:val="single" w:color="auto" w:sz="4" w:space="0"/>
            </w:tcBorders>
            <w:tcMar>
              <w:top w:w="0" w:type="dxa"/>
              <w:left w:w="108" w:type="dxa"/>
              <w:bottom w:w="0" w:type="dxa"/>
              <w:right w:w="108" w:type="dxa"/>
            </w:tcMar>
            <w:vAlign w:val="center"/>
          </w:tcPr>
          <w:p w14:paraId="08F197B4">
            <w:pPr>
              <w:tabs>
                <w:tab w:val="clear" w:pos="480"/>
              </w:tabs>
              <w:spacing w:line="240" w:lineRule="auto"/>
              <w:ind w:firstLine="0" w:firstLineChars="0"/>
              <w:jc w:val="center"/>
              <w:rPr>
                <w:b/>
                <w:bCs/>
                <w:sz w:val="21"/>
                <w:szCs w:val="21"/>
              </w:rPr>
            </w:pPr>
            <w:r>
              <w:rPr>
                <w:rFonts w:ascii="宋体" w:hAnsi="宋体"/>
                <w:b/>
                <w:bCs/>
                <w:sz w:val="21"/>
                <w:szCs w:val="21"/>
              </w:rPr>
              <w:t>检测时间</w:t>
            </w:r>
          </w:p>
        </w:tc>
        <w:tc>
          <w:tcPr>
            <w:tcW w:w="840" w:type="pct"/>
            <w:tcBorders>
              <w:top w:val="single" w:color="auto" w:sz="12" w:space="0"/>
              <w:left w:val="single" w:color="auto" w:sz="4" w:space="0"/>
              <w:bottom w:val="single" w:color="auto" w:sz="4" w:space="0"/>
              <w:right w:val="single" w:color="auto" w:sz="4" w:space="0"/>
            </w:tcBorders>
            <w:tcMar>
              <w:top w:w="0" w:type="dxa"/>
              <w:left w:w="108" w:type="dxa"/>
              <w:bottom w:w="0" w:type="dxa"/>
              <w:right w:w="108" w:type="dxa"/>
            </w:tcMar>
            <w:vAlign w:val="center"/>
          </w:tcPr>
          <w:p w14:paraId="375580F9">
            <w:pPr>
              <w:tabs>
                <w:tab w:val="clear" w:pos="480"/>
              </w:tabs>
              <w:spacing w:line="240" w:lineRule="auto"/>
              <w:ind w:firstLine="0" w:firstLineChars="0"/>
              <w:jc w:val="center"/>
              <w:rPr>
                <w:b/>
                <w:bCs/>
                <w:sz w:val="21"/>
                <w:szCs w:val="21"/>
              </w:rPr>
            </w:pPr>
            <w:r>
              <w:rPr>
                <w:rFonts w:ascii="宋体" w:hAnsi="宋体"/>
                <w:b/>
                <w:bCs/>
                <w:sz w:val="21"/>
                <w:szCs w:val="21"/>
              </w:rPr>
              <w:t>气温</w:t>
            </w:r>
            <w:r>
              <w:rPr>
                <w:b/>
                <w:bCs/>
                <w:sz w:val="21"/>
                <w:szCs w:val="21"/>
              </w:rPr>
              <w:t>℃</w:t>
            </w:r>
          </w:p>
        </w:tc>
        <w:tc>
          <w:tcPr>
            <w:tcW w:w="1003" w:type="pct"/>
            <w:tcBorders>
              <w:top w:val="single" w:color="auto" w:sz="12" w:space="0"/>
              <w:left w:val="single" w:color="auto" w:sz="4" w:space="0"/>
              <w:bottom w:val="single" w:color="auto" w:sz="4" w:space="0"/>
              <w:right w:val="single" w:color="auto" w:sz="4" w:space="0"/>
            </w:tcBorders>
            <w:tcMar>
              <w:top w:w="0" w:type="dxa"/>
              <w:left w:w="108" w:type="dxa"/>
              <w:bottom w:w="0" w:type="dxa"/>
              <w:right w:w="108" w:type="dxa"/>
            </w:tcMar>
            <w:vAlign w:val="center"/>
          </w:tcPr>
          <w:p w14:paraId="6641AD37">
            <w:pPr>
              <w:tabs>
                <w:tab w:val="clear" w:pos="480"/>
              </w:tabs>
              <w:spacing w:line="240" w:lineRule="auto"/>
              <w:ind w:firstLine="0" w:firstLineChars="0"/>
              <w:jc w:val="center"/>
              <w:rPr>
                <w:b/>
                <w:bCs/>
                <w:sz w:val="21"/>
                <w:szCs w:val="21"/>
              </w:rPr>
            </w:pPr>
            <w:r>
              <w:rPr>
                <w:rFonts w:ascii="宋体" w:hAnsi="宋体"/>
                <w:b/>
                <w:bCs/>
                <w:sz w:val="21"/>
                <w:szCs w:val="21"/>
              </w:rPr>
              <w:t>湿度％</w:t>
            </w:r>
          </w:p>
        </w:tc>
        <w:tc>
          <w:tcPr>
            <w:tcW w:w="791" w:type="pct"/>
            <w:tcBorders>
              <w:top w:val="single" w:color="auto" w:sz="12" w:space="0"/>
              <w:left w:val="single" w:color="auto" w:sz="4" w:space="0"/>
              <w:bottom w:val="single" w:color="auto" w:sz="4" w:space="0"/>
              <w:right w:val="single" w:color="auto" w:sz="12" w:space="0"/>
            </w:tcBorders>
            <w:tcMar>
              <w:top w:w="0" w:type="dxa"/>
              <w:left w:w="108" w:type="dxa"/>
              <w:bottom w:w="0" w:type="dxa"/>
              <w:right w:w="108" w:type="dxa"/>
            </w:tcMar>
            <w:vAlign w:val="center"/>
          </w:tcPr>
          <w:p w14:paraId="009F123E">
            <w:pPr>
              <w:tabs>
                <w:tab w:val="clear" w:pos="480"/>
              </w:tabs>
              <w:spacing w:line="240" w:lineRule="auto"/>
              <w:ind w:firstLine="0" w:firstLineChars="0"/>
              <w:jc w:val="center"/>
              <w:rPr>
                <w:b/>
                <w:bCs/>
                <w:sz w:val="21"/>
                <w:szCs w:val="21"/>
              </w:rPr>
            </w:pPr>
            <w:r>
              <w:rPr>
                <w:rFonts w:ascii="宋体" w:hAnsi="宋体"/>
                <w:b/>
                <w:bCs/>
                <w:sz w:val="21"/>
                <w:szCs w:val="21"/>
              </w:rPr>
              <w:t>天气</w:t>
            </w:r>
          </w:p>
        </w:tc>
      </w:tr>
      <w:tr w14:paraId="46FC66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17" w:type="pct"/>
            <w:tcBorders>
              <w:top w:val="single" w:color="auto" w:sz="4" w:space="0"/>
              <w:left w:val="single" w:color="auto" w:sz="12" w:space="0"/>
              <w:bottom w:val="single" w:color="auto" w:sz="12" w:space="0"/>
              <w:right w:val="single" w:color="auto" w:sz="4" w:space="0"/>
            </w:tcBorders>
            <w:tcMar>
              <w:top w:w="0" w:type="dxa"/>
              <w:left w:w="108" w:type="dxa"/>
              <w:bottom w:w="0" w:type="dxa"/>
              <w:right w:w="108" w:type="dxa"/>
            </w:tcMar>
            <w:vAlign w:val="center"/>
          </w:tcPr>
          <w:p w14:paraId="0FC526FF">
            <w:pPr>
              <w:tabs>
                <w:tab w:val="clear" w:pos="480"/>
              </w:tabs>
              <w:spacing w:line="240" w:lineRule="auto"/>
              <w:ind w:firstLine="0" w:firstLineChars="0"/>
              <w:jc w:val="center"/>
              <w:rPr>
                <w:sz w:val="21"/>
                <w:szCs w:val="21"/>
              </w:rPr>
            </w:pPr>
            <w:r>
              <w:rPr>
                <w:sz w:val="21"/>
                <w:szCs w:val="21"/>
              </w:rPr>
              <w:t>1</w:t>
            </w:r>
          </w:p>
        </w:tc>
        <w:tc>
          <w:tcPr>
            <w:tcW w:w="1649" w:type="pct"/>
            <w:tcBorders>
              <w:top w:val="single" w:color="auto" w:sz="4" w:space="0"/>
              <w:left w:val="single" w:color="auto" w:sz="4" w:space="0"/>
              <w:bottom w:val="single" w:color="auto" w:sz="12" w:space="0"/>
              <w:right w:val="single" w:color="auto" w:sz="4" w:space="0"/>
            </w:tcBorders>
            <w:tcMar>
              <w:top w:w="0" w:type="dxa"/>
              <w:left w:w="108" w:type="dxa"/>
              <w:bottom w:w="0" w:type="dxa"/>
              <w:right w:w="108" w:type="dxa"/>
            </w:tcMar>
            <w:vAlign w:val="center"/>
          </w:tcPr>
          <w:p w14:paraId="1975C5C1">
            <w:pPr>
              <w:tabs>
                <w:tab w:val="clear" w:pos="480"/>
              </w:tabs>
              <w:spacing w:line="240" w:lineRule="auto"/>
              <w:ind w:firstLine="0" w:firstLineChars="0"/>
              <w:jc w:val="center"/>
              <w:rPr>
                <w:sz w:val="21"/>
                <w:szCs w:val="21"/>
              </w:rPr>
            </w:pPr>
            <w:r>
              <w:rPr>
                <w:sz w:val="21"/>
                <w:szCs w:val="21"/>
              </w:rPr>
              <w:t>2023</w:t>
            </w:r>
            <w:r>
              <w:rPr>
                <w:rFonts w:ascii="宋体" w:hAnsi="宋体"/>
                <w:sz w:val="21"/>
                <w:szCs w:val="21"/>
              </w:rPr>
              <w:t>年</w:t>
            </w:r>
            <w:r>
              <w:rPr>
                <w:sz w:val="21"/>
                <w:szCs w:val="21"/>
              </w:rPr>
              <w:t>5</w:t>
            </w:r>
            <w:r>
              <w:rPr>
                <w:rFonts w:ascii="宋体" w:hAnsi="宋体"/>
                <w:sz w:val="21"/>
                <w:szCs w:val="21"/>
              </w:rPr>
              <w:t>月</w:t>
            </w:r>
            <w:r>
              <w:rPr>
                <w:sz w:val="21"/>
                <w:szCs w:val="21"/>
              </w:rPr>
              <w:t>2</w:t>
            </w:r>
            <w:r>
              <w:rPr>
                <w:rFonts w:ascii="宋体" w:hAnsi="宋体"/>
                <w:sz w:val="21"/>
                <w:szCs w:val="21"/>
              </w:rPr>
              <w:t>日</w:t>
            </w:r>
          </w:p>
        </w:tc>
        <w:tc>
          <w:tcPr>
            <w:tcW w:w="840" w:type="pct"/>
            <w:tcBorders>
              <w:top w:val="single" w:color="auto" w:sz="4" w:space="0"/>
              <w:left w:val="single" w:color="auto" w:sz="4" w:space="0"/>
              <w:bottom w:val="single" w:color="auto" w:sz="12" w:space="0"/>
              <w:right w:val="single" w:color="auto" w:sz="4" w:space="0"/>
            </w:tcBorders>
            <w:tcMar>
              <w:top w:w="0" w:type="dxa"/>
              <w:left w:w="108" w:type="dxa"/>
              <w:bottom w:w="0" w:type="dxa"/>
              <w:right w:w="108" w:type="dxa"/>
            </w:tcMar>
            <w:vAlign w:val="center"/>
          </w:tcPr>
          <w:p w14:paraId="56302AAB">
            <w:pPr>
              <w:tabs>
                <w:tab w:val="clear" w:pos="480"/>
              </w:tabs>
              <w:spacing w:line="240" w:lineRule="auto"/>
              <w:ind w:firstLine="0" w:firstLineChars="0"/>
              <w:jc w:val="center"/>
              <w:rPr>
                <w:sz w:val="21"/>
                <w:szCs w:val="21"/>
              </w:rPr>
            </w:pPr>
            <w:r>
              <w:rPr>
                <w:sz w:val="21"/>
                <w:szCs w:val="21"/>
              </w:rPr>
              <w:t>21.9~29.2</w:t>
            </w:r>
          </w:p>
        </w:tc>
        <w:tc>
          <w:tcPr>
            <w:tcW w:w="1003" w:type="pct"/>
            <w:tcBorders>
              <w:top w:val="single" w:color="auto" w:sz="4" w:space="0"/>
              <w:left w:val="single" w:color="auto" w:sz="4" w:space="0"/>
              <w:bottom w:val="single" w:color="auto" w:sz="12" w:space="0"/>
              <w:right w:val="single" w:color="auto" w:sz="4" w:space="0"/>
            </w:tcBorders>
            <w:tcMar>
              <w:top w:w="0" w:type="dxa"/>
              <w:left w:w="108" w:type="dxa"/>
              <w:bottom w:w="0" w:type="dxa"/>
              <w:right w:w="108" w:type="dxa"/>
            </w:tcMar>
            <w:vAlign w:val="center"/>
          </w:tcPr>
          <w:p w14:paraId="10E1CCBF">
            <w:pPr>
              <w:tabs>
                <w:tab w:val="clear" w:pos="480"/>
              </w:tabs>
              <w:spacing w:line="240" w:lineRule="auto"/>
              <w:ind w:firstLine="0" w:firstLineChars="0"/>
              <w:jc w:val="center"/>
              <w:rPr>
                <w:sz w:val="21"/>
                <w:szCs w:val="21"/>
              </w:rPr>
            </w:pPr>
            <w:r>
              <w:rPr>
                <w:sz w:val="21"/>
                <w:szCs w:val="21"/>
              </w:rPr>
              <w:t>40.1~62.7</w:t>
            </w:r>
          </w:p>
        </w:tc>
        <w:tc>
          <w:tcPr>
            <w:tcW w:w="791" w:type="pct"/>
            <w:tcBorders>
              <w:top w:val="single" w:color="auto" w:sz="4" w:space="0"/>
              <w:left w:val="single" w:color="auto" w:sz="4" w:space="0"/>
              <w:bottom w:val="single" w:color="auto" w:sz="12" w:space="0"/>
              <w:right w:val="single" w:color="auto" w:sz="12" w:space="0"/>
            </w:tcBorders>
            <w:tcMar>
              <w:top w:w="0" w:type="dxa"/>
              <w:left w:w="108" w:type="dxa"/>
              <w:bottom w:w="0" w:type="dxa"/>
              <w:right w:w="108" w:type="dxa"/>
            </w:tcMar>
            <w:vAlign w:val="center"/>
          </w:tcPr>
          <w:p w14:paraId="41788112">
            <w:pPr>
              <w:tabs>
                <w:tab w:val="clear" w:pos="480"/>
              </w:tabs>
              <w:spacing w:line="240" w:lineRule="auto"/>
              <w:ind w:firstLine="0" w:firstLineChars="0"/>
              <w:jc w:val="center"/>
              <w:rPr>
                <w:sz w:val="21"/>
                <w:szCs w:val="21"/>
              </w:rPr>
            </w:pPr>
            <w:r>
              <w:rPr>
                <w:rFonts w:hint="eastAsia" w:ascii="宋体" w:hAnsi="宋体"/>
                <w:sz w:val="21"/>
                <w:szCs w:val="21"/>
              </w:rPr>
              <w:t>多云</w:t>
            </w:r>
          </w:p>
        </w:tc>
      </w:tr>
    </w:tbl>
    <w:p w14:paraId="5BF644D3">
      <w:pPr>
        <w:adjustRightInd w:val="0"/>
        <w:snapToGrid w:val="0"/>
        <w:ind w:firstLine="480"/>
      </w:pPr>
      <w:r>
        <w:t>（5）监测结果</w:t>
      </w:r>
    </w:p>
    <w:p w14:paraId="11BB2F31">
      <w:pPr>
        <w:adjustRightInd w:val="0"/>
        <w:snapToGrid w:val="0"/>
        <w:ind w:firstLine="480"/>
      </w:pPr>
      <w:r>
        <w:t>本次现状监测共布设4个测点，监测结果详见下表。</w:t>
      </w:r>
    </w:p>
    <w:p w14:paraId="550E2ACA">
      <w:pPr>
        <w:tabs>
          <w:tab w:val="clear" w:pos="480"/>
        </w:tabs>
        <w:spacing w:line="240" w:lineRule="auto"/>
        <w:ind w:firstLine="0" w:firstLineChars="0"/>
        <w:jc w:val="center"/>
        <w:rPr>
          <w:b/>
          <w:bCs/>
        </w:rPr>
      </w:pPr>
      <w:r>
        <w:rPr>
          <w:b/>
          <w:bCs/>
        </w:rPr>
        <w:t>表5.4-13 工频电磁场现状监测结果表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284"/>
        <w:gridCol w:w="2836"/>
        <w:gridCol w:w="2202"/>
        <w:gridCol w:w="2103"/>
      </w:tblGrid>
      <w:tr w14:paraId="4FA4A6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62" w:type="pct"/>
            <w:vAlign w:val="center"/>
          </w:tcPr>
          <w:p w14:paraId="1B8C65D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序号</w:t>
            </w:r>
          </w:p>
        </w:tc>
        <w:tc>
          <w:tcPr>
            <w:tcW w:w="1683" w:type="pct"/>
            <w:vAlign w:val="center"/>
          </w:tcPr>
          <w:p w14:paraId="742CD15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监测位置</w:t>
            </w:r>
          </w:p>
        </w:tc>
        <w:tc>
          <w:tcPr>
            <w:tcW w:w="1307" w:type="pct"/>
            <w:vAlign w:val="center"/>
          </w:tcPr>
          <w:p w14:paraId="76689CD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工频电场强度（V/m）</w:t>
            </w:r>
          </w:p>
        </w:tc>
        <w:tc>
          <w:tcPr>
            <w:tcW w:w="1248" w:type="pct"/>
            <w:vAlign w:val="center"/>
          </w:tcPr>
          <w:p w14:paraId="2656165D">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工频磁感应强度（μT）</w:t>
            </w:r>
          </w:p>
        </w:tc>
      </w:tr>
      <w:tr w14:paraId="25939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62" w:type="pct"/>
            <w:vAlign w:val="center"/>
          </w:tcPr>
          <w:p w14:paraId="7A8350BB">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1</w:t>
            </w:r>
          </w:p>
        </w:tc>
        <w:tc>
          <w:tcPr>
            <w:tcW w:w="1683" w:type="pct"/>
            <w:vAlign w:val="center"/>
          </w:tcPr>
          <w:p w14:paraId="1ABD1A7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升压站站址东面场界</w:t>
            </w:r>
          </w:p>
        </w:tc>
        <w:tc>
          <w:tcPr>
            <w:tcW w:w="1307" w:type="pct"/>
            <w:vAlign w:val="center"/>
          </w:tcPr>
          <w:p w14:paraId="63ADC6F5">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0.5</w:t>
            </w:r>
          </w:p>
        </w:tc>
        <w:tc>
          <w:tcPr>
            <w:tcW w:w="1248" w:type="pct"/>
            <w:vAlign w:val="center"/>
          </w:tcPr>
          <w:p w14:paraId="1CB6A2E3">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0.004</w:t>
            </w:r>
          </w:p>
        </w:tc>
      </w:tr>
      <w:tr w14:paraId="08E9F5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62" w:type="pct"/>
            <w:vAlign w:val="center"/>
          </w:tcPr>
          <w:p w14:paraId="2A3891E1">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2</w:t>
            </w:r>
          </w:p>
        </w:tc>
        <w:tc>
          <w:tcPr>
            <w:tcW w:w="1683" w:type="pct"/>
            <w:vAlign w:val="center"/>
          </w:tcPr>
          <w:p w14:paraId="5741275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升压站站址南面场界</w:t>
            </w:r>
          </w:p>
        </w:tc>
        <w:tc>
          <w:tcPr>
            <w:tcW w:w="1307" w:type="pct"/>
            <w:vAlign w:val="center"/>
          </w:tcPr>
          <w:p w14:paraId="798F6D8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0.3</w:t>
            </w:r>
          </w:p>
        </w:tc>
        <w:tc>
          <w:tcPr>
            <w:tcW w:w="1248" w:type="pct"/>
            <w:vAlign w:val="center"/>
          </w:tcPr>
          <w:p w14:paraId="0E69B8FA">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0.003</w:t>
            </w:r>
          </w:p>
        </w:tc>
      </w:tr>
      <w:tr w14:paraId="503BFD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62" w:type="pct"/>
            <w:vAlign w:val="center"/>
          </w:tcPr>
          <w:p w14:paraId="12840503">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3</w:t>
            </w:r>
          </w:p>
        </w:tc>
        <w:tc>
          <w:tcPr>
            <w:tcW w:w="1683" w:type="pct"/>
            <w:vAlign w:val="center"/>
          </w:tcPr>
          <w:p w14:paraId="6DC0F8E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升压站站址西面场界</w:t>
            </w:r>
          </w:p>
        </w:tc>
        <w:tc>
          <w:tcPr>
            <w:tcW w:w="1307" w:type="pct"/>
            <w:vAlign w:val="center"/>
          </w:tcPr>
          <w:p w14:paraId="1F1A050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0.4</w:t>
            </w:r>
          </w:p>
        </w:tc>
        <w:tc>
          <w:tcPr>
            <w:tcW w:w="1248" w:type="pct"/>
            <w:vAlign w:val="center"/>
          </w:tcPr>
          <w:p w14:paraId="443F6CC1">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0.006</w:t>
            </w:r>
          </w:p>
        </w:tc>
      </w:tr>
      <w:tr w14:paraId="1C39F7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62" w:type="pct"/>
            <w:vAlign w:val="center"/>
          </w:tcPr>
          <w:p w14:paraId="2868E7B8">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4</w:t>
            </w:r>
          </w:p>
        </w:tc>
        <w:tc>
          <w:tcPr>
            <w:tcW w:w="1683" w:type="pct"/>
            <w:vAlign w:val="center"/>
          </w:tcPr>
          <w:p w14:paraId="5B8E568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升压站站址北面场界</w:t>
            </w:r>
          </w:p>
        </w:tc>
        <w:tc>
          <w:tcPr>
            <w:tcW w:w="1307" w:type="pct"/>
            <w:vAlign w:val="center"/>
          </w:tcPr>
          <w:p w14:paraId="7E9B882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0.6</w:t>
            </w:r>
          </w:p>
        </w:tc>
        <w:tc>
          <w:tcPr>
            <w:tcW w:w="1248" w:type="pct"/>
            <w:vAlign w:val="center"/>
          </w:tcPr>
          <w:p w14:paraId="2FC463EB">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0.003</w:t>
            </w:r>
          </w:p>
        </w:tc>
      </w:tr>
      <w:tr w14:paraId="5B040A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762" w:type="pct"/>
            <w:vAlign w:val="center"/>
          </w:tcPr>
          <w:p w14:paraId="76CA6EC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5</w:t>
            </w:r>
          </w:p>
        </w:tc>
        <w:tc>
          <w:tcPr>
            <w:tcW w:w="1683" w:type="pct"/>
            <w:vAlign w:val="center"/>
          </w:tcPr>
          <w:p w14:paraId="4F088E33">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评价标准</w:t>
            </w:r>
          </w:p>
        </w:tc>
        <w:tc>
          <w:tcPr>
            <w:tcW w:w="1307" w:type="pct"/>
            <w:vAlign w:val="center"/>
          </w:tcPr>
          <w:p w14:paraId="16442680">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4000</w:t>
            </w:r>
          </w:p>
        </w:tc>
        <w:tc>
          <w:tcPr>
            <w:tcW w:w="1248" w:type="pct"/>
            <w:vAlign w:val="center"/>
          </w:tcPr>
          <w:p w14:paraId="4F85CC8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100</w:t>
            </w:r>
          </w:p>
        </w:tc>
      </w:tr>
    </w:tbl>
    <w:p w14:paraId="4508E281">
      <w:pPr>
        <w:adjustRightInd w:val="0"/>
        <w:snapToGrid w:val="0"/>
        <w:ind w:firstLine="480"/>
      </w:pPr>
      <w:r>
        <w:t>由上表可知，项目所在地电磁环境质量达到国家标准限值要求，工频电场强度和磁感应强度均远小于《电磁环境控制限值》(GB8702-2014) 标准要求(4000V/m和100μT)。</w:t>
      </w:r>
    </w:p>
    <w:p w14:paraId="00E658BE">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5.4.5</w:t>
      </w:r>
      <w:r>
        <w:rPr>
          <w:rFonts w:hint="eastAsia" w:ascii="Times New Roman" w:eastAsia="宋体"/>
          <w:sz w:val="28"/>
          <w:szCs w:val="28"/>
          <w:lang w:val="en-US"/>
        </w:rPr>
        <w:t>土壤、地下水环境质量现状评价</w:t>
      </w:r>
    </w:p>
    <w:p w14:paraId="1FE71764">
      <w:pPr>
        <w:adjustRightInd w:val="0"/>
        <w:snapToGrid w:val="0"/>
        <w:ind w:firstLine="480"/>
      </w:pPr>
      <w:r>
        <w:rPr>
          <w:rFonts w:hint="eastAsia"/>
        </w:rPr>
        <w:t>根据前述分析可知，本项目地下水环境影响评价工作等级为“无需开展地下水环境影响评价”；土壤环境影响评价工作等级为“本项目无需开展土壤环境影响评价”。</w:t>
      </w:r>
    </w:p>
    <w:p w14:paraId="7F790ACD">
      <w:pPr>
        <w:adjustRightInd w:val="0"/>
        <w:snapToGrid w:val="0"/>
        <w:ind w:firstLine="480"/>
      </w:pPr>
      <w:r>
        <w:rPr>
          <w:rFonts w:hint="eastAsia"/>
        </w:rPr>
        <w:t>因此，本次评价无需进行土壤和地下水环境质量现状评价。</w:t>
      </w:r>
    </w:p>
    <w:p w14:paraId="61A05E02">
      <w:pPr>
        <w:pStyle w:val="4"/>
        <w:tabs>
          <w:tab w:val="clear" w:pos="480"/>
          <w:tab w:val="clear" w:pos="630"/>
        </w:tabs>
        <w:spacing w:before="0" w:after="0"/>
        <w:rPr>
          <w:sz w:val="30"/>
          <w:szCs w:val="30"/>
          <w:lang w:val="en-US"/>
        </w:rPr>
      </w:pPr>
      <w:bookmarkStart w:id="132" w:name="_Toc116977999"/>
      <w:bookmarkStart w:id="133" w:name="_Toc143799383"/>
      <w:r>
        <w:rPr>
          <w:sz w:val="30"/>
          <w:szCs w:val="30"/>
          <w:lang w:val="en-US"/>
        </w:rPr>
        <w:t>5.5</w:t>
      </w:r>
      <w:r>
        <w:rPr>
          <w:rFonts w:hint="eastAsia"/>
          <w:sz w:val="30"/>
          <w:szCs w:val="30"/>
          <w:lang w:val="en-US"/>
        </w:rPr>
        <w:t>生态环境现状评价</w:t>
      </w:r>
      <w:bookmarkEnd w:id="132"/>
      <w:bookmarkEnd w:id="133"/>
    </w:p>
    <w:p w14:paraId="60435ACD">
      <w:pPr>
        <w:adjustRightInd w:val="0"/>
        <w:snapToGrid w:val="0"/>
        <w:ind w:firstLine="480"/>
      </w:pPr>
      <w:r>
        <w:rPr>
          <w:rFonts w:hint="eastAsia"/>
        </w:rPr>
        <w:t>本项目划定评价范围面积为</w:t>
      </w:r>
      <w:r>
        <w:t>1164.32hm</w:t>
      </w:r>
      <w:r>
        <w:rPr>
          <w:vertAlign w:val="superscript"/>
        </w:rPr>
        <w:t>2</w:t>
      </w:r>
      <w:r>
        <w:rPr>
          <w:rFonts w:hint="eastAsia"/>
        </w:rPr>
        <w:t>，以下对该区域简称为评价区。</w:t>
      </w:r>
    </w:p>
    <w:p w14:paraId="12FF4FC7">
      <w:pPr>
        <w:keepNext/>
        <w:keepLines/>
        <w:tabs>
          <w:tab w:val="left" w:pos="425"/>
          <w:tab w:val="clear" w:pos="480"/>
        </w:tabs>
        <w:adjustRightInd w:val="0"/>
        <w:snapToGrid w:val="0"/>
        <w:ind w:firstLine="0" w:firstLineChars="0"/>
        <w:outlineLvl w:val="2"/>
        <w:rPr>
          <w:b/>
          <w:kern w:val="24"/>
          <w:sz w:val="28"/>
          <w:szCs w:val="28"/>
          <w:lang w:val="zh-CN"/>
        </w:rPr>
      </w:pPr>
      <w:r>
        <w:rPr>
          <w:b/>
          <w:kern w:val="24"/>
          <w:sz w:val="28"/>
          <w:szCs w:val="28"/>
          <w:lang w:val="zh-CN"/>
        </w:rPr>
        <w:t>5.5.1</w:t>
      </w:r>
      <w:r>
        <w:rPr>
          <w:rFonts w:hint="eastAsia"/>
          <w:b/>
          <w:kern w:val="24"/>
          <w:sz w:val="28"/>
          <w:szCs w:val="28"/>
          <w:lang w:val="zh-CN"/>
        </w:rPr>
        <w:t>生态环境现状调查方法</w:t>
      </w:r>
    </w:p>
    <w:p w14:paraId="67A44EF2">
      <w:pPr>
        <w:adjustRightInd w:val="0"/>
        <w:snapToGrid w:val="0"/>
        <w:ind w:firstLine="480"/>
      </w:pPr>
      <w:r>
        <w:rPr>
          <w:rFonts w:hint="eastAsia"/>
        </w:rPr>
        <w:t>相关专业技术人员对衡阳县杉桥风电场工程环境影响评价区生态环境现状进行了野外调查。调查内容主要依据《环境影响评价技术导则生态影响》（HJ19-2022）而确定。</w:t>
      </w:r>
    </w:p>
    <w:p w14:paraId="257588F6">
      <w:pPr>
        <w:adjustRightInd w:val="0"/>
        <w:snapToGrid w:val="0"/>
        <w:ind w:firstLine="480"/>
      </w:pPr>
      <w:r>
        <w:rPr>
          <w:rFonts w:hint="eastAsia"/>
        </w:rPr>
        <w:t>参考野外调查和收集的资料，采用生态机理分析法、类比法、景观生态方法等进行评价分析。</w:t>
      </w:r>
    </w:p>
    <w:p w14:paraId="29140030">
      <w:pPr>
        <w:adjustRightInd w:val="0"/>
        <w:snapToGrid w:val="0"/>
        <w:ind w:firstLine="480"/>
      </w:pPr>
      <w:r>
        <w:rPr>
          <w:rFonts w:hint="eastAsia"/>
        </w:rPr>
        <w:t>根据《环境影响评价技术导则》(HJ2.1-2016、HI2.3-2018、HJ2.4-2022和HJ19-2022〉中生态影响评价的要求确定。通过野外实地考察和基础资料收集相结合的方式，进行评价范围内生态环境现状调查。</w:t>
      </w:r>
    </w:p>
    <w:p w14:paraId="7F57FB77">
      <w:pPr>
        <w:keepNext/>
        <w:keepLines/>
        <w:adjustRightInd w:val="0"/>
        <w:snapToGrid w:val="0"/>
        <w:ind w:firstLine="0" w:firstLineChars="0"/>
        <w:outlineLvl w:val="3"/>
        <w:rPr>
          <w:rFonts w:hAnsi="宋体"/>
          <w:b/>
          <w:bCs/>
          <w:lang w:val="zh-CN"/>
        </w:rPr>
      </w:pPr>
      <w:r>
        <w:rPr>
          <w:rFonts w:hint="eastAsia" w:hAnsi="宋体"/>
          <w:b/>
          <w:bCs/>
          <w:lang w:val="zh-CN"/>
        </w:rPr>
        <w:t>5</w:t>
      </w:r>
      <w:r>
        <w:rPr>
          <w:rFonts w:hAnsi="宋体"/>
          <w:b/>
          <w:bCs/>
          <w:lang w:val="zh-CN"/>
        </w:rPr>
        <w:t>.5.1.1</w:t>
      </w:r>
      <w:r>
        <w:rPr>
          <w:rFonts w:hint="eastAsia" w:hAnsi="宋体"/>
          <w:b/>
          <w:bCs/>
          <w:lang w:val="zh-CN"/>
        </w:rPr>
        <w:t>陆生生态现状调查防范</w:t>
      </w:r>
    </w:p>
    <w:p w14:paraId="6D56EFC0">
      <w:pPr>
        <w:adjustRightInd w:val="0"/>
        <w:snapToGrid w:val="0"/>
        <w:ind w:firstLine="480"/>
      </w:pPr>
      <w:r>
        <w:rPr>
          <w:rFonts w:hint="eastAsia"/>
        </w:rPr>
        <w:t>（1）</w:t>
      </w:r>
      <w:r>
        <w:t>GPS地面类型及植被调查取样</w:t>
      </w:r>
    </w:p>
    <w:p w14:paraId="3B388BC4">
      <w:pPr>
        <w:adjustRightInd w:val="0"/>
        <w:snapToGrid w:val="0"/>
        <w:ind w:firstLine="480"/>
      </w:pPr>
      <w:r>
        <w:t>GPS样点是卫星遥感影像判读各种景观类型的基础，根据室内判读的植被与土地利用类型图，现场核实判读的正误率，并对每个GPS取样点</w:t>
      </w:r>
      <w:r>
        <w:rPr>
          <w:rFonts w:hint="eastAsia"/>
        </w:rPr>
        <w:t>做如下</w:t>
      </w:r>
      <w:r>
        <w:t>记录：</w:t>
      </w:r>
    </w:p>
    <w:p w14:paraId="0356B127">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读出测点的海拔值和经纬度；</w:t>
      </w:r>
    </w:p>
    <w:p w14:paraId="2FD6DB91">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记录样点植被类型，以群系为单位，同时记录坡向、坡度；</w:t>
      </w:r>
    </w:p>
    <w:p w14:paraId="60B21E91">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 xml:space="preserve"> 记录样点优势植物以及观察动物活动的情况；</w:t>
      </w:r>
    </w:p>
    <w:p w14:paraId="2C4B9929">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拍摄典型植被外貌与结构特征。</w:t>
      </w:r>
    </w:p>
    <w:p w14:paraId="6B3F96BA">
      <w:pPr>
        <w:adjustRightInd w:val="0"/>
        <w:snapToGrid w:val="0"/>
        <w:ind w:firstLine="480"/>
      </w:pPr>
      <w:r>
        <w:rPr>
          <w:rFonts w:hint="eastAsia"/>
        </w:rPr>
        <w:t>（2）</w:t>
      </w:r>
      <w:r>
        <w:t>植被和陆生植物调查</w:t>
      </w:r>
    </w:p>
    <w:p w14:paraId="01865FCD">
      <w:pPr>
        <w:adjustRightInd w:val="0"/>
        <w:snapToGrid w:val="0"/>
        <w:ind w:firstLine="480"/>
      </w:pPr>
      <w:r>
        <w:t>在对评价区陆生生物资源历年资料检索分析的基础上，根据工程方案确定调查路线及考察时间，进行现场调查。实地调查采取样线调查与样方调查相结合的方法，确定评价区的植物种类、植被类型等，对珍稀濒危植物调查采取野外调查、民间访问和市场调查相结合的方法进行。对有疑问植物和经济植物还采集了凭证标本并拍摄照片。</w:t>
      </w:r>
    </w:p>
    <w:p w14:paraId="1B15E343">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考察路线选取</w:t>
      </w:r>
    </w:p>
    <w:p w14:paraId="31BC4620">
      <w:pPr>
        <w:adjustRightInd w:val="0"/>
        <w:snapToGrid w:val="0"/>
        <w:ind w:firstLine="480"/>
      </w:pPr>
      <w:r>
        <w:t>调查以</w:t>
      </w:r>
      <w:r>
        <w:rPr>
          <w:rFonts w:hint="eastAsia"/>
        </w:rPr>
        <w:t>湖南衡阳岣嵝峰国家森林公园、衡阳县岣嵝峰县级自然保护区</w:t>
      </w:r>
      <w:r>
        <w:t>等生态敏感区</w:t>
      </w:r>
      <w:r>
        <w:rPr>
          <w:rFonts w:hint="eastAsia"/>
        </w:rPr>
        <w:t>附近风机平台及道路</w:t>
      </w:r>
      <w:r>
        <w:t>两侧外延1km，其他</w:t>
      </w:r>
      <w:r>
        <w:rPr>
          <w:rFonts w:hint="eastAsia"/>
        </w:rPr>
        <w:t>区域</w:t>
      </w:r>
      <w:r>
        <w:t>外延300m作为调查范围，在</w:t>
      </w:r>
      <w:r>
        <w:rPr>
          <w:rFonts w:hint="eastAsia"/>
        </w:rPr>
        <w:t>风机机组、升压站、弃渣场</w:t>
      </w:r>
      <w:r>
        <w:t>等重点施工区域做重点调查。沿途记载植物种类、采集标本、观察</w:t>
      </w:r>
      <w:r>
        <w:rPr>
          <w:rFonts w:hint="eastAsia"/>
          <w:lang w:eastAsia="zh-CN"/>
        </w:rPr>
        <w:t>环境</w:t>
      </w:r>
      <w:r>
        <w:t>等。对集中分布的植物群落及重点调查区域进行样方调查。</w:t>
      </w:r>
    </w:p>
    <w:p w14:paraId="1EDB153A">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样方布点原则</w:t>
      </w:r>
    </w:p>
    <w:p w14:paraId="55CA1ADD">
      <w:pPr>
        <w:adjustRightInd w:val="0"/>
        <w:snapToGrid w:val="0"/>
        <w:ind w:firstLine="480"/>
      </w:pPr>
      <w:r>
        <w:t>植被调查取样的目的是要通过样方的研究准确地推测评价范围植被的总体，所选取的样方具有代表性，能通过尽可能少的抽样获得较为准确的有关总体的特征。在对评价范围的植被进行样方调查中，采取的原则是：</w:t>
      </w:r>
    </w:p>
    <w:p w14:paraId="457568BD">
      <w:pPr>
        <w:adjustRightInd w:val="0"/>
        <w:snapToGrid w:val="0"/>
        <w:ind w:firstLine="480"/>
      </w:pPr>
      <w:r>
        <w:rPr>
          <w:rFonts w:hint="eastAsia"/>
        </w:rPr>
        <w:t>a</w:t>
      </w:r>
      <w:r>
        <w:t xml:space="preserve"> 尽量在重点施工区域以及植被良好的区域设置样点，并考虑评价区布点的均匀性。</w:t>
      </w:r>
    </w:p>
    <w:p w14:paraId="443FF1BA">
      <w:pPr>
        <w:adjustRightInd w:val="0"/>
        <w:snapToGrid w:val="0"/>
        <w:ind w:firstLine="480"/>
      </w:pPr>
      <w:r>
        <w:rPr>
          <w:rFonts w:hint="eastAsia"/>
        </w:rPr>
        <w:t>b</w:t>
      </w:r>
      <w:r>
        <w:t xml:space="preserve"> 所选取的样点植被为评价区分布比较普遍的类型。</w:t>
      </w:r>
    </w:p>
    <w:p w14:paraId="642948F4">
      <w:pPr>
        <w:adjustRightInd w:val="0"/>
        <w:snapToGrid w:val="0"/>
        <w:ind w:firstLine="480"/>
      </w:pPr>
      <w:r>
        <w:rPr>
          <w:rFonts w:hint="eastAsia"/>
        </w:rPr>
        <w:t>c</w:t>
      </w:r>
      <w:r>
        <w:t xml:space="preserve"> 样点的设置避免对同一种植被进行重复设点，对特别重要的植被内植物变化较大的情况，可进行增加设点。</w:t>
      </w:r>
    </w:p>
    <w:p w14:paraId="1EE0B76C">
      <w:pPr>
        <w:adjustRightInd w:val="0"/>
        <w:snapToGrid w:val="0"/>
        <w:ind w:firstLine="480"/>
      </w:pPr>
      <w:r>
        <w:rPr>
          <w:rFonts w:hint="eastAsia"/>
        </w:rPr>
        <w:t>d</w:t>
      </w:r>
      <w:r>
        <w:t xml:space="preserve"> 尽量避免非取样误差：避免选择路边易到之处；两人以上进行观察记录，消除主观因素。</w:t>
      </w:r>
    </w:p>
    <w:p w14:paraId="2DE96A99">
      <w:pPr>
        <w:adjustRightInd w:val="0"/>
        <w:snapToGrid w:val="0"/>
        <w:ind w:firstLine="480"/>
      </w:pPr>
      <w:r>
        <w:t>以上原则保证了样点的布置具有代表性，调查结果中的植被应包括评价区分布最普遍、最主要的植被类型。</w:t>
      </w:r>
    </w:p>
    <w:p w14:paraId="6EAB4A8B">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样方调查内容</w:t>
      </w:r>
    </w:p>
    <w:p w14:paraId="3C57A3F8">
      <w:pPr>
        <w:adjustRightInd w:val="0"/>
        <w:snapToGrid w:val="0"/>
        <w:ind w:firstLine="480"/>
      </w:pPr>
      <w:r>
        <w:t>调查采用样方法，乔木群落样方面积为20m×20m，灌木样方为5m×5m，草本样方为1m×1m，记录样方内的所有种类，并利用GPS确定样方位置。</w:t>
      </w:r>
    </w:p>
    <w:p w14:paraId="093A231C">
      <w:pPr>
        <w:adjustRightInd w:val="0"/>
        <w:snapToGrid w:val="0"/>
        <w:ind w:firstLine="480"/>
      </w:pPr>
      <w:r>
        <w:rPr>
          <w:rFonts w:hint="eastAsia"/>
        </w:rPr>
        <w:t>（3）</w:t>
      </w:r>
      <w:r>
        <w:t>陆生动物调查</w:t>
      </w:r>
    </w:p>
    <w:p w14:paraId="16619DA0">
      <w:pPr>
        <w:adjustRightInd w:val="0"/>
        <w:snapToGrid w:val="0"/>
        <w:ind w:firstLine="480"/>
      </w:pPr>
      <w:r>
        <w:t>在调查过程中，确定评价区内动物的种类、资源状况及生存状况，尤其是重点保护种类。调查方法主要有实地考察、访问调查和资料查询。</w:t>
      </w:r>
    </w:p>
    <w:p w14:paraId="39E8BC4C">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实地考察</w:t>
      </w:r>
    </w:p>
    <w:p w14:paraId="308C79CA">
      <w:pPr>
        <w:adjustRightInd w:val="0"/>
        <w:snapToGrid w:val="0"/>
        <w:ind w:firstLine="480"/>
      </w:pPr>
      <w:r>
        <w:rPr>
          <w:rFonts w:hint="eastAsia"/>
        </w:rPr>
        <w:t>生态</w:t>
      </w:r>
      <w:r>
        <w:t>评价</w:t>
      </w:r>
      <w:r>
        <w:rPr>
          <w:rFonts w:hint="eastAsia"/>
        </w:rPr>
        <w:t>调查</w:t>
      </w:r>
      <w:r>
        <w:t>人员到现场进行实地考察，根据工程特点，选择典型</w:t>
      </w:r>
      <w:r>
        <w:rPr>
          <w:rFonts w:hint="eastAsia"/>
          <w:lang w:eastAsia="zh-CN"/>
        </w:rPr>
        <w:t>环境</w:t>
      </w:r>
      <w:r>
        <w:t>，采用样线法、样方法对评价区内陆生野生动物进行了外业调查，并在沿线村庄进行了座谈访问。调查了评价范围内动物区系成分及特点、动物种类、分布、数量、</w:t>
      </w:r>
      <w:r>
        <w:rPr>
          <w:rFonts w:hint="eastAsia"/>
          <w:lang w:eastAsia="zh-CN"/>
        </w:rPr>
        <w:t>环境</w:t>
      </w:r>
      <w:r>
        <w:t>特点、珍稀濒危动物种类、数量、分布等。</w:t>
      </w:r>
    </w:p>
    <w:p w14:paraId="18290D7B">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访问调查</w:t>
      </w:r>
    </w:p>
    <w:p w14:paraId="79F6EC04">
      <w:pPr>
        <w:adjustRightInd w:val="0"/>
        <w:snapToGrid w:val="0"/>
        <w:ind w:firstLine="480"/>
      </w:pPr>
      <w:r>
        <w:t>通过对项目评价区及其周边地区有野外经验的农民访问和座谈，与当地林业部门的相关人员进行交谈，了解当地动物的分布及数量情况。</w:t>
      </w:r>
    </w:p>
    <w:p w14:paraId="10C94879">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 xml:space="preserve"> 查阅相关资料</w:t>
      </w:r>
    </w:p>
    <w:p w14:paraId="14EDF68B">
      <w:pPr>
        <w:adjustRightInd w:val="0"/>
        <w:snapToGrid w:val="0"/>
        <w:ind w:firstLine="480"/>
      </w:pPr>
      <w:r>
        <w:t>查阅当地的有关科学研究和野外调查资料。比照相应的地理纬度和海拔高度，对照相关的研究资料，核查和收集当地及相邻地区的相关资料。</w:t>
      </w:r>
    </w:p>
    <w:p w14:paraId="0817E8E6">
      <w:pPr>
        <w:adjustRightInd w:val="0"/>
        <w:snapToGrid w:val="0"/>
        <w:ind w:firstLine="480"/>
      </w:pPr>
      <w:r>
        <w:t>综合实地调查、访问调查和资料汇总，通过分析归纳和总结，从而得出项目现场及实施地和周边地区的动物物种、种群数量和分布资料，为评价和保护当地动物提供科学的依据。</w:t>
      </w:r>
    </w:p>
    <w:p w14:paraId="184E6E17">
      <w:pPr>
        <w:keepNext/>
        <w:keepLines/>
        <w:adjustRightInd w:val="0"/>
        <w:snapToGrid w:val="0"/>
        <w:ind w:firstLine="0" w:firstLineChars="0"/>
        <w:outlineLvl w:val="3"/>
        <w:rPr>
          <w:rFonts w:hAnsi="宋体"/>
          <w:b/>
          <w:bCs/>
          <w:lang w:val="zh-CN"/>
        </w:rPr>
      </w:pPr>
      <w:r>
        <w:rPr>
          <w:rFonts w:hint="eastAsia" w:hAnsi="宋体"/>
          <w:b/>
          <w:bCs/>
          <w:lang w:val="zh-CN"/>
        </w:rPr>
        <w:t>5</w:t>
      </w:r>
      <w:r>
        <w:rPr>
          <w:rFonts w:hAnsi="宋体"/>
          <w:b/>
          <w:bCs/>
          <w:lang w:val="zh-CN"/>
        </w:rPr>
        <w:t>.5.1.2</w:t>
      </w:r>
      <w:r>
        <w:rPr>
          <w:rFonts w:hint="eastAsia" w:hAnsi="宋体"/>
          <w:b/>
          <w:bCs/>
          <w:lang w:val="zh-CN"/>
        </w:rPr>
        <w:t>水生生态现状调查</w:t>
      </w:r>
    </w:p>
    <w:p w14:paraId="13E2141E">
      <w:pPr>
        <w:adjustRightInd w:val="0"/>
        <w:snapToGrid w:val="0"/>
        <w:ind w:firstLine="480"/>
      </w:pPr>
      <w:r>
        <w:rPr>
          <w:rFonts w:hint="eastAsia"/>
        </w:rPr>
        <w:t>本项目周边不涉及大型河流，风电场周边主要分布为一些山涧小溪，项目评价范围内的山涧小溪基本无鱼类存在。因此，对于水生生态主要采取访问调查和查阅相关资料。</w:t>
      </w:r>
    </w:p>
    <w:p w14:paraId="632A795F">
      <w:pPr>
        <w:keepNext/>
        <w:keepLines/>
        <w:tabs>
          <w:tab w:val="left" w:pos="425"/>
          <w:tab w:val="clear" w:pos="480"/>
        </w:tabs>
        <w:adjustRightInd w:val="0"/>
        <w:snapToGrid w:val="0"/>
        <w:ind w:firstLine="0" w:firstLineChars="0"/>
        <w:outlineLvl w:val="2"/>
        <w:rPr>
          <w:b/>
          <w:kern w:val="24"/>
          <w:sz w:val="28"/>
          <w:szCs w:val="28"/>
          <w:lang w:val="zh-CN"/>
        </w:rPr>
      </w:pPr>
      <w:r>
        <w:rPr>
          <w:b/>
          <w:kern w:val="24"/>
          <w:sz w:val="28"/>
          <w:szCs w:val="28"/>
          <w:lang w:val="zh-CN"/>
        </w:rPr>
        <w:t>5.5.2</w:t>
      </w:r>
      <w:r>
        <w:rPr>
          <w:rFonts w:hint="eastAsia"/>
          <w:b/>
          <w:kern w:val="24"/>
          <w:sz w:val="28"/>
          <w:szCs w:val="28"/>
          <w:lang w:val="zh-CN"/>
        </w:rPr>
        <w:t>土地利用现状</w:t>
      </w:r>
    </w:p>
    <w:p w14:paraId="6F7F0D5F">
      <w:pPr>
        <w:adjustRightInd w:val="0"/>
        <w:snapToGrid w:val="0"/>
        <w:ind w:firstLine="480"/>
      </w:pPr>
      <w:r>
        <w:t>评价区</w:t>
      </w:r>
      <w:r>
        <w:rPr>
          <w:rFonts w:hint="eastAsia"/>
        </w:rPr>
        <w:t>为项目占地及外延3</w:t>
      </w:r>
      <w:r>
        <w:t>00</w:t>
      </w:r>
      <w:r>
        <w:rPr>
          <w:rFonts w:hint="eastAsia"/>
        </w:rPr>
        <w:t>m范围，评价区总面积为</w:t>
      </w:r>
      <w:r>
        <w:t>1164.32</w:t>
      </w:r>
      <w:r>
        <w:rPr>
          <w:rFonts w:hint="eastAsia"/>
        </w:rPr>
        <w:t>hm</w:t>
      </w:r>
      <w:r>
        <w:rPr>
          <w:vertAlign w:val="superscript"/>
        </w:rPr>
        <w:t>2</w:t>
      </w:r>
      <w:r>
        <w:rPr>
          <w:rFonts w:hint="eastAsia"/>
        </w:rPr>
        <w:t>，</w:t>
      </w:r>
      <w:r>
        <w:t>土地利用现状是在</w:t>
      </w:r>
      <w:r>
        <w:rPr>
          <w:rFonts w:hint="eastAsia"/>
        </w:rPr>
        <w:t>查阅资料</w:t>
      </w:r>
      <w:r>
        <w:t>的基础上，结合</w:t>
      </w:r>
      <w:r>
        <w:rPr>
          <w:rFonts w:hint="eastAsia"/>
        </w:rPr>
        <w:t>现场踏勘</w:t>
      </w:r>
      <w:r>
        <w:t>，运用景观生态法（即以植被作为主导因素），并结合土壤、地貌等因子进行综合分析，将土地利用格局的拼块类型分为林地、</w:t>
      </w:r>
      <w:r>
        <w:rPr>
          <w:rFonts w:hint="eastAsia"/>
        </w:rPr>
        <w:t>灌</w:t>
      </w:r>
      <w:r>
        <w:t>草地、耕地、水域、建设用地和未利用地等几种类型。</w:t>
      </w:r>
      <w:r>
        <w:rPr>
          <w:rFonts w:hint="eastAsia"/>
        </w:rPr>
        <w:t xml:space="preserve"> </w:t>
      </w:r>
    </w:p>
    <w:p w14:paraId="7830E9DF">
      <w:pPr>
        <w:adjustRightInd w:val="0"/>
        <w:snapToGrid w:val="0"/>
        <w:ind w:firstLine="480"/>
      </w:pPr>
      <w:r>
        <w:rPr>
          <w:rFonts w:hint="eastAsia"/>
        </w:rPr>
        <w:t>衡阳县杉桥风电场工程</w:t>
      </w:r>
      <w:r>
        <w:t>评价区土地利用现状见</w:t>
      </w:r>
      <w:r>
        <w:rPr>
          <w:rFonts w:hint="eastAsia"/>
        </w:rPr>
        <w:t>下表。</w:t>
      </w:r>
    </w:p>
    <w:p w14:paraId="078913AA">
      <w:pPr>
        <w:tabs>
          <w:tab w:val="clear" w:pos="480"/>
        </w:tabs>
        <w:spacing w:line="240" w:lineRule="auto"/>
        <w:ind w:firstLine="0" w:firstLineChars="0"/>
        <w:jc w:val="center"/>
        <w:rPr>
          <w:b/>
          <w:bCs/>
        </w:rPr>
      </w:pPr>
      <w:r>
        <w:rPr>
          <w:rFonts w:hint="eastAsia"/>
          <w:b/>
          <w:bCs/>
        </w:rPr>
        <w:t>表</w:t>
      </w:r>
      <w:r>
        <w:rPr>
          <w:b/>
          <w:bCs/>
        </w:rPr>
        <w:t>5.5</w:t>
      </w:r>
      <w:r>
        <w:rPr>
          <w:rFonts w:hint="eastAsia"/>
          <w:b/>
          <w:bCs/>
        </w:rPr>
        <w:t>-</w:t>
      </w:r>
      <w:r>
        <w:rPr>
          <w:b/>
          <w:bCs/>
        </w:rPr>
        <w:t>1评价区土地利用类型现状</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17"/>
        <w:gridCol w:w="3075"/>
        <w:gridCol w:w="1540"/>
        <w:gridCol w:w="2995"/>
      </w:tblGrid>
      <w:tr w14:paraId="6B53AF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vMerge w:val="restart"/>
            <w:shd w:val="clear" w:color="auto" w:fill="auto"/>
            <w:vAlign w:val="center"/>
          </w:tcPr>
          <w:p w14:paraId="30C419C8">
            <w:pPr>
              <w:widowControl/>
              <w:tabs>
                <w:tab w:val="clear" w:pos="480"/>
              </w:tabs>
              <w:adjustRightInd w:val="0"/>
              <w:snapToGrid w:val="0"/>
              <w:spacing w:line="240" w:lineRule="auto"/>
              <w:ind w:firstLine="0" w:firstLineChars="0"/>
              <w:rPr>
                <w:kern w:val="0"/>
                <w:sz w:val="21"/>
                <w:szCs w:val="21"/>
              </w:rPr>
            </w:pPr>
            <w:r>
              <w:rPr>
                <w:kern w:val="0"/>
                <w:sz w:val="21"/>
                <w:szCs w:val="21"/>
              </w:rPr>
              <w:t>序号</w:t>
            </w:r>
          </w:p>
        </w:tc>
        <w:tc>
          <w:tcPr>
            <w:tcW w:w="1803" w:type="pct"/>
            <w:vMerge w:val="restart"/>
            <w:shd w:val="clear" w:color="auto" w:fill="auto"/>
            <w:vAlign w:val="center"/>
          </w:tcPr>
          <w:p w14:paraId="6E1DC9E5">
            <w:pPr>
              <w:widowControl/>
              <w:tabs>
                <w:tab w:val="clear" w:pos="480"/>
              </w:tabs>
              <w:adjustRightInd w:val="0"/>
              <w:snapToGrid w:val="0"/>
              <w:spacing w:line="240" w:lineRule="auto"/>
              <w:ind w:firstLine="0" w:firstLineChars="0"/>
              <w:jc w:val="center"/>
              <w:rPr>
                <w:kern w:val="0"/>
                <w:sz w:val="21"/>
                <w:szCs w:val="21"/>
              </w:rPr>
            </w:pPr>
            <w:r>
              <w:rPr>
                <w:kern w:val="0"/>
                <w:sz w:val="21"/>
                <w:szCs w:val="21"/>
              </w:rPr>
              <w:t>类型</w:t>
            </w:r>
          </w:p>
        </w:tc>
        <w:tc>
          <w:tcPr>
            <w:tcW w:w="2659" w:type="pct"/>
            <w:gridSpan w:val="2"/>
            <w:shd w:val="clear" w:color="auto" w:fill="auto"/>
            <w:vAlign w:val="center"/>
          </w:tcPr>
          <w:p w14:paraId="07D757E5">
            <w:pPr>
              <w:widowControl/>
              <w:tabs>
                <w:tab w:val="clear" w:pos="480"/>
              </w:tabs>
              <w:adjustRightInd w:val="0"/>
              <w:snapToGrid w:val="0"/>
              <w:spacing w:line="240" w:lineRule="auto"/>
              <w:ind w:firstLine="0" w:firstLineChars="0"/>
              <w:jc w:val="center"/>
              <w:rPr>
                <w:kern w:val="0"/>
                <w:sz w:val="21"/>
                <w:szCs w:val="21"/>
              </w:rPr>
            </w:pPr>
            <w:r>
              <w:rPr>
                <w:kern w:val="0"/>
                <w:sz w:val="21"/>
                <w:szCs w:val="21"/>
              </w:rPr>
              <w:t>面积</w:t>
            </w:r>
          </w:p>
        </w:tc>
      </w:tr>
      <w:tr w14:paraId="31236E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vMerge w:val="continue"/>
            <w:shd w:val="clear" w:color="auto" w:fill="auto"/>
            <w:vAlign w:val="center"/>
          </w:tcPr>
          <w:p w14:paraId="048E18DD">
            <w:pPr>
              <w:widowControl/>
              <w:tabs>
                <w:tab w:val="clear" w:pos="480"/>
              </w:tabs>
              <w:adjustRightInd w:val="0"/>
              <w:snapToGrid w:val="0"/>
              <w:spacing w:line="240" w:lineRule="auto"/>
              <w:ind w:firstLine="0" w:firstLineChars="0"/>
              <w:rPr>
                <w:kern w:val="0"/>
                <w:sz w:val="21"/>
                <w:szCs w:val="21"/>
              </w:rPr>
            </w:pPr>
          </w:p>
        </w:tc>
        <w:tc>
          <w:tcPr>
            <w:tcW w:w="1803" w:type="pct"/>
            <w:vMerge w:val="continue"/>
            <w:shd w:val="clear" w:color="auto" w:fill="auto"/>
            <w:vAlign w:val="center"/>
          </w:tcPr>
          <w:p w14:paraId="5A5C81AB">
            <w:pPr>
              <w:widowControl/>
              <w:tabs>
                <w:tab w:val="clear" w:pos="480"/>
              </w:tabs>
              <w:adjustRightInd w:val="0"/>
              <w:snapToGrid w:val="0"/>
              <w:spacing w:line="240" w:lineRule="auto"/>
              <w:ind w:firstLine="0" w:firstLineChars="0"/>
              <w:jc w:val="center"/>
              <w:rPr>
                <w:kern w:val="0"/>
                <w:sz w:val="21"/>
                <w:szCs w:val="21"/>
              </w:rPr>
            </w:pPr>
          </w:p>
        </w:tc>
        <w:tc>
          <w:tcPr>
            <w:tcW w:w="903" w:type="pct"/>
            <w:shd w:val="clear" w:color="auto" w:fill="auto"/>
            <w:vAlign w:val="center"/>
          </w:tcPr>
          <w:p w14:paraId="29E75D7B">
            <w:pPr>
              <w:widowControl/>
              <w:tabs>
                <w:tab w:val="clear" w:pos="480"/>
              </w:tabs>
              <w:adjustRightInd w:val="0"/>
              <w:snapToGrid w:val="0"/>
              <w:spacing w:line="240" w:lineRule="auto"/>
              <w:ind w:firstLine="0" w:firstLineChars="0"/>
              <w:jc w:val="center"/>
              <w:rPr>
                <w:kern w:val="0"/>
                <w:sz w:val="21"/>
                <w:szCs w:val="21"/>
              </w:rPr>
            </w:pPr>
            <w:r>
              <w:rPr>
                <w:kern w:val="0"/>
                <w:sz w:val="21"/>
                <w:szCs w:val="21"/>
              </w:rPr>
              <w:t>数量（hm</w:t>
            </w:r>
            <w:r>
              <w:rPr>
                <w:kern w:val="0"/>
                <w:sz w:val="21"/>
                <w:szCs w:val="21"/>
                <w:vertAlign w:val="superscript"/>
              </w:rPr>
              <w:t>2</w:t>
            </w:r>
            <w:r>
              <w:rPr>
                <w:kern w:val="0"/>
                <w:sz w:val="21"/>
                <w:szCs w:val="21"/>
              </w:rPr>
              <w:t>）</w:t>
            </w:r>
          </w:p>
        </w:tc>
        <w:tc>
          <w:tcPr>
            <w:tcW w:w="1756" w:type="pct"/>
            <w:shd w:val="clear" w:color="auto" w:fill="auto"/>
            <w:vAlign w:val="center"/>
          </w:tcPr>
          <w:p w14:paraId="2BFA01CA">
            <w:pPr>
              <w:widowControl/>
              <w:tabs>
                <w:tab w:val="clear" w:pos="480"/>
              </w:tabs>
              <w:adjustRightInd w:val="0"/>
              <w:snapToGrid w:val="0"/>
              <w:spacing w:line="240" w:lineRule="auto"/>
              <w:ind w:firstLine="0" w:firstLineChars="0"/>
              <w:jc w:val="center"/>
              <w:rPr>
                <w:kern w:val="0"/>
                <w:sz w:val="21"/>
                <w:szCs w:val="21"/>
              </w:rPr>
            </w:pPr>
            <w:r>
              <w:rPr>
                <w:kern w:val="0"/>
                <w:sz w:val="21"/>
                <w:szCs w:val="21"/>
              </w:rPr>
              <w:t>占评价区总面积的比例（%）</w:t>
            </w:r>
          </w:p>
        </w:tc>
      </w:tr>
      <w:tr w14:paraId="1113FD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shd w:val="clear" w:color="auto" w:fill="auto"/>
            <w:vAlign w:val="center"/>
          </w:tcPr>
          <w:p w14:paraId="3753600C">
            <w:pPr>
              <w:widowControl/>
              <w:tabs>
                <w:tab w:val="clear" w:pos="480"/>
              </w:tabs>
              <w:adjustRightInd w:val="0"/>
              <w:snapToGrid w:val="0"/>
              <w:spacing w:line="240" w:lineRule="auto"/>
              <w:ind w:firstLine="0" w:firstLineChars="0"/>
              <w:jc w:val="center"/>
              <w:rPr>
                <w:kern w:val="0"/>
                <w:sz w:val="21"/>
                <w:szCs w:val="21"/>
              </w:rPr>
            </w:pPr>
            <w:r>
              <w:rPr>
                <w:kern w:val="0"/>
                <w:sz w:val="21"/>
                <w:szCs w:val="21"/>
              </w:rPr>
              <w:t>1</w:t>
            </w:r>
          </w:p>
        </w:tc>
        <w:tc>
          <w:tcPr>
            <w:tcW w:w="1803" w:type="pct"/>
            <w:shd w:val="clear" w:color="auto" w:fill="auto"/>
            <w:vAlign w:val="center"/>
          </w:tcPr>
          <w:p w14:paraId="149878A4">
            <w:pPr>
              <w:widowControl/>
              <w:tabs>
                <w:tab w:val="clear" w:pos="480"/>
              </w:tabs>
              <w:adjustRightInd w:val="0"/>
              <w:snapToGrid w:val="0"/>
              <w:spacing w:line="240" w:lineRule="auto"/>
              <w:ind w:firstLine="0" w:firstLineChars="0"/>
              <w:jc w:val="center"/>
              <w:rPr>
                <w:kern w:val="0"/>
                <w:sz w:val="21"/>
                <w:szCs w:val="21"/>
              </w:rPr>
            </w:pPr>
            <w:r>
              <w:rPr>
                <w:kern w:val="0"/>
                <w:sz w:val="21"/>
                <w:szCs w:val="21"/>
              </w:rPr>
              <w:t>林地</w:t>
            </w:r>
          </w:p>
        </w:tc>
        <w:tc>
          <w:tcPr>
            <w:tcW w:w="903" w:type="pct"/>
            <w:shd w:val="clear" w:color="auto" w:fill="auto"/>
            <w:vAlign w:val="center"/>
          </w:tcPr>
          <w:p w14:paraId="3858DB9C">
            <w:pPr>
              <w:widowControl/>
              <w:tabs>
                <w:tab w:val="clear" w:pos="480"/>
              </w:tabs>
              <w:adjustRightInd w:val="0"/>
              <w:snapToGrid w:val="0"/>
              <w:spacing w:line="240" w:lineRule="auto"/>
              <w:ind w:firstLine="0" w:firstLineChars="0"/>
              <w:jc w:val="center"/>
              <w:rPr>
                <w:kern w:val="0"/>
                <w:sz w:val="21"/>
                <w:szCs w:val="21"/>
              </w:rPr>
            </w:pPr>
            <w:r>
              <w:rPr>
                <w:kern w:val="0"/>
                <w:sz w:val="21"/>
                <w:szCs w:val="21"/>
              </w:rPr>
              <w:t>799.54</w:t>
            </w:r>
          </w:p>
        </w:tc>
        <w:tc>
          <w:tcPr>
            <w:tcW w:w="1756" w:type="pct"/>
            <w:shd w:val="clear" w:color="auto" w:fill="auto"/>
            <w:vAlign w:val="center"/>
          </w:tcPr>
          <w:p w14:paraId="43EDB3B5">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68.67</w:t>
            </w:r>
          </w:p>
        </w:tc>
      </w:tr>
      <w:tr w14:paraId="2E3EB9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shd w:val="clear" w:color="auto" w:fill="auto"/>
            <w:vAlign w:val="center"/>
          </w:tcPr>
          <w:p w14:paraId="47001D8C">
            <w:pPr>
              <w:widowControl/>
              <w:tabs>
                <w:tab w:val="clear" w:pos="480"/>
              </w:tabs>
              <w:adjustRightInd w:val="0"/>
              <w:snapToGrid w:val="0"/>
              <w:spacing w:line="240" w:lineRule="auto"/>
              <w:ind w:firstLine="0" w:firstLineChars="0"/>
              <w:jc w:val="center"/>
              <w:rPr>
                <w:kern w:val="0"/>
                <w:sz w:val="21"/>
                <w:szCs w:val="21"/>
              </w:rPr>
            </w:pPr>
          </w:p>
        </w:tc>
        <w:tc>
          <w:tcPr>
            <w:tcW w:w="1803" w:type="pct"/>
            <w:shd w:val="clear" w:color="auto" w:fill="auto"/>
            <w:vAlign w:val="center"/>
          </w:tcPr>
          <w:p w14:paraId="6A7A5827">
            <w:pPr>
              <w:widowControl/>
              <w:tabs>
                <w:tab w:val="clear" w:pos="480"/>
              </w:tabs>
              <w:adjustRightInd w:val="0"/>
              <w:snapToGrid w:val="0"/>
              <w:spacing w:line="240" w:lineRule="auto"/>
              <w:ind w:firstLine="0" w:firstLineChars="0"/>
              <w:jc w:val="center"/>
              <w:rPr>
                <w:kern w:val="0"/>
                <w:sz w:val="21"/>
                <w:szCs w:val="21"/>
              </w:rPr>
            </w:pPr>
            <w:r>
              <w:rPr>
                <w:kern w:val="0"/>
                <w:sz w:val="21"/>
                <w:szCs w:val="21"/>
              </w:rPr>
              <w:t>灌草地</w:t>
            </w:r>
          </w:p>
        </w:tc>
        <w:tc>
          <w:tcPr>
            <w:tcW w:w="903" w:type="pct"/>
            <w:shd w:val="clear" w:color="auto" w:fill="auto"/>
            <w:vAlign w:val="center"/>
          </w:tcPr>
          <w:p w14:paraId="7294B744">
            <w:pPr>
              <w:widowControl/>
              <w:tabs>
                <w:tab w:val="clear" w:pos="480"/>
              </w:tabs>
              <w:adjustRightInd w:val="0"/>
              <w:snapToGrid w:val="0"/>
              <w:spacing w:line="240" w:lineRule="auto"/>
              <w:ind w:firstLine="0" w:firstLineChars="0"/>
              <w:jc w:val="center"/>
              <w:rPr>
                <w:kern w:val="0"/>
                <w:sz w:val="21"/>
                <w:szCs w:val="21"/>
              </w:rPr>
            </w:pPr>
            <w:r>
              <w:rPr>
                <w:kern w:val="0"/>
                <w:sz w:val="21"/>
                <w:szCs w:val="21"/>
              </w:rPr>
              <w:t>344.99</w:t>
            </w:r>
          </w:p>
        </w:tc>
        <w:tc>
          <w:tcPr>
            <w:tcW w:w="1756" w:type="pct"/>
            <w:shd w:val="clear" w:color="auto" w:fill="auto"/>
            <w:vAlign w:val="center"/>
          </w:tcPr>
          <w:p w14:paraId="4E47A982">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29.63</w:t>
            </w:r>
          </w:p>
        </w:tc>
      </w:tr>
      <w:tr w14:paraId="21D58F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shd w:val="clear" w:color="auto" w:fill="auto"/>
            <w:vAlign w:val="center"/>
          </w:tcPr>
          <w:p w14:paraId="37527166">
            <w:pPr>
              <w:widowControl/>
              <w:tabs>
                <w:tab w:val="clear" w:pos="480"/>
              </w:tabs>
              <w:adjustRightInd w:val="0"/>
              <w:snapToGrid w:val="0"/>
              <w:spacing w:line="240" w:lineRule="auto"/>
              <w:ind w:firstLine="0" w:firstLineChars="0"/>
              <w:jc w:val="center"/>
              <w:rPr>
                <w:kern w:val="0"/>
                <w:sz w:val="21"/>
                <w:szCs w:val="21"/>
              </w:rPr>
            </w:pPr>
            <w:r>
              <w:rPr>
                <w:kern w:val="0"/>
                <w:sz w:val="21"/>
                <w:szCs w:val="21"/>
              </w:rPr>
              <w:t>2</w:t>
            </w:r>
          </w:p>
        </w:tc>
        <w:tc>
          <w:tcPr>
            <w:tcW w:w="1803" w:type="pct"/>
            <w:shd w:val="clear" w:color="auto" w:fill="auto"/>
            <w:vAlign w:val="center"/>
          </w:tcPr>
          <w:p w14:paraId="70D53A88">
            <w:pPr>
              <w:widowControl/>
              <w:tabs>
                <w:tab w:val="clear" w:pos="480"/>
              </w:tabs>
              <w:adjustRightInd w:val="0"/>
              <w:snapToGrid w:val="0"/>
              <w:spacing w:line="240" w:lineRule="auto"/>
              <w:ind w:firstLine="0" w:firstLineChars="0"/>
              <w:jc w:val="center"/>
              <w:rPr>
                <w:kern w:val="0"/>
                <w:sz w:val="21"/>
                <w:szCs w:val="21"/>
              </w:rPr>
            </w:pPr>
            <w:r>
              <w:rPr>
                <w:kern w:val="0"/>
                <w:sz w:val="21"/>
                <w:szCs w:val="21"/>
              </w:rPr>
              <w:t>耕地</w:t>
            </w:r>
          </w:p>
        </w:tc>
        <w:tc>
          <w:tcPr>
            <w:tcW w:w="903" w:type="pct"/>
            <w:shd w:val="clear" w:color="auto" w:fill="auto"/>
            <w:vAlign w:val="center"/>
          </w:tcPr>
          <w:p w14:paraId="3F336380">
            <w:pPr>
              <w:widowControl/>
              <w:tabs>
                <w:tab w:val="clear" w:pos="480"/>
              </w:tabs>
              <w:adjustRightInd w:val="0"/>
              <w:snapToGrid w:val="0"/>
              <w:spacing w:line="240" w:lineRule="auto"/>
              <w:ind w:firstLine="0" w:firstLineChars="0"/>
              <w:jc w:val="center"/>
              <w:rPr>
                <w:kern w:val="0"/>
                <w:sz w:val="21"/>
                <w:szCs w:val="21"/>
              </w:rPr>
            </w:pPr>
            <w:r>
              <w:rPr>
                <w:kern w:val="0"/>
                <w:sz w:val="21"/>
                <w:szCs w:val="21"/>
              </w:rPr>
              <w:t>4.42</w:t>
            </w:r>
          </w:p>
        </w:tc>
        <w:tc>
          <w:tcPr>
            <w:tcW w:w="1756" w:type="pct"/>
            <w:shd w:val="clear" w:color="auto" w:fill="auto"/>
            <w:vAlign w:val="center"/>
          </w:tcPr>
          <w:p w14:paraId="317CF526">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0.38</w:t>
            </w:r>
          </w:p>
        </w:tc>
      </w:tr>
      <w:tr w14:paraId="29AB92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shd w:val="clear" w:color="auto" w:fill="auto"/>
            <w:vAlign w:val="center"/>
          </w:tcPr>
          <w:p w14:paraId="18FD020E">
            <w:pPr>
              <w:widowControl/>
              <w:tabs>
                <w:tab w:val="clear" w:pos="480"/>
              </w:tabs>
              <w:adjustRightInd w:val="0"/>
              <w:snapToGrid w:val="0"/>
              <w:spacing w:line="240" w:lineRule="auto"/>
              <w:ind w:firstLine="0" w:firstLineChars="0"/>
              <w:jc w:val="center"/>
              <w:rPr>
                <w:kern w:val="0"/>
                <w:sz w:val="21"/>
                <w:szCs w:val="21"/>
              </w:rPr>
            </w:pPr>
            <w:r>
              <w:rPr>
                <w:kern w:val="0"/>
                <w:sz w:val="21"/>
                <w:szCs w:val="21"/>
              </w:rPr>
              <w:t>3</w:t>
            </w:r>
          </w:p>
        </w:tc>
        <w:tc>
          <w:tcPr>
            <w:tcW w:w="1803" w:type="pct"/>
            <w:shd w:val="clear" w:color="auto" w:fill="auto"/>
            <w:vAlign w:val="center"/>
          </w:tcPr>
          <w:p w14:paraId="3D4494B9">
            <w:pPr>
              <w:widowControl/>
              <w:tabs>
                <w:tab w:val="clear" w:pos="480"/>
              </w:tabs>
              <w:adjustRightInd w:val="0"/>
              <w:snapToGrid w:val="0"/>
              <w:spacing w:line="240" w:lineRule="auto"/>
              <w:ind w:firstLine="0" w:firstLineChars="0"/>
              <w:jc w:val="center"/>
              <w:rPr>
                <w:kern w:val="0"/>
                <w:sz w:val="21"/>
                <w:szCs w:val="21"/>
              </w:rPr>
            </w:pPr>
            <w:r>
              <w:rPr>
                <w:kern w:val="0"/>
                <w:sz w:val="21"/>
                <w:szCs w:val="21"/>
              </w:rPr>
              <w:t>水域</w:t>
            </w:r>
          </w:p>
        </w:tc>
        <w:tc>
          <w:tcPr>
            <w:tcW w:w="903" w:type="pct"/>
            <w:shd w:val="clear" w:color="auto" w:fill="auto"/>
            <w:vAlign w:val="center"/>
          </w:tcPr>
          <w:p w14:paraId="0B0A5B8C">
            <w:pPr>
              <w:widowControl/>
              <w:tabs>
                <w:tab w:val="clear" w:pos="480"/>
              </w:tabs>
              <w:adjustRightInd w:val="0"/>
              <w:snapToGrid w:val="0"/>
              <w:spacing w:line="240" w:lineRule="auto"/>
              <w:ind w:firstLine="0" w:firstLineChars="0"/>
              <w:jc w:val="center"/>
              <w:rPr>
                <w:kern w:val="0"/>
                <w:sz w:val="21"/>
                <w:szCs w:val="21"/>
              </w:rPr>
            </w:pPr>
            <w:r>
              <w:rPr>
                <w:kern w:val="0"/>
                <w:sz w:val="21"/>
                <w:szCs w:val="21"/>
              </w:rPr>
              <w:t>0.23</w:t>
            </w:r>
          </w:p>
        </w:tc>
        <w:tc>
          <w:tcPr>
            <w:tcW w:w="1756" w:type="pct"/>
            <w:shd w:val="clear" w:color="auto" w:fill="auto"/>
            <w:vAlign w:val="center"/>
          </w:tcPr>
          <w:p w14:paraId="2766B146">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0.02</w:t>
            </w:r>
          </w:p>
        </w:tc>
      </w:tr>
      <w:tr w14:paraId="7C528C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38" w:type="pct"/>
            <w:shd w:val="clear" w:color="auto" w:fill="auto"/>
            <w:vAlign w:val="center"/>
          </w:tcPr>
          <w:p w14:paraId="36291B00">
            <w:pPr>
              <w:widowControl/>
              <w:tabs>
                <w:tab w:val="clear" w:pos="480"/>
              </w:tabs>
              <w:adjustRightInd w:val="0"/>
              <w:snapToGrid w:val="0"/>
              <w:spacing w:line="240" w:lineRule="auto"/>
              <w:ind w:firstLine="0" w:firstLineChars="0"/>
              <w:jc w:val="center"/>
              <w:rPr>
                <w:kern w:val="0"/>
                <w:sz w:val="21"/>
                <w:szCs w:val="21"/>
              </w:rPr>
            </w:pPr>
            <w:r>
              <w:rPr>
                <w:kern w:val="0"/>
                <w:sz w:val="21"/>
                <w:szCs w:val="21"/>
              </w:rPr>
              <w:t>4</w:t>
            </w:r>
          </w:p>
        </w:tc>
        <w:tc>
          <w:tcPr>
            <w:tcW w:w="1803" w:type="pct"/>
            <w:shd w:val="clear" w:color="auto" w:fill="auto"/>
            <w:vAlign w:val="center"/>
          </w:tcPr>
          <w:p w14:paraId="61FDADA2">
            <w:pPr>
              <w:widowControl/>
              <w:tabs>
                <w:tab w:val="clear" w:pos="480"/>
              </w:tabs>
              <w:adjustRightInd w:val="0"/>
              <w:snapToGrid w:val="0"/>
              <w:spacing w:line="240" w:lineRule="auto"/>
              <w:ind w:firstLine="0" w:firstLineChars="0"/>
              <w:jc w:val="center"/>
              <w:rPr>
                <w:kern w:val="0"/>
                <w:sz w:val="21"/>
                <w:szCs w:val="21"/>
              </w:rPr>
            </w:pPr>
            <w:r>
              <w:rPr>
                <w:kern w:val="0"/>
                <w:sz w:val="21"/>
                <w:szCs w:val="21"/>
              </w:rPr>
              <w:t>建设用地（含交通设施用地）</w:t>
            </w:r>
          </w:p>
        </w:tc>
        <w:tc>
          <w:tcPr>
            <w:tcW w:w="903" w:type="pct"/>
            <w:shd w:val="clear" w:color="auto" w:fill="auto"/>
            <w:vAlign w:val="center"/>
          </w:tcPr>
          <w:p w14:paraId="5BFB0980">
            <w:pPr>
              <w:widowControl/>
              <w:tabs>
                <w:tab w:val="clear" w:pos="480"/>
              </w:tabs>
              <w:adjustRightInd w:val="0"/>
              <w:snapToGrid w:val="0"/>
              <w:spacing w:line="240" w:lineRule="auto"/>
              <w:ind w:firstLine="0" w:firstLineChars="0"/>
              <w:jc w:val="center"/>
              <w:rPr>
                <w:kern w:val="0"/>
                <w:sz w:val="21"/>
                <w:szCs w:val="21"/>
              </w:rPr>
            </w:pPr>
            <w:r>
              <w:rPr>
                <w:kern w:val="0"/>
                <w:sz w:val="21"/>
                <w:szCs w:val="21"/>
              </w:rPr>
              <w:t>15.14</w:t>
            </w:r>
          </w:p>
        </w:tc>
        <w:tc>
          <w:tcPr>
            <w:tcW w:w="1756" w:type="pct"/>
            <w:shd w:val="clear" w:color="auto" w:fill="auto"/>
            <w:vAlign w:val="center"/>
          </w:tcPr>
          <w:p w14:paraId="48A851AF">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1.30</w:t>
            </w:r>
          </w:p>
        </w:tc>
      </w:tr>
      <w:tr w14:paraId="378B05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341" w:type="pct"/>
            <w:gridSpan w:val="2"/>
            <w:shd w:val="clear" w:color="auto" w:fill="auto"/>
            <w:vAlign w:val="center"/>
          </w:tcPr>
          <w:p w14:paraId="05EF7ED8">
            <w:pPr>
              <w:widowControl/>
              <w:tabs>
                <w:tab w:val="clear" w:pos="480"/>
              </w:tabs>
              <w:adjustRightInd w:val="0"/>
              <w:snapToGrid w:val="0"/>
              <w:spacing w:line="240" w:lineRule="auto"/>
              <w:ind w:firstLine="0" w:firstLineChars="0"/>
              <w:jc w:val="center"/>
              <w:rPr>
                <w:kern w:val="0"/>
                <w:sz w:val="21"/>
                <w:szCs w:val="21"/>
              </w:rPr>
            </w:pPr>
            <w:r>
              <w:rPr>
                <w:bCs/>
                <w:kern w:val="0"/>
                <w:sz w:val="21"/>
                <w:szCs w:val="21"/>
              </w:rPr>
              <w:t>合计</w:t>
            </w:r>
          </w:p>
        </w:tc>
        <w:tc>
          <w:tcPr>
            <w:tcW w:w="903" w:type="pct"/>
            <w:shd w:val="clear" w:color="auto" w:fill="auto"/>
            <w:vAlign w:val="center"/>
          </w:tcPr>
          <w:p w14:paraId="4FE1E222">
            <w:pPr>
              <w:widowControl/>
              <w:tabs>
                <w:tab w:val="clear" w:pos="480"/>
              </w:tabs>
              <w:adjustRightInd w:val="0"/>
              <w:snapToGrid w:val="0"/>
              <w:spacing w:line="240" w:lineRule="auto"/>
              <w:ind w:firstLine="0" w:firstLineChars="0"/>
              <w:jc w:val="center"/>
              <w:rPr>
                <w:kern w:val="0"/>
                <w:sz w:val="21"/>
                <w:szCs w:val="21"/>
              </w:rPr>
            </w:pPr>
            <w:r>
              <w:rPr>
                <w:b/>
                <w:bCs/>
                <w:kern w:val="0"/>
                <w:sz w:val="21"/>
                <w:szCs w:val="21"/>
              </w:rPr>
              <w:t>1164.32</w:t>
            </w:r>
          </w:p>
        </w:tc>
        <w:tc>
          <w:tcPr>
            <w:tcW w:w="1756" w:type="pct"/>
            <w:shd w:val="clear" w:color="auto" w:fill="auto"/>
            <w:vAlign w:val="center"/>
          </w:tcPr>
          <w:p w14:paraId="27AD1F00">
            <w:pPr>
              <w:widowControl/>
              <w:tabs>
                <w:tab w:val="clear" w:pos="480"/>
              </w:tabs>
              <w:adjustRightInd w:val="0"/>
              <w:snapToGrid w:val="0"/>
              <w:spacing w:line="240" w:lineRule="auto"/>
              <w:ind w:firstLine="0" w:firstLineChars="0"/>
              <w:jc w:val="center"/>
              <w:rPr>
                <w:kern w:val="0"/>
                <w:sz w:val="21"/>
                <w:szCs w:val="21"/>
              </w:rPr>
            </w:pPr>
            <w:r>
              <w:rPr>
                <w:b/>
                <w:bCs/>
                <w:kern w:val="0"/>
                <w:sz w:val="21"/>
                <w:szCs w:val="21"/>
              </w:rPr>
              <w:t>100</w:t>
            </w:r>
          </w:p>
        </w:tc>
      </w:tr>
    </w:tbl>
    <w:p w14:paraId="6B4C1EE7">
      <w:pPr>
        <w:adjustRightInd w:val="0"/>
        <w:snapToGrid w:val="0"/>
        <w:ind w:firstLine="480"/>
      </w:pPr>
      <w:r>
        <w:t>由上表可知，评价区土地利用类型以</w:t>
      </w:r>
      <w:r>
        <w:rPr>
          <w:rFonts w:hint="eastAsia"/>
        </w:rPr>
        <w:t>林地</w:t>
      </w:r>
      <w:r>
        <w:t>为主。</w:t>
      </w:r>
      <w:r>
        <w:rPr>
          <w:rFonts w:hint="eastAsia"/>
        </w:rPr>
        <w:t>林地</w:t>
      </w:r>
      <w:r>
        <w:t>面积最大，为799.54hm</w:t>
      </w:r>
      <w:r>
        <w:rPr>
          <w:vertAlign w:val="superscript"/>
        </w:rPr>
        <w:t>2</w:t>
      </w:r>
      <w:r>
        <w:t>，占评价区总面积的68.67%</w:t>
      </w:r>
      <w:r>
        <w:rPr>
          <w:rFonts w:hint="eastAsia"/>
        </w:rPr>
        <w:t>。其他土地</w:t>
      </w:r>
      <w:r>
        <w:t>利用</w:t>
      </w:r>
      <w:r>
        <w:rPr>
          <w:rFonts w:hint="eastAsia"/>
        </w:rPr>
        <w:t>类型的</w:t>
      </w:r>
      <w:r>
        <w:t>面积都比较小，</w:t>
      </w:r>
      <w:r>
        <w:rPr>
          <w:rFonts w:hint="eastAsia"/>
        </w:rPr>
        <w:t>其中灌草地</w:t>
      </w:r>
      <w:r>
        <w:t>面积为344.99hm</w:t>
      </w:r>
      <w:r>
        <w:rPr>
          <w:vertAlign w:val="superscript"/>
        </w:rPr>
        <w:t>2</w:t>
      </w:r>
      <w:r>
        <w:t>，占评价区总面积的29.63%</w:t>
      </w:r>
      <w:r>
        <w:rPr>
          <w:rFonts w:hint="eastAsia"/>
        </w:rPr>
        <w:t>；</w:t>
      </w:r>
      <w:r>
        <w:t>耕地面积为4.42hm</w:t>
      </w:r>
      <w:r>
        <w:rPr>
          <w:vertAlign w:val="superscript"/>
        </w:rPr>
        <w:t>2</w:t>
      </w:r>
      <w:r>
        <w:rPr>
          <w:rFonts w:hint="eastAsia"/>
        </w:rPr>
        <w:t>，</w:t>
      </w:r>
      <w:r>
        <w:t>占评价区总面积的0.38%；评价区水域、建设用地</w:t>
      </w:r>
      <w:r>
        <w:rPr>
          <w:rFonts w:hint="eastAsia"/>
        </w:rPr>
        <w:t>（含交通设施用地）</w:t>
      </w:r>
      <w:r>
        <w:t>面积</w:t>
      </w:r>
      <w:r>
        <w:rPr>
          <w:rFonts w:hint="eastAsia"/>
        </w:rPr>
        <w:t>极小</w:t>
      </w:r>
      <w:r>
        <w:t>，</w:t>
      </w:r>
      <w:r>
        <w:rPr>
          <w:rFonts w:hint="eastAsia"/>
        </w:rPr>
        <w:t>分别</w:t>
      </w:r>
      <w:r>
        <w:t>占总面积的比例</w:t>
      </w:r>
      <w:r>
        <w:rPr>
          <w:rFonts w:hint="eastAsia"/>
        </w:rPr>
        <w:t>为</w:t>
      </w:r>
      <w:r>
        <w:t>0.02%</w:t>
      </w:r>
      <w:r>
        <w:rPr>
          <w:rFonts w:hint="eastAsia"/>
        </w:rPr>
        <w:t>和</w:t>
      </w:r>
      <w:r>
        <w:t>1.30%。结合现场调查情况来看，评价区林地以有林地、疏林地、灌木林地为主，其中有林地多分布于山体中下部，主要为经济林地</w:t>
      </w:r>
      <w:r>
        <w:rPr>
          <w:rFonts w:hint="eastAsia"/>
        </w:rPr>
        <w:t>；</w:t>
      </w:r>
      <w:r>
        <w:t>疏林地、灌木林地多分布山体上部；评价区灌草地多分布于山坡下部、山脊以及道路两旁等区域，常见于林缘、耕地及建设用地附近。</w:t>
      </w:r>
    </w:p>
    <w:p w14:paraId="624A6373">
      <w:pPr>
        <w:keepNext/>
        <w:keepLines/>
        <w:tabs>
          <w:tab w:val="left" w:pos="425"/>
          <w:tab w:val="clear" w:pos="480"/>
        </w:tabs>
        <w:adjustRightInd w:val="0"/>
        <w:snapToGrid w:val="0"/>
        <w:ind w:firstLine="0" w:firstLineChars="0"/>
        <w:outlineLvl w:val="2"/>
        <w:rPr>
          <w:b/>
          <w:kern w:val="24"/>
          <w:sz w:val="28"/>
          <w:szCs w:val="28"/>
          <w:lang w:val="zh-CN"/>
        </w:rPr>
      </w:pPr>
      <w:r>
        <w:rPr>
          <w:b/>
          <w:kern w:val="24"/>
          <w:sz w:val="28"/>
          <w:szCs w:val="28"/>
          <w:lang w:val="zh-CN"/>
        </w:rPr>
        <w:t>5.5.3</w:t>
      </w:r>
      <w:r>
        <w:rPr>
          <w:rFonts w:hint="eastAsia"/>
          <w:b/>
          <w:kern w:val="24"/>
          <w:sz w:val="28"/>
          <w:szCs w:val="28"/>
          <w:lang w:val="zh-CN"/>
        </w:rPr>
        <w:t>生态系统现状</w:t>
      </w:r>
    </w:p>
    <w:p w14:paraId="5AD62365">
      <w:pPr>
        <w:adjustRightInd w:val="0"/>
        <w:snapToGrid w:val="0"/>
        <w:ind w:firstLine="480"/>
      </w:pPr>
      <w:r>
        <w:rPr>
          <w:rFonts w:hint="eastAsia"/>
        </w:rPr>
        <w:t>参考《全国生态状况调查评估技术规范—生态系统遥感解译与野外核查》（H</w:t>
      </w:r>
      <w:r>
        <w:t>J1166-2021</w:t>
      </w:r>
      <w:r>
        <w:rPr>
          <w:rFonts w:hint="eastAsia"/>
        </w:rPr>
        <w:t>）的分类原则及方法，根据对建群种生活型、群落外貌、土地利用现状的分析，结合动植物分布和生物量的调查，对评价区生态现状进行生态系统划分，可分为</w:t>
      </w:r>
      <w:r>
        <w:t>自然的森林生态系统、灌丛/灌草丛生态系统、湿地生态系统及半自然的农业生态系统和人工的城镇/村落生态系统。</w:t>
      </w:r>
      <w:r>
        <w:rPr>
          <w:rFonts w:hint="eastAsia"/>
        </w:rPr>
        <w:t>评价区各</w:t>
      </w:r>
      <w:r>
        <w:t>生态系统面积及比例见</w:t>
      </w:r>
      <w:r>
        <w:rPr>
          <w:rFonts w:hint="eastAsia"/>
        </w:rPr>
        <w:t>下表。</w:t>
      </w:r>
    </w:p>
    <w:p w14:paraId="6418B3C1">
      <w:pPr>
        <w:spacing w:line="240" w:lineRule="auto"/>
        <w:ind w:firstLine="0" w:firstLineChars="0"/>
        <w:jc w:val="center"/>
        <w:rPr>
          <w:b/>
          <w:bCs/>
        </w:rPr>
      </w:pPr>
      <w:r>
        <w:rPr>
          <w:rFonts w:hint="eastAsia"/>
          <w:b/>
          <w:bCs/>
        </w:rPr>
        <w:t>表5.5-2</w:t>
      </w:r>
      <w:r>
        <w:rPr>
          <w:b/>
          <w:bCs/>
        </w:rPr>
        <w:t>评价区各生态系统面积</w:t>
      </w:r>
      <w:r>
        <w:rPr>
          <w:rFonts w:hint="eastAsia"/>
          <w:b/>
          <w:bCs/>
        </w:rPr>
        <w:t>及比例</w:t>
      </w:r>
    </w:p>
    <w:tbl>
      <w:tblPr>
        <w:tblStyle w:val="88"/>
        <w:tblW w:w="5000" w:type="pct"/>
        <w:tblInd w:w="1" w:type="dxa"/>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autofit"/>
        <w:tblCellMar>
          <w:top w:w="0" w:type="dxa"/>
          <w:left w:w="108" w:type="dxa"/>
          <w:bottom w:w="0" w:type="dxa"/>
          <w:right w:w="108" w:type="dxa"/>
        </w:tblCellMar>
      </w:tblPr>
      <w:tblGrid>
        <w:gridCol w:w="1879"/>
        <w:gridCol w:w="1170"/>
        <w:gridCol w:w="1463"/>
        <w:gridCol w:w="1317"/>
        <w:gridCol w:w="1272"/>
        <w:gridCol w:w="1426"/>
      </w:tblGrid>
      <w:tr w14:paraId="7919BA1C">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02" w:type="pct"/>
            <w:vAlign w:val="center"/>
          </w:tcPr>
          <w:p w14:paraId="22B4D9B1">
            <w:pPr>
              <w:adjustRightInd w:val="0"/>
              <w:snapToGrid w:val="0"/>
              <w:spacing w:line="240" w:lineRule="auto"/>
              <w:ind w:firstLine="0" w:firstLineChars="0"/>
              <w:jc w:val="center"/>
              <w:rPr>
                <w:bCs/>
                <w:sz w:val="18"/>
                <w:szCs w:val="18"/>
              </w:rPr>
            </w:pPr>
            <w:r>
              <w:rPr>
                <w:bCs/>
                <w:sz w:val="18"/>
                <w:szCs w:val="18"/>
              </w:rPr>
              <w:t>生态系统类型</w:t>
            </w:r>
          </w:p>
        </w:tc>
        <w:tc>
          <w:tcPr>
            <w:tcW w:w="686" w:type="pct"/>
            <w:vAlign w:val="center"/>
          </w:tcPr>
          <w:p w14:paraId="0F102855">
            <w:pPr>
              <w:adjustRightInd w:val="0"/>
              <w:snapToGrid w:val="0"/>
              <w:spacing w:line="240" w:lineRule="auto"/>
              <w:ind w:firstLine="0" w:firstLineChars="0"/>
              <w:jc w:val="center"/>
              <w:rPr>
                <w:bCs/>
                <w:sz w:val="18"/>
                <w:szCs w:val="18"/>
              </w:rPr>
            </w:pPr>
            <w:r>
              <w:rPr>
                <w:bCs/>
                <w:sz w:val="18"/>
                <w:szCs w:val="18"/>
              </w:rPr>
              <w:t>森林生态系统</w:t>
            </w:r>
          </w:p>
        </w:tc>
        <w:tc>
          <w:tcPr>
            <w:tcW w:w="858" w:type="pct"/>
            <w:vAlign w:val="center"/>
          </w:tcPr>
          <w:p w14:paraId="79E7EDDD">
            <w:pPr>
              <w:adjustRightInd w:val="0"/>
              <w:snapToGrid w:val="0"/>
              <w:spacing w:line="240" w:lineRule="auto"/>
              <w:ind w:firstLine="0" w:firstLineChars="0"/>
              <w:jc w:val="center"/>
              <w:rPr>
                <w:bCs/>
                <w:sz w:val="18"/>
                <w:szCs w:val="18"/>
              </w:rPr>
            </w:pPr>
            <w:r>
              <w:rPr>
                <w:bCs/>
                <w:sz w:val="18"/>
                <w:szCs w:val="18"/>
              </w:rPr>
              <w:t>灌丛/灌草丛生态系统</w:t>
            </w:r>
          </w:p>
        </w:tc>
        <w:tc>
          <w:tcPr>
            <w:tcW w:w="772" w:type="pct"/>
            <w:vAlign w:val="center"/>
          </w:tcPr>
          <w:p w14:paraId="519D1ED6">
            <w:pPr>
              <w:adjustRightInd w:val="0"/>
              <w:snapToGrid w:val="0"/>
              <w:spacing w:line="240" w:lineRule="auto"/>
              <w:ind w:firstLine="0" w:firstLineChars="0"/>
              <w:jc w:val="center"/>
              <w:rPr>
                <w:bCs/>
                <w:sz w:val="18"/>
                <w:szCs w:val="18"/>
              </w:rPr>
            </w:pPr>
            <w:r>
              <w:rPr>
                <w:bCs/>
                <w:sz w:val="18"/>
                <w:szCs w:val="18"/>
              </w:rPr>
              <w:t>湿地生态系统</w:t>
            </w:r>
          </w:p>
        </w:tc>
        <w:tc>
          <w:tcPr>
            <w:tcW w:w="746" w:type="pct"/>
            <w:vAlign w:val="center"/>
          </w:tcPr>
          <w:p w14:paraId="13B4D2C8">
            <w:pPr>
              <w:adjustRightInd w:val="0"/>
              <w:snapToGrid w:val="0"/>
              <w:spacing w:line="240" w:lineRule="auto"/>
              <w:ind w:firstLine="0" w:firstLineChars="0"/>
              <w:jc w:val="center"/>
              <w:rPr>
                <w:bCs/>
                <w:sz w:val="18"/>
                <w:szCs w:val="18"/>
              </w:rPr>
            </w:pPr>
            <w:r>
              <w:rPr>
                <w:bCs/>
                <w:sz w:val="18"/>
                <w:szCs w:val="18"/>
              </w:rPr>
              <w:t>农业生态系统</w:t>
            </w:r>
          </w:p>
        </w:tc>
        <w:tc>
          <w:tcPr>
            <w:tcW w:w="836" w:type="pct"/>
            <w:vAlign w:val="center"/>
          </w:tcPr>
          <w:p w14:paraId="1B0710BC">
            <w:pPr>
              <w:adjustRightInd w:val="0"/>
              <w:snapToGrid w:val="0"/>
              <w:spacing w:line="240" w:lineRule="auto"/>
              <w:ind w:firstLine="0" w:firstLineChars="0"/>
              <w:jc w:val="center"/>
              <w:rPr>
                <w:bCs/>
                <w:sz w:val="18"/>
                <w:szCs w:val="18"/>
              </w:rPr>
            </w:pPr>
            <w:r>
              <w:rPr>
                <w:bCs/>
                <w:sz w:val="18"/>
                <w:szCs w:val="18"/>
              </w:rPr>
              <w:t>城镇/村落生态系统</w:t>
            </w:r>
          </w:p>
        </w:tc>
      </w:tr>
      <w:tr w14:paraId="4C5DC168">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02" w:type="pct"/>
            <w:vAlign w:val="center"/>
          </w:tcPr>
          <w:p w14:paraId="6B05BEC1">
            <w:pPr>
              <w:adjustRightInd w:val="0"/>
              <w:snapToGrid w:val="0"/>
              <w:spacing w:line="240" w:lineRule="auto"/>
              <w:ind w:firstLine="0" w:firstLineChars="0"/>
              <w:jc w:val="center"/>
              <w:rPr>
                <w:bCs/>
                <w:sz w:val="18"/>
                <w:szCs w:val="18"/>
              </w:rPr>
            </w:pPr>
            <w:r>
              <w:rPr>
                <w:bCs/>
                <w:sz w:val="18"/>
                <w:szCs w:val="18"/>
              </w:rPr>
              <w:t>面积（hm</w:t>
            </w:r>
            <w:r>
              <w:rPr>
                <w:bCs/>
                <w:sz w:val="18"/>
                <w:szCs w:val="18"/>
                <w:vertAlign w:val="superscript"/>
              </w:rPr>
              <w:t>2</w:t>
            </w:r>
            <w:r>
              <w:rPr>
                <w:bCs/>
                <w:sz w:val="18"/>
                <w:szCs w:val="18"/>
              </w:rPr>
              <w:t>）</w:t>
            </w:r>
          </w:p>
        </w:tc>
        <w:tc>
          <w:tcPr>
            <w:tcW w:w="686" w:type="pct"/>
            <w:vAlign w:val="center"/>
          </w:tcPr>
          <w:p w14:paraId="5673D23F">
            <w:pPr>
              <w:adjustRightInd w:val="0"/>
              <w:snapToGrid w:val="0"/>
              <w:spacing w:line="240" w:lineRule="auto"/>
              <w:ind w:firstLine="0" w:firstLineChars="0"/>
              <w:jc w:val="center"/>
              <w:rPr>
                <w:bCs/>
                <w:sz w:val="18"/>
                <w:szCs w:val="18"/>
              </w:rPr>
            </w:pPr>
            <w:r>
              <w:rPr>
                <w:bCs/>
                <w:sz w:val="18"/>
                <w:szCs w:val="18"/>
              </w:rPr>
              <w:t>476.68</w:t>
            </w:r>
          </w:p>
        </w:tc>
        <w:tc>
          <w:tcPr>
            <w:tcW w:w="858" w:type="pct"/>
            <w:vAlign w:val="center"/>
          </w:tcPr>
          <w:p w14:paraId="34559686">
            <w:pPr>
              <w:adjustRightInd w:val="0"/>
              <w:snapToGrid w:val="0"/>
              <w:spacing w:line="240" w:lineRule="auto"/>
              <w:ind w:firstLine="0" w:firstLineChars="0"/>
              <w:jc w:val="center"/>
              <w:rPr>
                <w:bCs/>
                <w:sz w:val="18"/>
                <w:szCs w:val="18"/>
              </w:rPr>
            </w:pPr>
            <w:r>
              <w:rPr>
                <w:bCs/>
                <w:sz w:val="18"/>
                <w:szCs w:val="18"/>
              </w:rPr>
              <w:t>667.85</w:t>
            </w:r>
          </w:p>
        </w:tc>
        <w:tc>
          <w:tcPr>
            <w:tcW w:w="772" w:type="pct"/>
            <w:vAlign w:val="center"/>
          </w:tcPr>
          <w:p w14:paraId="527C7223">
            <w:pPr>
              <w:adjustRightInd w:val="0"/>
              <w:snapToGrid w:val="0"/>
              <w:spacing w:line="240" w:lineRule="auto"/>
              <w:ind w:firstLine="0" w:firstLineChars="0"/>
              <w:jc w:val="center"/>
              <w:rPr>
                <w:bCs/>
                <w:sz w:val="18"/>
                <w:szCs w:val="18"/>
              </w:rPr>
            </w:pPr>
            <w:r>
              <w:rPr>
                <w:rFonts w:hint="eastAsia"/>
                <w:bCs/>
                <w:sz w:val="18"/>
                <w:szCs w:val="18"/>
              </w:rPr>
              <w:t>0</w:t>
            </w:r>
            <w:r>
              <w:rPr>
                <w:bCs/>
                <w:sz w:val="18"/>
                <w:szCs w:val="18"/>
              </w:rPr>
              <w:t>.23</w:t>
            </w:r>
          </w:p>
        </w:tc>
        <w:tc>
          <w:tcPr>
            <w:tcW w:w="746" w:type="pct"/>
            <w:vAlign w:val="center"/>
          </w:tcPr>
          <w:p w14:paraId="0B33924B">
            <w:pPr>
              <w:adjustRightInd w:val="0"/>
              <w:snapToGrid w:val="0"/>
              <w:spacing w:line="240" w:lineRule="auto"/>
              <w:ind w:firstLine="0" w:firstLineChars="0"/>
              <w:jc w:val="center"/>
              <w:rPr>
                <w:bCs/>
                <w:sz w:val="18"/>
                <w:szCs w:val="18"/>
              </w:rPr>
            </w:pPr>
            <w:r>
              <w:rPr>
                <w:rFonts w:hint="eastAsia"/>
                <w:bCs/>
                <w:sz w:val="18"/>
                <w:szCs w:val="18"/>
              </w:rPr>
              <w:t>4</w:t>
            </w:r>
            <w:r>
              <w:rPr>
                <w:bCs/>
                <w:sz w:val="18"/>
                <w:szCs w:val="18"/>
              </w:rPr>
              <w:t>.42</w:t>
            </w:r>
          </w:p>
        </w:tc>
        <w:tc>
          <w:tcPr>
            <w:tcW w:w="836" w:type="pct"/>
            <w:vAlign w:val="center"/>
          </w:tcPr>
          <w:p w14:paraId="547FF819">
            <w:pPr>
              <w:adjustRightInd w:val="0"/>
              <w:snapToGrid w:val="0"/>
              <w:spacing w:line="240" w:lineRule="auto"/>
              <w:ind w:firstLine="0" w:firstLineChars="0"/>
              <w:jc w:val="center"/>
              <w:rPr>
                <w:bCs/>
                <w:sz w:val="18"/>
                <w:szCs w:val="18"/>
              </w:rPr>
            </w:pPr>
            <w:r>
              <w:rPr>
                <w:rFonts w:hint="eastAsia"/>
                <w:bCs/>
                <w:sz w:val="18"/>
                <w:szCs w:val="18"/>
              </w:rPr>
              <w:t>1</w:t>
            </w:r>
            <w:r>
              <w:rPr>
                <w:bCs/>
                <w:sz w:val="18"/>
                <w:szCs w:val="18"/>
              </w:rPr>
              <w:t>5.14</w:t>
            </w:r>
          </w:p>
        </w:tc>
      </w:tr>
      <w:tr w14:paraId="4AB11FD9">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102" w:type="pct"/>
            <w:vAlign w:val="center"/>
          </w:tcPr>
          <w:p w14:paraId="43D182F4">
            <w:pPr>
              <w:adjustRightInd w:val="0"/>
              <w:snapToGrid w:val="0"/>
              <w:spacing w:line="240" w:lineRule="auto"/>
              <w:ind w:firstLine="0" w:firstLineChars="0"/>
              <w:jc w:val="center"/>
              <w:rPr>
                <w:bCs/>
                <w:sz w:val="18"/>
                <w:szCs w:val="18"/>
              </w:rPr>
            </w:pPr>
            <w:r>
              <w:rPr>
                <w:bCs/>
                <w:sz w:val="18"/>
                <w:szCs w:val="18"/>
              </w:rPr>
              <w:t>所占比例（%）</w:t>
            </w:r>
          </w:p>
        </w:tc>
        <w:tc>
          <w:tcPr>
            <w:tcW w:w="686" w:type="pct"/>
            <w:vAlign w:val="center"/>
          </w:tcPr>
          <w:p w14:paraId="5799B21E">
            <w:pPr>
              <w:adjustRightInd w:val="0"/>
              <w:snapToGrid w:val="0"/>
              <w:spacing w:line="240" w:lineRule="auto"/>
              <w:ind w:firstLine="0" w:firstLineChars="0"/>
              <w:jc w:val="center"/>
              <w:rPr>
                <w:bCs/>
                <w:sz w:val="18"/>
                <w:szCs w:val="18"/>
              </w:rPr>
            </w:pPr>
            <w:r>
              <w:rPr>
                <w:rFonts w:hint="eastAsia"/>
                <w:bCs/>
                <w:sz w:val="18"/>
                <w:szCs w:val="18"/>
              </w:rPr>
              <w:t>4</w:t>
            </w:r>
            <w:r>
              <w:rPr>
                <w:bCs/>
                <w:sz w:val="18"/>
                <w:szCs w:val="18"/>
              </w:rPr>
              <w:t>0.94</w:t>
            </w:r>
          </w:p>
        </w:tc>
        <w:tc>
          <w:tcPr>
            <w:tcW w:w="858" w:type="pct"/>
            <w:vAlign w:val="center"/>
          </w:tcPr>
          <w:p w14:paraId="3E52FCD2">
            <w:pPr>
              <w:adjustRightInd w:val="0"/>
              <w:snapToGrid w:val="0"/>
              <w:spacing w:line="240" w:lineRule="auto"/>
              <w:ind w:firstLine="0" w:firstLineChars="0"/>
              <w:jc w:val="center"/>
              <w:rPr>
                <w:bCs/>
                <w:sz w:val="18"/>
                <w:szCs w:val="18"/>
              </w:rPr>
            </w:pPr>
            <w:r>
              <w:rPr>
                <w:rFonts w:hint="eastAsia"/>
                <w:bCs/>
                <w:sz w:val="18"/>
                <w:szCs w:val="18"/>
              </w:rPr>
              <w:t>5</w:t>
            </w:r>
            <w:r>
              <w:rPr>
                <w:bCs/>
                <w:sz w:val="18"/>
                <w:szCs w:val="18"/>
              </w:rPr>
              <w:t>7.36</w:t>
            </w:r>
          </w:p>
        </w:tc>
        <w:tc>
          <w:tcPr>
            <w:tcW w:w="772" w:type="pct"/>
            <w:vAlign w:val="center"/>
          </w:tcPr>
          <w:p w14:paraId="10B9C88D">
            <w:pPr>
              <w:adjustRightInd w:val="0"/>
              <w:snapToGrid w:val="0"/>
              <w:spacing w:line="240" w:lineRule="auto"/>
              <w:ind w:firstLine="0" w:firstLineChars="0"/>
              <w:jc w:val="center"/>
              <w:rPr>
                <w:bCs/>
                <w:sz w:val="18"/>
                <w:szCs w:val="18"/>
              </w:rPr>
            </w:pPr>
            <w:r>
              <w:rPr>
                <w:bCs/>
                <w:sz w:val="18"/>
                <w:szCs w:val="18"/>
              </w:rPr>
              <w:t>0.02</w:t>
            </w:r>
          </w:p>
        </w:tc>
        <w:tc>
          <w:tcPr>
            <w:tcW w:w="746" w:type="pct"/>
            <w:vAlign w:val="center"/>
          </w:tcPr>
          <w:p w14:paraId="424F8EE8">
            <w:pPr>
              <w:adjustRightInd w:val="0"/>
              <w:snapToGrid w:val="0"/>
              <w:spacing w:line="240" w:lineRule="auto"/>
              <w:ind w:firstLine="0" w:firstLineChars="0"/>
              <w:jc w:val="center"/>
              <w:rPr>
                <w:bCs/>
                <w:sz w:val="18"/>
                <w:szCs w:val="18"/>
              </w:rPr>
            </w:pPr>
            <w:r>
              <w:rPr>
                <w:rFonts w:hint="eastAsia"/>
                <w:bCs/>
                <w:sz w:val="18"/>
                <w:szCs w:val="18"/>
              </w:rPr>
              <w:t>0</w:t>
            </w:r>
            <w:r>
              <w:rPr>
                <w:bCs/>
                <w:sz w:val="18"/>
                <w:szCs w:val="18"/>
              </w:rPr>
              <w:t>.38</w:t>
            </w:r>
          </w:p>
        </w:tc>
        <w:tc>
          <w:tcPr>
            <w:tcW w:w="836" w:type="pct"/>
            <w:vAlign w:val="center"/>
          </w:tcPr>
          <w:p w14:paraId="012A3147">
            <w:pPr>
              <w:adjustRightInd w:val="0"/>
              <w:snapToGrid w:val="0"/>
              <w:spacing w:line="240" w:lineRule="auto"/>
              <w:ind w:firstLine="0" w:firstLineChars="0"/>
              <w:jc w:val="center"/>
              <w:rPr>
                <w:bCs/>
                <w:sz w:val="18"/>
                <w:szCs w:val="18"/>
              </w:rPr>
            </w:pPr>
            <w:r>
              <w:rPr>
                <w:rFonts w:hint="eastAsia"/>
                <w:bCs/>
                <w:sz w:val="18"/>
                <w:szCs w:val="18"/>
              </w:rPr>
              <w:t>1</w:t>
            </w:r>
            <w:r>
              <w:rPr>
                <w:bCs/>
                <w:sz w:val="18"/>
                <w:szCs w:val="18"/>
              </w:rPr>
              <w:t>.30</w:t>
            </w:r>
          </w:p>
        </w:tc>
      </w:tr>
    </w:tbl>
    <w:p w14:paraId="081FA460">
      <w:pPr>
        <w:tabs>
          <w:tab w:val="clear" w:pos="480"/>
        </w:tabs>
        <w:adjustRightInd w:val="0"/>
        <w:snapToGrid w:val="0"/>
        <w:ind w:firstLine="0" w:firstLineChars="0"/>
        <w:outlineLvl w:val="3"/>
        <w:rPr>
          <w:b/>
          <w:kern w:val="0"/>
          <w:lang w:val="zh-CN"/>
        </w:rPr>
      </w:pPr>
      <w:r>
        <w:rPr>
          <w:b/>
          <w:kern w:val="0"/>
          <w:lang w:val="zh-CN"/>
        </w:rPr>
        <w:t>5.5.3.1</w:t>
      </w:r>
      <w:r>
        <w:rPr>
          <w:rFonts w:hint="eastAsia"/>
          <w:b/>
          <w:kern w:val="0"/>
          <w:lang w:val="zh-CN"/>
        </w:rPr>
        <w:t>森林生态系统</w:t>
      </w:r>
    </w:p>
    <w:p w14:paraId="40F19BF7">
      <w:pPr>
        <w:adjustRightInd w:val="0"/>
        <w:snapToGrid w:val="0"/>
        <w:ind w:firstLine="480"/>
      </w:pPr>
      <w:r>
        <w:rPr>
          <w:rFonts w:hint="eastAsia"/>
        </w:rPr>
        <w:t>是指以乔木、竹类和灌木等为主要生产者的陆地生态系统。系统内动植物种类繁多，木本植物和树栖动物种类丰富；层次结构、层片结构和营养结构复杂，形成复杂的食物网，环境空间以及营养物质利用充分；种群的密度和群落的结构能够长期处于较稳定的状态；生产力高，生物量大；生态系统服务功能高。</w:t>
      </w:r>
    </w:p>
    <w:p w14:paraId="0FF92933">
      <w:pPr>
        <w:adjustRightInd w:val="0"/>
        <w:snapToGrid w:val="0"/>
        <w:ind w:firstLine="480"/>
      </w:pPr>
      <w:r>
        <w:rPr>
          <w:rFonts w:hint="eastAsia"/>
        </w:rPr>
        <w:t>评价区位于中亚热带常绿阔叶林地带，区域气候温和，光照充足，自然环境良好，有利于森林生态系统发育。根据现场踏勘结合遥感图片解译，评价范围内森林生态系统面积为</w:t>
      </w:r>
      <w:r>
        <w:t>476.68hm</w:t>
      </w:r>
      <w:r>
        <w:rPr>
          <w:vertAlign w:val="superscript"/>
        </w:rPr>
        <w:t>2</w:t>
      </w:r>
      <w:r>
        <w:rPr>
          <w:rFonts w:hint="eastAsia"/>
        </w:rPr>
        <w:t>，占评价区总面积的</w:t>
      </w:r>
      <w:r>
        <w:t>40.94%</w:t>
      </w:r>
      <w:r>
        <w:rPr>
          <w:rFonts w:hint="eastAsia"/>
        </w:rPr>
        <w:t>，评价区森林生态系统分布面积较大。通过现场调查，结合评价区植被类型图，评价区的森林生态系统广泛分布在各个山坡，根据总施工布置图可知，大多数风机、场内道路分布在森林生态系统内。</w:t>
      </w:r>
    </w:p>
    <w:p w14:paraId="64AE5487">
      <w:pPr>
        <w:adjustRightInd w:val="0"/>
        <w:snapToGrid w:val="0"/>
        <w:ind w:firstLine="480"/>
      </w:pPr>
      <w:r>
        <w:rPr>
          <w:rFonts w:hint="eastAsia"/>
        </w:rPr>
        <w:t>（1）植被现状</w:t>
      </w:r>
    </w:p>
    <w:p w14:paraId="0EEDB86E">
      <w:pPr>
        <w:adjustRightInd w:val="0"/>
        <w:snapToGrid w:val="0"/>
        <w:ind w:firstLine="480"/>
      </w:pPr>
      <w:r>
        <w:t>根据现场踏勘，森林生态系统内现状植被以次生林和人工林为主，植被类型简单，且多为幼龄林和中龄林，成熟林和过熟林较少。其中针叶林主要为低山针叶林，常见的群系有马尾松林（Form.Pinusmassoniana）、杉木林（Form.Cunninghamialanceolata）等，阔叶林中常绿阔叶林和落叶阔叶林均有分布，常见的群系有枫香树林（Form.Liquidambarformosana）、青冈林（Form.Cyclobalanopsisglauca）。此外，评价区还有竹林分布，毛竹林（Form.Phyllostachysedulis）分布较多，苦竹林（Form.Pleioblastusamarus）在评价区有零星分布。</w:t>
      </w:r>
    </w:p>
    <w:p w14:paraId="50C91154">
      <w:pPr>
        <w:adjustRightInd w:val="0"/>
        <w:snapToGrid w:val="0"/>
        <w:ind w:firstLine="480"/>
      </w:pPr>
      <w:r>
        <w:rPr>
          <w:rFonts w:hint="eastAsia"/>
        </w:rPr>
        <w:t>（2）动物现状</w:t>
      </w:r>
    </w:p>
    <w:p w14:paraId="4CAA944A">
      <w:pPr>
        <w:adjustRightInd w:val="0"/>
        <w:snapToGrid w:val="0"/>
        <w:ind w:firstLine="480"/>
      </w:pPr>
      <w:r>
        <w:t>评价区分布在森林生态系统中的动物主要有陆栖型的两栖类如泽陆蛙（Fejervarya limnocharis）等，林栖傍水型爬行类如乌梢蛇（Zoacys dhumnades）、王锦蛇（Elaphe carinata）等；常见的鸟类主要为鸣禽如白头鹎（Pycnonotus sinensis）、画眉（Garrulax canorus）、金翅雀（Carduelis sinica）等；哺乳类主要有赤腹松鼠（Callosciurus erythraeus）、黄鼬（Mustela sibirica）等小型种类，另外部分地段有少量野猪（Sus scrofa）等中型兽类分布，但不常见。</w:t>
      </w:r>
    </w:p>
    <w:p w14:paraId="4707AD61">
      <w:pPr>
        <w:adjustRightInd w:val="0"/>
        <w:snapToGrid w:val="0"/>
        <w:ind w:firstLine="480"/>
      </w:pPr>
      <w:r>
        <w:rPr>
          <w:rFonts w:hint="eastAsia"/>
        </w:rPr>
        <w:t>（3）生态服务功能</w:t>
      </w:r>
    </w:p>
    <w:p w14:paraId="0C933B8E">
      <w:pPr>
        <w:adjustRightInd w:val="0"/>
        <w:snapToGrid w:val="0"/>
        <w:ind w:firstLine="480"/>
      </w:pPr>
      <w:r>
        <w:rPr>
          <w:rFonts w:hint="eastAsia"/>
        </w:rPr>
        <w:t>森林生态系统与其它生态系统相比，具有更加复杂的空间结构和营养链式结构，这有助于捉高系统自身调节适应能力。主要生态功能为光能利用、调节大气、调节气温、涵养水源、稳定水文、改良土壤、防风固沙、水土保持、控制水土流失、净化环境、孕育和维持生物多样性等。评价区内森林生态系统面积占总评价区的</w:t>
      </w:r>
      <w:r>
        <w:t>40.94</w:t>
      </w:r>
      <w:r>
        <w:rPr>
          <w:rFonts w:hint="eastAsia"/>
        </w:rPr>
        <w:t>%，在评价区内的主要生态功能是涵养水源和稳定水文、起着水土保持和控制水土流失的作用，其次生态功能为光能利用、调节大气，为区域提供充足的氧气。</w:t>
      </w:r>
    </w:p>
    <w:p w14:paraId="07607DD9">
      <w:pPr>
        <w:tabs>
          <w:tab w:val="clear" w:pos="480"/>
        </w:tabs>
        <w:adjustRightInd w:val="0"/>
        <w:snapToGrid w:val="0"/>
        <w:ind w:firstLine="0" w:firstLineChars="0"/>
        <w:outlineLvl w:val="3"/>
        <w:rPr>
          <w:b/>
          <w:kern w:val="0"/>
          <w:lang w:val="zh-CN"/>
        </w:rPr>
      </w:pPr>
      <w:r>
        <w:rPr>
          <w:b/>
          <w:kern w:val="0"/>
          <w:lang w:val="zh-CN"/>
        </w:rPr>
        <w:t>5.5.3.2</w:t>
      </w:r>
      <w:r>
        <w:rPr>
          <w:rFonts w:hint="eastAsia"/>
          <w:b/>
          <w:kern w:val="0"/>
          <w:lang w:val="zh-CN"/>
        </w:rPr>
        <w:t>灌丛</w:t>
      </w:r>
      <w:r>
        <w:rPr>
          <w:b/>
          <w:kern w:val="0"/>
          <w:lang w:val="zh-CN"/>
        </w:rPr>
        <w:t>/</w:t>
      </w:r>
      <w:r>
        <w:rPr>
          <w:rFonts w:hint="eastAsia"/>
          <w:b/>
          <w:kern w:val="0"/>
          <w:lang w:val="zh-CN"/>
        </w:rPr>
        <w:t>灌草从生态系统</w:t>
      </w:r>
    </w:p>
    <w:p w14:paraId="1BC89758">
      <w:pPr>
        <w:adjustRightInd w:val="0"/>
        <w:snapToGrid w:val="0"/>
        <w:ind w:firstLine="480"/>
      </w:pPr>
      <w:r>
        <w:rPr>
          <w:rFonts w:hint="eastAsia"/>
        </w:rPr>
        <w:t>是指以灌木</w:t>
      </w:r>
      <w:r>
        <w:t>/</w:t>
      </w:r>
      <w:r>
        <w:rPr>
          <w:rFonts w:hint="eastAsia"/>
        </w:rPr>
        <w:t>灌草植物为主要生产者的陆地生态系统。分布广泛，种类复杂，生态适应性广，既有在自然环境条件下发育的原生类型，也有在人为干扰形成的持久性的次生类型。系统主要由丛生无主干的灌木组成，高度</w:t>
      </w:r>
      <w:r>
        <w:t>5m</w:t>
      </w:r>
      <w:r>
        <w:rPr>
          <w:rFonts w:hint="eastAsia"/>
        </w:rPr>
        <w:t>以下，盖度大于</w:t>
      </w:r>
      <w:r>
        <w:t>30%</w:t>
      </w:r>
      <w:r>
        <w:rPr>
          <w:rFonts w:hint="eastAsia"/>
        </w:rPr>
        <w:t>；物种组成、层次结构和营养结构相对简单；种群密度、群落结构和生产力的时空变化较小，不同地区的限制因子不同；生态</w:t>
      </w:r>
      <w:r>
        <w:rPr>
          <w:rFonts w:hint="eastAsia"/>
          <w:lang w:eastAsia="zh-CN"/>
        </w:rPr>
        <w:t>系统</w:t>
      </w:r>
      <w:r>
        <w:rPr>
          <w:rFonts w:hint="eastAsia"/>
        </w:rPr>
        <w:t>服务功能主要体现在涵养水源、保持水土和防风固沙等方面。</w:t>
      </w:r>
    </w:p>
    <w:p w14:paraId="7962D691">
      <w:pPr>
        <w:adjustRightInd w:val="0"/>
        <w:snapToGrid w:val="0"/>
        <w:ind w:firstLine="480"/>
      </w:pPr>
      <w:r>
        <w:rPr>
          <w:rFonts w:hint="eastAsia"/>
        </w:rPr>
        <w:t>评价区位于我国中纬度中亚热带地区，区域水热适宜，自然环境良好，较有利于灌丛</w:t>
      </w:r>
      <w:r>
        <w:t>/</w:t>
      </w:r>
      <w:r>
        <w:rPr>
          <w:rFonts w:hint="eastAsia"/>
        </w:rPr>
        <w:t>草地生态系统的恢复和发展。根据卫片解译，评价区灌丛</w:t>
      </w:r>
      <w:r>
        <w:t>/</w:t>
      </w:r>
      <w:r>
        <w:rPr>
          <w:rFonts w:hint="eastAsia"/>
        </w:rPr>
        <w:t>草地生态系统面积为</w:t>
      </w:r>
      <w:r>
        <w:t>667.85hm</w:t>
      </w:r>
      <w:r>
        <w:rPr>
          <w:vertAlign w:val="superscript"/>
        </w:rPr>
        <w:t>2</w:t>
      </w:r>
      <w:r>
        <w:rPr>
          <w:rFonts w:hint="eastAsia"/>
        </w:rPr>
        <w:t>，占总面积的</w:t>
      </w:r>
      <w:r>
        <w:t>57.36%</w:t>
      </w:r>
      <w:r>
        <w:rPr>
          <w:rFonts w:hint="eastAsia"/>
        </w:rPr>
        <w:t>。结合评价区植被类型图，根据现场调查，评价区内灌丛生态系统呈斑块状分布于山坡下部和林缘地带。</w:t>
      </w:r>
    </w:p>
    <w:p w14:paraId="5FCE8371">
      <w:pPr>
        <w:adjustRightInd w:val="0"/>
        <w:snapToGrid w:val="0"/>
        <w:ind w:firstLine="480"/>
      </w:pPr>
      <w:r>
        <w:rPr>
          <w:rFonts w:hint="eastAsia"/>
        </w:rPr>
        <w:t>（1）植被现状</w:t>
      </w:r>
    </w:p>
    <w:p w14:paraId="10956F2E">
      <w:pPr>
        <w:wordWrap w:val="0"/>
        <w:adjustRightInd w:val="0"/>
        <w:snapToGrid w:val="0"/>
        <w:ind w:firstLine="480"/>
        <w:jc w:val="left"/>
      </w:pPr>
      <w:r>
        <w:rPr>
          <w:rFonts w:hint="eastAsia"/>
        </w:rPr>
        <w:t>区域内的灌丛</w:t>
      </w:r>
      <w:r>
        <w:t>/</w:t>
      </w:r>
      <w:r>
        <w:rPr>
          <w:rFonts w:hint="eastAsia"/>
        </w:rPr>
        <w:t>草地生态系统分布于评价区的林下、林缘、农田田埂和道路两侧。评价区灌丛和草地生态系统多由森林生态系统退化而形成，生态系统内植被类型单一，群系结构简单，物种组成贫乏。植被主要为灌丛及灌草丛，常见的群系有粗叶悬钩子灌丛（</w:t>
      </w:r>
      <w:r>
        <w:t>Form.Rubusalceifolius</w:t>
      </w:r>
      <w:r>
        <w:rPr>
          <w:rFonts w:hint="eastAsia"/>
        </w:rPr>
        <w:t>）、白栎灌丛（</w:t>
      </w:r>
      <w:r>
        <w:t>Form.Quercus fabri shrubland</w:t>
      </w:r>
      <w:r>
        <w:rPr>
          <w:rFonts w:hint="eastAsia"/>
        </w:rPr>
        <w:t>）、羊蹄甲灌丛（</w:t>
      </w:r>
      <w:r>
        <w:t>Form.Bauhiniapurpurea</w:t>
      </w:r>
      <w:r>
        <w:rPr>
          <w:rFonts w:hint="eastAsia"/>
        </w:rPr>
        <w:t>）、芒灌草丛（</w:t>
      </w:r>
      <w:r>
        <w:t>Form. Miscanthus sinensis</w:t>
      </w:r>
      <w:r>
        <w:rPr>
          <w:rFonts w:hint="eastAsia"/>
        </w:rPr>
        <w:t>）、五节芒灌草丛（</w:t>
      </w:r>
      <w:r>
        <w:t>Form.Miscanthusfloridulus</w:t>
      </w:r>
      <w:r>
        <w:rPr>
          <w:rFonts w:hint="eastAsia"/>
        </w:rPr>
        <w:t>）、龙芽草灌草丛（</w:t>
      </w:r>
      <w:r>
        <w:t>Form.Agrimoniapilosa</w:t>
      </w:r>
      <w:r>
        <w:rPr>
          <w:rFonts w:hint="eastAsia"/>
        </w:rPr>
        <w:t>）、白茅灌草丛（</w:t>
      </w:r>
      <w:r>
        <w:t>Form.Imperatacylindrica</w:t>
      </w:r>
      <w:r>
        <w:rPr>
          <w:rFonts w:hint="eastAsia"/>
        </w:rPr>
        <w:t>）、白茅灌草丛（</w:t>
      </w:r>
      <w:r>
        <w:t>Form.Imperatacylindrica</w:t>
      </w:r>
      <w:r>
        <w:rPr>
          <w:rFonts w:hint="eastAsia"/>
        </w:rPr>
        <w:t>）、蕨灌草丛（</w:t>
      </w:r>
      <w:r>
        <w:t>Form.Pteridiumaquilinumvar.latiusculum</w:t>
      </w:r>
      <w:r>
        <w:rPr>
          <w:rFonts w:hint="eastAsia"/>
        </w:rPr>
        <w:t>）等。</w:t>
      </w:r>
    </w:p>
    <w:p w14:paraId="4FD6E51E">
      <w:pPr>
        <w:adjustRightInd w:val="0"/>
        <w:snapToGrid w:val="0"/>
        <w:ind w:firstLine="480"/>
      </w:pPr>
      <w:r>
        <w:rPr>
          <w:rFonts w:hint="eastAsia"/>
        </w:rPr>
        <w:t>（2）动物现状</w:t>
      </w:r>
    </w:p>
    <w:p w14:paraId="02208C97">
      <w:pPr>
        <w:adjustRightInd w:val="0"/>
        <w:snapToGrid w:val="0"/>
        <w:ind w:firstLine="480"/>
      </w:pPr>
      <w:r>
        <w:rPr>
          <w:rFonts w:hint="eastAsia"/>
        </w:rPr>
        <w:t>灌丛</w:t>
      </w:r>
      <w:r>
        <w:t>/</w:t>
      </w:r>
      <w:r>
        <w:rPr>
          <w:rFonts w:hint="eastAsia"/>
        </w:rPr>
        <w:t>草地生态系统的野生动物多分布在林缘、路边、溪流等区域，两栖动物主要以中华蟾蜍（</w:t>
      </w:r>
      <w:r>
        <w:t>Bufogargarizans</w:t>
      </w:r>
      <w:r>
        <w:rPr>
          <w:rFonts w:hint="eastAsia"/>
        </w:rPr>
        <w:t>）、泽陆蛙（</w:t>
      </w:r>
      <w:r>
        <w:t>Fejervaryamultistriata</w:t>
      </w:r>
      <w:r>
        <w:rPr>
          <w:rFonts w:hint="eastAsia"/>
        </w:rPr>
        <w:t>）、小弧斑姬蛙（</w:t>
      </w:r>
      <w:r>
        <w:t>Microhylaheymonisi</w:t>
      </w:r>
      <w:r>
        <w:rPr>
          <w:rFonts w:hint="eastAsia"/>
        </w:rPr>
        <w:t>）、饰纹姬蛙（</w:t>
      </w:r>
      <w:r>
        <w:t>Microhylaornata</w:t>
      </w:r>
      <w:r>
        <w:rPr>
          <w:rFonts w:hint="eastAsia"/>
        </w:rPr>
        <w:t>）等陆栖型蛙类为主；爬行动物常见的有铜蜓蜥（</w:t>
      </w:r>
      <w:r>
        <w:t>Sphenomorphusindicus</w:t>
      </w:r>
      <w:r>
        <w:rPr>
          <w:rFonts w:hint="eastAsia"/>
        </w:rPr>
        <w:t>）、中国石龙子（</w:t>
      </w:r>
      <w:r>
        <w:t>Eumeceschinensis</w:t>
      </w:r>
      <w:r>
        <w:rPr>
          <w:rFonts w:hint="eastAsia"/>
        </w:rPr>
        <w:t>）、北草蜥（</w:t>
      </w:r>
      <w:r>
        <w:t>Takydromusseptentrionalis</w:t>
      </w:r>
      <w:r>
        <w:rPr>
          <w:rFonts w:hint="eastAsia"/>
        </w:rPr>
        <w:t>）等；鸟类常见的有环颈雉（</w:t>
      </w:r>
      <w:r>
        <w:t>Phasianuscolchicus</w:t>
      </w:r>
      <w:r>
        <w:rPr>
          <w:rFonts w:hint="eastAsia"/>
        </w:rPr>
        <w:t>）、小云雀（</w:t>
      </w:r>
      <w:r>
        <w:t>Alaudagulgula</w:t>
      </w:r>
      <w:r>
        <w:rPr>
          <w:rFonts w:hint="eastAsia"/>
        </w:rPr>
        <w:t>）、棕头鸦雀（</w:t>
      </w:r>
      <w:r>
        <w:t>Paradoxorniswebbianus</w:t>
      </w:r>
      <w:r>
        <w:rPr>
          <w:rFonts w:hint="eastAsia"/>
        </w:rPr>
        <w:t>）等；兽类主要以小型兽类为主，如东北刺猬（</w:t>
      </w:r>
      <w:r>
        <w:t>Erinaceusamurensis</w:t>
      </w:r>
      <w:r>
        <w:rPr>
          <w:rFonts w:hint="eastAsia"/>
        </w:rPr>
        <w:t>）、华南兔（</w:t>
      </w:r>
      <w:r>
        <w:t>Lepussinensis</w:t>
      </w:r>
      <w:r>
        <w:rPr>
          <w:rFonts w:hint="eastAsia"/>
        </w:rPr>
        <w:t>）等。</w:t>
      </w:r>
    </w:p>
    <w:p w14:paraId="35BE246B">
      <w:pPr>
        <w:adjustRightInd w:val="0"/>
        <w:snapToGrid w:val="0"/>
        <w:ind w:firstLine="480"/>
      </w:pPr>
      <w:r>
        <w:rPr>
          <w:rFonts w:hint="eastAsia"/>
        </w:rPr>
        <w:t>（3）生态服务功能</w:t>
      </w:r>
    </w:p>
    <w:p w14:paraId="5A87F31D">
      <w:pPr>
        <w:adjustRightInd w:val="0"/>
        <w:snapToGrid w:val="0"/>
        <w:ind w:firstLine="480"/>
      </w:pPr>
      <w:r>
        <w:rPr>
          <w:rFonts w:hint="eastAsia"/>
        </w:rPr>
        <w:t>评价区地貌以低山丘陵地貌为主，区域灌丛</w:t>
      </w:r>
      <w:r>
        <w:t>/</w:t>
      </w:r>
      <w:r>
        <w:rPr>
          <w:rFonts w:hint="eastAsia"/>
        </w:rPr>
        <w:t>草地生态系统多分布于山坡下部和林缘地带，植物群系组成丰富，动植物种类较多，其有较强的生态服务功能，主要体现在涵养水源、保持水土、防风固沙、提供动物栖息场所等方面。</w:t>
      </w:r>
    </w:p>
    <w:p w14:paraId="2C869300">
      <w:pPr>
        <w:tabs>
          <w:tab w:val="clear" w:pos="480"/>
        </w:tabs>
        <w:adjustRightInd w:val="0"/>
        <w:snapToGrid w:val="0"/>
        <w:ind w:firstLine="0" w:firstLineChars="0"/>
        <w:outlineLvl w:val="3"/>
        <w:rPr>
          <w:b/>
          <w:kern w:val="0"/>
          <w:lang w:val="zh-CN"/>
        </w:rPr>
      </w:pPr>
      <w:r>
        <w:rPr>
          <w:b/>
          <w:kern w:val="0"/>
          <w:lang w:val="zh-CN"/>
        </w:rPr>
        <w:t>5.5.3.3</w:t>
      </w:r>
      <w:r>
        <w:rPr>
          <w:rFonts w:hint="eastAsia"/>
          <w:b/>
          <w:kern w:val="0"/>
          <w:lang w:val="zh-CN"/>
        </w:rPr>
        <w:t>湿地生态系统</w:t>
      </w:r>
    </w:p>
    <w:p w14:paraId="41C23D51">
      <w:pPr>
        <w:adjustRightInd w:val="0"/>
        <w:snapToGrid w:val="0"/>
        <w:ind w:firstLine="480"/>
      </w:pPr>
      <w:r>
        <w:rPr>
          <w:rFonts w:hint="eastAsia"/>
        </w:rPr>
        <w:t>是指所有的陆地淡水生态系统，如河流、湖泊、沼泽，以及作为河流归宿地的内陆河尾闾湖泊、陆地和海洋过渡地带的滨海湿地生态系统，是陆地，水域共同与大气相互作用，相互影响，相互渗透，是兼有水陆双重特征的特殊生态系统。系统兼具陆生与水生动植物类群，生物多样性丰富；结构复杂，生产力高，在水文情势影响下，生态系统随之出现同步波动，强弱互替；生态系统服务功能高，主要在于径流调节、蓄水抗旱、防洪排涝、废弃物降解、调节气候、净化空气等方面。</w:t>
      </w:r>
    </w:p>
    <w:p w14:paraId="53B72FDB">
      <w:pPr>
        <w:adjustRightInd w:val="0"/>
        <w:snapToGrid w:val="0"/>
        <w:ind w:firstLine="480"/>
      </w:pPr>
      <w:r>
        <w:rPr>
          <w:rFonts w:hint="eastAsia"/>
        </w:rPr>
        <w:t>评价区内湿地生态系统面积为</w:t>
      </w:r>
      <w:r>
        <w:t>0.23hm</w:t>
      </w:r>
      <w:r>
        <w:rPr>
          <w:vertAlign w:val="superscript"/>
        </w:rPr>
        <w:t>2</w:t>
      </w:r>
      <w:r>
        <w:rPr>
          <w:rFonts w:hint="eastAsia"/>
        </w:rPr>
        <w:t>，占评价区总面积的</w:t>
      </w:r>
      <w:r>
        <w:t>0.02%</w:t>
      </w:r>
      <w:r>
        <w:rPr>
          <w:rFonts w:hint="eastAsia"/>
        </w:rPr>
        <w:t>，分布面积最小，主要为山间溪流、沟谷、坑塘等。</w:t>
      </w:r>
    </w:p>
    <w:p w14:paraId="35B3BFD2">
      <w:pPr>
        <w:adjustRightInd w:val="0"/>
        <w:snapToGrid w:val="0"/>
        <w:ind w:firstLine="480"/>
      </w:pPr>
      <w:r>
        <w:rPr>
          <w:rFonts w:hint="eastAsia"/>
        </w:rPr>
        <w:t>（1）植被现状</w:t>
      </w:r>
    </w:p>
    <w:p w14:paraId="4BD2BE45">
      <w:pPr>
        <w:adjustRightInd w:val="0"/>
        <w:snapToGrid w:val="0"/>
        <w:ind w:firstLine="480"/>
      </w:pPr>
      <w:r>
        <w:rPr>
          <w:rFonts w:hint="eastAsia"/>
        </w:rPr>
        <w:t>区域内湿地生态系统分布面积最小，主要为山间溪流、沟谷、坑塘等。湿地生态系统常见的湿生植物有灯心草（</w:t>
      </w:r>
      <w:r>
        <w:t>Juncuseffusus</w:t>
      </w:r>
      <w:r>
        <w:rPr>
          <w:rFonts w:hint="eastAsia"/>
        </w:rPr>
        <w:t>）、水蓼（</w:t>
      </w:r>
      <w:r>
        <w:t>Polygonumhydropiper)</w:t>
      </w:r>
      <w:r>
        <w:rPr>
          <w:rFonts w:hint="eastAsia"/>
        </w:rPr>
        <w:t>等。</w:t>
      </w:r>
    </w:p>
    <w:p w14:paraId="6EDA34E1">
      <w:pPr>
        <w:adjustRightInd w:val="0"/>
        <w:snapToGrid w:val="0"/>
        <w:ind w:firstLine="480"/>
      </w:pPr>
      <w:r>
        <w:rPr>
          <w:rFonts w:hint="eastAsia"/>
        </w:rPr>
        <w:t>（2）动物现状</w:t>
      </w:r>
    </w:p>
    <w:p w14:paraId="442B9772">
      <w:pPr>
        <w:adjustRightInd w:val="0"/>
        <w:snapToGrid w:val="0"/>
        <w:ind w:firstLine="480"/>
      </w:pPr>
      <w:r>
        <w:rPr>
          <w:rFonts w:hint="eastAsia"/>
        </w:rPr>
        <w:t>区域湿地生态系统分布的主要两栖类有黑斑侧褶蛙（</w:t>
      </w:r>
      <w:r>
        <w:t>Pelophylaxnigromaculatus</w:t>
      </w:r>
      <w:r>
        <w:rPr>
          <w:rFonts w:hint="eastAsia"/>
        </w:rPr>
        <w:t>）、沼蛙（</w:t>
      </w:r>
      <w:r>
        <w:t>Boulengeranaguentheri</w:t>
      </w:r>
      <w:r>
        <w:rPr>
          <w:rFonts w:hint="eastAsia"/>
        </w:rPr>
        <w:t>）、绿臭蛙（</w:t>
      </w:r>
      <w:r>
        <w:t>Odorranamargaretae</w:t>
      </w:r>
      <w:r>
        <w:rPr>
          <w:rFonts w:hint="eastAsia"/>
        </w:rPr>
        <w:t>）等静水型和溪流型种类；爬行类主要有灰鼠蛇（</w:t>
      </w:r>
      <w:r>
        <w:t>Ptyaskorro</w:t>
      </w:r>
      <w:r>
        <w:rPr>
          <w:rFonts w:hint="eastAsia"/>
        </w:rPr>
        <w:t>）、乌梢蛇、黄链蛇（</w:t>
      </w:r>
      <w:r>
        <w:t>Lycodonflavozonatum</w:t>
      </w:r>
      <w:r>
        <w:rPr>
          <w:rFonts w:hint="eastAsia"/>
        </w:rPr>
        <w:t>）等种类；鸟类主要有白鹭（</w:t>
      </w:r>
      <w:r>
        <w:t>Egrettagarzetta</w:t>
      </w:r>
      <w:r>
        <w:rPr>
          <w:rFonts w:hint="eastAsia"/>
        </w:rPr>
        <w:t>）、池鹭（</w:t>
      </w:r>
      <w:r>
        <w:t>Ardeolabacchus</w:t>
      </w:r>
      <w:r>
        <w:rPr>
          <w:rFonts w:hint="eastAsia"/>
        </w:rPr>
        <w:t>）、普通翠鸟（</w:t>
      </w:r>
      <w:r>
        <w:t>Alcedoatthis</w:t>
      </w:r>
      <w:r>
        <w:rPr>
          <w:rFonts w:hint="eastAsia"/>
        </w:rPr>
        <w:t>）等种类；兽类主要有黑线姬鼠（</w:t>
      </w:r>
      <w:r>
        <w:t>Apodemusagrarius</w:t>
      </w:r>
      <w:r>
        <w:rPr>
          <w:rFonts w:hint="eastAsia"/>
        </w:rPr>
        <w:t>）、针毛鼠（</w:t>
      </w:r>
      <w:r>
        <w:t>Niviventerfulvescens</w:t>
      </w:r>
      <w:r>
        <w:rPr>
          <w:rFonts w:hint="eastAsia"/>
        </w:rPr>
        <w:t>）等小型兽类。区域湿地生态系统面积较小，群系结构简单，动植物种类较少，其生态服务功能不强。</w:t>
      </w:r>
    </w:p>
    <w:p w14:paraId="575DC60E">
      <w:pPr>
        <w:adjustRightInd w:val="0"/>
        <w:snapToGrid w:val="0"/>
        <w:ind w:firstLine="480"/>
      </w:pPr>
      <w:r>
        <w:rPr>
          <w:rFonts w:hint="eastAsia"/>
        </w:rPr>
        <w:t>（</w:t>
      </w:r>
      <w:r>
        <w:t>3</w:t>
      </w:r>
      <w:r>
        <w:rPr>
          <w:rFonts w:hint="eastAsia"/>
        </w:rPr>
        <w:t>）生态服务功能</w:t>
      </w:r>
    </w:p>
    <w:p w14:paraId="4383F887">
      <w:pPr>
        <w:adjustRightInd w:val="0"/>
        <w:snapToGrid w:val="0"/>
        <w:ind w:firstLine="480"/>
      </w:pPr>
      <w:r>
        <w:rPr>
          <w:rFonts w:hint="eastAsia"/>
        </w:rPr>
        <w:t>湿地是地球上具有多功能的独特生态系统，是自然界最富生物多样性的生态景观和人类最重要的生存环境之一，被人们誉为“自然之肾”。它不但拥有丰富的资源，还具有巨大的环境调节功能和环境效益。湿地生态系统具有独特的水文状况并在调节气候、降解污染、保护生物多样性等方面起着非常重要的作用。其生物群落由水生和陆生种类组成，物质循环、能量流动和物种迁移与演变活跃，具有较高的生态多样性、物种多样性和生物生产力。</w:t>
      </w:r>
    </w:p>
    <w:p w14:paraId="38E22D08">
      <w:pPr>
        <w:adjustRightInd w:val="0"/>
        <w:snapToGrid w:val="0"/>
        <w:ind w:firstLine="480"/>
      </w:pPr>
      <w:r>
        <w:rPr>
          <w:rFonts w:hint="eastAsia"/>
        </w:rPr>
        <w:t>评价区湿地生态系统面积较小，群系结构简单，动植物种类较少，其生态服务功能不强。</w:t>
      </w:r>
    </w:p>
    <w:p w14:paraId="57E66B83">
      <w:pPr>
        <w:tabs>
          <w:tab w:val="clear" w:pos="480"/>
        </w:tabs>
        <w:adjustRightInd w:val="0"/>
        <w:snapToGrid w:val="0"/>
        <w:ind w:firstLine="0" w:firstLineChars="0"/>
        <w:outlineLvl w:val="3"/>
        <w:rPr>
          <w:b/>
          <w:kern w:val="0"/>
          <w:lang w:val="zh-CN"/>
        </w:rPr>
      </w:pPr>
      <w:r>
        <w:rPr>
          <w:b/>
          <w:kern w:val="0"/>
          <w:lang w:val="zh-CN"/>
        </w:rPr>
        <w:t>5.5.3.4</w:t>
      </w:r>
      <w:r>
        <w:rPr>
          <w:rFonts w:hint="eastAsia"/>
          <w:b/>
          <w:kern w:val="0"/>
          <w:lang w:val="zh-CN"/>
        </w:rPr>
        <w:t>农业生态系统</w:t>
      </w:r>
    </w:p>
    <w:p w14:paraId="3DB7781A">
      <w:pPr>
        <w:adjustRightInd w:val="0"/>
        <w:snapToGrid w:val="0"/>
        <w:ind w:firstLine="480"/>
      </w:pPr>
      <w:r>
        <w:rPr>
          <w:rFonts w:hint="eastAsia"/>
        </w:rPr>
        <w:t>是指以作物为主要生产者的陆地生态系统。生物群落结构较简单，常为单优群落，伴生有杂草、昆虫、土壤微生物、鼠、鸟等其他小动物；由于大部分生产力随收获而被移出系统，养分循环主要靠系统外投入而保持平衡；农田生态系统的稳定有赖于一系列耕作栽培措施的人工养地，在相似的自然条件下，土地生产力远高于自然生态系统；其生态系统服务功能主要在于提供食品，其他服务功能较低。</w:t>
      </w:r>
    </w:p>
    <w:p w14:paraId="42874C6B">
      <w:pPr>
        <w:adjustRightInd w:val="0"/>
        <w:snapToGrid w:val="0"/>
        <w:ind w:firstLine="480"/>
      </w:pPr>
      <w:r>
        <w:rPr>
          <w:rFonts w:hint="eastAsia"/>
        </w:rPr>
        <w:t>评价区农田生态系统面积为</w:t>
      </w:r>
      <w:r>
        <w:t>4.42hm</w:t>
      </w:r>
      <w:r>
        <w:rPr>
          <w:vertAlign w:val="superscript"/>
        </w:rPr>
        <w:t>2</w:t>
      </w:r>
      <w:r>
        <w:rPr>
          <w:rFonts w:hint="eastAsia"/>
        </w:rPr>
        <w:t>，占评价区总面积的</w:t>
      </w:r>
      <w:r>
        <w:t>0.38%</w:t>
      </w:r>
      <w:r>
        <w:rPr>
          <w:rFonts w:hint="eastAsia"/>
        </w:rPr>
        <w:t>。通过现场调查，结合评价区土地利用类型图，该生态系统广泛分布在道路、河渠和居民点附近的地势平坦区域。</w:t>
      </w:r>
    </w:p>
    <w:p w14:paraId="5B8B8FF1">
      <w:pPr>
        <w:adjustRightInd w:val="0"/>
        <w:snapToGrid w:val="0"/>
        <w:ind w:firstLine="480"/>
      </w:pPr>
      <w:r>
        <w:rPr>
          <w:rFonts w:hint="eastAsia"/>
        </w:rPr>
        <w:t>（1）植被现状</w:t>
      </w:r>
    </w:p>
    <w:p w14:paraId="141E000C">
      <w:pPr>
        <w:adjustRightInd w:val="0"/>
        <w:snapToGrid w:val="0"/>
        <w:ind w:firstLine="480"/>
      </w:pPr>
      <w:r>
        <w:rPr>
          <w:rFonts w:hint="eastAsia"/>
        </w:rPr>
        <w:t>项目占地不涉及耕地，区域周边范围内存在农业生态系统分布。农业生态系统内植被以农作物为主，主要为粮食作物及经济作物为主，农业植被包括粮食作物和经济作物，其中粮食作物主要有水稻（</w:t>
      </w:r>
      <w:r>
        <w:t>Oryzasativa</w:t>
      </w:r>
      <w:r>
        <w:rPr>
          <w:rFonts w:hint="eastAsia"/>
        </w:rPr>
        <w:t>）、玉米（</w:t>
      </w:r>
      <w:r>
        <w:t>Zeamays</w:t>
      </w:r>
      <w:r>
        <w:rPr>
          <w:rFonts w:hint="eastAsia"/>
        </w:rPr>
        <w:t>）、薯类等；济作物有枣（</w:t>
      </w:r>
      <w:r>
        <w:t>Ziziphus jujuba</w:t>
      </w:r>
      <w:r>
        <w:rPr>
          <w:rFonts w:hint="eastAsia"/>
        </w:rPr>
        <w:t>）、板栗（</w:t>
      </w:r>
      <w:r>
        <w:t>Castanea mollissima</w:t>
      </w:r>
      <w:r>
        <w:rPr>
          <w:rFonts w:hint="eastAsia"/>
        </w:rPr>
        <w:t>）等。农业生态系统内人为活动频繁，植物种类组成较简单，多以适应性强、抗逆性强的杂草为主，常见的杂草有白茅（</w:t>
      </w:r>
      <w:r>
        <w:t xml:space="preserve">Imperatacylindrica </w:t>
      </w:r>
      <w:r>
        <w:rPr>
          <w:rFonts w:hint="eastAsia"/>
        </w:rPr>
        <w:t>）、麦冬（</w:t>
      </w:r>
      <w:r>
        <w:t>Ophiopogon japonicus</w:t>
      </w:r>
      <w:r>
        <w:rPr>
          <w:rFonts w:hint="eastAsia"/>
        </w:rPr>
        <w:t>）、狗尾草（</w:t>
      </w:r>
      <w:r>
        <w:t>Setaria viridis</w:t>
      </w:r>
      <w:r>
        <w:rPr>
          <w:rFonts w:hint="eastAsia"/>
        </w:rPr>
        <w:t>）等。</w:t>
      </w:r>
    </w:p>
    <w:p w14:paraId="5DF48AA0">
      <w:pPr>
        <w:adjustRightInd w:val="0"/>
        <w:snapToGrid w:val="0"/>
        <w:ind w:firstLine="480"/>
      </w:pPr>
      <w:r>
        <w:rPr>
          <w:rFonts w:hint="eastAsia"/>
        </w:rPr>
        <w:t>（2）动物现状</w:t>
      </w:r>
    </w:p>
    <w:p w14:paraId="0976F3CB">
      <w:pPr>
        <w:adjustRightInd w:val="0"/>
        <w:snapToGrid w:val="0"/>
        <w:ind w:firstLine="480"/>
      </w:pPr>
      <w:r>
        <w:rPr>
          <w:rFonts w:hint="eastAsia"/>
        </w:rPr>
        <w:t>评价区农业生态系统中分布的两栖类主要有中华蟾蜍（</w:t>
      </w:r>
      <w:r>
        <w:t>Bufogargarizans</w:t>
      </w:r>
      <w:r>
        <w:rPr>
          <w:rFonts w:hint="eastAsia"/>
        </w:rPr>
        <w:t>）、沼蛙等种类；爬行类主要有原矛头蝮（</w:t>
      </w:r>
      <w:r>
        <w:t>Protobothropsmucrosquamatus</w:t>
      </w:r>
      <w:r>
        <w:rPr>
          <w:rFonts w:hint="eastAsia"/>
        </w:rPr>
        <w:t>）、黑眉晨蛇（</w:t>
      </w:r>
      <w:r>
        <w:t>Orthriophistaeniurus</w:t>
      </w:r>
      <w:r>
        <w:rPr>
          <w:rFonts w:hint="eastAsia"/>
        </w:rPr>
        <w:t>）等种类；鸟类主要有麻雀（</w:t>
      </w:r>
      <w:r>
        <w:t>Passermontanus</w:t>
      </w:r>
      <w:r>
        <w:rPr>
          <w:rFonts w:hint="eastAsia"/>
        </w:rPr>
        <w:t>）、喜鹊（</w:t>
      </w:r>
      <w:r>
        <w:t>Picapica</w:t>
      </w:r>
      <w:r>
        <w:rPr>
          <w:rFonts w:hint="eastAsia"/>
        </w:rPr>
        <w:t>）、家燕（</w:t>
      </w:r>
      <w:r>
        <w:t>Hirundorustica</w:t>
      </w:r>
      <w:r>
        <w:rPr>
          <w:rFonts w:hint="eastAsia"/>
        </w:rPr>
        <w:t>）、金腰燕（</w:t>
      </w:r>
      <w:r>
        <w:t>Hirundodaurica</w:t>
      </w:r>
      <w:r>
        <w:rPr>
          <w:rFonts w:hint="eastAsia"/>
        </w:rPr>
        <w:t>）、白头鹎（</w:t>
      </w:r>
      <w:r>
        <w:t>Pycnonotussinensis</w:t>
      </w:r>
      <w:r>
        <w:rPr>
          <w:rFonts w:hint="eastAsia"/>
        </w:rPr>
        <w:t>）等种类；兽类主要有小家鼠（</w:t>
      </w:r>
      <w:r>
        <w:t>Musmusculus</w:t>
      </w:r>
      <w:r>
        <w:rPr>
          <w:rFonts w:hint="eastAsia"/>
        </w:rPr>
        <w:t>）、大足鼠（</w:t>
      </w:r>
      <w:r>
        <w:t>Rattusnitidus</w:t>
      </w:r>
      <w:r>
        <w:rPr>
          <w:rFonts w:hint="eastAsia"/>
        </w:rPr>
        <w:t>）、针毛鼠等种类。</w:t>
      </w:r>
    </w:p>
    <w:p w14:paraId="33737A27">
      <w:pPr>
        <w:adjustRightInd w:val="0"/>
        <w:snapToGrid w:val="0"/>
        <w:ind w:firstLine="480"/>
      </w:pPr>
      <w:r>
        <w:rPr>
          <w:rFonts w:hint="eastAsia"/>
        </w:rPr>
        <w:t>（3）生态服务功能</w:t>
      </w:r>
    </w:p>
    <w:p w14:paraId="702207FA">
      <w:pPr>
        <w:adjustRightInd w:val="0"/>
        <w:snapToGrid w:val="0"/>
        <w:ind w:firstLine="480"/>
      </w:pPr>
      <w:r>
        <w:rPr>
          <w:rFonts w:hint="eastAsia"/>
        </w:rPr>
        <w:t>评价区农业生态系统生态功能主要体现在农产品及农产品副产品的生产上，包括为人类提供农业产品，为现代工业提供加工原料，以及提供生物能源等。此外，评价区农业生态系统还具有土壤保持、养分循环、水分调节、病虫害控制、保存生物多样性及基因资源等功能</w:t>
      </w:r>
      <w:r>
        <w:t>。</w:t>
      </w:r>
    </w:p>
    <w:p w14:paraId="6498EB8B">
      <w:pPr>
        <w:tabs>
          <w:tab w:val="clear" w:pos="480"/>
        </w:tabs>
        <w:adjustRightInd w:val="0"/>
        <w:snapToGrid w:val="0"/>
        <w:ind w:firstLine="0" w:firstLineChars="0"/>
        <w:outlineLvl w:val="3"/>
        <w:rPr>
          <w:b/>
          <w:kern w:val="0"/>
          <w:lang w:val="zh-CN"/>
        </w:rPr>
      </w:pPr>
      <w:r>
        <w:rPr>
          <w:b/>
          <w:kern w:val="0"/>
          <w:lang w:val="zh-CN"/>
        </w:rPr>
        <w:t>5.5.3.5</w:t>
      </w:r>
      <w:r>
        <w:rPr>
          <w:rFonts w:hint="eastAsia"/>
          <w:b/>
          <w:kern w:val="0"/>
          <w:lang w:val="zh-CN"/>
        </w:rPr>
        <w:t>城镇</w:t>
      </w:r>
      <w:r>
        <w:rPr>
          <w:b/>
          <w:kern w:val="0"/>
          <w:lang w:val="zh-CN"/>
        </w:rPr>
        <w:t>/</w:t>
      </w:r>
      <w:r>
        <w:rPr>
          <w:rFonts w:hint="eastAsia"/>
          <w:b/>
          <w:kern w:val="0"/>
          <w:lang w:val="zh-CN"/>
        </w:rPr>
        <w:t>村落生态系统</w:t>
      </w:r>
    </w:p>
    <w:p w14:paraId="599118B9">
      <w:pPr>
        <w:adjustRightInd w:val="0"/>
        <w:snapToGrid w:val="0"/>
        <w:ind w:firstLine="480"/>
      </w:pPr>
      <w:r>
        <w:rPr>
          <w:rFonts w:hint="eastAsia"/>
        </w:rPr>
        <w:t>是人类对自然环境的适应、加工、改造而建设起来的特殊的人工生态系统。它不仅有生物组成要素</w:t>
      </w:r>
      <w:r>
        <w:t>(</w:t>
      </w:r>
      <w:r>
        <w:rPr>
          <w:rFonts w:hint="eastAsia"/>
        </w:rPr>
        <w:t>植物、动物和细菌、真菌、病毒</w:t>
      </w:r>
      <w:r>
        <w:t>)</w:t>
      </w:r>
      <w:r>
        <w:rPr>
          <w:rFonts w:hint="eastAsia"/>
        </w:rPr>
        <w:t>和非生物组成要素</w:t>
      </w:r>
      <w:r>
        <w:t>(</w:t>
      </w:r>
      <w:r>
        <w:rPr>
          <w:rFonts w:hint="eastAsia"/>
        </w:rPr>
        <w:t>光、热、水、大气等</w:t>
      </w:r>
      <w:r>
        <w:t>)</w:t>
      </w:r>
      <w:r>
        <w:rPr>
          <w:rFonts w:hint="eastAsia"/>
        </w:rPr>
        <w:t>，还包括人类和社会经济要素，这些要素通过能量流动、生物地球化学循环以及物资供应与废物处理系统，形成一个具有内在联系的统一整体。评价区城镇生态系统主要以居住地生态系统为主，面积为</w:t>
      </w:r>
      <w:r>
        <w:t>15.14hm</w:t>
      </w:r>
      <w:r>
        <w:rPr>
          <w:vertAlign w:val="superscript"/>
        </w:rPr>
        <w:t>2</w:t>
      </w:r>
      <w:r>
        <w:rPr>
          <w:rFonts w:hint="eastAsia"/>
        </w:rPr>
        <w:t>，占评价区面积的</w:t>
      </w:r>
      <w:r>
        <w:t>1.30%</w:t>
      </w:r>
      <w:r>
        <w:rPr>
          <w:rFonts w:hint="eastAsia"/>
        </w:rPr>
        <w:t>。根据现场调查并结合评价区土地利用类型图，该生态系统主要集中在道路两侧。</w:t>
      </w:r>
    </w:p>
    <w:p w14:paraId="2E6E5A42">
      <w:pPr>
        <w:adjustRightInd w:val="0"/>
        <w:snapToGrid w:val="0"/>
        <w:ind w:firstLine="480"/>
      </w:pPr>
      <w:r>
        <w:rPr>
          <w:rFonts w:hint="eastAsia"/>
        </w:rPr>
        <w:t>（1）植被现状</w:t>
      </w:r>
    </w:p>
    <w:p w14:paraId="5A8962C7">
      <w:pPr>
        <w:adjustRightInd w:val="0"/>
        <w:snapToGrid w:val="0"/>
        <w:ind w:firstLine="480"/>
      </w:pPr>
      <w:r>
        <w:rPr>
          <w:rFonts w:hint="eastAsia"/>
        </w:rPr>
        <w:t>本项目位于衡阳市衡阳县渣江镇、界牌镇和岣嵝乡一带。进场道路和场内道路附近分布有盐田村、周冲村、李祖堂居民点、王木塘居民点、麻湾村、石狮坳村以及山峰村等村落生态系统，风机机位附近村落系统分布较少。项目周边主要的城镇</w:t>
      </w:r>
      <w:r>
        <w:t>/</w:t>
      </w:r>
      <w:r>
        <w:rPr>
          <w:rFonts w:hint="eastAsia"/>
        </w:rPr>
        <w:t>村落生态系统为道路和居民房屋，评价区城镇</w:t>
      </w:r>
      <w:r>
        <w:t>/</w:t>
      </w:r>
      <w:r>
        <w:rPr>
          <w:rFonts w:hint="eastAsia"/>
        </w:rPr>
        <w:t>村落生态系统面积较小。项目周边城镇</w:t>
      </w:r>
      <w:r>
        <w:t>/</w:t>
      </w:r>
      <w:r>
        <w:rPr>
          <w:rFonts w:hint="eastAsia"/>
        </w:rPr>
        <w:t>村落生态系统内人为活动频繁，植物多零星分布，常见的植物有凹叶厚朴（</w:t>
      </w:r>
      <w:r>
        <w:t>Magnoliaofficinalissubsp.biloba</w:t>
      </w:r>
      <w:r>
        <w:rPr>
          <w:rFonts w:hint="eastAsia"/>
        </w:rPr>
        <w:t>）、木槿（</w:t>
      </w:r>
      <w:r>
        <w:t>Hibiscussyriacus</w:t>
      </w:r>
      <w:r>
        <w:rPr>
          <w:rFonts w:hint="eastAsia"/>
        </w:rPr>
        <w:t>）、木犀（</w:t>
      </w:r>
      <w:r>
        <w:t>Osmanthusfragrans</w:t>
      </w:r>
      <w:r>
        <w:rPr>
          <w:rFonts w:hint="eastAsia"/>
        </w:rPr>
        <w:t>）等。评价区城镇</w:t>
      </w:r>
      <w:r>
        <w:t>/</w:t>
      </w:r>
      <w:r>
        <w:rPr>
          <w:rFonts w:hint="eastAsia"/>
        </w:rPr>
        <w:t>村落生态系统内植物多为房前屋后四旁树，常零星分布于村落附近、路旁。</w:t>
      </w:r>
    </w:p>
    <w:p w14:paraId="639F4D19">
      <w:pPr>
        <w:adjustRightInd w:val="0"/>
        <w:snapToGrid w:val="0"/>
        <w:ind w:firstLine="480"/>
      </w:pPr>
      <w:r>
        <w:rPr>
          <w:rFonts w:hint="eastAsia"/>
        </w:rPr>
        <w:t>（2）动物现状</w:t>
      </w:r>
    </w:p>
    <w:p w14:paraId="715DABFE">
      <w:pPr>
        <w:adjustRightInd w:val="0"/>
        <w:snapToGrid w:val="0"/>
        <w:ind w:firstLine="480"/>
      </w:pPr>
      <w:r>
        <w:rPr>
          <w:rFonts w:hint="eastAsia"/>
        </w:rPr>
        <w:t>城镇</w:t>
      </w:r>
      <w:r>
        <w:t>/</w:t>
      </w:r>
      <w:r>
        <w:rPr>
          <w:rFonts w:hint="eastAsia"/>
        </w:rPr>
        <w:t>村落生态系统中分布的野生动物主要是一些喜于与人类伴居的种类，如赤链蛇（</w:t>
      </w:r>
      <w:r>
        <w:t>Lycodonrufozonatum</w:t>
      </w:r>
      <w:r>
        <w:rPr>
          <w:rFonts w:hint="eastAsia"/>
        </w:rPr>
        <w:t>）、珠颈斑鸠（</w:t>
      </w:r>
      <w:r>
        <w:t>Streptopeliachinensis</w:t>
      </w:r>
      <w:r>
        <w:rPr>
          <w:rFonts w:hint="eastAsia"/>
        </w:rPr>
        <w:t>）、家燕、金腰燕、麻雀、喜鹊、小家鼠等。</w:t>
      </w:r>
    </w:p>
    <w:p w14:paraId="319C2F67">
      <w:pPr>
        <w:adjustRightInd w:val="0"/>
        <w:snapToGrid w:val="0"/>
        <w:ind w:firstLine="480"/>
      </w:pPr>
      <w:r>
        <w:rPr>
          <w:rFonts w:hint="eastAsia"/>
        </w:rPr>
        <w:t>（3）生态服务功能</w:t>
      </w:r>
    </w:p>
    <w:p w14:paraId="4FD34D45">
      <w:pPr>
        <w:adjustRightInd w:val="0"/>
        <w:snapToGrid w:val="0"/>
        <w:ind w:firstLine="480"/>
      </w:pPr>
      <w:r>
        <w:rPr>
          <w:rFonts w:hint="eastAsia"/>
        </w:rPr>
        <w:t>城镇生态系统的服务功能主要包括三大类:①提供生活和生产物质的功能，包括食物生产、原材料生产;②与人类日常生活和身心健康相关的生命支持的功能，包括：气候调节、水源涵养、固碳释氮、土壤形成与保护、净化空气、生物多样性保护、减轻噪声；</w:t>
      </w: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满足人类精神生活需求的功能，包括娱乐文化。</w:t>
      </w:r>
    </w:p>
    <w:p w14:paraId="78483B83">
      <w:pPr>
        <w:keepNext/>
        <w:keepLines/>
        <w:tabs>
          <w:tab w:val="left" w:pos="425"/>
          <w:tab w:val="clear" w:pos="480"/>
        </w:tabs>
        <w:adjustRightInd w:val="0"/>
        <w:snapToGrid w:val="0"/>
        <w:ind w:firstLine="0" w:firstLineChars="0"/>
        <w:outlineLvl w:val="2"/>
        <w:rPr>
          <w:b/>
          <w:kern w:val="24"/>
          <w:sz w:val="28"/>
          <w:szCs w:val="28"/>
          <w:lang w:val="zh-CN"/>
        </w:rPr>
      </w:pPr>
      <w:r>
        <w:rPr>
          <w:b/>
          <w:kern w:val="24"/>
          <w:sz w:val="28"/>
          <w:szCs w:val="28"/>
          <w:lang w:val="zh-CN"/>
        </w:rPr>
        <w:t>5.5.4</w:t>
      </w:r>
      <w:r>
        <w:rPr>
          <w:rFonts w:hint="eastAsia"/>
          <w:b/>
          <w:kern w:val="24"/>
          <w:sz w:val="28"/>
          <w:szCs w:val="28"/>
          <w:lang w:val="zh-CN"/>
        </w:rPr>
        <w:t>陆生植被现状</w:t>
      </w:r>
    </w:p>
    <w:p w14:paraId="061FFC91">
      <w:pPr>
        <w:tabs>
          <w:tab w:val="clear" w:pos="480"/>
        </w:tabs>
        <w:adjustRightInd w:val="0"/>
        <w:snapToGrid w:val="0"/>
        <w:ind w:firstLine="0" w:firstLineChars="0"/>
        <w:outlineLvl w:val="3"/>
        <w:rPr>
          <w:b/>
          <w:kern w:val="0"/>
          <w:lang w:val="zh-CN"/>
        </w:rPr>
      </w:pPr>
      <w:r>
        <w:rPr>
          <w:b/>
          <w:kern w:val="0"/>
          <w:lang w:val="zh-CN"/>
        </w:rPr>
        <w:t>5.5.4.1</w:t>
      </w:r>
      <w:r>
        <w:rPr>
          <w:rFonts w:hint="eastAsia"/>
          <w:b/>
          <w:kern w:val="0"/>
          <w:lang w:val="zh-CN"/>
        </w:rPr>
        <w:t>植物区系</w:t>
      </w:r>
    </w:p>
    <w:p w14:paraId="1428F06A">
      <w:pPr>
        <w:adjustRightInd w:val="0"/>
        <w:snapToGrid w:val="0"/>
        <w:ind w:firstLine="480"/>
      </w:pPr>
      <w:r>
        <w:rPr>
          <w:rFonts w:hint="eastAsia"/>
        </w:rPr>
        <w:t>根据《中国种子植物区系地理》（吴征镒等，</w:t>
      </w:r>
      <w:r>
        <w:t>2011</w:t>
      </w:r>
      <w:r>
        <w:rPr>
          <w:rFonts w:hint="eastAsia"/>
        </w:rPr>
        <w:t>年），项目所在区域属于东亚植物区</w:t>
      </w:r>
      <w:r>
        <w:t>—</w:t>
      </w:r>
      <w:r>
        <w:rPr>
          <w:rFonts w:hint="eastAsia"/>
        </w:rPr>
        <w:t>华东地区</w:t>
      </w:r>
      <w:r>
        <w:t>——</w:t>
      </w:r>
      <w:r>
        <w:rPr>
          <w:rFonts w:hint="eastAsia"/>
        </w:rPr>
        <w:t>赣南</w:t>
      </w:r>
      <w:r>
        <w:t>-</w:t>
      </w:r>
      <w:r>
        <w:rPr>
          <w:rFonts w:hint="eastAsia"/>
        </w:rPr>
        <w:t>湘东丘陵亚地区。评价区植物区系组成成分以被子植物为主，蕨类植物种类组成较为丰富。根据现场调查，评价区自然分布的维管束植物以灌木、草本植物为主，裸子植物中针叶树种为优势种。由于评价区人为活动较频繁，环境异质性程度不高，故植物种类组成相对贫乏。</w:t>
      </w:r>
    </w:p>
    <w:p w14:paraId="019BCCA8">
      <w:pPr>
        <w:tabs>
          <w:tab w:val="clear" w:pos="480"/>
        </w:tabs>
        <w:adjustRightInd w:val="0"/>
        <w:snapToGrid w:val="0"/>
        <w:ind w:firstLine="0" w:firstLineChars="0"/>
        <w:outlineLvl w:val="3"/>
        <w:rPr>
          <w:b/>
          <w:kern w:val="0"/>
          <w:lang w:val="zh-CN"/>
        </w:rPr>
      </w:pPr>
      <w:r>
        <w:rPr>
          <w:b/>
          <w:kern w:val="0"/>
          <w:lang w:val="zh-CN"/>
        </w:rPr>
        <w:t>5.5.4.2</w:t>
      </w:r>
      <w:r>
        <w:rPr>
          <w:rFonts w:hint="eastAsia"/>
          <w:b/>
          <w:kern w:val="0"/>
          <w:lang w:val="zh-CN"/>
        </w:rPr>
        <w:t>植被区划</w:t>
      </w:r>
    </w:p>
    <w:p w14:paraId="5106FAB5">
      <w:pPr>
        <w:adjustRightInd w:val="0"/>
        <w:snapToGrid w:val="0"/>
        <w:ind w:firstLine="480"/>
      </w:pPr>
      <w:r>
        <w:rPr>
          <w:rFonts w:hint="eastAsia"/>
        </w:rPr>
        <w:t>根据《湖南植被》的分区系统，评价范围属于亚热带常绿阔叶林区域</w:t>
      </w:r>
      <w:r>
        <w:t>—</w:t>
      </w:r>
      <w:r>
        <w:rPr>
          <w:rFonts w:hint="eastAsia"/>
        </w:rPr>
        <w:t>中亚热带常绿阔叶林地带</w:t>
      </w:r>
      <w:r>
        <w:t>—</w:t>
      </w:r>
      <w:r>
        <w:rPr>
          <w:rFonts w:hint="eastAsia"/>
        </w:rPr>
        <w:t>中亚热带典型常绿阔叶林北部植被亚地带</w:t>
      </w:r>
      <w:r>
        <w:t>—</w:t>
      </w:r>
      <w:r>
        <w:rPr>
          <w:rFonts w:hint="eastAsia"/>
        </w:rPr>
        <w:t>湘中、湘东植被区</w:t>
      </w:r>
      <w:r>
        <w:t>—</w:t>
      </w:r>
      <w:r>
        <w:rPr>
          <w:rFonts w:hint="eastAsia"/>
        </w:rPr>
        <w:t>衡阳盆地植被小区。</w:t>
      </w:r>
    </w:p>
    <w:p w14:paraId="13CCDC02">
      <w:pPr>
        <w:tabs>
          <w:tab w:val="clear" w:pos="480"/>
        </w:tabs>
        <w:adjustRightInd w:val="0"/>
        <w:snapToGrid w:val="0"/>
        <w:ind w:firstLine="0" w:firstLineChars="0"/>
        <w:outlineLvl w:val="3"/>
        <w:rPr>
          <w:b/>
          <w:kern w:val="0"/>
          <w:lang w:val="zh-CN"/>
        </w:rPr>
      </w:pPr>
      <w:r>
        <w:rPr>
          <w:b/>
          <w:kern w:val="0"/>
          <w:lang w:val="zh-CN"/>
        </w:rPr>
        <w:t>5.5.4.3</w:t>
      </w:r>
      <w:r>
        <w:rPr>
          <w:rFonts w:hint="eastAsia"/>
          <w:b/>
          <w:kern w:val="0"/>
          <w:lang w:val="zh-CN"/>
        </w:rPr>
        <w:t>主要植被类型</w:t>
      </w:r>
    </w:p>
    <w:p w14:paraId="3520E709">
      <w:pPr>
        <w:adjustRightInd w:val="0"/>
        <w:snapToGrid w:val="0"/>
        <w:ind w:firstLine="480"/>
      </w:pPr>
      <w:r>
        <w:rPr>
          <w:rFonts w:hint="eastAsia"/>
        </w:rPr>
        <w:t>该评价区虽然为中亚热带常绿阔叶林区范围，但人为活动影响明显，天然阔叶林遭到破坏，以人工林、灌丛为主要植被类型。参考《湖南植被》及相关林业调查资料，根据现场对评价区植被的实地调查，采用群落学</w:t>
      </w:r>
      <w:r>
        <w:t>—</w:t>
      </w:r>
      <w:r>
        <w:rPr>
          <w:rFonts w:hint="eastAsia"/>
        </w:rPr>
        <w:t>生态学分类原则，选用植被型组、植被型、群系等基本单位，在对现存植被进行考察的基础上，结合区域内现有植被中群系建群种与优势种的外貌，以及群系的环境生态与地理分布特征等分析，将评价区自然植被初步划分为</w:t>
      </w:r>
      <w:r>
        <w:t>3</w:t>
      </w:r>
      <w:r>
        <w:rPr>
          <w:rFonts w:hint="eastAsia"/>
        </w:rPr>
        <w:t>个植被型组、</w:t>
      </w:r>
      <w:r>
        <w:t>6</w:t>
      </w:r>
      <w:r>
        <w:rPr>
          <w:rFonts w:hint="eastAsia"/>
        </w:rPr>
        <w:t>个植被型、</w:t>
      </w:r>
      <w:r>
        <w:t>1</w:t>
      </w:r>
      <w:r>
        <w:rPr>
          <w:rFonts w:hint="eastAsia"/>
        </w:rPr>
        <w:t>8个群系。</w:t>
      </w:r>
    </w:p>
    <w:p w14:paraId="4A4C017C">
      <w:pPr>
        <w:tabs>
          <w:tab w:val="clear" w:pos="480"/>
        </w:tabs>
        <w:spacing w:line="240" w:lineRule="auto"/>
        <w:ind w:firstLine="0" w:firstLineChars="0"/>
        <w:jc w:val="center"/>
        <w:rPr>
          <w:b/>
        </w:rPr>
      </w:pPr>
      <w:r>
        <w:rPr>
          <w:rFonts w:hint="eastAsia"/>
          <w:b/>
        </w:rPr>
        <w:t>表</w:t>
      </w:r>
      <w:r>
        <w:rPr>
          <w:b/>
        </w:rPr>
        <w:t>5.5-3</w:t>
      </w:r>
      <w:r>
        <w:rPr>
          <w:rFonts w:hint="eastAsia"/>
          <w:b/>
        </w:rPr>
        <w:t>评价区主要植被类型及分布</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962"/>
        <w:gridCol w:w="1413"/>
        <w:gridCol w:w="3325"/>
        <w:gridCol w:w="1951"/>
      </w:tblGrid>
      <w:tr w14:paraId="1150DD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tcBorders>
              <w:top w:val="single" w:color="auto" w:sz="12" w:space="0"/>
              <w:left w:val="single" w:color="auto" w:sz="12" w:space="0"/>
              <w:bottom w:val="single" w:color="auto" w:sz="4" w:space="0"/>
              <w:right w:val="single" w:color="auto" w:sz="4" w:space="0"/>
            </w:tcBorders>
            <w:shd w:val="clear" w:color="auto" w:fill="auto"/>
            <w:vAlign w:val="center"/>
          </w:tcPr>
          <w:p w14:paraId="60E1DB3F">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植被型组</w:t>
            </w:r>
          </w:p>
        </w:tc>
        <w:tc>
          <w:tcPr>
            <w:tcW w:w="579" w:type="pct"/>
            <w:tcBorders>
              <w:top w:val="single" w:color="auto" w:sz="12" w:space="0"/>
              <w:left w:val="single" w:color="auto" w:sz="4" w:space="0"/>
              <w:bottom w:val="single" w:color="auto" w:sz="4" w:space="0"/>
              <w:right w:val="single" w:color="auto" w:sz="4" w:space="0"/>
            </w:tcBorders>
            <w:shd w:val="clear" w:color="auto" w:fill="auto"/>
            <w:vAlign w:val="center"/>
          </w:tcPr>
          <w:p w14:paraId="53A4DAA0">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植被型</w:t>
            </w:r>
          </w:p>
        </w:tc>
        <w:tc>
          <w:tcPr>
            <w:tcW w:w="843" w:type="pct"/>
            <w:tcBorders>
              <w:top w:val="single" w:color="auto" w:sz="12" w:space="0"/>
              <w:left w:val="single" w:color="auto" w:sz="4" w:space="0"/>
              <w:bottom w:val="single" w:color="auto" w:sz="4" w:space="0"/>
              <w:right w:val="single" w:color="auto" w:sz="4" w:space="0"/>
            </w:tcBorders>
            <w:shd w:val="clear" w:color="auto" w:fill="auto"/>
            <w:vAlign w:val="center"/>
          </w:tcPr>
          <w:p w14:paraId="766404B0">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群系中文名</w:t>
            </w:r>
          </w:p>
        </w:tc>
        <w:tc>
          <w:tcPr>
            <w:tcW w:w="1964" w:type="pct"/>
            <w:tcBorders>
              <w:top w:val="single" w:color="auto" w:sz="12" w:space="0"/>
              <w:left w:val="single" w:color="auto" w:sz="4" w:space="0"/>
              <w:bottom w:val="single" w:color="auto" w:sz="4" w:space="0"/>
              <w:right w:val="single" w:color="auto" w:sz="4" w:space="0"/>
            </w:tcBorders>
            <w:shd w:val="clear" w:color="auto" w:fill="auto"/>
            <w:vAlign w:val="center"/>
          </w:tcPr>
          <w:p w14:paraId="7614C899">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群系拉丁名</w:t>
            </w:r>
          </w:p>
        </w:tc>
        <w:tc>
          <w:tcPr>
            <w:tcW w:w="1157" w:type="pct"/>
            <w:tcBorders>
              <w:top w:val="single" w:color="auto" w:sz="12" w:space="0"/>
              <w:left w:val="single" w:color="auto" w:sz="4" w:space="0"/>
              <w:bottom w:val="single" w:color="auto" w:sz="4" w:space="0"/>
              <w:right w:val="single" w:color="auto" w:sz="12" w:space="0"/>
            </w:tcBorders>
            <w:shd w:val="clear" w:color="auto" w:fill="auto"/>
            <w:vAlign w:val="center"/>
          </w:tcPr>
          <w:p w14:paraId="16608EBE">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评价区内分布</w:t>
            </w:r>
          </w:p>
        </w:tc>
      </w:tr>
      <w:tr w14:paraId="540127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5"/>
            <w:tcBorders>
              <w:top w:val="single" w:color="auto" w:sz="4" w:space="0"/>
              <w:left w:val="single" w:color="auto" w:sz="12" w:space="0"/>
              <w:bottom w:val="single" w:color="auto" w:sz="4" w:space="0"/>
              <w:right w:val="single" w:color="auto" w:sz="12" w:space="0"/>
            </w:tcBorders>
            <w:shd w:val="clear" w:color="auto" w:fill="auto"/>
            <w:vAlign w:val="center"/>
          </w:tcPr>
          <w:p w14:paraId="665E8AD6">
            <w:pPr>
              <w:tabs>
                <w:tab w:val="clear" w:pos="480"/>
              </w:tabs>
              <w:adjustRightInd w:val="0"/>
              <w:snapToGrid w:val="0"/>
              <w:spacing w:line="240" w:lineRule="auto"/>
              <w:ind w:firstLine="0" w:firstLineChars="0"/>
              <w:jc w:val="center"/>
              <w:rPr>
                <w:rFonts w:ascii="等线" w:hAnsi="等线" w:eastAsia="等线"/>
                <w:bCs/>
                <w:sz w:val="18"/>
                <w:szCs w:val="18"/>
                <w14:ligatures w14:val="standardContextual"/>
              </w:rPr>
            </w:pPr>
            <w:r>
              <w:rPr>
                <w:rFonts w:hint="eastAsia" w:cs="宋体"/>
                <w:bCs/>
                <w:sz w:val="18"/>
                <w:szCs w:val="18"/>
                <w:lang w:bidi="ar"/>
                <w14:ligatures w14:val="standardContextual"/>
              </w:rPr>
              <w:t>自然植被</w:t>
            </w:r>
          </w:p>
        </w:tc>
      </w:tr>
      <w:tr w14:paraId="6941A1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4B4FB250">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针叶林</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B788240">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w:t>
            </w:r>
            <w:r>
              <w:rPr>
                <w:bCs/>
                <w:kern w:val="0"/>
                <w:sz w:val="18"/>
                <w:szCs w:val="18"/>
                <w:lang w:bidi="ar"/>
                <w14:ligatures w14:val="standardContextual"/>
              </w:rPr>
              <w:t>1</w:t>
            </w:r>
            <w:r>
              <w:rPr>
                <w:rFonts w:hint="eastAsia" w:cs="宋体"/>
                <w:bCs/>
                <w:kern w:val="0"/>
                <w:sz w:val="18"/>
                <w:szCs w:val="18"/>
                <w:lang w:bidi="ar"/>
                <w14:ligatures w14:val="standardContextual"/>
              </w:rPr>
              <w:t>）低山针叶林</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6929AD42">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1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①</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马尾松林</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7EE8BF46">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Form.Pinusmassoniana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41FEDBC3">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rFonts w:hint="eastAsia" w:cs="宋体"/>
                <w:bCs/>
                <w:sz w:val="18"/>
                <w:szCs w:val="18"/>
                <w:lang w:bidi="ar"/>
                <w14:ligatures w14:val="standardContextual"/>
              </w:rPr>
              <w:t>在评价区内分布广泛</w:t>
            </w:r>
          </w:p>
        </w:tc>
      </w:tr>
      <w:tr w14:paraId="155C1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5CD62EC">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58A55F">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7ACCD260">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2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②</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杉木林</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1EAF94CE">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Form.</w:t>
            </w:r>
            <w:r>
              <w:rPr>
                <w:bCs/>
                <w:i/>
                <w:sz w:val="18"/>
                <w:szCs w:val="18"/>
                <w:lang w:bidi="ar"/>
                <w14:ligatures w14:val="standardContextual"/>
              </w:rPr>
              <w:t>Cunninghamialanceolata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50EC53EA">
            <w:pPr>
              <w:tabs>
                <w:tab w:val="clear" w:pos="480"/>
              </w:tabs>
              <w:wordWrap w:val="0"/>
              <w:adjustRightInd w:val="0"/>
              <w:snapToGrid w:val="0"/>
              <w:spacing w:line="240" w:lineRule="auto"/>
              <w:ind w:firstLine="0" w:firstLineChars="0"/>
              <w:jc w:val="left"/>
              <w:rPr>
                <w:rFonts w:ascii="等线" w:hAnsi="等线" w:eastAsia="等线"/>
                <w:bCs/>
                <w:sz w:val="18"/>
                <w:szCs w:val="18"/>
                <w14:ligatures w14:val="standardContextual"/>
              </w:rPr>
            </w:pPr>
            <w:r>
              <w:rPr>
                <w:rFonts w:hint="eastAsia" w:cs="宋体"/>
                <w:bCs/>
                <w:kern w:val="0"/>
                <w:sz w:val="18"/>
                <w:szCs w:val="18"/>
                <w:lang w:bidi="ar"/>
                <w14:ligatures w14:val="standardContextual"/>
              </w:rPr>
              <w:t>在评价区内广泛分布</w:t>
            </w:r>
          </w:p>
        </w:tc>
      </w:tr>
      <w:tr w14:paraId="02005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08002530">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阔叶林</w:t>
            </w: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089F64AE">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w:t>
            </w:r>
            <w:r>
              <w:rPr>
                <w:bCs/>
                <w:kern w:val="0"/>
                <w:sz w:val="18"/>
                <w:szCs w:val="18"/>
                <w:lang w:bidi="ar"/>
                <w14:ligatures w14:val="standardContextual"/>
              </w:rPr>
              <w:t>2</w:t>
            </w:r>
            <w:r>
              <w:rPr>
                <w:rFonts w:hint="eastAsia" w:cs="宋体"/>
                <w:bCs/>
                <w:kern w:val="0"/>
                <w:sz w:val="18"/>
                <w:szCs w:val="18"/>
                <w:lang w:bidi="ar"/>
                <w14:ligatures w14:val="standardContextual"/>
              </w:rPr>
              <w:t>）常绿阔叶林</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65E60A33">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3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③</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青冈林</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45224010">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Form.</w:t>
            </w:r>
            <w:r>
              <w:rPr>
                <w:bCs/>
                <w:i/>
                <w:iCs/>
                <w:sz w:val="18"/>
                <w:szCs w:val="18"/>
                <w:lang w:bidi="ar"/>
                <w14:ligatures w14:val="standardContextual"/>
              </w:rPr>
              <w:t>Cyclobalanopsisglauca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4E00711D">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rFonts w:hint="eastAsia" w:cs="宋体"/>
                <w:bCs/>
                <w:sz w:val="18"/>
                <w:szCs w:val="18"/>
                <w:lang w:bidi="ar"/>
                <w14:ligatures w14:val="standardContextual"/>
              </w:rPr>
              <w:t>进场道路附近广泛分布</w:t>
            </w:r>
          </w:p>
        </w:tc>
      </w:tr>
      <w:tr w14:paraId="0C8532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1B3D334">
            <w:pPr>
              <w:tabs>
                <w:tab w:val="clear" w:pos="480"/>
              </w:tabs>
              <w:spacing w:line="240" w:lineRule="auto"/>
              <w:ind w:firstLine="0" w:firstLineChars="0"/>
              <w:rPr>
                <w:rFonts w:eastAsia="等线"/>
                <w:sz w:val="20"/>
                <w:szCs w:val="20"/>
                <w14:ligatures w14:val="standardContextual"/>
              </w:rPr>
            </w:pP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4ABA6A87">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w:t>
            </w:r>
            <w:r>
              <w:rPr>
                <w:bCs/>
                <w:kern w:val="0"/>
                <w:sz w:val="18"/>
                <w:szCs w:val="18"/>
                <w:lang w:bidi="ar"/>
                <w14:ligatures w14:val="standardContextual"/>
              </w:rPr>
              <w:t>3</w:t>
            </w:r>
            <w:r>
              <w:rPr>
                <w:rFonts w:hint="eastAsia" w:cs="宋体"/>
                <w:bCs/>
                <w:kern w:val="0"/>
                <w:sz w:val="18"/>
                <w:szCs w:val="18"/>
                <w:lang w:bidi="ar"/>
                <w14:ligatures w14:val="standardContextual"/>
              </w:rPr>
              <w:t>）落叶阔叶林</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6C959874">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4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④</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枫香树林</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42068B0F">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 xml:space="preserve">Form. </w:t>
            </w:r>
            <w:r>
              <w:rPr>
                <w:bCs/>
                <w:i/>
                <w:sz w:val="18"/>
                <w:szCs w:val="18"/>
                <w:lang w:bidi="ar"/>
                <w14:ligatures w14:val="standardContextual"/>
              </w:rPr>
              <w:t>Liquidambar formosana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10118E1A">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rFonts w:hint="eastAsia" w:cs="宋体"/>
                <w:bCs/>
                <w:sz w:val="18"/>
                <w:szCs w:val="18"/>
                <w:lang w:bidi="ar"/>
                <w14:ligatures w14:val="standardContextual"/>
              </w:rPr>
              <w:t>在评价区内分布广泛</w:t>
            </w:r>
          </w:p>
        </w:tc>
      </w:tr>
      <w:tr w14:paraId="38126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CE17FD8">
            <w:pPr>
              <w:tabs>
                <w:tab w:val="clear" w:pos="480"/>
              </w:tabs>
              <w:spacing w:line="240" w:lineRule="auto"/>
              <w:ind w:firstLine="0" w:firstLineChars="0"/>
              <w:rPr>
                <w:rFonts w:eastAsia="等线"/>
                <w:sz w:val="20"/>
                <w:szCs w:val="20"/>
                <w14:ligatures w14:val="standardContextual"/>
              </w:rPr>
            </w:pP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21F26979">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w:t>
            </w:r>
            <w:r>
              <w:rPr>
                <w:bCs/>
                <w:kern w:val="0"/>
                <w:sz w:val="18"/>
                <w:szCs w:val="18"/>
                <w:lang w:bidi="ar"/>
                <w14:ligatures w14:val="standardContextual"/>
              </w:rPr>
              <w:t>4</w:t>
            </w:r>
            <w:r>
              <w:rPr>
                <w:rFonts w:hint="eastAsia" w:cs="宋体"/>
                <w:bCs/>
                <w:kern w:val="0"/>
                <w:sz w:val="18"/>
                <w:szCs w:val="18"/>
                <w:lang w:bidi="ar"/>
                <w14:ligatures w14:val="standardContextual"/>
              </w:rPr>
              <w:t>）竹林</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6BC4FEED">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5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⑤</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毛竹林</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7F74BE3C">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Form.</w:t>
            </w:r>
            <w:r>
              <w:rPr>
                <w:bCs/>
                <w:i/>
                <w:sz w:val="18"/>
                <w:szCs w:val="18"/>
                <w:lang w:bidi="ar"/>
                <w14:ligatures w14:val="standardContextual"/>
              </w:rPr>
              <w:t>Phyllostachysedulis</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3CB2F29E">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rFonts w:hint="eastAsia" w:cs="宋体"/>
                <w:bCs/>
                <w:kern w:val="0"/>
                <w:sz w:val="18"/>
                <w:szCs w:val="18"/>
                <w:lang w:bidi="ar"/>
                <w14:ligatures w14:val="standardContextual"/>
              </w:rPr>
              <w:t>在评价区内广泛分布</w:t>
            </w:r>
          </w:p>
        </w:tc>
      </w:tr>
      <w:tr w14:paraId="07BB8B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34899A1D">
            <w:pPr>
              <w:tabs>
                <w:tab w:val="clear" w:pos="480"/>
              </w:tabs>
              <w:adjustRightInd w:val="0"/>
              <w:snapToGrid w:val="0"/>
              <w:spacing w:line="240" w:lineRule="auto"/>
              <w:ind w:firstLine="36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灌丛和灌草丛</w:t>
            </w: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DEA0A74">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w:t>
            </w:r>
            <w:r>
              <w:rPr>
                <w:bCs/>
                <w:kern w:val="0"/>
                <w:sz w:val="18"/>
                <w:szCs w:val="18"/>
                <w:lang w:bidi="ar"/>
                <w14:ligatures w14:val="standardContextual"/>
              </w:rPr>
              <w:t>5</w:t>
            </w:r>
            <w:r>
              <w:rPr>
                <w:rFonts w:hint="eastAsia" w:cs="宋体"/>
                <w:bCs/>
                <w:kern w:val="0"/>
                <w:sz w:val="18"/>
                <w:szCs w:val="18"/>
                <w:lang w:bidi="ar"/>
                <w14:ligatures w14:val="standardContextual"/>
              </w:rPr>
              <w:t>）灌丛</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369FB54B">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bCs/>
                <w:sz w:val="18"/>
                <w:szCs w:val="18"/>
                <w:lang w:bidi="ar"/>
                <w14:ligatures w14:val="standardContextual"/>
              </w:rPr>
              <w:fldChar w:fldCharType="begin"/>
            </w:r>
            <w:r>
              <w:rPr>
                <w:bCs/>
                <w:sz w:val="18"/>
                <w:szCs w:val="18"/>
                <w:lang w:bidi="ar"/>
                <w14:ligatures w14:val="standardContextual"/>
              </w:rPr>
              <w:instrText xml:space="preserve"> = 6 \* GB3 </w:instrText>
            </w:r>
            <w:r>
              <w:rPr>
                <w:bCs/>
                <w:sz w:val="18"/>
                <w:szCs w:val="18"/>
                <w:lang w:bidi="ar"/>
                <w14:ligatures w14:val="standardContextual"/>
              </w:rPr>
              <w:fldChar w:fldCharType="separate"/>
            </w:r>
            <w:r>
              <w:rPr>
                <w:rFonts w:hint="eastAsia" w:ascii="宋体" w:hAnsi="宋体" w:cs="宋体"/>
                <w:bCs/>
                <w:sz w:val="18"/>
                <w:szCs w:val="18"/>
                <w:lang w:bidi="ar"/>
                <w14:ligatures w14:val="standardContextual"/>
              </w:rPr>
              <w:t>⑥</w:t>
            </w:r>
            <w:r>
              <w:rPr>
                <w:bCs/>
                <w:sz w:val="18"/>
                <w:szCs w:val="18"/>
                <w:lang w:bidi="ar"/>
                <w14:ligatures w14:val="standardContextual"/>
              </w:rPr>
              <w:fldChar w:fldCharType="end"/>
            </w:r>
            <w:r>
              <w:rPr>
                <w:rFonts w:hint="eastAsia" w:cs="宋体"/>
                <w:bCs/>
                <w:sz w:val="18"/>
                <w:szCs w:val="18"/>
                <w:lang w:bidi="ar"/>
                <w14:ligatures w14:val="standardContextual"/>
              </w:rPr>
              <w:t>篌竹林</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27FADE15">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bCs/>
                <w:sz w:val="18"/>
                <w:szCs w:val="18"/>
                <w:lang w:bidi="ar"/>
                <w14:ligatures w14:val="standardContextual"/>
              </w:rPr>
              <w:t>Form.Phyllostachys nidularia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5E268B51">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1#</w:t>
            </w:r>
            <w:r>
              <w:rPr>
                <w:rFonts w:hint="eastAsia" w:cs="宋体"/>
                <w:bCs/>
                <w:sz w:val="18"/>
                <w:szCs w:val="18"/>
                <w:lang w:bidi="ar"/>
                <w14:ligatures w14:val="standardContextual"/>
              </w:rPr>
              <w:t>和</w:t>
            </w:r>
            <w:r>
              <w:rPr>
                <w:bCs/>
                <w:sz w:val="18"/>
                <w:szCs w:val="18"/>
                <w:lang w:bidi="ar"/>
                <w14:ligatures w14:val="standardContextual"/>
              </w:rPr>
              <w:t>7#</w:t>
            </w:r>
            <w:r>
              <w:rPr>
                <w:rFonts w:hint="eastAsia" w:cs="宋体"/>
                <w:bCs/>
                <w:sz w:val="18"/>
                <w:szCs w:val="18"/>
                <w:lang w:bidi="ar"/>
                <w14:ligatures w14:val="standardContextual"/>
              </w:rPr>
              <w:t>进场道路旁分布</w:t>
            </w:r>
          </w:p>
        </w:tc>
      </w:tr>
      <w:tr w14:paraId="1FCD0A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0DFB440">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112E02D">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2C2F11E3">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7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⑦</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油茶灌丛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24CE0EC1">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bCs/>
                <w:kern w:val="0"/>
                <w:sz w:val="18"/>
                <w:szCs w:val="18"/>
                <w:lang w:bidi="ar"/>
                <w14:ligatures w14:val="standardContextual"/>
              </w:rPr>
              <w:t>Form.Camellia oleifera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1018BB10">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1#</w:t>
            </w:r>
            <w:r>
              <w:rPr>
                <w:rFonts w:hint="eastAsia" w:cs="宋体"/>
                <w:bCs/>
                <w:sz w:val="18"/>
                <w:szCs w:val="18"/>
                <w:lang w:bidi="ar"/>
                <w14:ligatures w14:val="standardContextual"/>
              </w:rPr>
              <w:t>风机附近</w:t>
            </w:r>
          </w:p>
        </w:tc>
      </w:tr>
      <w:tr w14:paraId="2DF8FB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808CD74">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BE9E5A">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3FCDB9EA">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8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⑧</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盐肤木灌丛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526209F8">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t>Form. Rhus chinensis shrubland</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16253F45">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rFonts w:hint="eastAsia" w:cs="宋体"/>
                <w:bCs/>
                <w:sz w:val="18"/>
                <w:szCs w:val="18"/>
                <w:lang w:bidi="ar"/>
                <w14:ligatures w14:val="standardContextual"/>
              </w:rPr>
              <w:t>评价区广泛分布</w:t>
            </w:r>
          </w:p>
        </w:tc>
      </w:tr>
      <w:tr w14:paraId="181AC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3C8E7A1">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6AF61D">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5B707C38">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9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⑨</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羊蹄甲灌丛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055A4757">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Form.Bauhiniapurpurea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736F83A8">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在评价区内广泛分布</w:t>
            </w:r>
          </w:p>
        </w:tc>
      </w:tr>
      <w:tr w14:paraId="205E3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64E7EE3">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66AFEC">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2A77A1F7">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bCs/>
                <w:kern w:val="0"/>
                <w:sz w:val="18"/>
                <w:szCs w:val="18"/>
                <w:lang w:bidi="ar"/>
                <w14:ligatures w14:val="standardContextual"/>
              </w:rPr>
              <w:fldChar w:fldCharType="begin"/>
            </w:r>
            <w:r>
              <w:rPr>
                <w:bCs/>
                <w:kern w:val="0"/>
                <w:sz w:val="18"/>
                <w:szCs w:val="18"/>
                <w:lang w:bidi="ar"/>
                <w14:ligatures w14:val="standardContextual"/>
              </w:rPr>
              <w:instrText xml:space="preserve"> = 10 \* GB3 </w:instrText>
            </w:r>
            <w:r>
              <w:rPr>
                <w:bCs/>
                <w:kern w:val="0"/>
                <w:sz w:val="18"/>
                <w:szCs w:val="18"/>
                <w:lang w:bidi="ar"/>
                <w14:ligatures w14:val="standardContextual"/>
              </w:rPr>
              <w:fldChar w:fldCharType="separate"/>
            </w:r>
            <w:r>
              <w:rPr>
                <w:rFonts w:hint="eastAsia" w:ascii="宋体" w:hAnsi="宋体" w:cs="宋体"/>
                <w:bCs/>
                <w:kern w:val="0"/>
                <w:sz w:val="18"/>
                <w:szCs w:val="18"/>
                <w:lang w:bidi="ar"/>
                <w14:ligatures w14:val="standardContextual"/>
              </w:rPr>
              <w:t>⑩</w:t>
            </w:r>
            <w:r>
              <w:rPr>
                <w:bCs/>
                <w:kern w:val="0"/>
                <w:sz w:val="18"/>
                <w:szCs w:val="18"/>
                <w:lang w:bidi="ar"/>
                <w14:ligatures w14:val="standardContextual"/>
              </w:rPr>
              <w:fldChar w:fldCharType="end"/>
            </w:r>
            <w:r>
              <w:rPr>
                <w:rFonts w:hint="eastAsia" w:cs="宋体"/>
                <w:bCs/>
                <w:kern w:val="0"/>
                <w:sz w:val="18"/>
                <w:szCs w:val="18"/>
                <w:lang w:bidi="ar"/>
                <w14:ligatures w14:val="standardContextual"/>
              </w:rPr>
              <w:t>苎麻灌丛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4A8D412B">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w:t>
            </w:r>
            <w:r>
              <w:rPr>
                <w:bCs/>
                <w:i/>
                <w:sz w:val="18"/>
                <w:szCs w:val="18"/>
                <w:lang w:bidi="ar"/>
                <w14:ligatures w14:val="standardContextual"/>
              </w:rPr>
              <w:t>Boehmeria nivea</w:t>
            </w:r>
            <w:r>
              <w:rPr>
                <w:bCs/>
                <w:sz w:val="18"/>
                <w:szCs w:val="18"/>
                <w:lang w:bidi="ar"/>
                <w14:ligatures w14:val="standardContextual"/>
              </w:rPr>
              <w:t xml:space="preserve"> shrubland</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2809F08E">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rFonts w:hint="eastAsia" w:cs="宋体"/>
                <w:bCs/>
                <w:sz w:val="18"/>
                <w:szCs w:val="18"/>
                <w:lang w:bidi="ar"/>
                <w14:ligatures w14:val="standardContextual"/>
              </w:rPr>
              <w:t>在评价区内分布广泛</w:t>
            </w:r>
          </w:p>
        </w:tc>
      </w:tr>
      <w:tr w14:paraId="7D1F5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9F9DBB6">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16ECBCD">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728D6CE2">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⑪</w:t>
            </w:r>
            <w:r>
              <w:rPr>
                <w:rFonts w:hint="eastAsia" w:cs="宋体"/>
                <w:bCs/>
                <w:kern w:val="0"/>
                <w:sz w:val="18"/>
                <w:szCs w:val="18"/>
                <w:lang w:bidi="ar"/>
                <w14:ligatures w14:val="standardContextual"/>
              </w:rPr>
              <w:t>檵木灌丛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36970C25">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Form.Loropetalum chinense</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5BB9AC99">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在评价区内广泛分布</w:t>
            </w:r>
          </w:p>
        </w:tc>
      </w:tr>
      <w:tr w14:paraId="788CA8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72D4C95">
            <w:pPr>
              <w:tabs>
                <w:tab w:val="clear" w:pos="480"/>
              </w:tabs>
              <w:spacing w:line="240" w:lineRule="auto"/>
              <w:ind w:firstLine="0" w:firstLineChars="0"/>
              <w:rPr>
                <w:rFonts w:eastAsia="等线"/>
                <w:sz w:val="20"/>
                <w:szCs w:val="20"/>
                <w14:ligatures w14:val="standardContextual"/>
              </w:rPr>
            </w:pPr>
          </w:p>
        </w:tc>
        <w:tc>
          <w:tcPr>
            <w:tcW w:w="5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FDFCA1E">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hint="eastAsia" w:cs="宋体"/>
                <w:bCs/>
                <w:kern w:val="0"/>
                <w:sz w:val="18"/>
                <w:szCs w:val="18"/>
                <w:lang w:bidi="ar"/>
                <w14:ligatures w14:val="standardContextual"/>
              </w:rPr>
              <w:t>（</w:t>
            </w:r>
            <w:r>
              <w:rPr>
                <w:bCs/>
                <w:kern w:val="0"/>
                <w:sz w:val="18"/>
                <w:szCs w:val="18"/>
                <w:lang w:bidi="ar"/>
                <w14:ligatures w14:val="standardContextual"/>
              </w:rPr>
              <w:t>6</w:t>
            </w:r>
            <w:r>
              <w:rPr>
                <w:rFonts w:hint="eastAsia" w:cs="宋体"/>
                <w:bCs/>
                <w:kern w:val="0"/>
                <w:sz w:val="18"/>
                <w:szCs w:val="18"/>
                <w:lang w:bidi="ar"/>
                <w14:ligatures w14:val="standardContextual"/>
              </w:rPr>
              <w:t>）灌草丛</w:t>
            </w: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2759C082">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⑫</w:t>
            </w:r>
            <w:r>
              <w:rPr>
                <w:rFonts w:hint="eastAsia" w:cs="宋体"/>
                <w:bCs/>
                <w:kern w:val="0"/>
                <w:sz w:val="18"/>
                <w:szCs w:val="18"/>
                <w:lang w:bidi="ar"/>
                <w14:ligatures w14:val="standardContextual"/>
              </w:rPr>
              <w:t>垂序商陆草丛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393B0C60">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 xml:space="preserve">Form. </w:t>
            </w:r>
            <w:r>
              <w:rPr>
                <w:bCs/>
                <w:sz w:val="18"/>
                <w:szCs w:val="18"/>
                <w:shd w:val="clear" w:color="auto" w:fill="FFFFFF"/>
                <w:lang w:bidi="ar"/>
                <w14:ligatures w14:val="standardContextual"/>
              </w:rPr>
              <w:t>Phytolacca americana L</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29568DDA">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rFonts w:hint="eastAsia" w:cs="宋体"/>
                <w:bCs/>
                <w:sz w:val="18"/>
                <w:szCs w:val="18"/>
                <w:lang w:bidi="ar"/>
                <w14:ligatures w14:val="standardContextual"/>
              </w:rPr>
              <w:t>在评价区内分布广泛</w:t>
            </w:r>
          </w:p>
        </w:tc>
      </w:tr>
      <w:tr w14:paraId="1DCA3B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7389569">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0C8C1C6">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10BEA099">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⑬</w:t>
            </w:r>
            <w:r>
              <w:rPr>
                <w:rFonts w:hint="eastAsia" w:cs="宋体"/>
                <w:bCs/>
                <w:kern w:val="0"/>
                <w:sz w:val="18"/>
                <w:szCs w:val="18"/>
                <w:lang w:bidi="ar"/>
                <w14:ligatures w14:val="standardContextual"/>
              </w:rPr>
              <w:t>菝葜草丛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7C23D4FC">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w:t>
            </w:r>
            <w:r>
              <w:rPr>
                <w:bCs/>
                <w:sz w:val="18"/>
                <w:szCs w:val="18"/>
                <w:shd w:val="clear" w:color="auto" w:fill="FFFFFF"/>
                <w:lang w:bidi="ar"/>
                <w14:ligatures w14:val="standardContextual"/>
              </w:rPr>
              <w:t xml:space="preserve"> Smilax china L</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05AECBB9">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1#</w:t>
            </w:r>
            <w:r>
              <w:rPr>
                <w:rFonts w:hint="eastAsia" w:cs="宋体"/>
                <w:bCs/>
                <w:sz w:val="18"/>
                <w:szCs w:val="18"/>
                <w:lang w:bidi="ar"/>
                <w14:ligatures w14:val="standardContextual"/>
              </w:rPr>
              <w:t>风机机位附近</w:t>
            </w:r>
          </w:p>
        </w:tc>
      </w:tr>
      <w:tr w14:paraId="6E75ED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25C0ED4">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B1BD19">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4DB03914">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⑭</w:t>
            </w:r>
            <w:r>
              <w:rPr>
                <w:rFonts w:hint="eastAsia" w:cs="宋体"/>
                <w:bCs/>
                <w:kern w:val="0"/>
                <w:sz w:val="18"/>
                <w:szCs w:val="18"/>
                <w:lang w:bidi="ar"/>
                <w14:ligatures w14:val="standardContextual"/>
              </w:rPr>
              <w:t>芒萁草丛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7C8A9BAA">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 Miscanthussinensis</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6C82BC12">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rFonts w:hint="eastAsia" w:cs="宋体"/>
                <w:bCs/>
                <w:sz w:val="18"/>
                <w:szCs w:val="18"/>
                <w:lang w:bidi="ar"/>
                <w14:ligatures w14:val="standardContextual"/>
              </w:rPr>
              <w:t>在评价区内分布广泛</w:t>
            </w:r>
          </w:p>
        </w:tc>
      </w:tr>
      <w:tr w14:paraId="59451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D1FAEC6">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80BF5F">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7D3A4007">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⑮</w:t>
            </w:r>
            <w:r>
              <w:rPr>
                <w:rFonts w:hint="eastAsia" w:cs="宋体"/>
                <w:bCs/>
                <w:kern w:val="0"/>
                <w:sz w:val="18"/>
                <w:szCs w:val="18"/>
                <w:lang w:bidi="ar"/>
                <w14:ligatures w14:val="standardContextual"/>
              </w:rPr>
              <w:t>五节芒草丛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3EB7464D">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Form.Miscanthusfloridulus</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1810D842">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1#</w:t>
            </w:r>
            <w:r>
              <w:rPr>
                <w:rFonts w:hint="eastAsia" w:cs="宋体"/>
                <w:bCs/>
                <w:kern w:val="0"/>
                <w:sz w:val="18"/>
                <w:szCs w:val="18"/>
                <w:lang w:bidi="ar"/>
                <w14:ligatures w14:val="standardContextual"/>
              </w:rPr>
              <w:t>进场道路旁</w:t>
            </w:r>
          </w:p>
        </w:tc>
      </w:tr>
      <w:tr w14:paraId="7354A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BC76BC8">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7EC61A">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6682A33E">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⑯</w:t>
            </w:r>
            <w:r>
              <w:rPr>
                <w:rFonts w:hint="eastAsia" w:cs="宋体"/>
                <w:bCs/>
                <w:kern w:val="0"/>
                <w:sz w:val="18"/>
                <w:szCs w:val="18"/>
                <w:lang w:bidi="ar"/>
                <w14:ligatures w14:val="standardContextual"/>
              </w:rPr>
              <w:t>乌蔹莓草丛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3CBD6C86">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kern w:val="0"/>
                <w:sz w:val="18"/>
                <w:szCs w:val="18"/>
                <w:lang w:bidi="ar"/>
                <w14:ligatures w14:val="standardContextual"/>
              </w:rPr>
              <w:t xml:space="preserve">Form. </w:t>
            </w:r>
            <w:r>
              <w:rPr>
                <w:bCs/>
                <w:sz w:val="18"/>
                <w:szCs w:val="18"/>
                <w:shd w:val="clear" w:color="auto" w:fill="FFFFFF"/>
                <w:lang w:bidi="ar"/>
                <w14:ligatures w14:val="standardContextual"/>
              </w:rPr>
              <w:t>Cayratia japonica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49F912D7">
            <w:pPr>
              <w:tabs>
                <w:tab w:val="clear" w:pos="480"/>
              </w:tabs>
              <w:adjustRightInd w:val="0"/>
              <w:snapToGrid w:val="0"/>
              <w:spacing w:line="240" w:lineRule="auto"/>
              <w:ind w:firstLine="0" w:firstLineChars="0"/>
              <w:jc w:val="left"/>
              <w:rPr>
                <w:rFonts w:ascii="等线" w:hAnsi="等线" w:eastAsia="等线"/>
                <w:bCs/>
                <w:kern w:val="0"/>
                <w:sz w:val="18"/>
                <w:szCs w:val="18"/>
                <w14:ligatures w14:val="standardContextual"/>
              </w:rPr>
            </w:pPr>
            <w:r>
              <w:rPr>
                <w:bCs/>
                <w:sz w:val="18"/>
                <w:szCs w:val="18"/>
                <w:lang w:bidi="ar"/>
                <w14:ligatures w14:val="standardContextual"/>
              </w:rPr>
              <w:t>1#</w:t>
            </w:r>
            <w:r>
              <w:rPr>
                <w:rFonts w:hint="eastAsia" w:cs="宋体"/>
                <w:bCs/>
                <w:sz w:val="18"/>
                <w:szCs w:val="18"/>
                <w:lang w:bidi="ar"/>
                <w14:ligatures w14:val="standardContextual"/>
              </w:rPr>
              <w:t>和</w:t>
            </w:r>
            <w:r>
              <w:rPr>
                <w:bCs/>
                <w:sz w:val="18"/>
                <w:szCs w:val="18"/>
                <w:lang w:bidi="ar"/>
                <w14:ligatures w14:val="standardContextual"/>
              </w:rPr>
              <w:t>7#</w:t>
            </w:r>
            <w:r>
              <w:rPr>
                <w:rFonts w:hint="eastAsia" w:cs="宋体"/>
                <w:bCs/>
                <w:sz w:val="18"/>
                <w:szCs w:val="18"/>
                <w:lang w:bidi="ar"/>
                <w14:ligatures w14:val="standardContextual"/>
              </w:rPr>
              <w:t>进场道路旁分布</w:t>
            </w:r>
          </w:p>
        </w:tc>
      </w:tr>
      <w:tr w14:paraId="3E471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22B6ADA">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AEF833">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21748F8D">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ascii="Cambria Math" w:hAnsi="Cambria Math" w:eastAsia="Cambria Math" w:cs="Cambria Math"/>
                <w:bCs/>
                <w:sz w:val="18"/>
                <w:szCs w:val="18"/>
                <w:lang w:bidi="ar"/>
                <w14:ligatures w14:val="standardContextual"/>
              </w:rPr>
              <w:t>⑰</w:t>
            </w:r>
            <w:r>
              <w:rPr>
                <w:rFonts w:hint="eastAsia" w:cs="宋体"/>
                <w:bCs/>
                <w:sz w:val="18"/>
                <w:szCs w:val="18"/>
                <w:lang w:bidi="ar"/>
                <w14:ligatures w14:val="standardContextual"/>
              </w:rPr>
              <w:t>白茅草丛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0FB3D198">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Form.</w:t>
            </w:r>
            <w:r>
              <w:rPr>
                <w:bCs/>
                <w:i/>
                <w:sz w:val="18"/>
                <w:szCs w:val="18"/>
                <w:lang w:bidi="ar"/>
                <w14:ligatures w14:val="standardContextual"/>
              </w:rPr>
              <w:t>Imperatacylindrica</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007C5EA2">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rFonts w:hint="eastAsia" w:cs="宋体"/>
                <w:bCs/>
                <w:sz w:val="18"/>
                <w:szCs w:val="18"/>
                <w:lang w:bidi="ar"/>
                <w14:ligatures w14:val="standardContextual"/>
              </w:rPr>
              <w:t>在评价区内分布广泛</w:t>
            </w:r>
          </w:p>
        </w:tc>
      </w:tr>
      <w:tr w14:paraId="1EE258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89654DD">
            <w:pPr>
              <w:tabs>
                <w:tab w:val="clear" w:pos="480"/>
              </w:tabs>
              <w:spacing w:line="240" w:lineRule="auto"/>
              <w:ind w:firstLine="0" w:firstLineChars="0"/>
              <w:rPr>
                <w:rFonts w:eastAsia="等线"/>
                <w:sz w:val="20"/>
                <w:szCs w:val="20"/>
                <w14:ligatures w14:val="standardContextual"/>
              </w:rPr>
            </w:pPr>
          </w:p>
        </w:tc>
        <w:tc>
          <w:tcPr>
            <w:tcW w:w="57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427501">
            <w:pPr>
              <w:tabs>
                <w:tab w:val="clear" w:pos="480"/>
              </w:tabs>
              <w:spacing w:line="240" w:lineRule="auto"/>
              <w:ind w:firstLine="0" w:firstLineChars="0"/>
              <w:rPr>
                <w:rFonts w:eastAsia="等线"/>
                <w:sz w:val="20"/>
                <w:szCs w:val="20"/>
                <w14:ligatures w14:val="standardContextual"/>
              </w:rPr>
            </w:pPr>
          </w:p>
        </w:tc>
        <w:tc>
          <w:tcPr>
            <w:tcW w:w="843" w:type="pct"/>
            <w:tcBorders>
              <w:top w:val="single" w:color="auto" w:sz="4" w:space="0"/>
              <w:left w:val="single" w:color="auto" w:sz="4" w:space="0"/>
              <w:bottom w:val="single" w:color="auto" w:sz="4" w:space="0"/>
              <w:right w:val="single" w:color="auto" w:sz="4" w:space="0"/>
            </w:tcBorders>
            <w:shd w:val="clear" w:color="auto" w:fill="auto"/>
            <w:vAlign w:val="center"/>
          </w:tcPr>
          <w:p w14:paraId="728F9594">
            <w:pPr>
              <w:tabs>
                <w:tab w:val="clear" w:pos="480"/>
              </w:tabs>
              <w:adjustRightInd w:val="0"/>
              <w:snapToGrid w:val="0"/>
              <w:spacing w:line="240" w:lineRule="auto"/>
              <w:ind w:firstLine="0" w:firstLineChars="0"/>
              <w:rPr>
                <w:rFonts w:ascii="等线" w:hAnsi="等线" w:eastAsia="等线"/>
                <w:bCs/>
                <w:kern w:val="0"/>
                <w:sz w:val="18"/>
                <w:szCs w:val="18"/>
                <w14:ligatures w14:val="standardContextual"/>
              </w:rPr>
            </w:pPr>
            <w:r>
              <w:rPr>
                <w:rFonts w:ascii="Cambria Math" w:hAnsi="Cambria Math" w:eastAsia="Cambria Math" w:cs="Cambria Math"/>
                <w:bCs/>
                <w:kern w:val="0"/>
                <w:sz w:val="18"/>
                <w:szCs w:val="18"/>
                <w:lang w:bidi="ar"/>
                <w14:ligatures w14:val="standardContextual"/>
              </w:rPr>
              <w:t>⑱</w:t>
            </w:r>
            <w:r>
              <w:rPr>
                <w:rFonts w:hint="eastAsia" w:cs="宋体"/>
                <w:bCs/>
                <w:kern w:val="0"/>
                <w:sz w:val="18"/>
                <w:szCs w:val="18"/>
                <w:lang w:bidi="ar"/>
                <w14:ligatures w14:val="standardContextual"/>
              </w:rPr>
              <w:t>蕨草丛</w:t>
            </w:r>
          </w:p>
        </w:tc>
        <w:tc>
          <w:tcPr>
            <w:tcW w:w="1964" w:type="pct"/>
            <w:tcBorders>
              <w:top w:val="single" w:color="auto" w:sz="4" w:space="0"/>
              <w:left w:val="single" w:color="auto" w:sz="4" w:space="0"/>
              <w:bottom w:val="single" w:color="auto" w:sz="4" w:space="0"/>
              <w:right w:val="single" w:color="auto" w:sz="4" w:space="0"/>
            </w:tcBorders>
            <w:shd w:val="clear" w:color="auto" w:fill="auto"/>
            <w:vAlign w:val="center"/>
          </w:tcPr>
          <w:p w14:paraId="096A5664">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Form.</w:t>
            </w:r>
            <w:r>
              <w:rPr>
                <w:bCs/>
                <w:i/>
                <w:sz w:val="18"/>
                <w:szCs w:val="18"/>
                <w:lang w:bidi="ar"/>
                <w14:ligatures w14:val="standardContextual"/>
              </w:rPr>
              <w:t>Pteridiumaquilinum</w:t>
            </w:r>
            <w:r>
              <w:rPr>
                <w:bCs/>
                <w:sz w:val="18"/>
                <w:szCs w:val="18"/>
                <w:lang w:bidi="ar"/>
                <w14:ligatures w14:val="standardContextual"/>
              </w:rPr>
              <w:t>var.</w:t>
            </w:r>
            <w:r>
              <w:rPr>
                <w:bCs/>
                <w:i/>
                <w:sz w:val="18"/>
                <w:szCs w:val="18"/>
                <w:lang w:bidi="ar"/>
                <w14:ligatures w14:val="standardContextual"/>
              </w:rPr>
              <w:t>latiusculum</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4F80E51D">
            <w:pPr>
              <w:tabs>
                <w:tab w:val="clear" w:pos="480"/>
              </w:tabs>
              <w:adjustRightInd w:val="0"/>
              <w:snapToGrid w:val="0"/>
              <w:spacing w:line="240" w:lineRule="auto"/>
              <w:ind w:firstLine="0" w:firstLineChars="0"/>
              <w:jc w:val="left"/>
              <w:rPr>
                <w:rFonts w:ascii="等线" w:hAnsi="等线" w:eastAsia="等线"/>
                <w:bCs/>
                <w:sz w:val="18"/>
                <w:szCs w:val="18"/>
                <w14:ligatures w14:val="standardContextual"/>
              </w:rPr>
            </w:pPr>
            <w:r>
              <w:rPr>
                <w:bCs/>
                <w:sz w:val="18"/>
                <w:szCs w:val="18"/>
                <w:lang w:bidi="ar"/>
                <w14:ligatures w14:val="standardContextual"/>
              </w:rPr>
              <w:t>1#</w:t>
            </w:r>
            <w:r>
              <w:rPr>
                <w:rFonts w:hint="eastAsia" w:cs="宋体"/>
                <w:bCs/>
                <w:sz w:val="18"/>
                <w:szCs w:val="18"/>
                <w:lang w:bidi="ar"/>
                <w14:ligatures w14:val="standardContextual"/>
              </w:rPr>
              <w:t>和</w:t>
            </w:r>
            <w:r>
              <w:rPr>
                <w:bCs/>
                <w:sz w:val="18"/>
                <w:szCs w:val="18"/>
                <w:lang w:bidi="ar"/>
                <w14:ligatures w14:val="standardContextual"/>
              </w:rPr>
              <w:t>7#</w:t>
            </w:r>
            <w:r>
              <w:rPr>
                <w:rFonts w:hint="eastAsia" w:cs="宋体"/>
                <w:bCs/>
                <w:sz w:val="18"/>
                <w:szCs w:val="18"/>
                <w:lang w:bidi="ar"/>
                <w14:ligatures w14:val="standardContextual"/>
              </w:rPr>
              <w:t>进场道路旁分布</w:t>
            </w:r>
          </w:p>
        </w:tc>
      </w:tr>
      <w:tr w14:paraId="47B079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5"/>
            <w:tcBorders>
              <w:top w:val="single" w:color="auto" w:sz="4" w:space="0"/>
              <w:left w:val="single" w:color="auto" w:sz="12" w:space="0"/>
              <w:bottom w:val="single" w:color="auto" w:sz="4" w:space="0"/>
              <w:right w:val="single" w:color="auto" w:sz="12" w:space="0"/>
            </w:tcBorders>
            <w:shd w:val="clear" w:color="auto" w:fill="auto"/>
            <w:vAlign w:val="center"/>
          </w:tcPr>
          <w:p w14:paraId="6C6A5E4C">
            <w:pPr>
              <w:tabs>
                <w:tab w:val="clear" w:pos="480"/>
              </w:tabs>
              <w:adjustRightInd w:val="0"/>
              <w:snapToGrid w:val="0"/>
              <w:spacing w:line="240" w:lineRule="auto"/>
              <w:ind w:firstLine="0" w:firstLineChars="0"/>
              <w:jc w:val="center"/>
              <w:rPr>
                <w:rFonts w:ascii="等线" w:hAnsi="等线" w:eastAsia="等线"/>
                <w:bCs/>
                <w:sz w:val="18"/>
                <w:szCs w:val="18"/>
                <w14:ligatures w14:val="standardContextual"/>
              </w:rPr>
            </w:pPr>
            <w:r>
              <w:rPr>
                <w:rFonts w:hint="eastAsia" w:cs="宋体"/>
                <w:bCs/>
                <w:sz w:val="18"/>
                <w:szCs w:val="18"/>
                <w:lang w:bidi="ar"/>
                <w14:ligatures w14:val="standardContextual"/>
              </w:rPr>
              <w:t>人工植被</w:t>
            </w:r>
          </w:p>
        </w:tc>
      </w:tr>
      <w:tr w14:paraId="4B4C02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tcBorders>
              <w:top w:val="single" w:color="auto" w:sz="4" w:space="0"/>
              <w:left w:val="single" w:color="auto" w:sz="12" w:space="0"/>
              <w:bottom w:val="single" w:color="auto" w:sz="4" w:space="0"/>
              <w:right w:val="single" w:color="auto" w:sz="4" w:space="0"/>
            </w:tcBorders>
            <w:shd w:val="clear" w:color="auto" w:fill="auto"/>
            <w:vAlign w:val="center"/>
          </w:tcPr>
          <w:p w14:paraId="5822BF13">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人工林</w:t>
            </w: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48091391">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用材林</w:t>
            </w:r>
          </w:p>
        </w:tc>
        <w:tc>
          <w:tcPr>
            <w:tcW w:w="2807"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1F408F73">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杉木林、毛竹林、马尾松等</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0ACBE63A">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在评价区内分布广泛</w:t>
            </w:r>
          </w:p>
        </w:tc>
      </w:tr>
      <w:tr w14:paraId="34A1B8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restart"/>
            <w:tcBorders>
              <w:top w:val="single" w:color="auto" w:sz="4" w:space="0"/>
              <w:left w:val="single" w:color="auto" w:sz="12" w:space="0"/>
              <w:bottom w:val="single" w:color="auto" w:sz="12" w:space="0"/>
              <w:right w:val="single" w:color="auto" w:sz="4" w:space="0"/>
            </w:tcBorders>
            <w:shd w:val="clear" w:color="auto" w:fill="auto"/>
            <w:vAlign w:val="center"/>
          </w:tcPr>
          <w:p w14:paraId="3E061B1D">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农作物</w:t>
            </w:r>
          </w:p>
        </w:tc>
        <w:tc>
          <w:tcPr>
            <w:tcW w:w="579" w:type="pct"/>
            <w:tcBorders>
              <w:top w:val="single" w:color="auto" w:sz="4" w:space="0"/>
              <w:left w:val="single" w:color="auto" w:sz="4" w:space="0"/>
              <w:bottom w:val="single" w:color="auto" w:sz="4" w:space="0"/>
              <w:right w:val="single" w:color="auto" w:sz="4" w:space="0"/>
            </w:tcBorders>
            <w:shd w:val="clear" w:color="auto" w:fill="auto"/>
            <w:vAlign w:val="center"/>
          </w:tcPr>
          <w:p w14:paraId="0B4B099F">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粮食作物</w:t>
            </w:r>
          </w:p>
        </w:tc>
        <w:tc>
          <w:tcPr>
            <w:tcW w:w="2807"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8BCC352">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kern w:val="0"/>
                <w:sz w:val="18"/>
                <w:szCs w:val="18"/>
                <w:lang w:bidi="ar"/>
                <w14:ligatures w14:val="standardContextual"/>
              </w:rPr>
              <w:t>水稻、玉米、薯类等</w:t>
            </w:r>
          </w:p>
        </w:tc>
        <w:tc>
          <w:tcPr>
            <w:tcW w:w="1157" w:type="pct"/>
            <w:tcBorders>
              <w:top w:val="single" w:color="auto" w:sz="4" w:space="0"/>
              <w:left w:val="single" w:color="auto" w:sz="4" w:space="0"/>
              <w:bottom w:val="single" w:color="auto" w:sz="4" w:space="0"/>
              <w:right w:val="single" w:color="auto" w:sz="12" w:space="0"/>
            </w:tcBorders>
            <w:shd w:val="clear" w:color="auto" w:fill="auto"/>
            <w:vAlign w:val="center"/>
          </w:tcPr>
          <w:p w14:paraId="5C9E0138">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村落、农田</w:t>
            </w:r>
          </w:p>
        </w:tc>
      </w:tr>
      <w:tr w14:paraId="63AA5F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6" w:type="pct"/>
            <w:vMerge w:val="continue"/>
            <w:tcBorders>
              <w:top w:val="single" w:color="auto" w:sz="4" w:space="0"/>
              <w:left w:val="single" w:color="auto" w:sz="12" w:space="0"/>
              <w:bottom w:val="single" w:color="auto" w:sz="12" w:space="0"/>
              <w:right w:val="single" w:color="auto" w:sz="4" w:space="0"/>
            </w:tcBorders>
            <w:shd w:val="clear" w:color="auto" w:fill="auto"/>
            <w:vAlign w:val="center"/>
          </w:tcPr>
          <w:p w14:paraId="3B3A98AA">
            <w:pPr>
              <w:tabs>
                <w:tab w:val="clear" w:pos="480"/>
              </w:tabs>
              <w:spacing w:line="240" w:lineRule="auto"/>
              <w:ind w:firstLine="0" w:firstLineChars="0"/>
              <w:rPr>
                <w:rFonts w:eastAsia="等线"/>
                <w:sz w:val="20"/>
                <w:szCs w:val="20"/>
                <w14:ligatures w14:val="standardContextual"/>
              </w:rPr>
            </w:pPr>
          </w:p>
        </w:tc>
        <w:tc>
          <w:tcPr>
            <w:tcW w:w="579" w:type="pct"/>
            <w:tcBorders>
              <w:top w:val="single" w:color="auto" w:sz="4" w:space="0"/>
              <w:left w:val="single" w:color="auto" w:sz="4" w:space="0"/>
              <w:bottom w:val="single" w:color="auto" w:sz="12" w:space="0"/>
              <w:right w:val="single" w:color="auto" w:sz="4" w:space="0"/>
            </w:tcBorders>
            <w:shd w:val="clear" w:color="auto" w:fill="auto"/>
            <w:vAlign w:val="center"/>
          </w:tcPr>
          <w:p w14:paraId="51FF7A96">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经济作物</w:t>
            </w:r>
          </w:p>
        </w:tc>
        <w:tc>
          <w:tcPr>
            <w:tcW w:w="2807" w:type="pct"/>
            <w:gridSpan w:val="2"/>
            <w:tcBorders>
              <w:top w:val="single" w:color="auto" w:sz="4" w:space="0"/>
              <w:left w:val="single" w:color="auto" w:sz="4" w:space="0"/>
              <w:bottom w:val="single" w:color="auto" w:sz="12" w:space="0"/>
              <w:right w:val="single" w:color="auto" w:sz="4" w:space="0"/>
            </w:tcBorders>
            <w:shd w:val="clear" w:color="auto" w:fill="auto"/>
            <w:vAlign w:val="center"/>
          </w:tcPr>
          <w:p w14:paraId="510EBB9C">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kern w:val="0"/>
                <w:sz w:val="18"/>
                <w:szCs w:val="18"/>
                <w:lang w:bidi="ar"/>
                <w14:ligatures w14:val="standardContextual"/>
              </w:rPr>
              <w:t>枣、板栗、柑橘林、柚子树等</w:t>
            </w:r>
          </w:p>
        </w:tc>
        <w:tc>
          <w:tcPr>
            <w:tcW w:w="1157" w:type="pct"/>
            <w:tcBorders>
              <w:top w:val="single" w:color="auto" w:sz="4" w:space="0"/>
              <w:left w:val="single" w:color="auto" w:sz="4" w:space="0"/>
              <w:bottom w:val="single" w:color="auto" w:sz="12" w:space="0"/>
              <w:right w:val="single" w:color="auto" w:sz="12" w:space="0"/>
            </w:tcBorders>
            <w:shd w:val="clear" w:color="auto" w:fill="auto"/>
            <w:vAlign w:val="center"/>
          </w:tcPr>
          <w:p w14:paraId="3D4037D3">
            <w:pPr>
              <w:tabs>
                <w:tab w:val="clear" w:pos="480"/>
              </w:tabs>
              <w:adjustRightInd w:val="0"/>
              <w:snapToGrid w:val="0"/>
              <w:spacing w:line="240" w:lineRule="auto"/>
              <w:ind w:firstLine="0" w:firstLineChars="0"/>
              <w:rPr>
                <w:rFonts w:ascii="等线" w:hAnsi="等线" w:eastAsia="等线"/>
                <w:bCs/>
                <w:sz w:val="18"/>
                <w:szCs w:val="18"/>
                <w14:ligatures w14:val="standardContextual"/>
              </w:rPr>
            </w:pPr>
            <w:r>
              <w:rPr>
                <w:rFonts w:hint="eastAsia" w:cs="宋体"/>
                <w:bCs/>
                <w:sz w:val="18"/>
                <w:szCs w:val="18"/>
                <w:lang w:bidi="ar"/>
                <w14:ligatures w14:val="standardContextual"/>
              </w:rPr>
              <w:t>村落、农田</w:t>
            </w:r>
          </w:p>
        </w:tc>
      </w:tr>
    </w:tbl>
    <w:p w14:paraId="1A20DCD9">
      <w:pPr>
        <w:tabs>
          <w:tab w:val="clear" w:pos="480"/>
        </w:tabs>
        <w:adjustRightInd w:val="0"/>
        <w:snapToGrid w:val="0"/>
        <w:ind w:firstLine="0" w:firstLineChars="0"/>
        <w:outlineLvl w:val="3"/>
        <w:rPr>
          <w:b/>
          <w:kern w:val="0"/>
          <w:lang w:val="zh-CN"/>
        </w:rPr>
      </w:pPr>
      <w:r>
        <w:rPr>
          <w:b/>
          <w:kern w:val="0"/>
          <w:lang w:val="zh-CN"/>
        </w:rPr>
        <w:t>5.5.4.4</w:t>
      </w:r>
      <w:r>
        <w:rPr>
          <w:rFonts w:hint="eastAsia"/>
          <w:b/>
          <w:kern w:val="0"/>
          <w:lang w:val="zh-CN"/>
        </w:rPr>
        <w:t>主要植被类型描述</w:t>
      </w:r>
    </w:p>
    <w:p w14:paraId="79C539E2">
      <w:pPr>
        <w:adjustRightInd w:val="0"/>
        <w:snapToGrid w:val="0"/>
        <w:ind w:firstLine="480"/>
      </w:pPr>
      <w:r>
        <w:t>根据现场对评价区内植被的实地调查，利用典型样方法，参照《中国植被》、《湖南植被》的分类原则对评价区植被中主要植物群落的分布及特征进行简要的描述。</w:t>
      </w:r>
    </w:p>
    <w:p w14:paraId="1E4A9721">
      <w:pPr>
        <w:adjustRightInd w:val="0"/>
        <w:snapToGrid w:val="0"/>
        <w:ind w:firstLine="480"/>
      </w:pPr>
      <w:r>
        <w:rPr>
          <w:rFonts w:hint="eastAsia"/>
        </w:rPr>
        <w:t>一、针叶林</w:t>
      </w:r>
    </w:p>
    <w:p w14:paraId="2E948290">
      <w:pPr>
        <w:adjustRightInd w:val="0"/>
        <w:snapToGrid w:val="0"/>
        <w:ind w:firstLine="480"/>
      </w:pPr>
      <w:r>
        <w:rPr>
          <w:rFonts w:hint="eastAsia"/>
        </w:rPr>
        <w:t>（</w:t>
      </w:r>
      <w:r>
        <w:t>1</w:t>
      </w:r>
      <w:r>
        <w:rPr>
          <w:rFonts w:hint="eastAsia"/>
        </w:rPr>
        <w:t>）低山针叶林</w:t>
      </w:r>
    </w:p>
    <w:p w14:paraId="1261A349">
      <w:pPr>
        <w:adjustRightInd w:val="0"/>
        <w:snapToGrid w:val="0"/>
        <w:ind w:firstLine="480"/>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马尾松林（Form.Pinusmassoniana）</w:t>
      </w:r>
    </w:p>
    <w:p w14:paraId="46C1DA3F">
      <w:pPr>
        <w:adjustRightInd w:val="0"/>
        <w:snapToGrid w:val="0"/>
        <w:ind w:firstLine="480"/>
      </w:pPr>
      <w:r>
        <w:rPr>
          <w:rFonts w:hint="eastAsia"/>
        </w:rPr>
        <w:t>马尾松在进场道路区有分布，是中国中南部主要材用树种，经济价值高，也是评价区内重要水土保持树种。群落外貌暗绿色，林下土壤为红黄壤，林冠整齐，群落结构及种类组成较简单</w:t>
      </w:r>
    </w:p>
    <w:p w14:paraId="15DE7B9B">
      <w:pPr>
        <w:adjustRightInd w:val="0"/>
        <w:snapToGrid w:val="0"/>
        <w:ind w:firstLine="480"/>
      </w:pPr>
      <w:r>
        <w:rPr>
          <w:rFonts w:hint="eastAsia"/>
        </w:rPr>
        <w:t>乔木层郁闭度0.6，层均高6m，优势种为马尾松，高5~8m，胸径5-8cm，盖度50%，主要伴生种有杉木等。灌木层盖度30%，层均高1.2m，优势种为檵木灌丛，高0.5~0.8m，盖度30%，主要伴生种为白栎等。草本层盖度45%，层均高0.5m，无明显优势种，主要草本植物有白茅、蕨、五节芒等。</w:t>
      </w:r>
    </w:p>
    <w:p w14:paraId="13389F2F">
      <w:pPr>
        <w:adjustRightInd w:val="0"/>
        <w:snapToGrid w:val="0"/>
        <w:ind w:firstLine="480"/>
      </w:pPr>
      <w:r>
        <w:t>调查点位1：8#</w:t>
      </w:r>
      <w:r>
        <w:rPr>
          <w:rFonts w:hint="eastAsia"/>
        </w:rPr>
        <w:t>风机南侧山坡</w:t>
      </w:r>
      <w:r>
        <w:t>（GPS定位：N112°31′56.57″</w:t>
      </w:r>
      <w:r>
        <w:rPr>
          <w:rFonts w:hint="eastAsia"/>
        </w:rPr>
        <w:t>，</w:t>
      </w:r>
      <w:r>
        <w:t xml:space="preserve"> E 27°6′17.42″）</w:t>
      </w:r>
      <w:r>
        <w:rPr>
          <w:rFonts w:hint="eastAsia"/>
        </w:rPr>
        <w:t>。</w:t>
      </w:r>
    </w:p>
    <w:p w14:paraId="7E3F988D">
      <w:pPr>
        <w:adjustRightInd w:val="0"/>
        <w:snapToGrid w:val="0"/>
        <w:ind w:firstLine="480"/>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杉木林（Form.Cunninghamialanceolata）</w:t>
      </w:r>
    </w:p>
    <w:p w14:paraId="68CC4830">
      <w:pPr>
        <w:adjustRightInd w:val="0"/>
        <w:snapToGrid w:val="0"/>
        <w:ind w:firstLine="480"/>
      </w:pPr>
      <w:r>
        <w:rPr>
          <w:rFonts w:hint="eastAsia"/>
        </w:rPr>
        <w:t>杉木为亚热带树种，适应性强，喜温暖湿润气候，在评价区分布广泛，常生于评价区山地疏灌丛或竹林下。杉木林为评价区最常见的针叶林群系之一，群落外貌深绿色，林下土壤为黄壤，林冠整齐，群落结构及种类组成较简单。</w:t>
      </w:r>
    </w:p>
    <w:p w14:paraId="7FFA5A16">
      <w:pPr>
        <w:adjustRightInd w:val="0"/>
        <w:snapToGrid w:val="0"/>
        <w:ind w:firstLine="480"/>
      </w:pPr>
      <w:r>
        <w:rPr>
          <w:rFonts w:hint="eastAsia"/>
        </w:rPr>
        <w:t>乔木层郁闭度</w:t>
      </w:r>
      <w:r>
        <w:t>0.60</w:t>
      </w:r>
      <w:r>
        <w:rPr>
          <w:rFonts w:hint="eastAsia"/>
        </w:rPr>
        <w:t>，层均高</w:t>
      </w:r>
      <w:r>
        <w:t>7m</w:t>
      </w:r>
      <w:r>
        <w:rPr>
          <w:rFonts w:hint="eastAsia"/>
        </w:rPr>
        <w:t>，优势种为杉木，高</w:t>
      </w:r>
      <w:r>
        <w:t>5-8m</w:t>
      </w:r>
      <w:r>
        <w:rPr>
          <w:rFonts w:hint="eastAsia"/>
        </w:rPr>
        <w:t>，胸径</w:t>
      </w:r>
      <w:r>
        <w:t>7-12cm</w:t>
      </w:r>
      <w:r>
        <w:rPr>
          <w:rFonts w:hint="eastAsia"/>
        </w:rPr>
        <w:t>，盖度</w:t>
      </w:r>
      <w:r>
        <w:t>60%</w:t>
      </w:r>
      <w:r>
        <w:rPr>
          <w:rFonts w:hint="eastAsia"/>
        </w:rPr>
        <w:t>，主要伴生种有为枫香树、马尾松等；灌木层盖度</w:t>
      </w:r>
      <w:r>
        <w:t>30%</w:t>
      </w:r>
      <w:r>
        <w:rPr>
          <w:rFonts w:hint="eastAsia"/>
        </w:rPr>
        <w:t>，层均高</w:t>
      </w:r>
      <w:r>
        <w:t>1.2m</w:t>
      </w:r>
      <w:r>
        <w:rPr>
          <w:rFonts w:hint="eastAsia"/>
        </w:rPr>
        <w:t>，优势种为檵木，高</w:t>
      </w:r>
      <w:r>
        <w:t>0.5-0.8m</w:t>
      </w:r>
      <w:r>
        <w:rPr>
          <w:rFonts w:hint="eastAsia"/>
        </w:rPr>
        <w:t>，主要伴生种有白栎等；草本层盖度</w:t>
      </w:r>
      <w:r>
        <w:t>45%</w:t>
      </w:r>
      <w:r>
        <w:rPr>
          <w:rFonts w:hint="eastAsia"/>
        </w:rPr>
        <w:t>，层均高</w:t>
      </w:r>
      <w:r>
        <w:t>0.5m</w:t>
      </w:r>
      <w:r>
        <w:rPr>
          <w:rFonts w:hint="eastAsia"/>
        </w:rPr>
        <w:t>，优势种为五节芒，高</w:t>
      </w:r>
      <w:r>
        <w:t>0.4~0.6m</w:t>
      </w:r>
      <w:r>
        <w:rPr>
          <w:rFonts w:hint="eastAsia"/>
        </w:rPr>
        <w:t>，盖度</w:t>
      </w:r>
      <w:r>
        <w:t>25%</w:t>
      </w:r>
      <w:r>
        <w:rPr>
          <w:rFonts w:hint="eastAsia"/>
        </w:rPr>
        <w:t>，主要伴生种有芒萁、白茅等。</w:t>
      </w:r>
    </w:p>
    <w:p w14:paraId="425EF979">
      <w:pPr>
        <w:adjustRightInd w:val="0"/>
        <w:snapToGrid w:val="0"/>
        <w:ind w:firstLine="480"/>
      </w:pPr>
      <w:r>
        <w:t>调查点位1：10#</w:t>
      </w:r>
      <w:r>
        <w:rPr>
          <w:rFonts w:hint="eastAsia"/>
        </w:rPr>
        <w:t>风机山坡</w:t>
      </w:r>
      <w:r>
        <w:t>（GPS定位：N112°32′6.92″</w:t>
      </w:r>
      <w:r>
        <w:rPr>
          <w:rFonts w:hint="eastAsia"/>
        </w:rPr>
        <w:t>，</w:t>
      </w:r>
      <w:r>
        <w:t xml:space="preserve"> E27°5′52.44″）</w:t>
      </w:r>
      <w:r>
        <w:rPr>
          <w:rFonts w:hint="eastAsia"/>
        </w:rPr>
        <w:t>。</w:t>
      </w:r>
    </w:p>
    <w:p w14:paraId="50957DFC">
      <w:pPr>
        <w:adjustRightInd w:val="0"/>
        <w:snapToGrid w:val="0"/>
        <w:ind w:firstLine="480"/>
      </w:pPr>
      <w:r>
        <w:rPr>
          <w:rFonts w:hint="eastAsia"/>
        </w:rPr>
        <w:t>二、阔叶林</w:t>
      </w:r>
    </w:p>
    <w:p w14:paraId="120EFD06">
      <w:pPr>
        <w:adjustRightInd w:val="0"/>
        <w:snapToGrid w:val="0"/>
        <w:ind w:firstLine="480"/>
      </w:pPr>
      <w:r>
        <w:rPr>
          <w:rFonts w:hint="eastAsia"/>
        </w:rPr>
        <w:t>（</w:t>
      </w:r>
      <w:r>
        <w:t>2</w:t>
      </w:r>
      <w:r>
        <w:rPr>
          <w:rFonts w:hint="eastAsia"/>
        </w:rPr>
        <w:t>）常绿阔叶林</w:t>
      </w:r>
    </w:p>
    <w:p w14:paraId="640D85CD">
      <w:pPr>
        <w:adjustRightInd w:val="0"/>
        <w:snapToGrid w:val="0"/>
        <w:ind w:firstLine="480"/>
      </w:pPr>
      <w:r>
        <w:rPr>
          <w:rFonts w:hint="eastAsia"/>
        </w:rPr>
        <w:t>评价区自然环境优越，气候适宜，较有利于阔叶林发育，但由于评价区人为活动频繁，区域内阔叶林植被类型及群系组成较简单。通过现场调查，评价区阔叶林以青冈林为主，是评价区内最重要的植被类型之一。</w:t>
      </w:r>
    </w:p>
    <w:p w14:paraId="75D2F345">
      <w:pPr>
        <w:adjustRightInd w:val="0"/>
        <w:snapToGrid w:val="0"/>
        <w:ind w:firstLine="480"/>
      </w:pPr>
      <w:r>
        <w:fldChar w:fldCharType="begin"/>
      </w:r>
      <w:r>
        <w:instrText xml:space="preserve"> = 3 \* GB3 </w:instrText>
      </w:r>
      <w:r>
        <w:fldChar w:fldCharType="separate"/>
      </w:r>
      <w:r>
        <w:rPr>
          <w:rFonts w:hint="eastAsia"/>
        </w:rPr>
        <w:t>③</w:t>
      </w:r>
      <w:r>
        <w:fldChar w:fldCharType="end"/>
      </w:r>
      <w:r>
        <w:rPr>
          <w:rFonts w:hint="eastAsia"/>
        </w:rPr>
        <w:t>青冈林（</w:t>
      </w:r>
      <w:r>
        <w:t>Form.Cyclobalanopsisglauca t</w:t>
      </w:r>
      <w:r>
        <w:rPr>
          <w:rFonts w:hint="eastAsia"/>
        </w:rPr>
        <w:t>）</w:t>
      </w:r>
    </w:p>
    <w:p w14:paraId="38CB8A30">
      <w:pPr>
        <w:adjustRightInd w:val="0"/>
        <w:snapToGrid w:val="0"/>
        <w:ind w:firstLine="480"/>
      </w:pPr>
      <w:r>
        <w:rPr>
          <w:rFonts w:hint="eastAsia"/>
        </w:rPr>
        <w:t>青冈通常生于海拔</w:t>
      </w:r>
      <w:r>
        <w:t>2000m</w:t>
      </w:r>
      <w:r>
        <w:rPr>
          <w:rFonts w:hint="eastAsia"/>
        </w:rPr>
        <w:t>以下的山坡或沟谷，组成常绿阔叶林，是本属最常见树种之一。</w:t>
      </w:r>
    </w:p>
    <w:p w14:paraId="73813178">
      <w:pPr>
        <w:adjustRightInd w:val="0"/>
        <w:snapToGrid w:val="0"/>
        <w:ind w:firstLine="480"/>
      </w:pPr>
      <w:r>
        <w:rPr>
          <w:rFonts w:hint="eastAsia"/>
        </w:rPr>
        <w:t>乔木层郁闭度</w:t>
      </w:r>
      <w:r>
        <w:t>0.60</w:t>
      </w:r>
      <w:r>
        <w:rPr>
          <w:rFonts w:hint="eastAsia"/>
        </w:rPr>
        <w:t>，层均高</w:t>
      </w:r>
      <w:r>
        <w:t>5m</w:t>
      </w:r>
      <w:r>
        <w:rPr>
          <w:rFonts w:hint="eastAsia"/>
        </w:rPr>
        <w:t>，优势种为青冈，高</w:t>
      </w:r>
      <w:r>
        <w:t>4-7m</w:t>
      </w:r>
      <w:r>
        <w:rPr>
          <w:rFonts w:hint="eastAsia"/>
        </w:rPr>
        <w:t>，胸径</w:t>
      </w:r>
      <w:r>
        <w:t>5-8cm</w:t>
      </w:r>
      <w:r>
        <w:rPr>
          <w:rFonts w:hint="eastAsia"/>
        </w:rPr>
        <w:t>，盖度</w:t>
      </w:r>
      <w:r>
        <w:t>40%</w:t>
      </w:r>
      <w:r>
        <w:rPr>
          <w:rFonts w:hint="eastAsia"/>
        </w:rPr>
        <w:t>，主要伴生种有为马尾松、杉树等；灌木层盖度</w:t>
      </w:r>
      <w:r>
        <w:t>30%</w:t>
      </w:r>
      <w:r>
        <w:rPr>
          <w:rFonts w:hint="eastAsia"/>
        </w:rPr>
        <w:t>，层均高</w:t>
      </w:r>
      <w:r>
        <w:t>0.8m</w:t>
      </w:r>
      <w:r>
        <w:rPr>
          <w:rFonts w:hint="eastAsia"/>
        </w:rPr>
        <w:t>，优势种为檵木，高</w:t>
      </w:r>
      <w:r>
        <w:t>0.6-1.0m</w:t>
      </w:r>
      <w:r>
        <w:rPr>
          <w:rFonts w:hint="eastAsia"/>
        </w:rPr>
        <w:t>，主要伴生种有白栎、篌竹等；草本层盖度</w:t>
      </w:r>
      <w:r>
        <w:t>30%</w:t>
      </w:r>
      <w:r>
        <w:rPr>
          <w:rFonts w:hint="eastAsia"/>
        </w:rPr>
        <w:t>，层均高</w:t>
      </w:r>
      <w:r>
        <w:t>0.4m</w:t>
      </w:r>
      <w:r>
        <w:rPr>
          <w:rFonts w:hint="eastAsia"/>
        </w:rPr>
        <w:t>，优势种为五节芒，高</w:t>
      </w:r>
      <w:r>
        <w:t>0.2~0.5m</w:t>
      </w:r>
      <w:r>
        <w:rPr>
          <w:rFonts w:hint="eastAsia"/>
        </w:rPr>
        <w:t>，主要伴生种有白茅、蕨等。</w:t>
      </w:r>
    </w:p>
    <w:p w14:paraId="3E53C739">
      <w:pPr>
        <w:adjustRightInd w:val="0"/>
        <w:snapToGrid w:val="0"/>
        <w:ind w:firstLine="480"/>
      </w:pPr>
      <w:r>
        <w:t>调查点位1：4#</w:t>
      </w:r>
      <w:r>
        <w:rPr>
          <w:rFonts w:hint="eastAsia"/>
        </w:rPr>
        <w:t>风机山坡</w:t>
      </w:r>
      <w:r>
        <w:t>（GPS定位：N112°31′23.89″</w:t>
      </w:r>
      <w:r>
        <w:rPr>
          <w:rFonts w:hint="eastAsia"/>
        </w:rPr>
        <w:t>，</w:t>
      </w:r>
      <w:r>
        <w:t xml:space="preserve"> E27°7′39.32″）</w:t>
      </w:r>
      <w:r>
        <w:rPr>
          <w:rFonts w:hint="eastAsia"/>
        </w:rPr>
        <w:t>。</w:t>
      </w:r>
    </w:p>
    <w:p w14:paraId="2F0EAEA6">
      <w:pPr>
        <w:adjustRightInd w:val="0"/>
        <w:snapToGrid w:val="0"/>
        <w:ind w:firstLine="480"/>
      </w:pPr>
      <w:r>
        <w:rPr>
          <w:rFonts w:hint="eastAsia"/>
        </w:rPr>
        <w:t>（</w:t>
      </w:r>
      <w:r>
        <w:t>3</w:t>
      </w:r>
      <w:r>
        <w:rPr>
          <w:rFonts w:hint="eastAsia"/>
        </w:rPr>
        <w:t>）落叶阔叶林</w:t>
      </w:r>
    </w:p>
    <w:p w14:paraId="614EE115">
      <w:pPr>
        <w:adjustRightInd w:val="0"/>
        <w:snapToGrid w:val="0"/>
        <w:ind w:firstLine="480"/>
      </w:pPr>
      <w:r>
        <w:fldChar w:fldCharType="begin"/>
      </w:r>
      <w:r>
        <w:instrText xml:space="preserve"> = 4 \* GB3 </w:instrText>
      </w:r>
      <w:r>
        <w:fldChar w:fldCharType="separate"/>
      </w:r>
      <w:r>
        <w:rPr>
          <w:rFonts w:hint="eastAsia"/>
        </w:rPr>
        <w:t>④</w:t>
      </w:r>
      <w:r>
        <w:fldChar w:fldCharType="end"/>
      </w:r>
      <w:r>
        <w:rPr>
          <w:rFonts w:hint="eastAsia"/>
        </w:rPr>
        <w:t>枫香树林（</w:t>
      </w:r>
      <w:r>
        <w:t>Form. Liquidambar formosana</w:t>
      </w:r>
      <w:r>
        <w:rPr>
          <w:rFonts w:hint="eastAsia"/>
        </w:rPr>
        <w:t>）</w:t>
      </w:r>
    </w:p>
    <w:p w14:paraId="2A1DC71C">
      <w:pPr>
        <w:adjustRightInd w:val="0"/>
        <w:snapToGrid w:val="0"/>
        <w:ind w:firstLine="480"/>
      </w:pPr>
      <w:r>
        <w:rPr>
          <w:rFonts w:hint="eastAsia"/>
        </w:rPr>
        <w:t>枫香树喜暖湿润气候，适应性强，为评价区常见的落叶阔叶树种之一。群落外貌绿色，林冠整齐，林下土壤为黄壤，群落结构及种类组成较简单。</w:t>
      </w:r>
    </w:p>
    <w:p w14:paraId="536C46E7">
      <w:pPr>
        <w:adjustRightInd w:val="0"/>
        <w:snapToGrid w:val="0"/>
        <w:ind w:firstLine="480"/>
      </w:pPr>
      <w:r>
        <w:rPr>
          <w:rFonts w:hint="eastAsia"/>
        </w:rPr>
        <w:t>乔木层郁闭度在</w:t>
      </w:r>
      <w:r>
        <w:t>0.6</w:t>
      </w:r>
      <w:r>
        <w:rPr>
          <w:rFonts w:hint="eastAsia"/>
        </w:rPr>
        <w:t>左右，层均高</w:t>
      </w:r>
      <w:r>
        <w:t>8m</w:t>
      </w:r>
      <w:r>
        <w:rPr>
          <w:rFonts w:hint="eastAsia"/>
        </w:rPr>
        <w:t>，优势种为枫香树，盖度约</w:t>
      </w:r>
      <w:r>
        <w:t>50%</w:t>
      </w:r>
      <w:r>
        <w:rPr>
          <w:rFonts w:hint="eastAsia"/>
        </w:rPr>
        <w:t>，高约</w:t>
      </w:r>
      <w:r>
        <w:t>6~102m</w:t>
      </w:r>
      <w:r>
        <w:rPr>
          <w:rFonts w:hint="eastAsia"/>
        </w:rPr>
        <w:t>，胸径</w:t>
      </w:r>
      <w:r>
        <w:t>5~7cm</w:t>
      </w:r>
      <w:r>
        <w:rPr>
          <w:rFonts w:hint="eastAsia"/>
        </w:rPr>
        <w:t>，伴生种有毛竹、杉木、马尾松等；灌木层盖度约</w:t>
      </w:r>
      <w:r>
        <w:t>40%</w:t>
      </w:r>
      <w:r>
        <w:rPr>
          <w:rFonts w:hint="eastAsia"/>
        </w:rPr>
        <w:t>，层高约</w:t>
      </w:r>
      <w:r>
        <w:t>1.5m</w:t>
      </w:r>
      <w:r>
        <w:rPr>
          <w:rFonts w:hint="eastAsia"/>
        </w:rPr>
        <w:t>，优势种为檵木，盖度</w:t>
      </w:r>
      <w:r>
        <w:t>20%</w:t>
      </w:r>
      <w:r>
        <w:rPr>
          <w:rFonts w:hint="eastAsia"/>
        </w:rPr>
        <w:t>，高</w:t>
      </w:r>
      <w:r>
        <w:t>1~2m</w:t>
      </w:r>
      <w:r>
        <w:rPr>
          <w:rFonts w:hint="eastAsia"/>
        </w:rPr>
        <w:t>，伴生种有檵木、白栎、盐肤木；草本层盖度</w:t>
      </w:r>
      <w:r>
        <w:t>30%</w:t>
      </w:r>
      <w:r>
        <w:rPr>
          <w:rFonts w:hint="eastAsia"/>
        </w:rPr>
        <w:t>，层均高</w:t>
      </w:r>
      <w:r>
        <w:t>0.4m</w:t>
      </w:r>
      <w:r>
        <w:rPr>
          <w:rFonts w:hint="eastAsia"/>
        </w:rPr>
        <w:t>。优势种为蕨，高约</w:t>
      </w:r>
      <w:r>
        <w:t>0.3~0.5m</w:t>
      </w:r>
      <w:r>
        <w:rPr>
          <w:rFonts w:hint="eastAsia"/>
        </w:rPr>
        <w:t>，盖度约</w:t>
      </w:r>
      <w:r>
        <w:t>30%</w:t>
      </w:r>
      <w:r>
        <w:rPr>
          <w:rFonts w:hint="eastAsia"/>
        </w:rPr>
        <w:t>，主要伴生种为白茅、五节芒、菝葜等。</w:t>
      </w:r>
    </w:p>
    <w:p w14:paraId="7BE8DB90">
      <w:pPr>
        <w:adjustRightInd w:val="0"/>
        <w:snapToGrid w:val="0"/>
        <w:ind w:firstLine="480"/>
      </w:pPr>
      <w:r>
        <w:t>调查点位1：6#</w:t>
      </w:r>
      <w:r>
        <w:rPr>
          <w:rFonts w:hint="eastAsia"/>
        </w:rPr>
        <w:t>风机北侧山坡</w:t>
      </w:r>
      <w:r>
        <w:t>（GPS定位：N112°30′37.35″</w:t>
      </w:r>
      <w:r>
        <w:rPr>
          <w:rFonts w:hint="eastAsia"/>
        </w:rPr>
        <w:t>，</w:t>
      </w:r>
      <w:r>
        <w:t xml:space="preserve"> E27°7′1.38″）</w:t>
      </w:r>
      <w:r>
        <w:rPr>
          <w:rFonts w:hint="eastAsia"/>
        </w:rPr>
        <w:t>。</w:t>
      </w:r>
    </w:p>
    <w:p w14:paraId="2F3C26BD">
      <w:pPr>
        <w:adjustRightInd w:val="0"/>
        <w:snapToGrid w:val="0"/>
        <w:ind w:firstLine="480"/>
      </w:pPr>
      <w:r>
        <w:rPr>
          <w:rFonts w:hint="eastAsia"/>
        </w:rPr>
        <w:t>（</w:t>
      </w:r>
      <w:r>
        <w:t>4</w:t>
      </w:r>
      <w:r>
        <w:rPr>
          <w:rFonts w:hint="eastAsia"/>
        </w:rPr>
        <w:t>）竹林</w:t>
      </w:r>
    </w:p>
    <w:p w14:paraId="31A6EB37">
      <w:pPr>
        <w:adjustRightInd w:val="0"/>
        <w:snapToGrid w:val="0"/>
        <w:ind w:firstLine="480"/>
      </w:pPr>
      <w:r>
        <w:rPr>
          <w:rFonts w:hint="eastAsia"/>
        </w:rPr>
        <w:t>在该评价区竹林主要为篌竹林，评价区广泛分布</w:t>
      </w:r>
    </w:p>
    <w:p w14:paraId="6B9A6C8D">
      <w:pPr>
        <w:adjustRightInd w:val="0"/>
        <w:snapToGrid w:val="0"/>
        <w:ind w:firstLine="480"/>
      </w:pPr>
      <w:r>
        <w:fldChar w:fldCharType="begin"/>
      </w:r>
      <w:r>
        <w:instrText xml:space="preserve"> = 5 \* GB3 </w:instrText>
      </w:r>
      <w:r>
        <w:fldChar w:fldCharType="separate"/>
      </w:r>
      <w:r>
        <w:rPr>
          <w:rFonts w:hint="eastAsia"/>
        </w:rPr>
        <w:t>⑤</w:t>
      </w:r>
      <w:r>
        <w:fldChar w:fldCharType="end"/>
      </w:r>
      <w:r>
        <w:rPr>
          <w:rFonts w:hint="eastAsia"/>
        </w:rPr>
        <w:t>毛竹林（</w:t>
      </w:r>
      <w:r>
        <w:t>Form.Phyllostachysedulis</w:t>
      </w:r>
      <w:r>
        <w:rPr>
          <w:rFonts w:hint="eastAsia"/>
        </w:rPr>
        <w:t>）</w:t>
      </w:r>
    </w:p>
    <w:p w14:paraId="1E4359AE">
      <w:pPr>
        <w:adjustRightInd w:val="0"/>
        <w:snapToGrid w:val="0"/>
        <w:ind w:firstLine="480"/>
      </w:pPr>
      <w:r>
        <w:rPr>
          <w:rFonts w:hint="eastAsia"/>
        </w:rPr>
        <w:t>毛竹（</w:t>
      </w:r>
      <w:r>
        <w:t>Phyllostachys pubescens</w:t>
      </w:r>
      <w:r>
        <w:rPr>
          <w:rFonts w:hint="eastAsia"/>
        </w:rPr>
        <w:t>）为禾本科刚竹属的单轴散生型常绿乔木状竹类植物，竿高可达</w:t>
      </w:r>
      <w:r>
        <w:t>20</w:t>
      </w:r>
      <w:r>
        <w:rPr>
          <w:rFonts w:hint="eastAsia"/>
        </w:rPr>
        <w:t>多米。毛竹是中国栽培悠久、面积最广、经济价值也最重要的竹种。毛竹对土壤的要求也高于一般树种，既需要充裕的水湿条件，又不耐积水淹浸，因毛竹根系集中稠密，竹秆生长快，生长量大。毛竹在该评价区内有少量分布，郁闭度约</w:t>
      </w:r>
      <w:r>
        <w:t>0.9</w:t>
      </w:r>
      <w:r>
        <w:rPr>
          <w:rFonts w:hint="eastAsia"/>
        </w:rPr>
        <w:t>，高</w:t>
      </w:r>
      <w:r>
        <w:t>9m</w:t>
      </w:r>
      <w:r>
        <w:rPr>
          <w:rFonts w:hint="eastAsia"/>
        </w:rPr>
        <w:t>，林分结构较为简单，毛竹林群落的乔木层主要由单一的毛竹组成，亦有少量杉木生于其中；灌木层主要由檵木组成；草本层主要由蕨、白茅、五节芒等植物组成。</w:t>
      </w:r>
    </w:p>
    <w:p w14:paraId="18D436D0">
      <w:pPr>
        <w:adjustRightInd w:val="0"/>
        <w:snapToGrid w:val="0"/>
        <w:ind w:firstLine="480"/>
      </w:pPr>
      <w:r>
        <w:t>调查点位1：7#</w:t>
      </w:r>
      <w:r>
        <w:rPr>
          <w:rFonts w:hint="eastAsia"/>
        </w:rPr>
        <w:t>风机山坡</w:t>
      </w:r>
      <w:r>
        <w:t>（GPS定位：N112°32′3.59″</w:t>
      </w:r>
      <w:r>
        <w:rPr>
          <w:rFonts w:hint="eastAsia"/>
        </w:rPr>
        <w:t>，</w:t>
      </w:r>
      <w:r>
        <w:t xml:space="preserve"> E27°8′52.18″）</w:t>
      </w:r>
      <w:r>
        <w:rPr>
          <w:rFonts w:hint="eastAsia"/>
        </w:rPr>
        <w:t>。</w:t>
      </w:r>
    </w:p>
    <w:p w14:paraId="204791CC">
      <w:pPr>
        <w:adjustRightInd w:val="0"/>
        <w:snapToGrid w:val="0"/>
        <w:ind w:firstLine="480"/>
      </w:pPr>
      <w:r>
        <w:rPr>
          <w:rFonts w:hint="eastAsia"/>
        </w:rPr>
        <w:t>三、灌丛和灌草从</w:t>
      </w:r>
    </w:p>
    <w:p w14:paraId="74B0F67A">
      <w:pPr>
        <w:adjustRightInd w:val="0"/>
        <w:snapToGrid w:val="0"/>
        <w:ind w:firstLine="480"/>
      </w:pPr>
      <w:r>
        <w:rPr>
          <w:rFonts w:hint="eastAsia"/>
        </w:rPr>
        <w:t>（</w:t>
      </w:r>
      <w:r>
        <w:t>5</w:t>
      </w:r>
      <w:r>
        <w:rPr>
          <w:rFonts w:hint="eastAsia"/>
        </w:rPr>
        <w:t>）灌丛</w:t>
      </w:r>
    </w:p>
    <w:p w14:paraId="43ECAF70">
      <w:pPr>
        <w:adjustRightInd w:val="0"/>
        <w:snapToGrid w:val="0"/>
        <w:ind w:firstLine="480"/>
      </w:pPr>
      <w:r>
        <w:fldChar w:fldCharType="begin"/>
      </w:r>
      <w:r>
        <w:instrText xml:space="preserve"> = 6 \* GB3 </w:instrText>
      </w:r>
      <w:r>
        <w:fldChar w:fldCharType="separate"/>
      </w:r>
      <w:r>
        <w:rPr>
          <w:rFonts w:hint="eastAsia"/>
        </w:rPr>
        <w:t>⑥</w:t>
      </w:r>
      <w:r>
        <w:fldChar w:fldCharType="end"/>
      </w:r>
      <w:r>
        <w:rPr>
          <w:rFonts w:hint="eastAsia"/>
        </w:rPr>
        <w:t>篌竹林（</w:t>
      </w:r>
      <w:r>
        <w:t>From.Phyllostachys nidularia</w:t>
      </w:r>
      <w:r>
        <w:rPr>
          <w:rFonts w:hint="eastAsia"/>
        </w:rPr>
        <w:t>）</w:t>
      </w:r>
    </w:p>
    <w:p w14:paraId="6A13451C">
      <w:pPr>
        <w:adjustRightInd w:val="0"/>
        <w:snapToGrid w:val="0"/>
        <w:ind w:firstLine="480"/>
      </w:pPr>
      <w:r>
        <w:rPr>
          <w:rFonts w:hint="eastAsia"/>
        </w:rPr>
        <w:t>篌竹林适应性，抗逆性强，无性繁殖力强，是评价区内低山丘陵区最为常见的竹亚科植物之一。毛竹林外貌翠绿色，林下土壤为黄壤，林冠整齐，群落结构及种类组成较简单。</w:t>
      </w:r>
    </w:p>
    <w:p w14:paraId="004F32D2">
      <w:pPr>
        <w:adjustRightInd w:val="0"/>
        <w:snapToGrid w:val="0"/>
        <w:ind w:firstLine="480"/>
      </w:pPr>
      <w:r>
        <w:t>调查点位1：1#</w:t>
      </w:r>
      <w:r>
        <w:rPr>
          <w:rFonts w:hint="eastAsia"/>
        </w:rPr>
        <w:t>和</w:t>
      </w:r>
      <w:r>
        <w:t>7#</w:t>
      </w:r>
      <w:r>
        <w:rPr>
          <w:rFonts w:hint="eastAsia"/>
        </w:rPr>
        <w:t>风机进场道路附近分布</w:t>
      </w:r>
      <w:r>
        <w:t>（GPS定位：N112°29′43.70″</w:t>
      </w:r>
      <w:r>
        <w:rPr>
          <w:rFonts w:hint="eastAsia"/>
        </w:rPr>
        <w:t>，</w:t>
      </w:r>
      <w:r>
        <w:t xml:space="preserve"> E27°10′44.36″）</w:t>
      </w:r>
      <w:r>
        <w:rPr>
          <w:rFonts w:hint="eastAsia"/>
        </w:rPr>
        <w:t>。</w:t>
      </w:r>
    </w:p>
    <w:p w14:paraId="795D4820">
      <w:pPr>
        <w:adjustRightInd w:val="0"/>
        <w:snapToGrid w:val="0"/>
        <w:ind w:firstLine="480"/>
      </w:pPr>
      <w:r>
        <w:fldChar w:fldCharType="begin"/>
      </w:r>
      <w:r>
        <w:instrText xml:space="preserve"> = 7 \* GB3 </w:instrText>
      </w:r>
      <w:r>
        <w:fldChar w:fldCharType="separate"/>
      </w:r>
      <w:r>
        <w:rPr>
          <w:rFonts w:hint="eastAsia"/>
        </w:rPr>
        <w:t>⑦</w:t>
      </w:r>
      <w:r>
        <w:fldChar w:fldCharType="end"/>
      </w:r>
      <w:r>
        <w:rPr>
          <w:rFonts w:hint="eastAsia"/>
        </w:rPr>
        <w:t>油茶灌丛（</w:t>
      </w:r>
      <w:r>
        <w:t>Form.Camellia oleifera</w:t>
      </w:r>
      <w:r>
        <w:rPr>
          <w:rFonts w:hint="eastAsia"/>
        </w:rPr>
        <w:t>）</w:t>
      </w:r>
    </w:p>
    <w:p w14:paraId="0AA4E96B">
      <w:pPr>
        <w:adjustRightInd w:val="0"/>
        <w:snapToGrid w:val="0"/>
        <w:ind w:firstLine="480"/>
      </w:pPr>
      <w:r>
        <w:rPr>
          <w:rFonts w:hint="eastAsia"/>
        </w:rPr>
        <w:t>油茶又称茶子树，其果实可榨茶油，既可食用又可用于工业防锈。其果皮是提制栲胶的原料。多分布于耕地附近。</w:t>
      </w:r>
    </w:p>
    <w:p w14:paraId="739B5E0C">
      <w:pPr>
        <w:adjustRightInd w:val="0"/>
        <w:snapToGrid w:val="0"/>
        <w:ind w:firstLine="480"/>
      </w:pPr>
      <w:r>
        <w:t>调查点位1：1#</w:t>
      </w:r>
      <w:r>
        <w:rPr>
          <w:rFonts w:hint="eastAsia"/>
        </w:rPr>
        <w:t>风机附近</w:t>
      </w:r>
      <w:r>
        <w:t>（GPS定位：N112°31′22.57″</w:t>
      </w:r>
      <w:r>
        <w:rPr>
          <w:rFonts w:hint="eastAsia"/>
        </w:rPr>
        <w:t>，</w:t>
      </w:r>
      <w:r>
        <w:t xml:space="preserve"> E27°9′15.48″）</w:t>
      </w:r>
      <w:r>
        <w:rPr>
          <w:rFonts w:hint="eastAsia"/>
        </w:rPr>
        <w:t>。</w:t>
      </w:r>
    </w:p>
    <w:p w14:paraId="2A73EAB2">
      <w:pPr>
        <w:adjustRightInd w:val="0"/>
        <w:snapToGrid w:val="0"/>
        <w:ind w:firstLine="480"/>
      </w:pPr>
      <w:r>
        <w:fldChar w:fldCharType="begin"/>
      </w:r>
      <w:r>
        <w:instrText xml:space="preserve"> = 8 \* GB3 </w:instrText>
      </w:r>
      <w:r>
        <w:fldChar w:fldCharType="separate"/>
      </w:r>
      <w:r>
        <w:rPr>
          <w:rFonts w:hint="eastAsia"/>
        </w:rPr>
        <w:t>⑧</w:t>
      </w:r>
      <w:r>
        <w:fldChar w:fldCharType="end"/>
      </w:r>
      <w:r>
        <w:rPr>
          <w:rFonts w:hint="eastAsia"/>
        </w:rPr>
        <w:t>盐肤木灌丛（</w:t>
      </w:r>
      <w:r>
        <w:t>Form. Rhus chinensis shrubland</w:t>
      </w:r>
      <w:r>
        <w:rPr>
          <w:rFonts w:hint="eastAsia"/>
        </w:rPr>
        <w:t>）</w:t>
      </w:r>
    </w:p>
    <w:p w14:paraId="3BFF7DB7">
      <w:pPr>
        <w:adjustRightInd w:val="0"/>
        <w:snapToGrid w:val="0"/>
        <w:ind w:firstLine="480"/>
      </w:pPr>
      <w:r>
        <w:rPr>
          <w:rFonts w:hint="eastAsia"/>
        </w:rPr>
        <w:t>盐肤木（</w:t>
      </w:r>
      <w:r>
        <w:t>Rhus chinensis</w:t>
      </w:r>
      <w:r>
        <w:rPr>
          <w:rFonts w:hint="eastAsia"/>
        </w:rPr>
        <w:t>），又称五倍子树、山梧桐，为漆树科盐肤木属落叶灌木或小乔木，高可达</w:t>
      </w:r>
      <w:r>
        <w:t>2-10m</w:t>
      </w:r>
      <w:r>
        <w:rPr>
          <w:rFonts w:hint="eastAsia"/>
        </w:rPr>
        <w:t>。盐肤木是中国主要经济树种，具</w:t>
      </w:r>
      <w:r>
        <w:rPr>
          <w:rFonts w:hint="eastAsia"/>
          <w:lang w:eastAsia="zh-CN"/>
        </w:rPr>
        <w:t>有</w:t>
      </w:r>
      <w:r>
        <w:rPr>
          <w:rFonts w:hint="eastAsia"/>
        </w:rPr>
        <w:t>较高的药用价值，同时可作为观叶、观</w:t>
      </w:r>
      <w:r>
        <w:t xml:space="preserve"> </w:t>
      </w:r>
      <w:r>
        <w:rPr>
          <w:rFonts w:hint="eastAsia"/>
        </w:rPr>
        <w:t>果的树种。盐肤木在长江以南较适宜生长，多见零星分布。在评价区内分布较广，在山脚、山坡和山顶均有分布，多为零散生长，也有成小块构成盐肤木群落。群落中的主要伴生植物有圆锥绣球、蜡瓣花、芒等。</w:t>
      </w:r>
    </w:p>
    <w:p w14:paraId="5386A128">
      <w:pPr>
        <w:adjustRightInd w:val="0"/>
        <w:snapToGrid w:val="0"/>
        <w:ind w:firstLine="480"/>
      </w:pPr>
      <w:r>
        <w:t>调查点位1：1#</w:t>
      </w:r>
      <w:r>
        <w:rPr>
          <w:rFonts w:hint="eastAsia"/>
        </w:rPr>
        <w:t>风机进场道路附近</w:t>
      </w:r>
      <w:r>
        <w:t>（GPS定位：N112°30′50.05″</w:t>
      </w:r>
      <w:r>
        <w:rPr>
          <w:rFonts w:hint="eastAsia"/>
        </w:rPr>
        <w:t>，</w:t>
      </w:r>
      <w:r>
        <w:t xml:space="preserve"> E27°10′12.84″）</w:t>
      </w:r>
      <w:r>
        <w:rPr>
          <w:rFonts w:hint="eastAsia"/>
        </w:rPr>
        <w:t>。</w:t>
      </w:r>
    </w:p>
    <w:p w14:paraId="6EE166E7">
      <w:pPr>
        <w:adjustRightInd w:val="0"/>
        <w:snapToGrid w:val="0"/>
        <w:ind w:firstLine="480"/>
      </w:pPr>
      <w:r>
        <w:fldChar w:fldCharType="begin"/>
      </w:r>
      <w:r>
        <w:instrText xml:space="preserve"> = 9 \* GB3 </w:instrText>
      </w:r>
      <w:r>
        <w:fldChar w:fldCharType="separate"/>
      </w:r>
      <w:r>
        <w:rPr>
          <w:rFonts w:hint="eastAsia"/>
        </w:rPr>
        <w:t>⑨</w:t>
      </w:r>
      <w:r>
        <w:fldChar w:fldCharType="end"/>
      </w:r>
      <w:r>
        <w:rPr>
          <w:rFonts w:hint="eastAsia"/>
        </w:rPr>
        <w:t>羊蹄甲灌丛（</w:t>
      </w:r>
      <w:r>
        <w:t>Form. Callicarpa kochiana</w:t>
      </w:r>
      <w:r>
        <w:rPr>
          <w:rFonts w:hint="eastAsia"/>
        </w:rPr>
        <w:t>）</w:t>
      </w:r>
    </w:p>
    <w:p w14:paraId="583590EC">
      <w:pPr>
        <w:adjustRightInd w:val="0"/>
        <w:snapToGrid w:val="0"/>
        <w:ind w:firstLine="480"/>
      </w:pPr>
      <w:r>
        <w:rPr>
          <w:rFonts w:hint="eastAsia"/>
        </w:rPr>
        <w:t>羊蹄甲生长于山地阳处灌木丛中，评价区内零星分布于场内道路附近山坡。</w:t>
      </w:r>
    </w:p>
    <w:p w14:paraId="1A0581E2">
      <w:pPr>
        <w:adjustRightInd w:val="0"/>
        <w:snapToGrid w:val="0"/>
        <w:ind w:firstLine="480"/>
      </w:pPr>
      <w:r>
        <w:rPr>
          <w:rFonts w:hint="eastAsia"/>
        </w:rPr>
        <w:t>群落灌木层盖度约</w:t>
      </w:r>
      <w:r>
        <w:t>70%</w:t>
      </w:r>
      <w:r>
        <w:rPr>
          <w:rFonts w:hint="eastAsia"/>
        </w:rPr>
        <w:t>，层均高</w:t>
      </w:r>
      <w:r>
        <w:t>1.5m</w:t>
      </w:r>
      <w:r>
        <w:rPr>
          <w:rFonts w:hint="eastAsia"/>
        </w:rPr>
        <w:t>，优势种为羊蹄甲（</w:t>
      </w:r>
      <w:r>
        <w:t>Bauhinia purpurea</w:t>
      </w:r>
      <w:r>
        <w:rPr>
          <w:rFonts w:hint="eastAsia"/>
        </w:rPr>
        <w:t>），盖度约</w:t>
      </w:r>
      <w:r>
        <w:t>65%</w:t>
      </w:r>
      <w:r>
        <w:rPr>
          <w:rFonts w:hint="eastAsia"/>
        </w:rPr>
        <w:t>，高约</w:t>
      </w:r>
      <w:r>
        <w:t>1</w:t>
      </w:r>
      <w:r>
        <w:rPr>
          <w:rFonts w:hint="eastAsia"/>
        </w:rPr>
        <w:t>～</w:t>
      </w:r>
      <w:r>
        <w:t>1.8m</w:t>
      </w:r>
      <w:r>
        <w:rPr>
          <w:rFonts w:hint="eastAsia"/>
        </w:rPr>
        <w:t>。伴生种主要有檵木、白栎等；草本层盖度约</w:t>
      </w:r>
      <w:r>
        <w:t>35%</w:t>
      </w:r>
      <w:r>
        <w:rPr>
          <w:rFonts w:hint="eastAsia"/>
        </w:rPr>
        <w:t>，层高约</w:t>
      </w:r>
      <w:r>
        <w:t>0.5m</w:t>
      </w:r>
      <w:r>
        <w:rPr>
          <w:rFonts w:hint="eastAsia"/>
        </w:rPr>
        <w:t>，优势种芒萁，盖度</w:t>
      </w:r>
      <w:r>
        <w:t>25%</w:t>
      </w:r>
      <w:r>
        <w:rPr>
          <w:rFonts w:hint="eastAsia"/>
        </w:rPr>
        <w:t>，高约</w:t>
      </w:r>
      <w:r>
        <w:t>0.4~1m</w:t>
      </w:r>
      <w:r>
        <w:rPr>
          <w:rFonts w:hint="eastAsia"/>
        </w:rPr>
        <w:t>，伴生种有五节芒、白茅等。</w:t>
      </w:r>
    </w:p>
    <w:p w14:paraId="60546DE7">
      <w:pPr>
        <w:adjustRightInd w:val="0"/>
        <w:snapToGrid w:val="0"/>
        <w:ind w:firstLine="480"/>
      </w:pPr>
      <w:r>
        <w:t>调查点位1：5#</w:t>
      </w:r>
      <w:r>
        <w:rPr>
          <w:rFonts w:hint="eastAsia"/>
        </w:rPr>
        <w:t>风机南侧山坡</w:t>
      </w:r>
      <w:r>
        <w:t>（GPS定位：N112°31′4.15″</w:t>
      </w:r>
      <w:r>
        <w:rPr>
          <w:rFonts w:hint="eastAsia"/>
        </w:rPr>
        <w:t>，</w:t>
      </w:r>
      <w:r>
        <w:t xml:space="preserve"> E27°6′37.69″）</w:t>
      </w:r>
      <w:r>
        <w:rPr>
          <w:rFonts w:hint="eastAsia"/>
        </w:rPr>
        <w:t>。</w:t>
      </w:r>
    </w:p>
    <w:p w14:paraId="2209169B">
      <w:pPr>
        <w:adjustRightInd w:val="0"/>
        <w:snapToGrid w:val="0"/>
        <w:ind w:firstLine="480"/>
      </w:pPr>
      <w:r>
        <w:fldChar w:fldCharType="begin"/>
      </w:r>
      <w:r>
        <w:instrText xml:space="preserve"> = 10 \* GB3 </w:instrText>
      </w:r>
      <w:r>
        <w:fldChar w:fldCharType="separate"/>
      </w:r>
      <w:r>
        <w:rPr>
          <w:rFonts w:hint="eastAsia"/>
        </w:rPr>
        <w:t>⑩</w:t>
      </w:r>
      <w:r>
        <w:fldChar w:fldCharType="end"/>
      </w:r>
      <w:r>
        <w:t xml:space="preserve"> </w:t>
      </w:r>
      <w:r>
        <w:rPr>
          <w:rFonts w:hint="eastAsia"/>
        </w:rPr>
        <w:t>苎麻灌丛（</w:t>
      </w:r>
      <w:r>
        <w:t>Form.Boehmeria nivea shrubland</w:t>
      </w:r>
      <w:r>
        <w:rPr>
          <w:rFonts w:hint="eastAsia"/>
        </w:rPr>
        <w:t>）</w:t>
      </w:r>
    </w:p>
    <w:p w14:paraId="51B4EA0F">
      <w:pPr>
        <w:adjustRightInd w:val="0"/>
        <w:snapToGrid w:val="0"/>
        <w:ind w:firstLine="480"/>
      </w:pPr>
      <w:r>
        <w:rPr>
          <w:rFonts w:hint="eastAsia"/>
        </w:rPr>
        <w:t>荨麻科苎麻属亚灌木或灌木植物。它生于山谷林边或草坡，海拔</w:t>
      </w:r>
      <w:r>
        <w:t>200~1700</w:t>
      </w:r>
      <w:r>
        <w:rPr>
          <w:rFonts w:hint="eastAsia"/>
        </w:rPr>
        <w:t>米。其高</w:t>
      </w:r>
      <w:r>
        <w:t>0.5~1.5</w:t>
      </w:r>
      <w:r>
        <w:rPr>
          <w:rFonts w:hint="eastAsia"/>
        </w:rPr>
        <w:t>米，叶互生，叶片草质，通常圆卵形或宽卵形；顶端骤尖，基部近截形或宽楔形，叶柄长</w:t>
      </w:r>
      <w:r>
        <w:t>2.5~9.5</w:t>
      </w:r>
      <w:r>
        <w:rPr>
          <w:rFonts w:hint="eastAsia"/>
        </w:rPr>
        <w:t>厘米，托叶分生；圆锥花序腋生，花被片</w:t>
      </w:r>
      <w:r>
        <w:t>4</w:t>
      </w:r>
      <w:r>
        <w:rPr>
          <w:rFonts w:hint="eastAsia"/>
        </w:rPr>
        <w:t>，狭椭圆形，花药长约</w:t>
      </w:r>
      <w:r>
        <w:t>0.6</w:t>
      </w:r>
      <w:r>
        <w:rPr>
          <w:rFonts w:hint="eastAsia"/>
        </w:rPr>
        <w:t>毫米；果期菱状倒披针形，柱头丝形，瘦果近球形，花期</w:t>
      </w:r>
      <w:r>
        <w:t>8-10</w:t>
      </w:r>
      <w:r>
        <w:rPr>
          <w:rFonts w:hint="eastAsia"/>
        </w:rPr>
        <w:t>月。</w:t>
      </w:r>
    </w:p>
    <w:p w14:paraId="248432AB">
      <w:pPr>
        <w:adjustRightInd w:val="0"/>
        <w:snapToGrid w:val="0"/>
        <w:ind w:firstLine="480"/>
      </w:pPr>
      <w:r>
        <w:t>调查点位1：</w:t>
      </w:r>
      <w:r>
        <w:rPr>
          <w:rFonts w:hint="eastAsia"/>
        </w:rPr>
        <w:t>进场道路左侧</w:t>
      </w:r>
      <w:r>
        <w:t>（GPS定位：N112°31′52.31″</w:t>
      </w:r>
      <w:r>
        <w:rPr>
          <w:rFonts w:hint="eastAsia"/>
        </w:rPr>
        <w:t>，</w:t>
      </w:r>
      <w:r>
        <w:t xml:space="preserve"> E 27°9′22.38″）</w:t>
      </w:r>
      <w:r>
        <w:rPr>
          <w:rFonts w:hint="eastAsia"/>
        </w:rPr>
        <w:t>。</w:t>
      </w:r>
    </w:p>
    <w:p w14:paraId="7E988F34">
      <w:pPr>
        <w:adjustRightInd w:val="0"/>
        <w:snapToGrid w:val="0"/>
        <w:ind w:firstLine="480"/>
      </w:pPr>
      <w:r>
        <w:rPr>
          <w:rFonts w:ascii="Cambria Math" w:hAnsi="Cambria Math" w:cs="Cambria Math"/>
        </w:rPr>
        <w:t>⑪</w:t>
      </w:r>
      <w:r>
        <w:rPr>
          <w:rFonts w:hint="eastAsia"/>
        </w:rPr>
        <w:t>檵木灌丛（</w:t>
      </w:r>
      <w:r>
        <w:t>Form.Loropetalum chinense</w:t>
      </w:r>
      <w:r>
        <w:rPr>
          <w:rFonts w:hint="eastAsia"/>
        </w:rPr>
        <w:t>）</w:t>
      </w:r>
    </w:p>
    <w:p w14:paraId="3DBAA9DD">
      <w:pPr>
        <w:adjustRightInd w:val="0"/>
        <w:snapToGrid w:val="0"/>
        <w:ind w:firstLine="480"/>
      </w:pPr>
      <w:r>
        <w:rPr>
          <w:rFonts w:hint="eastAsia"/>
        </w:rPr>
        <w:t>檵木喜生于向阳的丘陵及山地，亦常出现在马尾松林及杉林下，评价区内檵木灌丛分布较为广泛。群落灌木层盖度约</w:t>
      </w:r>
      <w:r>
        <w:t>50%</w:t>
      </w:r>
      <w:r>
        <w:rPr>
          <w:rFonts w:hint="eastAsia"/>
        </w:rPr>
        <w:t>，层高约</w:t>
      </w:r>
      <w:r>
        <w:t>1.5m</w:t>
      </w:r>
      <w:r>
        <w:rPr>
          <w:rFonts w:hint="eastAsia"/>
        </w:rPr>
        <w:t>，优势种檵木，高约</w:t>
      </w:r>
      <w:r>
        <w:t>1~2m</w:t>
      </w:r>
      <w:r>
        <w:rPr>
          <w:rFonts w:hint="eastAsia"/>
        </w:rPr>
        <w:t>，盖度约</w:t>
      </w:r>
      <w:r>
        <w:t>50%</w:t>
      </w:r>
      <w:r>
        <w:rPr>
          <w:rFonts w:hint="eastAsia"/>
        </w:rPr>
        <w:t>，伴生种主要有油茶、盐肤木。草本盖度约</w:t>
      </w:r>
      <w:r>
        <w:t>30%</w:t>
      </w:r>
      <w:r>
        <w:rPr>
          <w:rFonts w:hint="eastAsia"/>
        </w:rPr>
        <w:t>，层均高</w:t>
      </w:r>
      <w:r>
        <w:t>0.5m</w:t>
      </w:r>
      <w:r>
        <w:rPr>
          <w:rFonts w:hint="eastAsia"/>
        </w:rPr>
        <w:t>，优势种为蕨，高约</w:t>
      </w:r>
      <w:r>
        <w:t>0.5m</w:t>
      </w:r>
      <w:r>
        <w:rPr>
          <w:rFonts w:hint="eastAsia"/>
        </w:rPr>
        <w:t>，盖度约</w:t>
      </w:r>
      <w:r>
        <w:t>30%</w:t>
      </w:r>
      <w:r>
        <w:rPr>
          <w:rFonts w:hint="eastAsia"/>
        </w:rPr>
        <w:t>，伴生种较少，主要有白茅等。</w:t>
      </w:r>
    </w:p>
    <w:p w14:paraId="3D135362">
      <w:pPr>
        <w:adjustRightInd w:val="0"/>
        <w:snapToGrid w:val="0"/>
        <w:ind w:firstLine="480"/>
      </w:pPr>
      <w:r>
        <w:t>调查点位1：</w:t>
      </w:r>
      <w:r>
        <w:rPr>
          <w:rFonts w:hint="eastAsia"/>
        </w:rPr>
        <w:t>场内道路附近</w:t>
      </w:r>
      <w:r>
        <w:t>（GPS定位：N112°31′11.52″</w:t>
      </w:r>
      <w:r>
        <w:rPr>
          <w:rFonts w:hint="eastAsia"/>
        </w:rPr>
        <w:t>，</w:t>
      </w:r>
      <w:r>
        <w:t xml:space="preserve"> E27°9′59.83″）</w:t>
      </w:r>
      <w:r>
        <w:rPr>
          <w:rFonts w:hint="eastAsia"/>
        </w:rPr>
        <w:t>。</w:t>
      </w:r>
    </w:p>
    <w:p w14:paraId="2972B71C">
      <w:pPr>
        <w:adjustRightInd w:val="0"/>
        <w:snapToGrid w:val="0"/>
        <w:ind w:firstLine="480"/>
      </w:pPr>
      <w:r>
        <w:rPr>
          <w:rFonts w:hint="eastAsia"/>
        </w:rPr>
        <w:t>（</w:t>
      </w:r>
      <w:r>
        <w:t>6</w:t>
      </w:r>
      <w:r>
        <w:rPr>
          <w:rFonts w:hint="eastAsia"/>
        </w:rPr>
        <w:t>）灌草从</w:t>
      </w:r>
    </w:p>
    <w:p w14:paraId="30E78537">
      <w:pPr>
        <w:adjustRightInd w:val="0"/>
        <w:snapToGrid w:val="0"/>
        <w:ind w:firstLine="480"/>
      </w:pPr>
      <w:r>
        <w:rPr>
          <w:rFonts w:ascii="Cambria Math" w:hAnsi="Cambria Math" w:cs="Cambria Math"/>
        </w:rPr>
        <w:t>⑫</w:t>
      </w:r>
      <w:r>
        <w:rPr>
          <w:rFonts w:hint="eastAsia"/>
        </w:rPr>
        <w:t>垂序商陆草丛（</w:t>
      </w:r>
      <w:r>
        <w:t>Form. Phytolacca americana L</w:t>
      </w:r>
      <w:r>
        <w:rPr>
          <w:rFonts w:hint="eastAsia"/>
        </w:rPr>
        <w:t>）</w:t>
      </w:r>
    </w:p>
    <w:p w14:paraId="3CEE52DE">
      <w:pPr>
        <w:adjustRightInd w:val="0"/>
        <w:snapToGrid w:val="0"/>
        <w:ind w:firstLine="480"/>
      </w:pPr>
      <w:r>
        <w:rPr>
          <w:rFonts w:hint="eastAsia"/>
        </w:rPr>
        <w:t>垂序商陆是森林砍伐或火烧迹地的先锋植物，也是空旷地、撂荒地以及田坎、堤岸和路边的极常见植物和杂草；广布于东半球和温暖地区，评价区内垂序商陆分布较为广泛。</w:t>
      </w:r>
    </w:p>
    <w:p w14:paraId="1DEDD7DB">
      <w:pPr>
        <w:adjustRightInd w:val="0"/>
        <w:snapToGrid w:val="0"/>
        <w:ind w:firstLine="480"/>
      </w:pPr>
      <w:r>
        <w:rPr>
          <w:rFonts w:hint="eastAsia"/>
        </w:rPr>
        <w:t>群落盖度可达</w:t>
      </w:r>
      <w:r>
        <w:t>50%</w:t>
      </w:r>
      <w:r>
        <w:rPr>
          <w:rFonts w:hint="eastAsia"/>
        </w:rPr>
        <w:t>，层均高</w:t>
      </w:r>
      <w:r>
        <w:t>1.5m</w:t>
      </w:r>
      <w:r>
        <w:rPr>
          <w:rFonts w:hint="eastAsia"/>
        </w:rPr>
        <w:t>，优势种为垂序商陆，高</w:t>
      </w:r>
      <w:r>
        <w:t>1.0-2.0m</w:t>
      </w:r>
      <w:r>
        <w:rPr>
          <w:rFonts w:hint="eastAsia"/>
        </w:rPr>
        <w:t>，盖度约</w:t>
      </w:r>
      <w:r>
        <w:t>50%</w:t>
      </w:r>
      <w:r>
        <w:rPr>
          <w:rFonts w:hint="eastAsia"/>
        </w:rPr>
        <w:t>，主要伴生种为盐肤木、柳叶马鞭草等。</w:t>
      </w:r>
    </w:p>
    <w:p w14:paraId="487EB1CB">
      <w:pPr>
        <w:adjustRightInd w:val="0"/>
        <w:snapToGrid w:val="0"/>
        <w:ind w:firstLine="480"/>
      </w:pPr>
      <w:r>
        <w:t>调查点位1：</w:t>
      </w:r>
      <w:r>
        <w:rPr>
          <w:rFonts w:hint="eastAsia"/>
        </w:rPr>
        <w:t>新建场内道路旁</w:t>
      </w:r>
      <w:r>
        <w:t>（GPS定位：N112°30′49.99″</w:t>
      </w:r>
      <w:r>
        <w:rPr>
          <w:rFonts w:hint="eastAsia"/>
        </w:rPr>
        <w:t>，</w:t>
      </w:r>
      <w:r>
        <w:t xml:space="preserve"> E27°10′13.00″）</w:t>
      </w:r>
      <w:r>
        <w:rPr>
          <w:rFonts w:hint="eastAsia"/>
        </w:rPr>
        <w:t>。</w:t>
      </w:r>
    </w:p>
    <w:p w14:paraId="3F778C4B">
      <w:pPr>
        <w:adjustRightInd w:val="0"/>
        <w:snapToGrid w:val="0"/>
        <w:ind w:firstLine="480"/>
      </w:pPr>
      <w:r>
        <w:rPr>
          <w:rFonts w:ascii="Cambria Math" w:hAnsi="Cambria Math" w:cs="Cambria Math"/>
        </w:rPr>
        <w:t>⑬</w:t>
      </w:r>
      <w:r>
        <w:rPr>
          <w:rFonts w:hint="eastAsia"/>
        </w:rPr>
        <w:t>菝葜草丛（</w:t>
      </w:r>
      <w:r>
        <w:t>Form. Smilax china L</w:t>
      </w:r>
      <w:r>
        <w:rPr>
          <w:rFonts w:hint="eastAsia"/>
        </w:rPr>
        <w:t>）</w:t>
      </w:r>
    </w:p>
    <w:p w14:paraId="684DE106">
      <w:pPr>
        <w:adjustRightInd w:val="0"/>
        <w:snapToGrid w:val="0"/>
        <w:ind w:firstLine="480"/>
      </w:pPr>
      <w:r>
        <w:rPr>
          <w:rFonts w:hint="eastAsia"/>
        </w:rPr>
        <w:t>菝葜是森林砍伐或火烧迹地的先锋植物，也是空旷地、撂荒地以及田坎、堤岸和路边的极常见植物和杂草；广布于东半球和温暖地区，评价区内菝葜分布较为广泛。</w:t>
      </w:r>
    </w:p>
    <w:p w14:paraId="0EBEA3D6">
      <w:pPr>
        <w:adjustRightInd w:val="0"/>
        <w:snapToGrid w:val="0"/>
        <w:ind w:firstLine="480"/>
      </w:pPr>
      <w:r>
        <w:rPr>
          <w:rFonts w:hint="eastAsia"/>
        </w:rPr>
        <w:t>群落盖度可达</w:t>
      </w:r>
      <w:r>
        <w:t>20%</w:t>
      </w:r>
      <w:r>
        <w:rPr>
          <w:rFonts w:hint="eastAsia"/>
        </w:rPr>
        <w:t>，层均高</w:t>
      </w:r>
      <w:r>
        <w:t>0.4m</w:t>
      </w:r>
      <w:r>
        <w:rPr>
          <w:rFonts w:hint="eastAsia"/>
        </w:rPr>
        <w:t>，优势种为菝葜，高</w:t>
      </w:r>
      <w:r>
        <w:t>0.3-0.5m</w:t>
      </w:r>
      <w:r>
        <w:rPr>
          <w:rFonts w:hint="eastAsia"/>
        </w:rPr>
        <w:t>，盖度约</w:t>
      </w:r>
      <w:r>
        <w:t>20%</w:t>
      </w:r>
      <w:r>
        <w:rPr>
          <w:rFonts w:hint="eastAsia"/>
        </w:rPr>
        <w:t>，主要伴生种为白茅、油茶等。</w:t>
      </w:r>
    </w:p>
    <w:p w14:paraId="429FF77F">
      <w:pPr>
        <w:adjustRightInd w:val="0"/>
        <w:snapToGrid w:val="0"/>
        <w:ind w:firstLine="480"/>
      </w:pPr>
      <w:r>
        <w:t>调查点位1：1#</w:t>
      </w:r>
      <w:r>
        <w:rPr>
          <w:rFonts w:hint="eastAsia"/>
        </w:rPr>
        <w:t>风机机位旁</w:t>
      </w:r>
      <w:r>
        <w:t>（GPS定位：N112°31′27.39″</w:t>
      </w:r>
      <w:r>
        <w:rPr>
          <w:rFonts w:hint="eastAsia"/>
        </w:rPr>
        <w:t>，</w:t>
      </w:r>
      <w:r>
        <w:t xml:space="preserve"> E27°9′21.25″）</w:t>
      </w:r>
      <w:r>
        <w:rPr>
          <w:rFonts w:hint="eastAsia"/>
        </w:rPr>
        <w:t>。</w:t>
      </w:r>
    </w:p>
    <w:p w14:paraId="0DE6AA2B">
      <w:pPr>
        <w:adjustRightInd w:val="0"/>
        <w:snapToGrid w:val="0"/>
        <w:ind w:firstLine="480"/>
      </w:pPr>
      <w:r>
        <w:rPr>
          <w:rFonts w:ascii="Cambria Math" w:hAnsi="Cambria Math" w:cs="Cambria Math"/>
        </w:rPr>
        <w:t>⑭</w:t>
      </w:r>
      <w:r>
        <w:rPr>
          <w:rFonts w:hint="eastAsia"/>
        </w:rPr>
        <w:t>芒萁草丛（</w:t>
      </w:r>
      <w:r>
        <w:t>Form. Miscanthussinensis</w:t>
      </w:r>
      <w:r>
        <w:rPr>
          <w:rFonts w:hint="eastAsia"/>
        </w:rPr>
        <w:t>）</w:t>
      </w:r>
    </w:p>
    <w:p w14:paraId="651ADDBB">
      <w:pPr>
        <w:adjustRightInd w:val="0"/>
        <w:snapToGrid w:val="0"/>
        <w:ind w:firstLine="480"/>
      </w:pPr>
      <w:r>
        <w:rPr>
          <w:rFonts w:hint="eastAsia"/>
        </w:rPr>
        <w:t>芒萁（</w:t>
      </w:r>
      <w:r>
        <w:t>Dicranopteris dichotoma</w:t>
      </w:r>
      <w:r>
        <w:rPr>
          <w:rFonts w:hint="eastAsia"/>
        </w:rPr>
        <w:t>），又名铁狼萁，为里白科芒萁属多年生草本植物，常生于强酸性的红壤丘陵或松、杉林下，大片生长，有保持水土之效。生长力强，分布于长江以南及西南地区。由于芒萁大量生长于酸性红壤的山坡上，是酸性土壤指示植物，因而该植物对生态条件的考察具有重要意义。芒萁在评价区内分布广，大多分布于山坡、灌丛和针叶林边缘，高度约</w:t>
      </w:r>
      <w:r>
        <w:t>40-60cm</w:t>
      </w:r>
      <w:r>
        <w:rPr>
          <w:rFonts w:hint="eastAsia"/>
        </w:rPr>
        <w:t>，盖度在</w:t>
      </w:r>
      <w:r>
        <w:t>80</w:t>
      </w:r>
      <w:r>
        <w:rPr>
          <w:rFonts w:hint="eastAsia"/>
        </w:rPr>
        <w:t>－</w:t>
      </w:r>
      <w:r>
        <w:t>90%</w:t>
      </w:r>
      <w:r>
        <w:rPr>
          <w:rFonts w:hint="eastAsia"/>
        </w:rPr>
        <w:t>，伴生植物主要有路边青、乌蕨、小飞蓬等草本植物。</w:t>
      </w:r>
    </w:p>
    <w:p w14:paraId="52B92BEB">
      <w:pPr>
        <w:adjustRightInd w:val="0"/>
        <w:snapToGrid w:val="0"/>
        <w:ind w:firstLine="480"/>
      </w:pPr>
      <w:r>
        <w:t>调查点位1：</w:t>
      </w:r>
      <w:r>
        <w:rPr>
          <w:rFonts w:hint="eastAsia"/>
        </w:rPr>
        <w:t>进场道路附近</w:t>
      </w:r>
      <w:r>
        <w:t>（GPS定位：N112°31′31.91″</w:t>
      </w:r>
      <w:r>
        <w:rPr>
          <w:rFonts w:hint="eastAsia"/>
        </w:rPr>
        <w:t>，</w:t>
      </w:r>
      <w:r>
        <w:t xml:space="preserve"> E27°9′34.34″）</w:t>
      </w:r>
      <w:r>
        <w:rPr>
          <w:rFonts w:hint="eastAsia"/>
        </w:rPr>
        <w:t>。</w:t>
      </w:r>
    </w:p>
    <w:p w14:paraId="24D6C02C">
      <w:pPr>
        <w:adjustRightInd w:val="0"/>
        <w:snapToGrid w:val="0"/>
        <w:ind w:firstLine="480"/>
      </w:pPr>
      <w:r>
        <w:rPr>
          <w:rFonts w:ascii="Cambria Math" w:hAnsi="Cambria Math" w:cs="Cambria Math"/>
        </w:rPr>
        <w:t>⑮</w:t>
      </w:r>
      <w:r>
        <w:rPr>
          <w:rFonts w:hint="eastAsia"/>
        </w:rPr>
        <w:t>五节芒灌草丛（</w:t>
      </w:r>
      <w:r>
        <w:t>Form. Miscanthus floridulus</w:t>
      </w:r>
      <w:r>
        <w:rPr>
          <w:rFonts w:hint="eastAsia"/>
        </w:rPr>
        <w:t>）</w:t>
      </w:r>
    </w:p>
    <w:p w14:paraId="5D971DBE">
      <w:pPr>
        <w:adjustRightInd w:val="0"/>
        <w:snapToGrid w:val="0"/>
        <w:ind w:firstLine="480"/>
      </w:pPr>
      <w:r>
        <w:rPr>
          <w:rFonts w:hint="eastAsia"/>
        </w:rPr>
        <w:t>五节芒是森林砍伐或火烧迹地的先锋植物，也是空旷地、撂荒地以及田坎、堤岸和路边的极常见植物和杂草；广布于东半球和温暖地区，评价区内五节芒分布较为广泛，在山坡随处可见。</w:t>
      </w:r>
    </w:p>
    <w:p w14:paraId="095CDFFD">
      <w:pPr>
        <w:adjustRightInd w:val="0"/>
        <w:snapToGrid w:val="0"/>
        <w:ind w:firstLine="480"/>
      </w:pPr>
      <w:r>
        <w:rPr>
          <w:rFonts w:hint="eastAsia"/>
        </w:rPr>
        <w:t>群落盖度可达</w:t>
      </w:r>
      <w:r>
        <w:t>60%</w:t>
      </w:r>
      <w:r>
        <w:rPr>
          <w:rFonts w:hint="eastAsia"/>
        </w:rPr>
        <w:t>，层均高</w:t>
      </w:r>
      <w:r>
        <w:t>0.8m</w:t>
      </w:r>
      <w:r>
        <w:rPr>
          <w:rFonts w:hint="eastAsia"/>
        </w:rPr>
        <w:t>，优势种为五节芒，高</w:t>
      </w:r>
      <w:r>
        <w:t>0.7-1.0m</w:t>
      </w:r>
      <w:r>
        <w:rPr>
          <w:rFonts w:hint="eastAsia"/>
        </w:rPr>
        <w:t>，盖度约</w:t>
      </w:r>
      <w:r>
        <w:t>50%</w:t>
      </w:r>
      <w:r>
        <w:rPr>
          <w:rFonts w:hint="eastAsia"/>
        </w:rPr>
        <w:t>，主要伴生种为蕨、白茅等。</w:t>
      </w:r>
    </w:p>
    <w:p w14:paraId="4B0997D8">
      <w:pPr>
        <w:adjustRightInd w:val="0"/>
        <w:snapToGrid w:val="0"/>
        <w:ind w:firstLine="480"/>
      </w:pPr>
      <w:r>
        <w:t>调查点位1：</w:t>
      </w:r>
      <w:r>
        <w:rPr>
          <w:rFonts w:hint="eastAsia"/>
        </w:rPr>
        <w:t>进场道路附近</w:t>
      </w:r>
      <w:r>
        <w:t>（GPS定位：N112°30′29.35″</w:t>
      </w:r>
      <w:r>
        <w:rPr>
          <w:rFonts w:hint="eastAsia"/>
        </w:rPr>
        <w:t>，</w:t>
      </w:r>
      <w:r>
        <w:t xml:space="preserve"> E27°10′42.64″）</w:t>
      </w:r>
      <w:r>
        <w:rPr>
          <w:rFonts w:hint="eastAsia"/>
        </w:rPr>
        <w:t>。</w:t>
      </w:r>
    </w:p>
    <w:p w14:paraId="4A131661">
      <w:pPr>
        <w:adjustRightInd w:val="0"/>
        <w:snapToGrid w:val="0"/>
        <w:ind w:firstLine="480"/>
      </w:pPr>
      <w:r>
        <w:rPr>
          <w:rFonts w:ascii="Cambria Math" w:hAnsi="Cambria Math" w:cs="Cambria Math"/>
        </w:rPr>
        <w:t>⑯</w:t>
      </w:r>
      <w:r>
        <w:rPr>
          <w:rFonts w:hint="eastAsia"/>
        </w:rPr>
        <w:t>乌蔹莓草丛（</w:t>
      </w:r>
      <w:r>
        <w:t>Form. Cayratia japonica</w:t>
      </w:r>
      <w:r>
        <w:rPr>
          <w:rFonts w:hint="eastAsia"/>
        </w:rPr>
        <w:t>）</w:t>
      </w:r>
    </w:p>
    <w:p w14:paraId="594E6A11">
      <w:pPr>
        <w:adjustRightInd w:val="0"/>
        <w:snapToGrid w:val="0"/>
        <w:ind w:firstLine="480"/>
      </w:pPr>
      <w:r>
        <w:rPr>
          <w:rFonts w:hint="eastAsia"/>
        </w:rPr>
        <w:t>乌蔹莓常常生强酸性土的荒坡或林缘，评价区内蕨主要分布在进场道路旁。</w:t>
      </w:r>
    </w:p>
    <w:p w14:paraId="3047FE6B">
      <w:pPr>
        <w:adjustRightInd w:val="0"/>
        <w:snapToGrid w:val="0"/>
        <w:ind w:firstLine="480"/>
      </w:pPr>
      <w:r>
        <w:rPr>
          <w:rFonts w:hint="eastAsia"/>
        </w:rPr>
        <w:t>群落草本层盖度可达</w:t>
      </w:r>
      <w:r>
        <w:t>50%</w:t>
      </w:r>
      <w:r>
        <w:rPr>
          <w:rFonts w:hint="eastAsia"/>
        </w:rPr>
        <w:t>以上，层均高</w:t>
      </w:r>
      <w:r>
        <w:t>0.5m</w:t>
      </w:r>
      <w:r>
        <w:rPr>
          <w:rFonts w:hint="eastAsia"/>
        </w:rPr>
        <w:t>，优势种为乌蔹莓，高</w:t>
      </w:r>
      <w:r>
        <w:t>0.4~0.6m</w:t>
      </w:r>
      <w:r>
        <w:rPr>
          <w:rFonts w:hint="eastAsia"/>
        </w:rPr>
        <w:t>，盖度</w:t>
      </w:r>
      <w:r>
        <w:t>50%</w:t>
      </w:r>
      <w:r>
        <w:rPr>
          <w:rFonts w:hint="eastAsia"/>
        </w:rPr>
        <w:t>，主要伴生种为蕨等。</w:t>
      </w:r>
    </w:p>
    <w:p w14:paraId="54F82C75">
      <w:pPr>
        <w:adjustRightInd w:val="0"/>
        <w:snapToGrid w:val="0"/>
        <w:ind w:firstLine="480"/>
      </w:pPr>
      <w:r>
        <w:t>调查点位1：1#</w:t>
      </w:r>
      <w:r>
        <w:rPr>
          <w:rFonts w:hint="eastAsia"/>
        </w:rPr>
        <w:t>和</w:t>
      </w:r>
      <w:r>
        <w:t>7#</w:t>
      </w:r>
      <w:r>
        <w:rPr>
          <w:rFonts w:hint="eastAsia"/>
        </w:rPr>
        <w:t>风机进场道路旁</w:t>
      </w:r>
      <w:r>
        <w:t>（GPS定位：N112°29′48.35″</w:t>
      </w:r>
      <w:r>
        <w:rPr>
          <w:rFonts w:hint="eastAsia"/>
        </w:rPr>
        <w:t>，</w:t>
      </w:r>
      <w:r>
        <w:t xml:space="preserve"> E27°10′42.11″）</w:t>
      </w:r>
      <w:r>
        <w:rPr>
          <w:rFonts w:hint="eastAsia"/>
        </w:rPr>
        <w:t>。</w:t>
      </w:r>
    </w:p>
    <w:p w14:paraId="4FCE5952">
      <w:pPr>
        <w:adjustRightInd w:val="0"/>
        <w:snapToGrid w:val="0"/>
        <w:ind w:firstLine="480"/>
      </w:pPr>
      <w:r>
        <w:rPr>
          <w:rFonts w:ascii="Cambria Math" w:hAnsi="Cambria Math" w:cs="Cambria Math"/>
        </w:rPr>
        <w:t>⑰</w:t>
      </w:r>
      <w:r>
        <w:rPr>
          <w:rFonts w:hint="eastAsia"/>
        </w:rPr>
        <w:t>白茅灌草丛（</w:t>
      </w:r>
      <w:r>
        <w:t>Form. Imperata cylindrica</w:t>
      </w:r>
      <w:r>
        <w:rPr>
          <w:rFonts w:hint="eastAsia"/>
        </w:rPr>
        <w:t>）</w:t>
      </w:r>
    </w:p>
    <w:p w14:paraId="3A45904E">
      <w:pPr>
        <w:adjustRightInd w:val="0"/>
        <w:snapToGrid w:val="0"/>
        <w:ind w:firstLine="480"/>
      </w:pPr>
      <w:r>
        <w:rPr>
          <w:rFonts w:hint="eastAsia"/>
        </w:rPr>
        <w:t>白茅是森林砍伐或火烧迹地的先锋植物，也是空旷地、果园地、撂荒地以及田坎、堤岸和路边的极常见植物和杂草；广布于东半球和温暖地区，评价区内白茅分布较为广泛，在山坡随处可见。</w:t>
      </w:r>
    </w:p>
    <w:p w14:paraId="19BDE14C">
      <w:pPr>
        <w:adjustRightInd w:val="0"/>
        <w:snapToGrid w:val="0"/>
        <w:ind w:firstLine="480"/>
      </w:pPr>
      <w:r>
        <w:rPr>
          <w:rFonts w:hint="eastAsia"/>
        </w:rPr>
        <w:t>群落盖度可达</w:t>
      </w:r>
      <w:r>
        <w:t>50%</w:t>
      </w:r>
      <w:r>
        <w:rPr>
          <w:rFonts w:hint="eastAsia"/>
        </w:rPr>
        <w:t>，层均高</w:t>
      </w:r>
      <w:r>
        <w:t>0.5m</w:t>
      </w:r>
      <w:r>
        <w:rPr>
          <w:rFonts w:hint="eastAsia"/>
        </w:rPr>
        <w:t>，优势种为白茅，高</w:t>
      </w:r>
      <w:r>
        <w:t>0.4~0.6m</w:t>
      </w:r>
      <w:r>
        <w:rPr>
          <w:rFonts w:hint="eastAsia"/>
        </w:rPr>
        <w:t>，盖度约</w:t>
      </w:r>
      <w:r>
        <w:t>40%</w:t>
      </w:r>
      <w:r>
        <w:rPr>
          <w:rFonts w:hint="eastAsia"/>
        </w:rPr>
        <w:t>，主要伴生种为狗牙根芒萁、五节芒、芒萁等。</w:t>
      </w:r>
    </w:p>
    <w:p w14:paraId="2478D5BC">
      <w:pPr>
        <w:adjustRightInd w:val="0"/>
        <w:snapToGrid w:val="0"/>
        <w:ind w:firstLine="480"/>
      </w:pPr>
      <w:r>
        <w:t>调查点位1：1#</w:t>
      </w:r>
      <w:r>
        <w:rPr>
          <w:rFonts w:hint="eastAsia"/>
        </w:rPr>
        <w:t>风机场内道路旁</w:t>
      </w:r>
      <w:r>
        <w:t>（GPS定位：N112°31′30.11″</w:t>
      </w:r>
      <w:r>
        <w:rPr>
          <w:rFonts w:hint="eastAsia"/>
        </w:rPr>
        <w:t>，</w:t>
      </w:r>
      <w:r>
        <w:t xml:space="preserve"> E27°9′25.83″）</w:t>
      </w:r>
      <w:r>
        <w:rPr>
          <w:rFonts w:hint="eastAsia"/>
        </w:rPr>
        <w:t>。</w:t>
      </w:r>
    </w:p>
    <w:p w14:paraId="4AAC5ED2">
      <w:pPr>
        <w:adjustRightInd w:val="0"/>
        <w:snapToGrid w:val="0"/>
        <w:ind w:firstLine="480"/>
      </w:pPr>
      <w:r>
        <w:rPr>
          <w:rFonts w:ascii="Cambria Math" w:hAnsi="Cambria Math" w:cs="Cambria Math"/>
        </w:rPr>
        <w:t>⑱</w:t>
      </w:r>
      <w:r>
        <w:rPr>
          <w:rFonts w:hint="eastAsia"/>
        </w:rPr>
        <w:t>蕨草丛（</w:t>
      </w:r>
      <w:r>
        <w:t>Form. Pteridium aquilinum var. latiusculum</w:t>
      </w:r>
      <w:r>
        <w:rPr>
          <w:rFonts w:hint="eastAsia"/>
        </w:rPr>
        <w:t>）</w:t>
      </w:r>
    </w:p>
    <w:p w14:paraId="51BE69BE">
      <w:pPr>
        <w:adjustRightInd w:val="0"/>
        <w:snapToGrid w:val="0"/>
        <w:ind w:firstLine="480"/>
      </w:pPr>
      <w:r>
        <w:rPr>
          <w:rFonts w:hint="eastAsia"/>
        </w:rPr>
        <w:t>蕨常常生强酸性土的荒坡或林缘，评价区内蕨主要分布在风机进场道路旁。</w:t>
      </w:r>
    </w:p>
    <w:p w14:paraId="10EB747E">
      <w:pPr>
        <w:adjustRightInd w:val="0"/>
        <w:snapToGrid w:val="0"/>
        <w:ind w:firstLine="480"/>
      </w:pPr>
      <w:r>
        <w:rPr>
          <w:rFonts w:hint="eastAsia"/>
        </w:rPr>
        <w:t>群落草本层盖度可达</w:t>
      </w:r>
      <w:r>
        <w:t>60%</w:t>
      </w:r>
      <w:r>
        <w:rPr>
          <w:rFonts w:hint="eastAsia"/>
        </w:rPr>
        <w:t>以上，层均高</w:t>
      </w:r>
      <w:r>
        <w:t>0.5m</w:t>
      </w:r>
      <w:r>
        <w:rPr>
          <w:rFonts w:hint="eastAsia"/>
        </w:rPr>
        <w:t>，优势种为蕨，高</w:t>
      </w:r>
      <w:r>
        <w:t>0.4~0.6m</w:t>
      </w:r>
      <w:r>
        <w:rPr>
          <w:rFonts w:hint="eastAsia"/>
        </w:rPr>
        <w:t>，盖度</w:t>
      </w:r>
      <w:r>
        <w:t>60%</w:t>
      </w:r>
      <w:r>
        <w:rPr>
          <w:rFonts w:hint="eastAsia"/>
        </w:rPr>
        <w:t>，主要伴生种为乌蔹莓、白茅等。</w:t>
      </w:r>
    </w:p>
    <w:p w14:paraId="33E0D0C7">
      <w:pPr>
        <w:adjustRightInd w:val="0"/>
        <w:snapToGrid w:val="0"/>
        <w:ind w:firstLine="480"/>
      </w:pPr>
      <w:r>
        <w:t>调查点位1：1#</w:t>
      </w:r>
      <w:r>
        <w:rPr>
          <w:rFonts w:hint="eastAsia"/>
        </w:rPr>
        <w:t>和</w:t>
      </w:r>
      <w:r>
        <w:t>7#</w:t>
      </w:r>
      <w:r>
        <w:rPr>
          <w:rFonts w:hint="eastAsia"/>
        </w:rPr>
        <w:t>风机进场道路旁</w:t>
      </w:r>
      <w:r>
        <w:t>（GPS定位：N112°29′44.86″</w:t>
      </w:r>
      <w:r>
        <w:rPr>
          <w:rFonts w:hint="eastAsia"/>
        </w:rPr>
        <w:t>，</w:t>
      </w:r>
      <w:r>
        <w:t xml:space="preserve"> E27°10′41.88″）</w:t>
      </w:r>
      <w:r>
        <w:rPr>
          <w:rFonts w:hint="eastAsia"/>
        </w:rPr>
        <w:t>。</w:t>
      </w:r>
    </w:p>
    <w:p w14:paraId="52B63550">
      <w:pPr>
        <w:tabs>
          <w:tab w:val="clear" w:pos="480"/>
        </w:tabs>
        <w:adjustRightInd w:val="0"/>
        <w:snapToGrid w:val="0"/>
        <w:ind w:firstLine="0" w:firstLineChars="0"/>
        <w:outlineLvl w:val="3"/>
        <w:rPr>
          <w:b/>
          <w:kern w:val="0"/>
          <w:lang w:val="zh-CN"/>
        </w:rPr>
      </w:pPr>
      <w:r>
        <w:rPr>
          <w:b/>
          <w:kern w:val="0"/>
          <w:lang w:val="zh-CN"/>
        </w:rPr>
        <w:t>5.5.4.5</w:t>
      </w:r>
      <w:r>
        <w:rPr>
          <w:rFonts w:hint="eastAsia"/>
          <w:b/>
          <w:kern w:val="0"/>
          <w:lang w:val="zh-CN"/>
        </w:rPr>
        <w:t>植被分布特征</w:t>
      </w:r>
    </w:p>
    <w:p w14:paraId="332821CB">
      <w:pPr>
        <w:adjustRightInd w:val="0"/>
        <w:snapToGrid w:val="0"/>
        <w:ind w:firstLine="480"/>
      </w:pPr>
      <w:r>
        <w:t>评价区位于湖南省中东部，湘江中下游，衡阳盆地东北边缘，丘陵地貌。自然环境良好，较有利于植被发育，但评价区内人为活动频繁，现植被类型多为次生林、人工林，且评价区内水分分布不均、区域山体海拔跨度小、区域人为活动较为频繁，评价区植被分布受光照、水分、人为活动等影响强烈，植被在垂直和水平分布上具有自身特点，自然植被多为一些抗逆性较强的乡土树种组成的次生林植被。</w:t>
      </w:r>
    </w:p>
    <w:p w14:paraId="25A53985">
      <w:pPr>
        <w:adjustRightInd w:val="0"/>
        <w:snapToGrid w:val="0"/>
        <w:ind w:firstLine="480"/>
      </w:pPr>
      <w:r>
        <w:rPr>
          <w:rFonts w:hint="eastAsia"/>
        </w:rPr>
        <w:t>垂直分布规律：区域属低中山丘陵区，区内海拔100~500m，植被垂直分布主要受水分、人为活动等因素影响，由于山脊区水分贫乏，该区域风速度大，蒸发量大，山脊区植被多以灌丛及灌草丛为主，常见的群系有芒萁、五节芒灌草丛、白茅灌草丛、蕨灌丛等，评价区域以毛竹林为主；山坡中部人为活动相对较小、区域植被发育相对良好，多以阔叶林、灌丛为主，常见的群系有青冈林、毛竹林、马尾松等，局部分布有少量杉木林；山坡下部水分等相对充足，区域人为活动频繁，植被多以次生林、农作物为主，常见的次生林有毛竹林、杉木林和马尾松林等，常见的农作物有玉米、水稻、薯类等。</w:t>
      </w:r>
    </w:p>
    <w:p w14:paraId="4E9C75D0">
      <w:pPr>
        <w:adjustRightInd w:val="0"/>
        <w:snapToGrid w:val="0"/>
        <w:ind w:firstLine="480"/>
      </w:pPr>
      <w:r>
        <w:rPr>
          <w:rFonts w:hint="eastAsia"/>
        </w:rPr>
        <w:t>水平分布规律：评价区植被水平分布主要受人为活动、水分条件、地势地貌等因素影响。由于村落多分布于山体东南部，该区域地势相对平缓，水分及光照相对充足，植被多以喜光性次生林、灌丛及灌草丛为主，常见的群系有毛竹林、粗叶悬钩子灌丛、五节芒灌草丛等；西北部人为干扰较小，区域植被多以次生林、灌丛为主，常见的群系有马尾松林、杉木林、檵木灌丛等。</w:t>
      </w:r>
    </w:p>
    <w:p w14:paraId="636085E0">
      <w:pPr>
        <w:tabs>
          <w:tab w:val="clear" w:pos="480"/>
        </w:tabs>
        <w:adjustRightInd w:val="0"/>
        <w:snapToGrid w:val="0"/>
        <w:ind w:firstLine="0" w:firstLineChars="0"/>
        <w:outlineLvl w:val="3"/>
        <w:rPr>
          <w:b/>
          <w:kern w:val="0"/>
        </w:rPr>
      </w:pPr>
      <w:r>
        <w:rPr>
          <w:b/>
          <w:kern w:val="0"/>
          <w:lang w:val="zh-CN"/>
        </w:rPr>
        <w:t>5.</w:t>
      </w:r>
      <w:r>
        <w:rPr>
          <w:rFonts w:hint="eastAsia"/>
          <w:b/>
          <w:kern w:val="0"/>
        </w:rPr>
        <w:t>5</w:t>
      </w:r>
      <w:r>
        <w:rPr>
          <w:b/>
          <w:kern w:val="0"/>
          <w:lang w:val="zh-CN"/>
        </w:rPr>
        <w:t>.4.6</w:t>
      </w:r>
      <w:r>
        <w:rPr>
          <w:rFonts w:hint="eastAsia"/>
          <w:b/>
          <w:kern w:val="0"/>
        </w:rPr>
        <w:t>植被覆盖度</w:t>
      </w:r>
    </w:p>
    <w:p w14:paraId="08FCD000">
      <w:pPr>
        <w:adjustRightInd w:val="0"/>
        <w:snapToGrid w:val="0"/>
        <w:ind w:firstLine="480"/>
      </w:pPr>
      <w:r>
        <w:rPr>
          <w:rFonts w:hint="eastAsia"/>
        </w:rPr>
        <w:t>采用《环境影响评价技术导则生态影啊》(H19-2022）中推荐的植被指数法计算植被覆盖度，选择landsat8 OLI的影像，利用其近红外波段和红光波段，计算归一化植被指数NDVI值，公式为：NDV</w:t>
      </w:r>
      <w:r>
        <w:t>I</w:t>
      </w:r>
      <w:r>
        <w:rPr>
          <w:rFonts w:hint="eastAsia"/>
        </w:rPr>
        <w:t>（NIR-R）/（N</w:t>
      </w:r>
      <w:r>
        <w:t>I</w:t>
      </w:r>
      <w:r>
        <w:rPr>
          <w:rFonts w:hint="eastAsia"/>
        </w:rPr>
        <w:t>R+R)，其中N</w:t>
      </w:r>
      <w:r>
        <w:t>I</w:t>
      </w:r>
      <w:r>
        <w:rPr>
          <w:rFonts w:hint="eastAsia"/>
        </w:rPr>
        <w:t>R为近红外波段，R为红光波段，然后使用导则推荐的公式计算植被覆盖度FVC值：</w:t>
      </w:r>
    </w:p>
    <w:p w14:paraId="65C43982">
      <w:pPr>
        <w:adjustRightInd w:val="0"/>
        <w:snapToGrid w:val="0"/>
        <w:ind w:firstLine="199" w:firstLineChars="83"/>
        <w:jc w:val="center"/>
      </w:pPr>
      <w:r>
        <w:t>FVC =</w:t>
      </w:r>
      <w:r>
        <w:rPr>
          <w:rFonts w:hint="eastAsia"/>
        </w:rPr>
        <w:t>（</w:t>
      </w:r>
      <w:r>
        <w:t>NDVI-NDVIs</w:t>
      </w:r>
      <w:r>
        <w:rPr>
          <w:rFonts w:hint="eastAsia"/>
        </w:rPr>
        <w:t>）</w:t>
      </w:r>
      <w:r>
        <w:t>/</w:t>
      </w:r>
      <w:r>
        <w:rPr>
          <w:rFonts w:hint="eastAsia"/>
        </w:rPr>
        <w:t>（</w:t>
      </w:r>
      <w:r>
        <w:t>NDVIv-NDVIs</w:t>
      </w:r>
      <w:r>
        <w:rPr>
          <w:rFonts w:hint="eastAsia"/>
        </w:rPr>
        <w:t>）</w:t>
      </w:r>
    </w:p>
    <w:p w14:paraId="33DF2232">
      <w:pPr>
        <w:adjustRightInd w:val="0"/>
        <w:snapToGrid w:val="0"/>
        <w:ind w:firstLine="480"/>
      </w:pPr>
      <w:r>
        <w:t>式中：FVC——所计算像元的植被覆盖度；</w:t>
      </w:r>
    </w:p>
    <w:p w14:paraId="122F9635">
      <w:pPr>
        <w:adjustRightInd w:val="0"/>
        <w:snapToGrid w:val="0"/>
        <w:ind w:firstLine="480"/>
      </w:pPr>
      <w:r>
        <w:t>NDVI——所计算像元的 NDVI 值；</w:t>
      </w:r>
    </w:p>
    <w:p w14:paraId="46A23204">
      <w:pPr>
        <w:adjustRightInd w:val="0"/>
        <w:snapToGrid w:val="0"/>
        <w:ind w:firstLine="480"/>
      </w:pPr>
      <w:r>
        <w:t>NDVIv——纯植物像元的 NDVI 值；</w:t>
      </w:r>
    </w:p>
    <w:p w14:paraId="57659739">
      <w:pPr>
        <w:adjustRightInd w:val="0"/>
        <w:snapToGrid w:val="0"/>
        <w:ind w:firstLine="480"/>
      </w:pPr>
      <w:r>
        <w:t>NDVIs——完全无植被覆盖像元的 NDVI 值。</w:t>
      </w:r>
    </w:p>
    <w:p w14:paraId="6F674264">
      <w:pPr>
        <w:adjustRightInd w:val="0"/>
        <w:snapToGrid w:val="0"/>
        <w:ind w:firstLine="480"/>
      </w:pPr>
      <w:r>
        <w:rPr>
          <w:rFonts w:hint="eastAsia"/>
        </w:rPr>
        <w:t>通过计算得出，评价范围内植被覆盖度值为0</w:t>
      </w:r>
      <w:r>
        <w:t>~1</w:t>
      </w:r>
      <w:r>
        <w:rPr>
          <w:rFonts w:hint="eastAsia"/>
        </w:rPr>
        <w:t>之间，覆盖度均在0</w:t>
      </w:r>
      <w:r>
        <w:t>.6</w:t>
      </w:r>
      <w:r>
        <w:rPr>
          <w:rFonts w:hint="eastAsia"/>
        </w:rPr>
        <w:t>以上。</w:t>
      </w:r>
    </w:p>
    <w:p w14:paraId="676AEA9D">
      <w:pPr>
        <w:tabs>
          <w:tab w:val="clear" w:pos="480"/>
        </w:tabs>
        <w:adjustRightInd w:val="0"/>
        <w:snapToGrid w:val="0"/>
        <w:ind w:firstLine="0" w:firstLineChars="0"/>
        <w:outlineLvl w:val="3"/>
        <w:rPr>
          <w:b/>
          <w:kern w:val="0"/>
        </w:rPr>
      </w:pPr>
      <w:r>
        <w:rPr>
          <w:b/>
          <w:kern w:val="0"/>
          <w:lang w:val="zh-CN"/>
        </w:rPr>
        <w:t>5.</w:t>
      </w:r>
      <w:r>
        <w:rPr>
          <w:rFonts w:hint="eastAsia"/>
          <w:b/>
          <w:kern w:val="0"/>
        </w:rPr>
        <w:t>5</w:t>
      </w:r>
      <w:r>
        <w:rPr>
          <w:b/>
          <w:kern w:val="0"/>
          <w:lang w:val="zh-CN"/>
        </w:rPr>
        <w:t>.4.7</w:t>
      </w:r>
      <w:r>
        <w:rPr>
          <w:rFonts w:hint="eastAsia"/>
          <w:b/>
          <w:kern w:val="0"/>
        </w:rPr>
        <w:t>植被类型现状</w:t>
      </w:r>
    </w:p>
    <w:p w14:paraId="0BB785A5">
      <w:pPr>
        <w:adjustRightInd w:val="0"/>
        <w:snapToGrid w:val="0"/>
        <w:ind w:firstLine="480"/>
      </w:pPr>
      <w:r>
        <w:t>风电场位于湖南省衡阳市</w:t>
      </w:r>
      <w:r>
        <w:rPr>
          <w:rFonts w:hint="eastAsia"/>
        </w:rPr>
        <w:t>衡阳县</w:t>
      </w:r>
      <w:r>
        <w:t>，本工程主要由风机区、施工道路区、</w:t>
      </w:r>
      <w:r>
        <w:rPr>
          <w:rFonts w:hint="eastAsia"/>
        </w:rPr>
        <w:t>升压站区、</w:t>
      </w:r>
      <w:r>
        <w:t>弃渣场区等几部分组成。评价范围内土地利用现状评价是在卫片解译的基础上，结合现有的资料，运用景观法（即以植被作为主导因素），并结合土壤、地貌等因子进行综合分析后对土地进行分类，将土地利用格局的拼块类型分为针叶林、阔叶林、灌草丛、水域、建设用地和耕地6种类型。</w:t>
      </w:r>
    </w:p>
    <w:p w14:paraId="1A8EC10B">
      <w:pPr>
        <w:adjustRightInd w:val="0"/>
        <w:snapToGrid w:val="0"/>
        <w:ind w:firstLine="480"/>
      </w:pPr>
      <w:r>
        <w:t>根据2023年5月卫片解译结果，评价区内灌</w:t>
      </w:r>
      <w:r>
        <w:rPr>
          <w:rFonts w:hint="eastAsia"/>
        </w:rPr>
        <w:t>草丛</w:t>
      </w:r>
      <w:r>
        <w:t>面积最大，面积为</w:t>
      </w:r>
      <w:r>
        <w:rPr>
          <w:rFonts w:hint="eastAsia"/>
        </w:rPr>
        <w:t>667.85</w:t>
      </w:r>
      <w:r>
        <w:t>hm</w:t>
      </w:r>
      <w:r>
        <w:rPr>
          <w:vertAlign w:val="superscript"/>
        </w:rPr>
        <w:t>2</w:t>
      </w:r>
      <w:r>
        <w:t>，占评价区总面积的</w:t>
      </w:r>
      <w:r>
        <w:rPr>
          <w:rFonts w:hint="eastAsia"/>
        </w:rPr>
        <w:t>57.36</w:t>
      </w:r>
      <w:r>
        <w:t>%；其次为</w:t>
      </w:r>
      <w:r>
        <w:rPr>
          <w:rFonts w:hint="eastAsia"/>
        </w:rPr>
        <w:t>针叶林和阔叶林</w:t>
      </w:r>
      <w:r>
        <w:t>，面积分别为</w:t>
      </w:r>
      <w:r>
        <w:rPr>
          <w:rFonts w:hint="eastAsia"/>
        </w:rPr>
        <w:t>344.41</w:t>
      </w:r>
      <w:r>
        <w:t>hm</w:t>
      </w:r>
      <w:r>
        <w:rPr>
          <w:vertAlign w:val="superscript"/>
        </w:rPr>
        <w:t>2</w:t>
      </w:r>
      <w:r>
        <w:t>和</w:t>
      </w:r>
      <w:r>
        <w:rPr>
          <w:rFonts w:hint="eastAsia"/>
        </w:rPr>
        <w:t>132.27</w:t>
      </w:r>
      <w:r>
        <w:t>hm</w:t>
      </w:r>
      <w:r>
        <w:rPr>
          <w:vertAlign w:val="superscript"/>
        </w:rPr>
        <w:t>2</w:t>
      </w:r>
      <w:r>
        <w:t>，分别占评价区总面积的</w:t>
      </w:r>
      <w:r>
        <w:rPr>
          <w:rFonts w:hint="eastAsia"/>
        </w:rPr>
        <w:t>29.58</w:t>
      </w:r>
      <w:r>
        <w:t>%和</w:t>
      </w:r>
      <w:r>
        <w:rPr>
          <w:rFonts w:hint="eastAsia"/>
        </w:rPr>
        <w:t>11.36</w:t>
      </w:r>
      <w:r>
        <w:t>%；水域、建设用地和耕地面积较小。评价区</w:t>
      </w:r>
      <w:r>
        <w:rPr>
          <w:rFonts w:hint="eastAsia"/>
        </w:rPr>
        <w:t>植被利用</w:t>
      </w:r>
      <w:r>
        <w:t>类型现状见</w:t>
      </w:r>
      <w:r>
        <w:rPr>
          <w:rFonts w:hint="eastAsia"/>
        </w:rPr>
        <w:t>下表</w:t>
      </w:r>
      <w:r>
        <w:t>。</w:t>
      </w:r>
    </w:p>
    <w:p w14:paraId="71907C04">
      <w:pPr>
        <w:tabs>
          <w:tab w:val="clear" w:pos="480"/>
        </w:tabs>
        <w:autoSpaceDE w:val="0"/>
        <w:autoSpaceDN w:val="0"/>
        <w:spacing w:line="240" w:lineRule="auto"/>
        <w:ind w:firstLine="0" w:firstLineChars="0"/>
        <w:jc w:val="center"/>
        <w:rPr>
          <w:b/>
          <w:bCs/>
          <w:kern w:val="0"/>
          <w:szCs w:val="22"/>
        </w:rPr>
      </w:pPr>
      <w:r>
        <w:rPr>
          <w:b/>
          <w:bCs/>
          <w:kern w:val="0"/>
          <w:szCs w:val="22"/>
        </w:rPr>
        <w:t>表5.5-4评价区</w:t>
      </w:r>
      <w:r>
        <w:rPr>
          <w:rFonts w:hint="eastAsia"/>
          <w:b/>
          <w:bCs/>
          <w:kern w:val="0"/>
          <w:szCs w:val="22"/>
        </w:rPr>
        <w:t>植被</w:t>
      </w:r>
      <w:r>
        <w:rPr>
          <w:b/>
          <w:bCs/>
          <w:kern w:val="0"/>
          <w:szCs w:val="22"/>
        </w:rPr>
        <w:t>类型现状</w:t>
      </w:r>
    </w:p>
    <w:tbl>
      <w:tblPr>
        <w:tblStyle w:val="88"/>
        <w:tblW w:w="87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597"/>
        <w:gridCol w:w="1597"/>
        <w:gridCol w:w="1597"/>
        <w:gridCol w:w="1597"/>
        <w:gridCol w:w="1597"/>
      </w:tblGrid>
      <w:tr w14:paraId="0F6138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4EF2880F">
            <w:pPr>
              <w:widowControl/>
              <w:tabs>
                <w:tab w:val="clear" w:pos="480"/>
              </w:tabs>
              <w:adjustRightInd w:val="0"/>
              <w:snapToGrid w:val="0"/>
              <w:spacing w:line="240" w:lineRule="auto"/>
              <w:ind w:firstLine="0" w:firstLineChars="0"/>
              <w:rPr>
                <w:b/>
                <w:bCs/>
                <w:kern w:val="0"/>
                <w:sz w:val="21"/>
                <w:szCs w:val="21"/>
              </w:rPr>
            </w:pPr>
            <w:r>
              <w:rPr>
                <w:b/>
                <w:bCs/>
                <w:kern w:val="0"/>
                <w:sz w:val="21"/>
                <w:szCs w:val="21"/>
              </w:rPr>
              <w:t>序号</w:t>
            </w:r>
          </w:p>
        </w:tc>
        <w:tc>
          <w:tcPr>
            <w:tcW w:w="1597" w:type="dxa"/>
            <w:noWrap/>
            <w:vAlign w:val="center"/>
          </w:tcPr>
          <w:p w14:paraId="495A82C9">
            <w:pPr>
              <w:widowControl/>
              <w:tabs>
                <w:tab w:val="clear" w:pos="480"/>
              </w:tabs>
              <w:adjustRightInd w:val="0"/>
              <w:snapToGrid w:val="0"/>
              <w:spacing w:line="240" w:lineRule="auto"/>
              <w:ind w:firstLine="0" w:firstLineChars="0"/>
              <w:jc w:val="center"/>
              <w:rPr>
                <w:b/>
                <w:bCs/>
                <w:kern w:val="0"/>
                <w:sz w:val="21"/>
                <w:szCs w:val="21"/>
              </w:rPr>
            </w:pPr>
            <w:r>
              <w:rPr>
                <w:b/>
                <w:bCs/>
                <w:kern w:val="0"/>
                <w:sz w:val="21"/>
                <w:szCs w:val="21"/>
              </w:rPr>
              <w:t>类型</w:t>
            </w:r>
          </w:p>
        </w:tc>
        <w:tc>
          <w:tcPr>
            <w:tcW w:w="1597" w:type="dxa"/>
            <w:noWrap/>
            <w:vAlign w:val="center"/>
          </w:tcPr>
          <w:p w14:paraId="305842F8">
            <w:pPr>
              <w:widowControl/>
              <w:tabs>
                <w:tab w:val="clear" w:pos="480"/>
              </w:tabs>
              <w:adjustRightInd w:val="0"/>
              <w:snapToGrid w:val="0"/>
              <w:spacing w:line="240" w:lineRule="auto"/>
              <w:ind w:firstLine="0" w:firstLineChars="0"/>
              <w:jc w:val="center"/>
              <w:rPr>
                <w:b/>
                <w:bCs/>
                <w:kern w:val="0"/>
                <w:sz w:val="21"/>
                <w:szCs w:val="21"/>
              </w:rPr>
            </w:pPr>
            <w:r>
              <w:rPr>
                <w:b/>
                <w:bCs/>
                <w:kern w:val="0"/>
                <w:sz w:val="21"/>
                <w:szCs w:val="21"/>
              </w:rPr>
              <w:t>面积（</w:t>
            </w:r>
            <w:bookmarkStart w:id="134" w:name="_Ref393100273"/>
            <w:r>
              <w:rPr>
                <w:b/>
                <w:bCs/>
                <w:kern w:val="0"/>
                <w:sz w:val="21"/>
                <w:szCs w:val="21"/>
              </w:rPr>
              <w:t>hm</w:t>
            </w:r>
            <w:r>
              <w:rPr>
                <w:b/>
                <w:bCs/>
                <w:kern w:val="0"/>
                <w:sz w:val="21"/>
                <w:szCs w:val="21"/>
                <w:vertAlign w:val="superscript"/>
              </w:rPr>
              <w:t>2</w:t>
            </w:r>
            <w:r>
              <w:rPr>
                <w:b/>
                <w:bCs/>
                <w:kern w:val="0"/>
                <w:sz w:val="21"/>
                <w:szCs w:val="21"/>
              </w:rPr>
              <w:t>）</w:t>
            </w:r>
          </w:p>
        </w:tc>
        <w:tc>
          <w:tcPr>
            <w:tcW w:w="1597" w:type="dxa"/>
            <w:noWrap/>
            <w:vAlign w:val="center"/>
          </w:tcPr>
          <w:p w14:paraId="450DF7CA">
            <w:pPr>
              <w:widowControl/>
              <w:tabs>
                <w:tab w:val="clear" w:pos="480"/>
              </w:tabs>
              <w:adjustRightInd w:val="0"/>
              <w:snapToGrid w:val="0"/>
              <w:spacing w:line="240" w:lineRule="auto"/>
              <w:ind w:firstLine="0" w:firstLineChars="0"/>
              <w:jc w:val="center"/>
              <w:rPr>
                <w:b/>
                <w:bCs/>
                <w:kern w:val="0"/>
                <w:sz w:val="21"/>
                <w:szCs w:val="21"/>
              </w:rPr>
            </w:pPr>
            <w:r>
              <w:rPr>
                <w:b/>
                <w:bCs/>
                <w:kern w:val="0"/>
                <w:sz w:val="21"/>
                <w:szCs w:val="21"/>
              </w:rPr>
              <w:t>占评价范围百分比（%）</w:t>
            </w:r>
          </w:p>
        </w:tc>
        <w:tc>
          <w:tcPr>
            <w:tcW w:w="1597" w:type="dxa"/>
            <w:noWrap/>
            <w:vAlign w:val="center"/>
          </w:tcPr>
          <w:p w14:paraId="43E7D61A">
            <w:pPr>
              <w:widowControl/>
              <w:tabs>
                <w:tab w:val="clear" w:pos="480"/>
              </w:tabs>
              <w:adjustRightInd w:val="0"/>
              <w:snapToGrid w:val="0"/>
              <w:spacing w:line="240" w:lineRule="auto"/>
              <w:ind w:firstLine="0" w:firstLineChars="0"/>
              <w:jc w:val="center"/>
              <w:rPr>
                <w:b/>
                <w:bCs/>
                <w:kern w:val="0"/>
                <w:sz w:val="21"/>
                <w:szCs w:val="21"/>
              </w:rPr>
            </w:pPr>
            <w:r>
              <w:rPr>
                <w:b/>
                <w:bCs/>
                <w:kern w:val="0"/>
                <w:sz w:val="21"/>
                <w:szCs w:val="21"/>
              </w:rPr>
              <w:t>斑块数</w:t>
            </w:r>
          </w:p>
        </w:tc>
        <w:tc>
          <w:tcPr>
            <w:tcW w:w="1597" w:type="dxa"/>
            <w:noWrap/>
            <w:vAlign w:val="center"/>
          </w:tcPr>
          <w:p w14:paraId="300D757E">
            <w:pPr>
              <w:widowControl/>
              <w:tabs>
                <w:tab w:val="clear" w:pos="480"/>
              </w:tabs>
              <w:adjustRightInd w:val="0"/>
              <w:snapToGrid w:val="0"/>
              <w:spacing w:line="240" w:lineRule="auto"/>
              <w:ind w:firstLine="0" w:firstLineChars="0"/>
              <w:jc w:val="center"/>
              <w:rPr>
                <w:b/>
                <w:bCs/>
                <w:kern w:val="0"/>
                <w:sz w:val="21"/>
                <w:szCs w:val="21"/>
              </w:rPr>
            </w:pPr>
            <w:r>
              <w:rPr>
                <w:b/>
                <w:bCs/>
                <w:kern w:val="0"/>
                <w:sz w:val="21"/>
                <w:szCs w:val="21"/>
              </w:rPr>
              <w:t>占评价范围百分比（%）</w:t>
            </w:r>
          </w:p>
        </w:tc>
      </w:tr>
      <w:bookmarkEnd w:id="134"/>
      <w:tr w14:paraId="07DFCC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1FC6CB90">
            <w:pPr>
              <w:widowControl/>
              <w:tabs>
                <w:tab w:val="clear" w:pos="480"/>
              </w:tabs>
              <w:adjustRightInd w:val="0"/>
              <w:snapToGrid w:val="0"/>
              <w:spacing w:line="240" w:lineRule="auto"/>
              <w:ind w:firstLine="0" w:firstLineChars="0"/>
              <w:jc w:val="center"/>
              <w:rPr>
                <w:kern w:val="0"/>
                <w:sz w:val="21"/>
                <w:szCs w:val="21"/>
              </w:rPr>
            </w:pPr>
            <w:r>
              <w:rPr>
                <w:kern w:val="0"/>
                <w:sz w:val="21"/>
                <w:szCs w:val="21"/>
              </w:rPr>
              <w:t>1</w:t>
            </w:r>
          </w:p>
        </w:tc>
        <w:tc>
          <w:tcPr>
            <w:tcW w:w="1597" w:type="dxa"/>
            <w:noWrap/>
            <w:vAlign w:val="center"/>
          </w:tcPr>
          <w:p w14:paraId="287C20F1">
            <w:pPr>
              <w:widowControl/>
              <w:tabs>
                <w:tab w:val="clear" w:pos="480"/>
              </w:tabs>
              <w:adjustRightInd w:val="0"/>
              <w:snapToGrid w:val="0"/>
              <w:spacing w:line="240" w:lineRule="auto"/>
              <w:ind w:firstLine="0" w:firstLineChars="0"/>
              <w:jc w:val="center"/>
              <w:rPr>
                <w:b/>
                <w:kern w:val="0"/>
                <w:sz w:val="21"/>
                <w:szCs w:val="21"/>
              </w:rPr>
            </w:pPr>
            <w:r>
              <w:rPr>
                <w:b/>
                <w:sz w:val="21"/>
                <w:szCs w:val="21"/>
              </w:rPr>
              <w:t>针叶林</w:t>
            </w:r>
          </w:p>
        </w:tc>
        <w:tc>
          <w:tcPr>
            <w:tcW w:w="1597" w:type="dxa"/>
            <w:noWrap/>
            <w:vAlign w:val="center"/>
          </w:tcPr>
          <w:p w14:paraId="3D0877EC">
            <w:pPr>
              <w:widowControl/>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3</w:t>
            </w:r>
            <w:r>
              <w:rPr>
                <w:kern w:val="0"/>
                <w:sz w:val="21"/>
                <w:szCs w:val="21"/>
              </w:rPr>
              <w:t>44.41</w:t>
            </w:r>
          </w:p>
        </w:tc>
        <w:tc>
          <w:tcPr>
            <w:tcW w:w="1597" w:type="dxa"/>
            <w:noWrap/>
            <w:vAlign w:val="center"/>
          </w:tcPr>
          <w:p w14:paraId="08ED5F52">
            <w:pPr>
              <w:widowControl/>
              <w:tabs>
                <w:tab w:val="clear" w:pos="480"/>
              </w:tabs>
              <w:adjustRightInd w:val="0"/>
              <w:snapToGrid w:val="0"/>
              <w:spacing w:line="240" w:lineRule="auto"/>
              <w:ind w:firstLine="0" w:firstLineChars="0"/>
              <w:jc w:val="center"/>
              <w:rPr>
                <w:kern w:val="0"/>
                <w:sz w:val="21"/>
                <w:szCs w:val="21"/>
              </w:rPr>
            </w:pPr>
            <w:r>
              <w:rPr>
                <w:kern w:val="0"/>
                <w:sz w:val="21"/>
                <w:szCs w:val="21"/>
              </w:rPr>
              <w:t>29.58</w:t>
            </w:r>
          </w:p>
        </w:tc>
        <w:tc>
          <w:tcPr>
            <w:tcW w:w="1597" w:type="dxa"/>
            <w:noWrap/>
            <w:vAlign w:val="center"/>
          </w:tcPr>
          <w:p w14:paraId="156E8450">
            <w:pPr>
              <w:widowControl/>
              <w:tabs>
                <w:tab w:val="clear" w:pos="480"/>
              </w:tabs>
              <w:adjustRightInd w:val="0"/>
              <w:snapToGrid w:val="0"/>
              <w:spacing w:line="240" w:lineRule="auto"/>
              <w:ind w:firstLine="0" w:firstLineChars="0"/>
              <w:jc w:val="center"/>
              <w:rPr>
                <w:kern w:val="0"/>
                <w:sz w:val="21"/>
                <w:szCs w:val="21"/>
              </w:rPr>
            </w:pPr>
            <w:r>
              <w:rPr>
                <w:sz w:val="21"/>
                <w:szCs w:val="21"/>
              </w:rPr>
              <w:t>962</w:t>
            </w:r>
          </w:p>
        </w:tc>
        <w:tc>
          <w:tcPr>
            <w:tcW w:w="1597" w:type="dxa"/>
            <w:noWrap/>
            <w:vAlign w:val="center"/>
          </w:tcPr>
          <w:p w14:paraId="4BD6BB64">
            <w:pPr>
              <w:widowControl/>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2</w:t>
            </w:r>
            <w:r>
              <w:rPr>
                <w:kern w:val="0"/>
                <w:sz w:val="21"/>
                <w:szCs w:val="21"/>
              </w:rPr>
              <w:t>4.66</w:t>
            </w:r>
          </w:p>
        </w:tc>
      </w:tr>
      <w:tr w14:paraId="2B8477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2FAFC7E1">
            <w:pPr>
              <w:widowControl/>
              <w:tabs>
                <w:tab w:val="clear" w:pos="480"/>
              </w:tabs>
              <w:adjustRightInd w:val="0"/>
              <w:snapToGrid w:val="0"/>
              <w:spacing w:line="240" w:lineRule="auto"/>
              <w:ind w:firstLine="0" w:firstLineChars="0"/>
              <w:jc w:val="center"/>
              <w:rPr>
                <w:kern w:val="0"/>
                <w:sz w:val="21"/>
                <w:szCs w:val="21"/>
              </w:rPr>
            </w:pPr>
            <w:r>
              <w:rPr>
                <w:kern w:val="0"/>
                <w:sz w:val="21"/>
                <w:szCs w:val="21"/>
              </w:rPr>
              <w:t>2</w:t>
            </w:r>
          </w:p>
        </w:tc>
        <w:tc>
          <w:tcPr>
            <w:tcW w:w="1597" w:type="dxa"/>
            <w:noWrap/>
            <w:vAlign w:val="center"/>
          </w:tcPr>
          <w:p w14:paraId="0593D025">
            <w:pPr>
              <w:tabs>
                <w:tab w:val="clear" w:pos="480"/>
              </w:tabs>
              <w:adjustRightInd w:val="0"/>
              <w:snapToGrid w:val="0"/>
              <w:spacing w:line="240" w:lineRule="auto"/>
              <w:ind w:firstLine="0" w:firstLineChars="0"/>
              <w:jc w:val="center"/>
              <w:rPr>
                <w:b/>
                <w:sz w:val="21"/>
                <w:szCs w:val="21"/>
              </w:rPr>
            </w:pPr>
            <w:r>
              <w:rPr>
                <w:b/>
                <w:sz w:val="21"/>
                <w:szCs w:val="21"/>
              </w:rPr>
              <w:t>阔叶林</w:t>
            </w:r>
          </w:p>
        </w:tc>
        <w:tc>
          <w:tcPr>
            <w:tcW w:w="1597" w:type="dxa"/>
            <w:noWrap/>
            <w:vAlign w:val="center"/>
          </w:tcPr>
          <w:p w14:paraId="12A4C0E9">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32.27</w:t>
            </w:r>
          </w:p>
        </w:tc>
        <w:tc>
          <w:tcPr>
            <w:tcW w:w="1597" w:type="dxa"/>
            <w:noWrap/>
            <w:vAlign w:val="center"/>
          </w:tcPr>
          <w:p w14:paraId="5589573A">
            <w:pPr>
              <w:widowControl/>
              <w:tabs>
                <w:tab w:val="clear" w:pos="480"/>
              </w:tabs>
              <w:adjustRightInd w:val="0"/>
              <w:snapToGrid w:val="0"/>
              <w:spacing w:line="240" w:lineRule="auto"/>
              <w:ind w:firstLine="0" w:firstLineChars="0"/>
              <w:jc w:val="center"/>
              <w:rPr>
                <w:kern w:val="0"/>
                <w:sz w:val="21"/>
                <w:szCs w:val="21"/>
              </w:rPr>
            </w:pPr>
            <w:r>
              <w:rPr>
                <w:kern w:val="0"/>
                <w:sz w:val="21"/>
                <w:szCs w:val="21"/>
              </w:rPr>
              <w:t>11.36</w:t>
            </w:r>
          </w:p>
        </w:tc>
        <w:tc>
          <w:tcPr>
            <w:tcW w:w="1597" w:type="dxa"/>
            <w:noWrap/>
            <w:vAlign w:val="center"/>
          </w:tcPr>
          <w:p w14:paraId="10E428D6">
            <w:pPr>
              <w:tabs>
                <w:tab w:val="clear" w:pos="480"/>
              </w:tabs>
              <w:adjustRightInd w:val="0"/>
              <w:snapToGrid w:val="0"/>
              <w:spacing w:line="240" w:lineRule="auto"/>
              <w:ind w:firstLine="0" w:firstLineChars="0"/>
              <w:jc w:val="center"/>
              <w:rPr>
                <w:sz w:val="21"/>
                <w:szCs w:val="21"/>
              </w:rPr>
            </w:pPr>
            <w:r>
              <w:rPr>
                <w:sz w:val="21"/>
                <w:szCs w:val="21"/>
              </w:rPr>
              <w:t>1026</w:t>
            </w:r>
          </w:p>
        </w:tc>
        <w:tc>
          <w:tcPr>
            <w:tcW w:w="1597" w:type="dxa"/>
            <w:noWrap/>
            <w:vAlign w:val="center"/>
          </w:tcPr>
          <w:p w14:paraId="1BFF4846">
            <w:pPr>
              <w:tabs>
                <w:tab w:val="clear" w:pos="480"/>
              </w:tabs>
              <w:adjustRightInd w:val="0"/>
              <w:snapToGrid w:val="0"/>
              <w:spacing w:line="240" w:lineRule="auto"/>
              <w:ind w:firstLine="0" w:firstLineChars="0"/>
              <w:jc w:val="center"/>
              <w:rPr>
                <w:sz w:val="21"/>
                <w:szCs w:val="21"/>
              </w:rPr>
            </w:pPr>
            <w:r>
              <w:rPr>
                <w:rFonts w:hint="eastAsia"/>
                <w:sz w:val="21"/>
                <w:szCs w:val="21"/>
              </w:rPr>
              <w:t>2</w:t>
            </w:r>
            <w:r>
              <w:rPr>
                <w:sz w:val="21"/>
                <w:szCs w:val="21"/>
              </w:rPr>
              <w:t>6.30</w:t>
            </w:r>
          </w:p>
        </w:tc>
      </w:tr>
      <w:tr w14:paraId="4CFE22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13EB3910">
            <w:pPr>
              <w:widowControl/>
              <w:tabs>
                <w:tab w:val="clear" w:pos="480"/>
              </w:tabs>
              <w:adjustRightInd w:val="0"/>
              <w:snapToGrid w:val="0"/>
              <w:spacing w:line="240" w:lineRule="auto"/>
              <w:ind w:firstLine="0" w:firstLineChars="0"/>
              <w:jc w:val="center"/>
              <w:rPr>
                <w:kern w:val="0"/>
                <w:sz w:val="21"/>
                <w:szCs w:val="21"/>
              </w:rPr>
            </w:pPr>
            <w:r>
              <w:rPr>
                <w:kern w:val="0"/>
                <w:sz w:val="21"/>
                <w:szCs w:val="21"/>
              </w:rPr>
              <w:t>3</w:t>
            </w:r>
          </w:p>
        </w:tc>
        <w:tc>
          <w:tcPr>
            <w:tcW w:w="1597" w:type="dxa"/>
            <w:noWrap/>
            <w:vAlign w:val="center"/>
          </w:tcPr>
          <w:p w14:paraId="41F8D050">
            <w:pPr>
              <w:tabs>
                <w:tab w:val="clear" w:pos="480"/>
              </w:tabs>
              <w:adjustRightInd w:val="0"/>
              <w:snapToGrid w:val="0"/>
              <w:spacing w:line="240" w:lineRule="auto"/>
              <w:ind w:firstLine="0" w:firstLineChars="0"/>
              <w:jc w:val="center"/>
              <w:rPr>
                <w:b/>
                <w:sz w:val="21"/>
                <w:szCs w:val="21"/>
              </w:rPr>
            </w:pPr>
            <w:r>
              <w:rPr>
                <w:b/>
                <w:sz w:val="21"/>
                <w:szCs w:val="21"/>
              </w:rPr>
              <w:t>灌草丛</w:t>
            </w:r>
          </w:p>
        </w:tc>
        <w:tc>
          <w:tcPr>
            <w:tcW w:w="1597" w:type="dxa"/>
            <w:noWrap/>
            <w:vAlign w:val="center"/>
          </w:tcPr>
          <w:p w14:paraId="015C5B11">
            <w:pPr>
              <w:tabs>
                <w:tab w:val="clear" w:pos="480"/>
              </w:tabs>
              <w:adjustRightInd w:val="0"/>
              <w:snapToGrid w:val="0"/>
              <w:spacing w:line="240" w:lineRule="auto"/>
              <w:ind w:firstLine="0" w:firstLineChars="0"/>
              <w:jc w:val="center"/>
              <w:rPr>
                <w:sz w:val="21"/>
                <w:szCs w:val="21"/>
              </w:rPr>
            </w:pPr>
            <w:r>
              <w:rPr>
                <w:rFonts w:hint="eastAsia"/>
                <w:sz w:val="21"/>
                <w:szCs w:val="21"/>
              </w:rPr>
              <w:t>6</w:t>
            </w:r>
            <w:r>
              <w:rPr>
                <w:sz w:val="21"/>
                <w:szCs w:val="21"/>
              </w:rPr>
              <w:t>67.85</w:t>
            </w:r>
          </w:p>
        </w:tc>
        <w:tc>
          <w:tcPr>
            <w:tcW w:w="1597" w:type="dxa"/>
            <w:noWrap/>
            <w:vAlign w:val="center"/>
          </w:tcPr>
          <w:p w14:paraId="4F1E5206">
            <w:pPr>
              <w:widowControl/>
              <w:tabs>
                <w:tab w:val="clear" w:pos="480"/>
              </w:tabs>
              <w:adjustRightInd w:val="0"/>
              <w:snapToGrid w:val="0"/>
              <w:spacing w:line="240" w:lineRule="auto"/>
              <w:ind w:firstLine="0" w:firstLineChars="0"/>
              <w:jc w:val="center"/>
              <w:rPr>
                <w:kern w:val="0"/>
                <w:sz w:val="21"/>
                <w:szCs w:val="21"/>
              </w:rPr>
            </w:pPr>
            <w:r>
              <w:rPr>
                <w:kern w:val="0"/>
                <w:sz w:val="21"/>
                <w:szCs w:val="21"/>
              </w:rPr>
              <w:t>57.36</w:t>
            </w:r>
          </w:p>
        </w:tc>
        <w:tc>
          <w:tcPr>
            <w:tcW w:w="1597" w:type="dxa"/>
            <w:noWrap/>
            <w:vAlign w:val="center"/>
          </w:tcPr>
          <w:p w14:paraId="593D8885">
            <w:pPr>
              <w:tabs>
                <w:tab w:val="clear" w:pos="480"/>
              </w:tabs>
              <w:adjustRightInd w:val="0"/>
              <w:snapToGrid w:val="0"/>
              <w:spacing w:line="240" w:lineRule="auto"/>
              <w:ind w:firstLine="0" w:firstLineChars="0"/>
              <w:jc w:val="center"/>
              <w:rPr>
                <w:sz w:val="21"/>
                <w:szCs w:val="21"/>
              </w:rPr>
            </w:pPr>
            <w:r>
              <w:rPr>
                <w:sz w:val="21"/>
                <w:szCs w:val="21"/>
              </w:rPr>
              <w:t>1801</w:t>
            </w:r>
          </w:p>
        </w:tc>
        <w:tc>
          <w:tcPr>
            <w:tcW w:w="1597" w:type="dxa"/>
            <w:noWrap/>
            <w:vAlign w:val="center"/>
          </w:tcPr>
          <w:p w14:paraId="28AB418A">
            <w:pPr>
              <w:tabs>
                <w:tab w:val="clear" w:pos="480"/>
              </w:tabs>
              <w:adjustRightInd w:val="0"/>
              <w:snapToGrid w:val="0"/>
              <w:spacing w:line="240" w:lineRule="auto"/>
              <w:ind w:firstLine="0" w:firstLineChars="0"/>
              <w:jc w:val="center"/>
              <w:rPr>
                <w:sz w:val="21"/>
                <w:szCs w:val="21"/>
              </w:rPr>
            </w:pPr>
            <w:r>
              <w:rPr>
                <w:rFonts w:hint="eastAsia"/>
                <w:sz w:val="21"/>
                <w:szCs w:val="21"/>
              </w:rPr>
              <w:t>4</w:t>
            </w:r>
            <w:r>
              <w:rPr>
                <w:sz w:val="21"/>
                <w:szCs w:val="21"/>
              </w:rPr>
              <w:t>6.17</w:t>
            </w:r>
          </w:p>
        </w:tc>
      </w:tr>
      <w:tr w14:paraId="1FBA5E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4C72DAEA">
            <w:pPr>
              <w:widowControl/>
              <w:tabs>
                <w:tab w:val="clear" w:pos="480"/>
              </w:tabs>
              <w:adjustRightInd w:val="0"/>
              <w:snapToGrid w:val="0"/>
              <w:spacing w:line="240" w:lineRule="auto"/>
              <w:ind w:firstLine="0" w:firstLineChars="0"/>
              <w:jc w:val="center"/>
              <w:rPr>
                <w:kern w:val="0"/>
                <w:sz w:val="21"/>
                <w:szCs w:val="21"/>
              </w:rPr>
            </w:pPr>
            <w:r>
              <w:rPr>
                <w:kern w:val="0"/>
                <w:sz w:val="21"/>
                <w:szCs w:val="21"/>
              </w:rPr>
              <w:t>4</w:t>
            </w:r>
          </w:p>
        </w:tc>
        <w:tc>
          <w:tcPr>
            <w:tcW w:w="1597" w:type="dxa"/>
            <w:noWrap/>
            <w:vAlign w:val="center"/>
          </w:tcPr>
          <w:p w14:paraId="6D451B6C">
            <w:pPr>
              <w:tabs>
                <w:tab w:val="clear" w:pos="480"/>
              </w:tabs>
              <w:adjustRightInd w:val="0"/>
              <w:snapToGrid w:val="0"/>
              <w:spacing w:line="240" w:lineRule="auto"/>
              <w:ind w:firstLine="0" w:firstLineChars="0"/>
              <w:jc w:val="center"/>
              <w:rPr>
                <w:b/>
                <w:sz w:val="21"/>
                <w:szCs w:val="21"/>
              </w:rPr>
            </w:pPr>
            <w:r>
              <w:rPr>
                <w:b/>
                <w:sz w:val="21"/>
                <w:szCs w:val="21"/>
              </w:rPr>
              <w:t>水域</w:t>
            </w:r>
          </w:p>
        </w:tc>
        <w:tc>
          <w:tcPr>
            <w:tcW w:w="1597" w:type="dxa"/>
            <w:noWrap/>
            <w:vAlign w:val="center"/>
          </w:tcPr>
          <w:p w14:paraId="0F39E4F7">
            <w:pPr>
              <w:tabs>
                <w:tab w:val="clear" w:pos="480"/>
              </w:tabs>
              <w:adjustRightInd w:val="0"/>
              <w:snapToGrid w:val="0"/>
              <w:spacing w:line="240" w:lineRule="auto"/>
              <w:ind w:firstLine="0" w:firstLineChars="0"/>
              <w:jc w:val="center"/>
              <w:rPr>
                <w:sz w:val="21"/>
                <w:szCs w:val="21"/>
              </w:rPr>
            </w:pPr>
            <w:r>
              <w:rPr>
                <w:rFonts w:hint="eastAsia"/>
                <w:sz w:val="21"/>
                <w:szCs w:val="21"/>
              </w:rPr>
              <w:t>0</w:t>
            </w:r>
            <w:r>
              <w:rPr>
                <w:sz w:val="21"/>
                <w:szCs w:val="21"/>
              </w:rPr>
              <w:t>.23</w:t>
            </w:r>
          </w:p>
        </w:tc>
        <w:tc>
          <w:tcPr>
            <w:tcW w:w="1597" w:type="dxa"/>
            <w:noWrap/>
            <w:vAlign w:val="center"/>
          </w:tcPr>
          <w:p w14:paraId="3B118C68">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0.02</w:t>
            </w:r>
          </w:p>
        </w:tc>
        <w:tc>
          <w:tcPr>
            <w:tcW w:w="1597" w:type="dxa"/>
            <w:noWrap/>
            <w:vAlign w:val="center"/>
          </w:tcPr>
          <w:p w14:paraId="2B443FDC">
            <w:pPr>
              <w:tabs>
                <w:tab w:val="clear" w:pos="480"/>
              </w:tabs>
              <w:adjustRightInd w:val="0"/>
              <w:snapToGrid w:val="0"/>
              <w:spacing w:line="240" w:lineRule="auto"/>
              <w:ind w:firstLine="0" w:firstLineChars="0"/>
              <w:jc w:val="center"/>
              <w:rPr>
                <w:sz w:val="21"/>
                <w:szCs w:val="21"/>
              </w:rPr>
            </w:pPr>
            <w:r>
              <w:rPr>
                <w:sz w:val="21"/>
                <w:szCs w:val="21"/>
              </w:rPr>
              <w:t>4</w:t>
            </w:r>
          </w:p>
        </w:tc>
        <w:tc>
          <w:tcPr>
            <w:tcW w:w="1597" w:type="dxa"/>
            <w:noWrap/>
            <w:vAlign w:val="center"/>
          </w:tcPr>
          <w:p w14:paraId="745298BC">
            <w:pPr>
              <w:tabs>
                <w:tab w:val="clear" w:pos="480"/>
              </w:tabs>
              <w:adjustRightInd w:val="0"/>
              <w:snapToGrid w:val="0"/>
              <w:spacing w:line="240" w:lineRule="auto"/>
              <w:ind w:firstLine="0" w:firstLineChars="0"/>
              <w:jc w:val="center"/>
              <w:rPr>
                <w:sz w:val="21"/>
                <w:szCs w:val="21"/>
              </w:rPr>
            </w:pPr>
            <w:r>
              <w:rPr>
                <w:rFonts w:hint="eastAsia"/>
                <w:sz w:val="21"/>
                <w:szCs w:val="21"/>
              </w:rPr>
              <w:t>0</w:t>
            </w:r>
            <w:r>
              <w:rPr>
                <w:sz w:val="21"/>
                <w:szCs w:val="21"/>
              </w:rPr>
              <w:t>.10</w:t>
            </w:r>
          </w:p>
        </w:tc>
      </w:tr>
      <w:tr w14:paraId="3BA642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4BD6BDDF">
            <w:pPr>
              <w:widowControl/>
              <w:tabs>
                <w:tab w:val="clear" w:pos="480"/>
              </w:tabs>
              <w:adjustRightInd w:val="0"/>
              <w:snapToGrid w:val="0"/>
              <w:spacing w:line="240" w:lineRule="auto"/>
              <w:ind w:firstLine="0" w:firstLineChars="0"/>
              <w:jc w:val="center"/>
              <w:rPr>
                <w:kern w:val="0"/>
                <w:sz w:val="21"/>
                <w:szCs w:val="21"/>
              </w:rPr>
            </w:pPr>
            <w:r>
              <w:rPr>
                <w:kern w:val="0"/>
                <w:sz w:val="21"/>
                <w:szCs w:val="21"/>
              </w:rPr>
              <w:t>5</w:t>
            </w:r>
          </w:p>
        </w:tc>
        <w:tc>
          <w:tcPr>
            <w:tcW w:w="1597" w:type="dxa"/>
            <w:noWrap/>
            <w:vAlign w:val="center"/>
          </w:tcPr>
          <w:p w14:paraId="083EEF94">
            <w:pPr>
              <w:tabs>
                <w:tab w:val="clear" w:pos="480"/>
              </w:tabs>
              <w:adjustRightInd w:val="0"/>
              <w:snapToGrid w:val="0"/>
              <w:spacing w:line="240" w:lineRule="auto"/>
              <w:ind w:firstLine="0" w:firstLineChars="0"/>
              <w:jc w:val="center"/>
              <w:rPr>
                <w:b/>
                <w:sz w:val="21"/>
                <w:szCs w:val="21"/>
              </w:rPr>
            </w:pPr>
            <w:r>
              <w:rPr>
                <w:b/>
                <w:sz w:val="21"/>
                <w:szCs w:val="21"/>
              </w:rPr>
              <w:t>建设用地</w:t>
            </w:r>
          </w:p>
        </w:tc>
        <w:tc>
          <w:tcPr>
            <w:tcW w:w="1597" w:type="dxa"/>
            <w:noWrap/>
            <w:vAlign w:val="center"/>
          </w:tcPr>
          <w:p w14:paraId="7179B2E4">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5.14</w:t>
            </w:r>
          </w:p>
        </w:tc>
        <w:tc>
          <w:tcPr>
            <w:tcW w:w="1597" w:type="dxa"/>
            <w:noWrap/>
            <w:vAlign w:val="center"/>
          </w:tcPr>
          <w:p w14:paraId="64D0C285">
            <w:pPr>
              <w:widowControl/>
              <w:tabs>
                <w:tab w:val="clear" w:pos="480"/>
              </w:tabs>
              <w:adjustRightInd w:val="0"/>
              <w:snapToGrid w:val="0"/>
              <w:spacing w:line="240" w:lineRule="auto"/>
              <w:ind w:firstLine="0" w:firstLineChars="0"/>
              <w:jc w:val="center"/>
              <w:rPr>
                <w:sz w:val="21"/>
                <w:szCs w:val="21"/>
              </w:rPr>
            </w:pPr>
            <w:r>
              <w:rPr>
                <w:kern w:val="0"/>
                <w:sz w:val="21"/>
                <w:szCs w:val="21"/>
                <w14:ligatures w14:val="standardContextual"/>
              </w:rPr>
              <w:t>1.30</w:t>
            </w:r>
          </w:p>
        </w:tc>
        <w:tc>
          <w:tcPr>
            <w:tcW w:w="1597" w:type="dxa"/>
            <w:noWrap/>
            <w:vAlign w:val="center"/>
          </w:tcPr>
          <w:p w14:paraId="37C36586">
            <w:pPr>
              <w:tabs>
                <w:tab w:val="clear" w:pos="480"/>
              </w:tabs>
              <w:adjustRightInd w:val="0"/>
              <w:snapToGrid w:val="0"/>
              <w:spacing w:line="240" w:lineRule="auto"/>
              <w:ind w:firstLine="0" w:firstLineChars="0"/>
              <w:jc w:val="center"/>
              <w:rPr>
                <w:sz w:val="21"/>
                <w:szCs w:val="21"/>
              </w:rPr>
            </w:pPr>
            <w:r>
              <w:rPr>
                <w:sz w:val="21"/>
                <w:szCs w:val="21"/>
              </w:rPr>
              <w:t>10</w:t>
            </w:r>
          </w:p>
        </w:tc>
        <w:tc>
          <w:tcPr>
            <w:tcW w:w="1597" w:type="dxa"/>
            <w:noWrap/>
            <w:vAlign w:val="center"/>
          </w:tcPr>
          <w:p w14:paraId="5E1A8D29">
            <w:pPr>
              <w:tabs>
                <w:tab w:val="clear" w:pos="480"/>
              </w:tabs>
              <w:adjustRightInd w:val="0"/>
              <w:snapToGrid w:val="0"/>
              <w:spacing w:line="240" w:lineRule="auto"/>
              <w:ind w:firstLine="0" w:firstLineChars="0"/>
              <w:jc w:val="center"/>
              <w:rPr>
                <w:sz w:val="21"/>
                <w:szCs w:val="21"/>
              </w:rPr>
            </w:pPr>
            <w:r>
              <w:rPr>
                <w:rFonts w:hint="eastAsia"/>
                <w:sz w:val="21"/>
                <w:szCs w:val="21"/>
              </w:rPr>
              <w:t>0</w:t>
            </w:r>
            <w:r>
              <w:rPr>
                <w:sz w:val="21"/>
                <w:szCs w:val="21"/>
              </w:rPr>
              <w:t>.26</w:t>
            </w:r>
          </w:p>
        </w:tc>
      </w:tr>
      <w:tr w14:paraId="35E6ED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noWrap/>
            <w:vAlign w:val="center"/>
          </w:tcPr>
          <w:p w14:paraId="7458A616">
            <w:pPr>
              <w:widowControl/>
              <w:tabs>
                <w:tab w:val="clear" w:pos="480"/>
              </w:tabs>
              <w:adjustRightInd w:val="0"/>
              <w:snapToGrid w:val="0"/>
              <w:spacing w:line="240" w:lineRule="auto"/>
              <w:ind w:firstLine="0" w:firstLineChars="0"/>
              <w:jc w:val="center"/>
              <w:rPr>
                <w:kern w:val="0"/>
                <w:sz w:val="21"/>
                <w:szCs w:val="21"/>
              </w:rPr>
            </w:pPr>
            <w:r>
              <w:rPr>
                <w:kern w:val="0"/>
                <w:sz w:val="21"/>
                <w:szCs w:val="21"/>
              </w:rPr>
              <w:t>6</w:t>
            </w:r>
          </w:p>
        </w:tc>
        <w:tc>
          <w:tcPr>
            <w:tcW w:w="1597" w:type="dxa"/>
            <w:noWrap/>
            <w:vAlign w:val="center"/>
          </w:tcPr>
          <w:p w14:paraId="07E87F86">
            <w:pPr>
              <w:tabs>
                <w:tab w:val="clear" w:pos="480"/>
              </w:tabs>
              <w:adjustRightInd w:val="0"/>
              <w:snapToGrid w:val="0"/>
              <w:spacing w:line="240" w:lineRule="auto"/>
              <w:ind w:firstLine="0" w:firstLineChars="0"/>
              <w:jc w:val="center"/>
              <w:rPr>
                <w:b/>
                <w:sz w:val="21"/>
                <w:szCs w:val="21"/>
              </w:rPr>
            </w:pPr>
            <w:r>
              <w:rPr>
                <w:b/>
                <w:sz w:val="21"/>
                <w:szCs w:val="21"/>
              </w:rPr>
              <w:t>耕地</w:t>
            </w:r>
          </w:p>
        </w:tc>
        <w:tc>
          <w:tcPr>
            <w:tcW w:w="1597" w:type="dxa"/>
            <w:noWrap/>
            <w:vAlign w:val="center"/>
          </w:tcPr>
          <w:p w14:paraId="7D70EFF3">
            <w:pPr>
              <w:tabs>
                <w:tab w:val="clear" w:pos="480"/>
              </w:tabs>
              <w:adjustRightInd w:val="0"/>
              <w:snapToGrid w:val="0"/>
              <w:spacing w:line="240" w:lineRule="auto"/>
              <w:ind w:firstLine="0" w:firstLineChars="0"/>
              <w:jc w:val="center"/>
              <w:rPr>
                <w:sz w:val="21"/>
                <w:szCs w:val="21"/>
              </w:rPr>
            </w:pPr>
            <w:r>
              <w:rPr>
                <w:rFonts w:hint="eastAsia"/>
                <w:sz w:val="21"/>
                <w:szCs w:val="21"/>
              </w:rPr>
              <w:t>4</w:t>
            </w:r>
            <w:r>
              <w:rPr>
                <w:sz w:val="21"/>
                <w:szCs w:val="21"/>
              </w:rPr>
              <w:t>.42</w:t>
            </w:r>
          </w:p>
        </w:tc>
        <w:tc>
          <w:tcPr>
            <w:tcW w:w="1597" w:type="dxa"/>
            <w:noWrap/>
            <w:vAlign w:val="center"/>
          </w:tcPr>
          <w:p w14:paraId="70B226EC">
            <w:pPr>
              <w:widowControl/>
              <w:tabs>
                <w:tab w:val="clear" w:pos="480"/>
              </w:tabs>
              <w:adjustRightInd w:val="0"/>
              <w:snapToGrid w:val="0"/>
              <w:spacing w:line="240" w:lineRule="auto"/>
              <w:ind w:firstLine="0" w:firstLineChars="0"/>
              <w:jc w:val="center"/>
              <w:rPr>
                <w:kern w:val="0"/>
                <w:sz w:val="21"/>
                <w:szCs w:val="21"/>
              </w:rPr>
            </w:pPr>
            <w:r>
              <w:rPr>
                <w:kern w:val="0"/>
                <w:sz w:val="21"/>
                <w:szCs w:val="21"/>
                <w14:ligatures w14:val="standardContextual"/>
              </w:rPr>
              <w:t>0.38</w:t>
            </w:r>
          </w:p>
        </w:tc>
        <w:tc>
          <w:tcPr>
            <w:tcW w:w="1597" w:type="dxa"/>
            <w:noWrap/>
            <w:vAlign w:val="center"/>
          </w:tcPr>
          <w:p w14:paraId="7D8C306E">
            <w:pPr>
              <w:tabs>
                <w:tab w:val="clear" w:pos="480"/>
              </w:tabs>
              <w:adjustRightInd w:val="0"/>
              <w:snapToGrid w:val="0"/>
              <w:spacing w:line="240" w:lineRule="auto"/>
              <w:ind w:firstLine="0" w:firstLineChars="0"/>
              <w:jc w:val="center"/>
              <w:rPr>
                <w:sz w:val="21"/>
                <w:szCs w:val="21"/>
              </w:rPr>
            </w:pPr>
            <w:r>
              <w:rPr>
                <w:sz w:val="21"/>
                <w:szCs w:val="21"/>
              </w:rPr>
              <w:t>98</w:t>
            </w:r>
          </w:p>
        </w:tc>
        <w:tc>
          <w:tcPr>
            <w:tcW w:w="1597" w:type="dxa"/>
            <w:noWrap/>
            <w:vAlign w:val="center"/>
          </w:tcPr>
          <w:p w14:paraId="062AE02E">
            <w:pPr>
              <w:tabs>
                <w:tab w:val="clear" w:pos="480"/>
              </w:tabs>
              <w:adjustRightInd w:val="0"/>
              <w:snapToGrid w:val="0"/>
              <w:spacing w:line="240" w:lineRule="auto"/>
              <w:ind w:firstLine="0" w:firstLineChars="0"/>
              <w:jc w:val="center"/>
              <w:rPr>
                <w:sz w:val="21"/>
                <w:szCs w:val="21"/>
              </w:rPr>
            </w:pPr>
            <w:r>
              <w:rPr>
                <w:rFonts w:hint="eastAsia"/>
                <w:sz w:val="21"/>
                <w:szCs w:val="21"/>
              </w:rPr>
              <w:t>2</w:t>
            </w:r>
            <w:r>
              <w:rPr>
                <w:sz w:val="21"/>
                <w:szCs w:val="21"/>
              </w:rPr>
              <w:t>.51</w:t>
            </w:r>
          </w:p>
        </w:tc>
      </w:tr>
      <w:tr w14:paraId="6C31E9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0" w:type="dxa"/>
            <w:gridSpan w:val="2"/>
            <w:noWrap/>
            <w:vAlign w:val="center"/>
          </w:tcPr>
          <w:p w14:paraId="7739AD36">
            <w:pPr>
              <w:widowControl/>
              <w:tabs>
                <w:tab w:val="clear" w:pos="480"/>
              </w:tabs>
              <w:adjustRightInd w:val="0"/>
              <w:snapToGrid w:val="0"/>
              <w:spacing w:line="240" w:lineRule="auto"/>
              <w:ind w:firstLine="0" w:firstLineChars="0"/>
              <w:jc w:val="center"/>
              <w:rPr>
                <w:b/>
                <w:bCs/>
                <w:kern w:val="0"/>
                <w:sz w:val="21"/>
                <w:szCs w:val="21"/>
              </w:rPr>
            </w:pPr>
            <w:r>
              <w:rPr>
                <w:b/>
                <w:bCs/>
                <w:kern w:val="0"/>
                <w:sz w:val="21"/>
                <w:szCs w:val="21"/>
              </w:rPr>
              <w:t>合计</w:t>
            </w:r>
          </w:p>
        </w:tc>
        <w:tc>
          <w:tcPr>
            <w:tcW w:w="1597" w:type="dxa"/>
            <w:noWrap/>
            <w:vAlign w:val="center"/>
          </w:tcPr>
          <w:p w14:paraId="7AB6F1DE">
            <w:pPr>
              <w:widowControl/>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164.32</w:t>
            </w:r>
          </w:p>
        </w:tc>
        <w:tc>
          <w:tcPr>
            <w:tcW w:w="1597" w:type="dxa"/>
            <w:noWrap/>
            <w:vAlign w:val="center"/>
          </w:tcPr>
          <w:p w14:paraId="5769B839">
            <w:pPr>
              <w:widowControl/>
              <w:tabs>
                <w:tab w:val="clear" w:pos="480"/>
              </w:tabs>
              <w:adjustRightInd w:val="0"/>
              <w:snapToGrid w:val="0"/>
              <w:spacing w:line="240" w:lineRule="auto"/>
              <w:ind w:firstLine="0" w:firstLineChars="0"/>
              <w:jc w:val="center"/>
              <w:rPr>
                <w:bCs/>
                <w:kern w:val="0"/>
                <w:sz w:val="21"/>
                <w:szCs w:val="21"/>
              </w:rPr>
            </w:pPr>
            <w:r>
              <w:rPr>
                <w:kern w:val="0"/>
                <w:sz w:val="21"/>
                <w:szCs w:val="21"/>
              </w:rPr>
              <w:t>—</w:t>
            </w:r>
          </w:p>
        </w:tc>
        <w:tc>
          <w:tcPr>
            <w:tcW w:w="1597" w:type="dxa"/>
            <w:noWrap/>
            <w:vAlign w:val="center"/>
          </w:tcPr>
          <w:p w14:paraId="0DCD562D">
            <w:pPr>
              <w:widowControl/>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3</w:t>
            </w:r>
            <w:r>
              <w:rPr>
                <w:kern w:val="0"/>
                <w:sz w:val="21"/>
                <w:szCs w:val="21"/>
              </w:rPr>
              <w:t>901</w:t>
            </w:r>
          </w:p>
        </w:tc>
        <w:tc>
          <w:tcPr>
            <w:tcW w:w="1597" w:type="dxa"/>
            <w:noWrap/>
            <w:vAlign w:val="center"/>
          </w:tcPr>
          <w:p w14:paraId="196FAC4E">
            <w:pPr>
              <w:tabs>
                <w:tab w:val="clear" w:pos="480"/>
              </w:tabs>
              <w:adjustRightInd w:val="0"/>
              <w:snapToGrid w:val="0"/>
              <w:spacing w:line="240" w:lineRule="auto"/>
              <w:ind w:firstLine="0" w:firstLineChars="0"/>
              <w:jc w:val="center"/>
              <w:rPr>
                <w:sz w:val="21"/>
                <w:szCs w:val="21"/>
              </w:rPr>
            </w:pPr>
            <w:r>
              <w:rPr>
                <w:kern w:val="0"/>
                <w:sz w:val="21"/>
                <w:szCs w:val="21"/>
              </w:rPr>
              <w:t>—</w:t>
            </w:r>
          </w:p>
        </w:tc>
      </w:tr>
    </w:tbl>
    <w:p w14:paraId="51D3EFAE">
      <w:pPr>
        <w:adjustRightInd w:val="0"/>
        <w:snapToGrid w:val="0"/>
        <w:ind w:firstLine="480"/>
      </w:pPr>
      <w:r>
        <w:t>根据卫片解译结果和结合现场调查情况来看，评价区以林地、灌草地为主，占评价区总面积的97.13%，主要有杉木林、马尾松林、青冈林、毛竹林、</w:t>
      </w:r>
      <w:r>
        <w:rPr>
          <w:rFonts w:hint="eastAsia"/>
        </w:rPr>
        <w:t>篌竹灌丛</w:t>
      </w:r>
      <w:r>
        <w:t>等，区域内人为干扰小，植被覆盖率高。</w:t>
      </w:r>
    </w:p>
    <w:p w14:paraId="4A9EC957">
      <w:pPr>
        <w:tabs>
          <w:tab w:val="clear" w:pos="480"/>
        </w:tabs>
        <w:adjustRightInd w:val="0"/>
        <w:snapToGrid w:val="0"/>
        <w:ind w:firstLine="0" w:firstLineChars="0"/>
        <w:outlineLvl w:val="3"/>
        <w:rPr>
          <w:b/>
          <w:kern w:val="0"/>
          <w:lang w:val="zh-CN"/>
        </w:rPr>
      </w:pPr>
      <w:r>
        <w:rPr>
          <w:b/>
          <w:kern w:val="0"/>
          <w:lang w:val="zh-CN"/>
        </w:rPr>
        <w:t>5.5.4.8</w:t>
      </w:r>
      <w:r>
        <w:rPr>
          <w:rFonts w:hint="eastAsia"/>
          <w:b/>
          <w:kern w:val="0"/>
          <w:lang w:val="zh-CN"/>
        </w:rPr>
        <w:t>工程占地区生态环境现状</w:t>
      </w:r>
    </w:p>
    <w:p w14:paraId="489EF45C">
      <w:pPr>
        <w:adjustRightInd w:val="0"/>
        <w:snapToGrid w:val="0"/>
        <w:ind w:firstLine="480"/>
      </w:pPr>
      <w:r>
        <w:rPr>
          <w:rFonts w:hint="eastAsia"/>
        </w:rPr>
        <w:t>衡阳县杉桥风电场工程区主要由风机基础及箱变基础区、集电线路区、升压站区、施工道路区、施工生产生活区、弃渣场区等组成。工程影响区域生态环境现状见下表。</w:t>
      </w:r>
    </w:p>
    <w:p w14:paraId="15113A87">
      <w:pPr>
        <w:adjustRightInd w:val="0"/>
        <w:snapToGrid w:val="0"/>
        <w:ind w:firstLine="480"/>
      </w:pPr>
      <w:r>
        <w:rPr>
          <w:rFonts w:hint="eastAsia"/>
        </w:rPr>
        <w:t>（1）风电机组区</w:t>
      </w:r>
    </w:p>
    <w:p w14:paraId="346BFCB2">
      <w:pPr>
        <w:adjustRightInd w:val="0"/>
        <w:snapToGrid w:val="0"/>
        <w:ind w:firstLine="480"/>
        <w:sectPr>
          <w:pgSz w:w="11905" w:h="16838"/>
          <w:pgMar w:top="1440" w:right="1797" w:bottom="1440" w:left="1797" w:header="567" w:footer="567" w:gutter="0"/>
          <w:cols w:space="0" w:num="1"/>
          <w:docGrid w:type="lines" w:linePitch="333" w:charSpace="0"/>
        </w:sectPr>
      </w:pPr>
      <w:r>
        <w:t>本项目拟设计安装10台单机容量为5.0MW的风力发电机组，装机容量为50MW。主体设计占地3.45hm</w:t>
      </w:r>
      <w:r>
        <w:rPr>
          <w:vertAlign w:val="superscript"/>
        </w:rPr>
        <w:t>2</w:t>
      </w:r>
      <w:r>
        <w:t>，其中风机基础和箱变基础永久占地0.45hm</w:t>
      </w:r>
      <w:r>
        <w:rPr>
          <w:vertAlign w:val="superscript"/>
        </w:rPr>
        <w:t>2</w:t>
      </w:r>
      <w:r>
        <w:t>，安装场地临时占地3.0hm</w:t>
      </w:r>
      <w:r>
        <w:rPr>
          <w:vertAlign w:val="superscript"/>
        </w:rPr>
        <w:t>2</w:t>
      </w:r>
      <w:r>
        <w:t>。</w:t>
      </w:r>
    </w:p>
    <w:p w14:paraId="613CA611">
      <w:pPr>
        <w:adjustRightInd w:val="0"/>
        <w:snapToGrid w:val="0"/>
        <w:spacing w:line="240" w:lineRule="auto"/>
        <w:ind w:firstLine="198" w:firstLineChars="82"/>
        <w:jc w:val="center"/>
        <w:rPr>
          <w:b/>
          <w:bCs/>
        </w:rPr>
      </w:pPr>
      <w:r>
        <w:rPr>
          <w:rFonts w:hint="eastAsia"/>
          <w:b/>
          <w:bCs/>
        </w:rPr>
        <w:t>表</w:t>
      </w:r>
      <w:r>
        <w:rPr>
          <w:b/>
          <w:bCs/>
        </w:rPr>
        <w:t>5.5-5</w:t>
      </w:r>
      <w:r>
        <w:rPr>
          <w:rFonts w:hint="eastAsia"/>
          <w:b/>
          <w:bCs/>
        </w:rPr>
        <w:t>项目风电机组区植被现状</w:t>
      </w:r>
    </w:p>
    <w:tbl>
      <w:tblPr>
        <w:tblStyle w:val="368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6"/>
        <w:gridCol w:w="3599"/>
        <w:gridCol w:w="4072"/>
      </w:tblGrid>
      <w:tr w14:paraId="7273B3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6EBBB570">
            <w:pPr>
              <w:tabs>
                <w:tab w:val="clear" w:pos="480"/>
              </w:tabs>
              <w:spacing w:line="240" w:lineRule="auto"/>
              <w:ind w:firstLine="0" w:firstLineChars="0"/>
              <w:jc w:val="center"/>
              <w:rPr>
                <w:b/>
                <w:sz w:val="18"/>
                <w:szCs w:val="18"/>
              </w:rPr>
            </w:pPr>
            <w:r>
              <w:rPr>
                <w:rFonts w:hint="eastAsia"/>
                <w:b/>
                <w:sz w:val="18"/>
                <w:szCs w:val="18"/>
              </w:rPr>
              <w:t>项目</w:t>
            </w:r>
          </w:p>
        </w:tc>
        <w:tc>
          <w:tcPr>
            <w:tcW w:w="2110" w:type="pct"/>
            <w:vAlign w:val="center"/>
          </w:tcPr>
          <w:p w14:paraId="322C6CAB">
            <w:pPr>
              <w:tabs>
                <w:tab w:val="clear" w:pos="480"/>
              </w:tabs>
              <w:spacing w:line="240" w:lineRule="auto"/>
              <w:ind w:firstLine="0" w:firstLineChars="0"/>
              <w:jc w:val="center"/>
              <w:rPr>
                <w:b/>
                <w:sz w:val="18"/>
                <w:szCs w:val="18"/>
              </w:rPr>
            </w:pPr>
            <w:r>
              <w:rPr>
                <w:rFonts w:hint="eastAsia"/>
                <w:b/>
                <w:sz w:val="18"/>
                <w:szCs w:val="18"/>
              </w:rPr>
              <w:t>植物现状</w:t>
            </w:r>
          </w:p>
        </w:tc>
        <w:tc>
          <w:tcPr>
            <w:tcW w:w="2388" w:type="pct"/>
            <w:vAlign w:val="center"/>
          </w:tcPr>
          <w:p w14:paraId="6D51B402">
            <w:pPr>
              <w:tabs>
                <w:tab w:val="clear" w:pos="480"/>
              </w:tabs>
              <w:spacing w:line="240" w:lineRule="auto"/>
              <w:ind w:firstLine="0" w:firstLineChars="0"/>
              <w:jc w:val="center"/>
              <w:rPr>
                <w:b/>
                <w:sz w:val="18"/>
                <w:szCs w:val="18"/>
              </w:rPr>
            </w:pPr>
            <w:r>
              <w:rPr>
                <w:rFonts w:hint="eastAsia"/>
                <w:b/>
                <w:sz w:val="18"/>
                <w:szCs w:val="18"/>
              </w:rPr>
              <w:t>照片</w:t>
            </w:r>
          </w:p>
        </w:tc>
      </w:tr>
      <w:tr w14:paraId="4AB9B0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5BB647DD">
            <w:pPr>
              <w:tabs>
                <w:tab w:val="clear" w:pos="480"/>
              </w:tabs>
              <w:spacing w:line="240" w:lineRule="auto"/>
              <w:ind w:firstLine="0" w:firstLineChars="0"/>
              <w:jc w:val="center"/>
              <w:rPr>
                <w:sz w:val="18"/>
                <w:szCs w:val="18"/>
              </w:rPr>
            </w:pPr>
            <w:r>
              <w:rPr>
                <w:rFonts w:hint="eastAsia"/>
                <w:sz w:val="18"/>
                <w:szCs w:val="18"/>
              </w:rPr>
              <w:t>1</w:t>
            </w:r>
            <w:r>
              <w:rPr>
                <w:sz w:val="18"/>
                <w:szCs w:val="18"/>
              </w:rPr>
              <w:t>#</w:t>
            </w:r>
          </w:p>
        </w:tc>
        <w:tc>
          <w:tcPr>
            <w:tcW w:w="2110" w:type="pct"/>
            <w:vAlign w:val="center"/>
          </w:tcPr>
          <w:p w14:paraId="7AEFD434">
            <w:pPr>
              <w:tabs>
                <w:tab w:val="clear" w:pos="480"/>
              </w:tabs>
              <w:spacing w:line="240" w:lineRule="auto"/>
              <w:ind w:firstLine="0" w:firstLineChars="0"/>
              <w:rPr>
                <w:sz w:val="18"/>
                <w:szCs w:val="18"/>
              </w:rPr>
            </w:pPr>
            <w:r>
              <w:rPr>
                <w:rFonts w:hint="eastAsia"/>
                <w:sz w:val="18"/>
                <w:szCs w:val="18"/>
              </w:rPr>
              <w:t>该区域土地利用类型以林地为主，植被以灌丛为主，常见的群系有油茶灌丛，常见的植物有油茶、粗野悬钩子、白茅、龙牙草等。</w:t>
            </w:r>
          </w:p>
        </w:tc>
        <w:tc>
          <w:tcPr>
            <w:tcW w:w="2388" w:type="pct"/>
            <w:vAlign w:val="center"/>
          </w:tcPr>
          <w:p w14:paraId="5DACD6CF">
            <w:pPr>
              <w:tabs>
                <w:tab w:val="clear" w:pos="480"/>
              </w:tabs>
              <w:spacing w:line="240" w:lineRule="auto"/>
              <w:ind w:firstLine="0" w:firstLineChars="0"/>
              <w:jc w:val="center"/>
              <w:rPr>
                <w:sz w:val="18"/>
                <w:szCs w:val="18"/>
              </w:rPr>
            </w:pPr>
            <w:r>
              <w:drawing>
                <wp:inline distT="0" distB="0" distL="0" distR="0">
                  <wp:extent cx="2416175" cy="1685290"/>
                  <wp:effectExtent l="0" t="0" r="3175" b="0"/>
                  <wp:docPr id="1089992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92401" name="图片 1"/>
                          <pic:cNvPicPr>
                            <a:picLocks noChangeAspect="1"/>
                          </pic:cNvPicPr>
                        </pic:nvPicPr>
                        <pic:blipFill>
                          <a:blip r:embed="rId40"/>
                          <a:stretch>
                            <a:fillRect/>
                          </a:stretch>
                        </pic:blipFill>
                        <pic:spPr>
                          <a:xfrm>
                            <a:off x="0" y="0"/>
                            <a:ext cx="2431449" cy="1695967"/>
                          </a:xfrm>
                          <a:prstGeom prst="rect">
                            <a:avLst/>
                          </a:prstGeom>
                        </pic:spPr>
                      </pic:pic>
                    </a:graphicData>
                  </a:graphic>
                </wp:inline>
              </w:drawing>
            </w:r>
          </w:p>
        </w:tc>
      </w:tr>
      <w:tr w14:paraId="0723E8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50AA3932">
            <w:pPr>
              <w:tabs>
                <w:tab w:val="clear" w:pos="480"/>
              </w:tabs>
              <w:spacing w:line="240" w:lineRule="auto"/>
              <w:ind w:firstLine="0" w:firstLineChars="0"/>
              <w:jc w:val="center"/>
              <w:rPr>
                <w:sz w:val="18"/>
                <w:szCs w:val="18"/>
              </w:rPr>
            </w:pPr>
            <w:r>
              <w:rPr>
                <w:rFonts w:hint="eastAsia"/>
                <w:sz w:val="18"/>
                <w:szCs w:val="18"/>
              </w:rPr>
              <w:t>2</w:t>
            </w:r>
            <w:r>
              <w:rPr>
                <w:sz w:val="18"/>
                <w:szCs w:val="18"/>
              </w:rPr>
              <w:t>#</w:t>
            </w:r>
          </w:p>
        </w:tc>
        <w:tc>
          <w:tcPr>
            <w:tcW w:w="2110" w:type="pct"/>
            <w:vAlign w:val="center"/>
          </w:tcPr>
          <w:p w14:paraId="2D611FBD">
            <w:pPr>
              <w:tabs>
                <w:tab w:val="clear" w:pos="480"/>
              </w:tabs>
              <w:spacing w:line="240" w:lineRule="auto"/>
              <w:ind w:firstLine="0" w:firstLineChars="0"/>
              <w:rPr>
                <w:sz w:val="18"/>
                <w:szCs w:val="18"/>
              </w:rPr>
            </w:pPr>
            <w:r>
              <w:rPr>
                <w:rFonts w:hint="eastAsia"/>
                <w:sz w:val="18"/>
                <w:szCs w:val="18"/>
              </w:rPr>
              <w:t>该区域土地利用类型以林地为主，植被类型以低山针叶林、灌丛为主，常见的群系有杉木林、油茶灌丛，常见的植物有油茶、粗野悬钩子、蕨、龙牙草、杉木（主要分布于2#风机西侧）等。</w:t>
            </w:r>
          </w:p>
        </w:tc>
        <w:tc>
          <w:tcPr>
            <w:tcW w:w="2388" w:type="pct"/>
            <w:vAlign w:val="center"/>
          </w:tcPr>
          <w:p w14:paraId="020B50B5">
            <w:pPr>
              <w:tabs>
                <w:tab w:val="clear" w:pos="480"/>
              </w:tabs>
              <w:spacing w:line="240" w:lineRule="auto"/>
              <w:ind w:firstLine="0" w:firstLineChars="0"/>
              <w:jc w:val="center"/>
              <w:rPr>
                <w:sz w:val="18"/>
                <w:szCs w:val="18"/>
              </w:rPr>
            </w:pPr>
            <w:r>
              <w:drawing>
                <wp:inline distT="0" distB="0" distL="0" distR="0">
                  <wp:extent cx="2425065" cy="1661795"/>
                  <wp:effectExtent l="0" t="0" r="0" b="0"/>
                  <wp:docPr id="1588424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24552" name="图片 1"/>
                          <pic:cNvPicPr>
                            <a:picLocks noChangeAspect="1"/>
                          </pic:cNvPicPr>
                        </pic:nvPicPr>
                        <pic:blipFill>
                          <a:blip r:embed="rId41"/>
                          <a:stretch>
                            <a:fillRect/>
                          </a:stretch>
                        </pic:blipFill>
                        <pic:spPr>
                          <a:xfrm>
                            <a:off x="0" y="0"/>
                            <a:ext cx="2438087" cy="1670601"/>
                          </a:xfrm>
                          <a:prstGeom prst="rect">
                            <a:avLst/>
                          </a:prstGeom>
                        </pic:spPr>
                      </pic:pic>
                    </a:graphicData>
                  </a:graphic>
                </wp:inline>
              </w:drawing>
            </w:r>
          </w:p>
        </w:tc>
      </w:tr>
      <w:tr w14:paraId="654EF3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07949751">
            <w:pPr>
              <w:tabs>
                <w:tab w:val="clear" w:pos="480"/>
              </w:tabs>
              <w:spacing w:line="240" w:lineRule="auto"/>
              <w:ind w:firstLine="0" w:firstLineChars="0"/>
              <w:jc w:val="center"/>
              <w:rPr>
                <w:sz w:val="18"/>
                <w:szCs w:val="18"/>
              </w:rPr>
            </w:pPr>
            <w:r>
              <w:rPr>
                <w:rFonts w:hint="eastAsia"/>
                <w:sz w:val="18"/>
                <w:szCs w:val="18"/>
              </w:rPr>
              <w:t>3</w:t>
            </w:r>
            <w:r>
              <w:rPr>
                <w:sz w:val="18"/>
                <w:szCs w:val="18"/>
              </w:rPr>
              <w:t>#</w:t>
            </w:r>
          </w:p>
        </w:tc>
        <w:tc>
          <w:tcPr>
            <w:tcW w:w="2110" w:type="pct"/>
            <w:vAlign w:val="center"/>
          </w:tcPr>
          <w:p w14:paraId="6A7DBCC1">
            <w:pPr>
              <w:tabs>
                <w:tab w:val="clear" w:pos="480"/>
              </w:tabs>
              <w:spacing w:line="240" w:lineRule="auto"/>
              <w:ind w:firstLine="0" w:firstLineChars="0"/>
              <w:rPr>
                <w:sz w:val="18"/>
                <w:szCs w:val="18"/>
              </w:rPr>
            </w:pPr>
            <w:r>
              <w:rPr>
                <w:rFonts w:hint="eastAsia"/>
                <w:sz w:val="18"/>
                <w:szCs w:val="18"/>
              </w:rPr>
              <w:t>该区域土地利用类型以林地为主，植被类型以低山针叶林、灌草丛为主，常见的群系有杉木林、马尾松林、五节芒灌草从、龙牙草灌草从，常见的植物有杉木和马尾松（主要分布于</w:t>
            </w:r>
            <w:r>
              <w:rPr>
                <w:sz w:val="18"/>
                <w:szCs w:val="18"/>
              </w:rPr>
              <w:t>3</w:t>
            </w:r>
            <w:r>
              <w:rPr>
                <w:rFonts w:hint="eastAsia"/>
                <w:sz w:val="18"/>
                <w:szCs w:val="18"/>
              </w:rPr>
              <w:t>#风机西侧）、五节芒、龙牙草和少量油茶等。</w:t>
            </w:r>
          </w:p>
        </w:tc>
        <w:tc>
          <w:tcPr>
            <w:tcW w:w="2388" w:type="pct"/>
            <w:vAlign w:val="center"/>
          </w:tcPr>
          <w:p w14:paraId="74BF2DDA">
            <w:pPr>
              <w:tabs>
                <w:tab w:val="clear" w:pos="480"/>
              </w:tabs>
              <w:spacing w:line="240" w:lineRule="auto"/>
              <w:ind w:firstLine="0" w:firstLineChars="0"/>
              <w:jc w:val="center"/>
              <w:rPr>
                <w:sz w:val="18"/>
                <w:szCs w:val="18"/>
              </w:rPr>
            </w:pPr>
            <w:r>
              <w:drawing>
                <wp:inline distT="0" distB="0" distL="0" distR="0">
                  <wp:extent cx="2434590" cy="1732915"/>
                  <wp:effectExtent l="0" t="0" r="3810" b="635"/>
                  <wp:docPr id="1241906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06974" name="图片 1"/>
                          <pic:cNvPicPr>
                            <a:picLocks noChangeAspect="1"/>
                          </pic:cNvPicPr>
                        </pic:nvPicPr>
                        <pic:blipFill>
                          <a:blip r:embed="rId42"/>
                          <a:stretch>
                            <a:fillRect/>
                          </a:stretch>
                        </pic:blipFill>
                        <pic:spPr>
                          <a:xfrm>
                            <a:off x="0" y="0"/>
                            <a:ext cx="2446954" cy="1742121"/>
                          </a:xfrm>
                          <a:prstGeom prst="rect">
                            <a:avLst/>
                          </a:prstGeom>
                        </pic:spPr>
                      </pic:pic>
                    </a:graphicData>
                  </a:graphic>
                </wp:inline>
              </w:drawing>
            </w:r>
          </w:p>
        </w:tc>
      </w:tr>
      <w:tr w14:paraId="7F26C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20D36C8C">
            <w:pPr>
              <w:tabs>
                <w:tab w:val="clear" w:pos="480"/>
              </w:tabs>
              <w:spacing w:line="240" w:lineRule="auto"/>
              <w:ind w:firstLine="0" w:firstLineChars="0"/>
              <w:jc w:val="center"/>
              <w:rPr>
                <w:sz w:val="18"/>
                <w:szCs w:val="18"/>
              </w:rPr>
            </w:pPr>
            <w:r>
              <w:rPr>
                <w:rFonts w:hint="eastAsia"/>
                <w:sz w:val="18"/>
                <w:szCs w:val="18"/>
              </w:rPr>
              <w:t>4</w:t>
            </w:r>
            <w:r>
              <w:rPr>
                <w:sz w:val="18"/>
                <w:szCs w:val="18"/>
              </w:rPr>
              <w:t>#</w:t>
            </w:r>
          </w:p>
        </w:tc>
        <w:tc>
          <w:tcPr>
            <w:tcW w:w="2110" w:type="pct"/>
            <w:vAlign w:val="center"/>
          </w:tcPr>
          <w:p w14:paraId="69F80BFA">
            <w:pPr>
              <w:tabs>
                <w:tab w:val="clear" w:pos="480"/>
              </w:tabs>
              <w:spacing w:line="240" w:lineRule="auto"/>
              <w:ind w:firstLine="0" w:firstLineChars="0"/>
              <w:rPr>
                <w:sz w:val="18"/>
                <w:szCs w:val="18"/>
              </w:rPr>
            </w:pPr>
            <w:r>
              <w:rPr>
                <w:rFonts w:hint="eastAsia"/>
                <w:sz w:val="18"/>
                <w:szCs w:val="18"/>
              </w:rPr>
              <w:t>该区域土地利用类型以林地为主，植被类型以竹林、灌丛和灌草丛为主，常见的群系有毛竹、油茶灌丛、芒灌草丛，常见的植物有杉木（零星分布）、油茶、毛竹（5#风机的西北侧少量分布）、芒萁、粗叶悬钩子、白茅等。</w:t>
            </w:r>
          </w:p>
        </w:tc>
        <w:tc>
          <w:tcPr>
            <w:tcW w:w="2388" w:type="pct"/>
            <w:vAlign w:val="center"/>
          </w:tcPr>
          <w:p w14:paraId="6BF05CD8">
            <w:pPr>
              <w:tabs>
                <w:tab w:val="clear" w:pos="480"/>
              </w:tabs>
              <w:spacing w:line="240" w:lineRule="auto"/>
              <w:ind w:firstLine="0" w:firstLineChars="0"/>
              <w:jc w:val="center"/>
              <w:rPr>
                <w:sz w:val="18"/>
                <w:szCs w:val="18"/>
              </w:rPr>
            </w:pPr>
            <w:r>
              <w:drawing>
                <wp:inline distT="0" distB="0" distL="0" distR="0">
                  <wp:extent cx="2419350" cy="1884045"/>
                  <wp:effectExtent l="0" t="0" r="0" b="1905"/>
                  <wp:docPr id="1762224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24208" name="图片 1"/>
                          <pic:cNvPicPr>
                            <a:picLocks noChangeAspect="1"/>
                          </pic:cNvPicPr>
                        </pic:nvPicPr>
                        <pic:blipFill>
                          <a:blip r:embed="rId43"/>
                          <a:stretch>
                            <a:fillRect/>
                          </a:stretch>
                        </pic:blipFill>
                        <pic:spPr>
                          <a:xfrm>
                            <a:off x="0" y="0"/>
                            <a:ext cx="2431640" cy="1893804"/>
                          </a:xfrm>
                          <a:prstGeom prst="rect">
                            <a:avLst/>
                          </a:prstGeom>
                        </pic:spPr>
                      </pic:pic>
                    </a:graphicData>
                  </a:graphic>
                </wp:inline>
              </w:drawing>
            </w:r>
          </w:p>
        </w:tc>
      </w:tr>
      <w:tr w14:paraId="0E60DA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0CD2AA7A">
            <w:pPr>
              <w:tabs>
                <w:tab w:val="clear" w:pos="480"/>
              </w:tabs>
              <w:spacing w:line="240" w:lineRule="auto"/>
              <w:ind w:firstLine="0" w:firstLineChars="0"/>
              <w:jc w:val="center"/>
              <w:rPr>
                <w:sz w:val="18"/>
                <w:szCs w:val="18"/>
              </w:rPr>
            </w:pPr>
            <w:r>
              <w:rPr>
                <w:rFonts w:hint="eastAsia"/>
                <w:sz w:val="18"/>
                <w:szCs w:val="18"/>
              </w:rPr>
              <w:t>5</w:t>
            </w:r>
            <w:r>
              <w:rPr>
                <w:sz w:val="18"/>
                <w:szCs w:val="18"/>
              </w:rPr>
              <w:t>#</w:t>
            </w:r>
          </w:p>
        </w:tc>
        <w:tc>
          <w:tcPr>
            <w:tcW w:w="2110" w:type="pct"/>
            <w:vAlign w:val="center"/>
          </w:tcPr>
          <w:p w14:paraId="08E2B568">
            <w:pPr>
              <w:tabs>
                <w:tab w:val="clear" w:pos="480"/>
              </w:tabs>
              <w:spacing w:line="240" w:lineRule="auto"/>
              <w:ind w:firstLine="0" w:firstLineChars="0"/>
              <w:rPr>
                <w:sz w:val="18"/>
                <w:szCs w:val="18"/>
              </w:rPr>
            </w:pPr>
            <w:r>
              <w:rPr>
                <w:rFonts w:hint="eastAsia"/>
                <w:sz w:val="18"/>
                <w:szCs w:val="18"/>
              </w:rPr>
              <w:t>该区域土地利用类型以林地为主，植被类型以灌丛和灌草丛为主，常见的群系有油茶灌丛、芒灌草丛，常见的植物有油茶（6#风机西侧）、芒萁、五节芒、粗叶悬钩子、白茅等。</w:t>
            </w:r>
          </w:p>
        </w:tc>
        <w:tc>
          <w:tcPr>
            <w:tcW w:w="2388" w:type="pct"/>
            <w:vAlign w:val="center"/>
          </w:tcPr>
          <w:p w14:paraId="7C561B43">
            <w:pPr>
              <w:tabs>
                <w:tab w:val="clear" w:pos="480"/>
              </w:tabs>
              <w:spacing w:line="240" w:lineRule="auto"/>
              <w:ind w:firstLine="0" w:firstLineChars="0"/>
              <w:jc w:val="center"/>
              <w:rPr>
                <w:sz w:val="18"/>
                <w:szCs w:val="18"/>
              </w:rPr>
            </w:pPr>
            <w:r>
              <mc:AlternateContent>
                <mc:Choice Requires="wps">
                  <w:drawing>
                    <wp:anchor distT="0" distB="0" distL="114300" distR="114300" simplePos="0" relativeHeight="251661312" behindDoc="0" locked="0" layoutInCell="1" allowOverlap="1">
                      <wp:simplePos x="0" y="0"/>
                      <wp:positionH relativeFrom="column">
                        <wp:posOffset>733425</wp:posOffset>
                      </wp:positionH>
                      <wp:positionV relativeFrom="paragraph">
                        <wp:posOffset>379095</wp:posOffset>
                      </wp:positionV>
                      <wp:extent cx="985520" cy="763270"/>
                      <wp:effectExtent l="19050" t="19050" r="24130" b="17780"/>
                      <wp:wrapNone/>
                      <wp:docPr id="2062513963" name="椭圆 1"/>
                      <wp:cNvGraphicFramePr/>
                      <a:graphic xmlns:a="http://schemas.openxmlformats.org/drawingml/2006/main">
                        <a:graphicData uri="http://schemas.microsoft.com/office/word/2010/wordprocessingShape">
                          <wps:wsp>
                            <wps:cNvSpPr/>
                            <wps:spPr>
                              <a:xfrm>
                                <a:off x="0" y="0"/>
                                <a:ext cx="985520" cy="76327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1" o:spid="_x0000_s1026" o:spt="3" type="#_x0000_t3" style="position:absolute;left:0pt;margin-left:57.75pt;margin-top:29.85pt;height:60.1pt;width:77.6pt;z-index:251661312;v-text-anchor:middle;mso-width-relative:page;mso-height-relative:page;" filled="f" stroked="t" coordsize="21600,21600" o:gfxdata="UEsDBAoAAAAAAIdO4kAAAAAAAAAAAAAAAAAEAAAAZHJzL1BLAwQUAAAACACHTuJAmoJVrdcAAAAK&#10;AQAADwAAAGRycy9kb3ducmV2LnhtbE2PwU7DMBBE70j8g7VI3KidSiEkxOkBqRckpJC2dzfeJhHx&#10;OsROW/h6lhPcdjRPszPl5upGccY5DJ40JCsFAqn1dqBOw363fXgCEaIha0ZPqOELA2yq25vSFNZf&#10;6B3PTewEh1AojIY+xqmQMrQ9OhNWfkJi7+RnZyLLuZN2NhcOd6NcK/UonRmIP/Rmwpce249mcRqa&#10;3auy2/3b5ylkVE+H73oZ+lrr+7tEPYOIeI1/MPzW5+pQcaejX8gGMbJO0pRRDWmegWBgnSk+juxk&#10;eQ6yKuX/CdUPUEsDBBQAAAAIAIdO4kBl5O2tdgIAANYEAAAOAAAAZHJzL2Uyb0RvYy54bWytVMtu&#10;EzEU3SPxD5b3dJK0eTTqpIoaBSFVNFJBrB2PJ2PJL2wnk/IBfAVLtnwWfAfHnumDwqILsphc+16f&#10;63vuub64PGpFDsIHaU1JhycDSoThtpJmV9KPH9ZvZpSEyEzFlDWipHci0MvF61cXrZuLkW2sqoQn&#10;ADFh3rqSNjG6eVEE3gjNwol1wsBZW69ZxNLvisqzFuhaFaPBYFK01lfOWy5CwO6qc9Ie0b8E0Na1&#10;5GJl+V4LEztULxSLKCk00gW6yLeta8HjTV0HEYkqKSqN+YsksLfpWywu2HznmWsk76/AXnKFZzVp&#10;Jg2SPkCtWGRk7+VfUFpyb4Ot4wm3uugKyYygiuHgGTe3DXMi1wKqg3sgPfw/WP7+sPFEViUdDSaj&#10;8fD0fHJKiWEanf/1/cfPb1/JMJHUujBH7K3b+H4VYKaKj7XX6R+1kGMm9u6BWHGMhGPzfDYej0A5&#10;h2s6OR1NM/HF42HnQ3wrrCbJKKlQCl1MpbM5O1yHiJyIvo9K28aupVK5fcqQFvefjadjpGDQZA0t&#10;wNQOdQWzo4SpHcTOo8+QwSpZpeMJKPjd9kp5cmCQyHo9wC8VjHR/hKXcKxaaLi67OvFoGTEPSuqS&#10;ztLh+9PKACTR1hGVrK2t7sC2t50Mg+NrCdhrFuKGeegOFGEy4w0+tbIoyvYWJY31X/61n+IhB3gp&#10;aaFjFPx5z7ygRL0zEMr58OwsCT8vzsbT1Ab/1LN96jF7fWXBwxBvgOPZTPFR3Zu1t/oTBniZssLF&#10;DEfujtp+cRW7+cITwMVymcMgdsfitbl1PIF3DVzuo61l7u0jOz1pkHvuQT+aaZ6ernPU43O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aglWt1wAAAAoBAAAPAAAAAAAAAAEAIAAAACIAAABkcnMv&#10;ZG93bnJldi54bWxQSwECFAAUAAAACACHTuJAZeTtrXYCAADWBAAADgAAAAAAAAABACAAAAAmAQAA&#10;ZHJzL2Uyb0RvYy54bWxQSwUGAAAAAAYABgBZAQAADgYAAAAA&#10;">
                      <v:fill on="f" focussize="0,0"/>
                      <v:stroke weight="2.25pt" color="#FF0000 [3204]" miterlimit="8" joinstyle="miter"/>
                      <v:imagedata o:title=""/>
                      <o:lock v:ext="edit" aspectratio="f"/>
                    </v:shape>
                  </w:pict>
                </mc:Fallback>
              </mc:AlternateContent>
            </w:r>
            <w:r>
              <w:drawing>
                <wp:inline distT="0" distB="0" distL="0" distR="0">
                  <wp:extent cx="2457450" cy="1899920"/>
                  <wp:effectExtent l="0" t="0" r="0" b="5080"/>
                  <wp:docPr id="1646895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95813" name="图片 1"/>
                          <pic:cNvPicPr>
                            <a:picLocks noChangeAspect="1"/>
                          </pic:cNvPicPr>
                        </pic:nvPicPr>
                        <pic:blipFill>
                          <a:blip r:embed="rId44"/>
                          <a:stretch>
                            <a:fillRect/>
                          </a:stretch>
                        </pic:blipFill>
                        <pic:spPr>
                          <a:xfrm>
                            <a:off x="0" y="0"/>
                            <a:ext cx="2469862" cy="1909701"/>
                          </a:xfrm>
                          <a:prstGeom prst="rect">
                            <a:avLst/>
                          </a:prstGeom>
                        </pic:spPr>
                      </pic:pic>
                    </a:graphicData>
                  </a:graphic>
                </wp:inline>
              </w:drawing>
            </w:r>
          </w:p>
        </w:tc>
      </w:tr>
    </w:tbl>
    <w:p w14:paraId="34A339F3">
      <w:pPr>
        <w:ind w:firstLine="480"/>
      </w:pPr>
    </w:p>
    <w:tbl>
      <w:tblPr>
        <w:tblStyle w:val="368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6"/>
        <w:gridCol w:w="3508"/>
        <w:gridCol w:w="4163"/>
      </w:tblGrid>
      <w:tr w14:paraId="4EE3C2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74F2FCC9">
            <w:pPr>
              <w:tabs>
                <w:tab w:val="clear" w:pos="480"/>
              </w:tabs>
              <w:spacing w:line="240" w:lineRule="auto"/>
              <w:ind w:firstLine="0" w:firstLineChars="0"/>
              <w:jc w:val="center"/>
              <w:rPr>
                <w:sz w:val="18"/>
                <w:szCs w:val="18"/>
              </w:rPr>
            </w:pPr>
            <w:r>
              <w:rPr>
                <w:rFonts w:hint="eastAsia"/>
                <w:sz w:val="18"/>
                <w:szCs w:val="18"/>
              </w:rPr>
              <w:t>6</w:t>
            </w:r>
            <w:r>
              <w:rPr>
                <w:sz w:val="18"/>
                <w:szCs w:val="18"/>
              </w:rPr>
              <w:t>#</w:t>
            </w:r>
          </w:p>
        </w:tc>
        <w:tc>
          <w:tcPr>
            <w:tcW w:w="2057" w:type="pct"/>
            <w:vAlign w:val="center"/>
          </w:tcPr>
          <w:p w14:paraId="28D89F3C">
            <w:pPr>
              <w:tabs>
                <w:tab w:val="clear" w:pos="480"/>
              </w:tabs>
              <w:spacing w:line="240" w:lineRule="auto"/>
              <w:ind w:firstLine="0" w:firstLineChars="0"/>
              <w:rPr>
                <w:sz w:val="18"/>
                <w:szCs w:val="18"/>
              </w:rPr>
            </w:pPr>
            <w:r>
              <w:rPr>
                <w:rFonts w:hint="eastAsia"/>
                <w:sz w:val="18"/>
                <w:szCs w:val="18"/>
              </w:rPr>
              <w:t>该区域土地利用类型以林地为主，植被类型以低山针叶林、灌丛和灌草丛为主，常见的群系有杉木林、白栎灌丛、羊蹄甲灌丛、芒灌草从、龙牙草灌草从、白茅灌草从，常见的植物有杉木（主要分布于7#风机西侧）、白栎、羊蹄甲、芒萁、五节芒、龙牙草、白茅等。</w:t>
            </w:r>
          </w:p>
        </w:tc>
        <w:tc>
          <w:tcPr>
            <w:tcW w:w="2441" w:type="pct"/>
            <w:vAlign w:val="center"/>
          </w:tcPr>
          <w:p w14:paraId="19619026">
            <w:pPr>
              <w:tabs>
                <w:tab w:val="clear" w:pos="480"/>
              </w:tabs>
              <w:spacing w:line="240" w:lineRule="auto"/>
              <w:ind w:firstLine="0" w:firstLineChars="0"/>
              <w:jc w:val="center"/>
              <w:rPr>
                <w:sz w:val="18"/>
                <w:szCs w:val="18"/>
              </w:rPr>
            </w:pPr>
            <w:r>
              <mc:AlternateContent>
                <mc:Choice Requires="wps">
                  <w:drawing>
                    <wp:anchor distT="0" distB="0" distL="114300" distR="114300" simplePos="0" relativeHeight="251662336" behindDoc="0" locked="0" layoutInCell="1" allowOverlap="1">
                      <wp:simplePos x="0" y="0"/>
                      <wp:positionH relativeFrom="column">
                        <wp:posOffset>1066800</wp:posOffset>
                      </wp:positionH>
                      <wp:positionV relativeFrom="paragraph">
                        <wp:posOffset>688340</wp:posOffset>
                      </wp:positionV>
                      <wp:extent cx="1105535" cy="810895"/>
                      <wp:effectExtent l="19050" t="19050" r="19050" b="27305"/>
                      <wp:wrapNone/>
                      <wp:docPr id="1857131453" name="椭圆 2"/>
                      <wp:cNvGraphicFramePr/>
                      <a:graphic xmlns:a="http://schemas.openxmlformats.org/drawingml/2006/main">
                        <a:graphicData uri="http://schemas.microsoft.com/office/word/2010/wordprocessingShape">
                          <wps:wsp>
                            <wps:cNvSpPr/>
                            <wps:spPr>
                              <a:xfrm>
                                <a:off x="0" y="0"/>
                                <a:ext cx="1105231" cy="811033"/>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 o:spid="_x0000_s1026" o:spt="3" type="#_x0000_t3" style="position:absolute;left:0pt;margin-left:84pt;margin-top:54.2pt;height:63.85pt;width:87.05pt;z-index:251662336;v-text-anchor:middle;mso-width-relative:page;mso-height-relative:page;" filled="f" stroked="t" coordsize="21600,21600" o:gfxdata="UEsDBAoAAAAAAIdO4kAAAAAAAAAAAAAAAAAEAAAAZHJzL1BLAwQUAAAACACHTuJA3z9medkAAAAL&#10;AQAADwAAAGRycy9kb3ducmV2LnhtbE2PwU7DMBBE70j8g7VI3KidtApRiNMDUi9ISCEtdzfeJhHx&#10;OsROW/h6lhPcdrSjmTfl9upGccY5DJ40JCsFAqn1dqBOw2G/e8hBhGjImtETavjCANvq9qY0hfUX&#10;esNzEzvBIRQKo6GPcSqkDG2PzoSVn5D4d/KzM5Hl3Ek7mwuHu1GmSmXSmYG4oTcTPvfYfjSL09Ds&#10;X5TdHV4/T+GR6un9u16Gvtb6/i5RTyAiXuOfGX7xGR0qZjr6hWwQI+ss5y2RD5VvQLBjvUkTEEcN&#10;6TpLQFal/L+h+gFQSwMEFAAAAAgAh07iQENGrgdzAgAA1wQAAA4AAABkcnMvZTJvRG9jLnhtbK1U&#10;zW4TMRC+I/EOlu90s/mhZdVNFTUKQqpopYA4O15v1pL/sJ1sygPwFBy58ljwHHze3TahcOiBHJwZ&#10;z3jG3+dv9vLqoBXZCx+kNSXNz0aUCMNtJc22pB8/rF5dUBIiMxVT1oiS3otAr+YvX1y2rhBj21hV&#10;CU9QxISidSVtYnRFlgXeCM3CmXXCIFhbr1mE67dZ5VmL6lpl49HoddZaXzlvuQgBu8s+SIeK/jkF&#10;bV1LLpaW77Qwsa/qhWIRkEIjXaDz7rZ1LXi8resgIlElBdLYrWgCe5PWbH7Jiq1nrpF8uAJ7zhWe&#10;YNJMGjR9LLVkkZGdl3+V0pJ7G2wdz7jVWQ+kYwQo8tETbtYNc6LDAqqDeyQ9/L+y/P3+zhNZQQkX&#10;s/N8kk9nE0oM03j5X99//Pz2lYwTSa0LBXLX7s4PXoCZEB9qr9M/sJBDR+z9I7HiEAnHZp6PZuNJ&#10;TglH7ALeZJKKZsfTzof4VlhNklFSoRSeMWFnBdvfhNhnP2SlbWNXUinss0IZ0pZ0DAAztGAQZQ0x&#10;wNQOwILZUsLUFmrn0Xclg1WySsfT6eC3m2vlyZ5BI6vVCL/hcn+kpd5LFpo+rwulNFZoGTEQSmpA&#10;S4cfTisDhIm3nqlkbWx1D7q97XUYHF9JlL1hId4xD+FBlhjNeIulVhag7GBR0lj/5V/7KR96QJSS&#10;FkIG4M875gUl6p2BUt7k02lSfudMZ+djOP40sjmNmJ2+tuABb4XbdWbKj+rBrL3VnzDBi9QVIWY4&#10;evfUDs517AcM3wAuFosuDWp3LN6YteOpeP+Ai120teze9sjOQBr03glkmM00UKd+l3X8Hs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8/ZnnZAAAACwEAAA8AAAAAAAAAAQAgAAAAIgAAAGRycy9k&#10;b3ducmV2LnhtbFBLAQIUABQAAAAIAIdO4kBDRq4HcwIAANcEAAAOAAAAAAAAAAEAIAAAACgBAABk&#10;cnMvZTJvRG9jLnhtbFBLBQYAAAAABgAGAFkBAAANBgAAAAA=&#10;">
                      <v:fill on="f" focussize="0,0"/>
                      <v:stroke weight="2.25pt" color="#FF0000 [3204]" miterlimit="8" joinstyle="miter"/>
                      <v:imagedata o:title=""/>
                      <o:lock v:ext="edit" aspectratio="f"/>
                    </v:shape>
                  </w:pict>
                </mc:Fallback>
              </mc:AlternateContent>
            </w:r>
            <w:r>
              <w:drawing>
                <wp:inline distT="0" distB="0" distL="0" distR="0">
                  <wp:extent cx="2435860" cy="2122805"/>
                  <wp:effectExtent l="0" t="0" r="2540" b="0"/>
                  <wp:docPr id="912419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19660" name="图片 1"/>
                          <pic:cNvPicPr>
                            <a:picLocks noChangeAspect="1"/>
                          </pic:cNvPicPr>
                        </pic:nvPicPr>
                        <pic:blipFill>
                          <a:blip r:embed="rId45"/>
                          <a:stretch>
                            <a:fillRect/>
                          </a:stretch>
                        </pic:blipFill>
                        <pic:spPr>
                          <a:xfrm>
                            <a:off x="0" y="0"/>
                            <a:ext cx="2441553" cy="2127666"/>
                          </a:xfrm>
                          <a:prstGeom prst="rect">
                            <a:avLst/>
                          </a:prstGeom>
                        </pic:spPr>
                      </pic:pic>
                    </a:graphicData>
                  </a:graphic>
                </wp:inline>
              </w:drawing>
            </w:r>
          </w:p>
        </w:tc>
      </w:tr>
      <w:tr w14:paraId="5F557C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12BC652A">
            <w:pPr>
              <w:tabs>
                <w:tab w:val="clear" w:pos="480"/>
              </w:tabs>
              <w:spacing w:line="240" w:lineRule="auto"/>
              <w:ind w:firstLine="0" w:firstLineChars="0"/>
              <w:jc w:val="center"/>
              <w:rPr>
                <w:sz w:val="18"/>
                <w:szCs w:val="18"/>
              </w:rPr>
            </w:pPr>
            <w:r>
              <w:rPr>
                <w:rFonts w:hint="eastAsia"/>
                <w:sz w:val="18"/>
                <w:szCs w:val="18"/>
              </w:rPr>
              <w:t>7</w:t>
            </w:r>
            <w:r>
              <w:rPr>
                <w:sz w:val="18"/>
                <w:szCs w:val="18"/>
              </w:rPr>
              <w:t>#</w:t>
            </w:r>
          </w:p>
        </w:tc>
        <w:tc>
          <w:tcPr>
            <w:tcW w:w="2057" w:type="pct"/>
            <w:vAlign w:val="center"/>
          </w:tcPr>
          <w:p w14:paraId="6081BC65">
            <w:pPr>
              <w:tabs>
                <w:tab w:val="clear" w:pos="480"/>
              </w:tabs>
              <w:spacing w:line="240" w:lineRule="auto"/>
              <w:ind w:firstLine="0" w:firstLineChars="0"/>
              <w:rPr>
                <w:sz w:val="18"/>
                <w:szCs w:val="18"/>
              </w:rPr>
            </w:pPr>
            <w:r>
              <w:rPr>
                <w:rFonts w:hint="eastAsia"/>
                <w:sz w:val="18"/>
                <w:szCs w:val="18"/>
              </w:rPr>
              <w:t>该区域土地利用类型以林地为主，植被类型以针叶林、灌丛为主，常见的植被类型有杉木林、马尾松林、白栎灌丛、粗叶悬钩子灌丛、 芒灌草从，常见植被有马尾松和杉木（主要分布于8#风机西侧）、白栎、粗叶悬钩子、芒萁等。</w:t>
            </w:r>
          </w:p>
          <w:p w14:paraId="6C255B1C">
            <w:pPr>
              <w:tabs>
                <w:tab w:val="clear" w:pos="480"/>
              </w:tabs>
              <w:spacing w:line="240" w:lineRule="auto"/>
              <w:ind w:firstLine="0" w:firstLineChars="0"/>
              <w:rPr>
                <w:sz w:val="18"/>
                <w:szCs w:val="18"/>
              </w:rPr>
            </w:pPr>
            <w:r>
              <w:rPr>
                <w:rFonts w:hint="eastAsia"/>
                <w:sz w:val="18"/>
                <w:szCs w:val="18"/>
              </w:rPr>
              <w:t>鹿角杜鹃灌丛、油茶灌丛，常见植物有杉木、算盘子、盐肤木、刺五加等。</w:t>
            </w:r>
          </w:p>
        </w:tc>
        <w:tc>
          <w:tcPr>
            <w:tcW w:w="2441" w:type="pct"/>
            <w:vAlign w:val="center"/>
          </w:tcPr>
          <w:p w14:paraId="70253B01">
            <w:pPr>
              <w:tabs>
                <w:tab w:val="clear" w:pos="480"/>
              </w:tabs>
              <w:spacing w:line="240" w:lineRule="auto"/>
              <w:ind w:firstLine="0" w:firstLineChars="0"/>
              <w:jc w:val="center"/>
              <w:rPr>
                <w:sz w:val="18"/>
                <w:szCs w:val="18"/>
              </w:rPr>
            </w:pPr>
            <w:r>
              <w:drawing>
                <wp:inline distT="0" distB="0" distL="0" distR="0">
                  <wp:extent cx="2442210" cy="1732915"/>
                  <wp:effectExtent l="0" t="0" r="0" b="635"/>
                  <wp:docPr id="637906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06246" name="图片 1"/>
                          <pic:cNvPicPr>
                            <a:picLocks noChangeAspect="1"/>
                          </pic:cNvPicPr>
                        </pic:nvPicPr>
                        <pic:blipFill>
                          <a:blip r:embed="rId46"/>
                          <a:stretch>
                            <a:fillRect/>
                          </a:stretch>
                        </pic:blipFill>
                        <pic:spPr>
                          <a:xfrm>
                            <a:off x="0" y="0"/>
                            <a:ext cx="2450494" cy="1739102"/>
                          </a:xfrm>
                          <a:prstGeom prst="rect">
                            <a:avLst/>
                          </a:prstGeom>
                        </pic:spPr>
                      </pic:pic>
                    </a:graphicData>
                  </a:graphic>
                </wp:inline>
              </w:drawing>
            </w:r>
          </w:p>
        </w:tc>
      </w:tr>
      <w:tr w14:paraId="61BB82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6D9D585B">
            <w:pPr>
              <w:tabs>
                <w:tab w:val="clear" w:pos="480"/>
              </w:tabs>
              <w:spacing w:line="240" w:lineRule="auto"/>
              <w:ind w:firstLine="0" w:firstLineChars="0"/>
              <w:jc w:val="center"/>
              <w:rPr>
                <w:sz w:val="18"/>
                <w:szCs w:val="18"/>
              </w:rPr>
            </w:pPr>
            <w:r>
              <w:rPr>
                <w:rFonts w:hint="eastAsia"/>
                <w:sz w:val="18"/>
                <w:szCs w:val="18"/>
              </w:rPr>
              <w:t>8</w:t>
            </w:r>
            <w:r>
              <w:rPr>
                <w:sz w:val="18"/>
                <w:szCs w:val="18"/>
              </w:rPr>
              <w:t>#</w:t>
            </w:r>
          </w:p>
        </w:tc>
        <w:tc>
          <w:tcPr>
            <w:tcW w:w="2057" w:type="pct"/>
            <w:vAlign w:val="center"/>
          </w:tcPr>
          <w:p w14:paraId="485394E4">
            <w:pPr>
              <w:tabs>
                <w:tab w:val="clear" w:pos="480"/>
              </w:tabs>
              <w:spacing w:line="240" w:lineRule="auto"/>
              <w:ind w:firstLine="0" w:firstLineChars="0"/>
              <w:rPr>
                <w:sz w:val="18"/>
                <w:szCs w:val="18"/>
              </w:rPr>
            </w:pPr>
            <w:r>
              <w:rPr>
                <w:rFonts w:hint="eastAsia"/>
                <w:sz w:val="18"/>
                <w:szCs w:val="18"/>
              </w:rPr>
              <w:t>该区域土地利用类型以林地为主，植被类型以针叶林、阔叶林、灌丛为主，常见的植被类型有杉木林、马尾松林、木荷林、白栎灌丛、粗叶悬钩子灌丛、 芒灌草从，常见植被有马尾松和杉木、木荷、白栎、粗叶悬钩子、芒萁等。</w:t>
            </w:r>
          </w:p>
        </w:tc>
        <w:tc>
          <w:tcPr>
            <w:tcW w:w="2441" w:type="pct"/>
            <w:vAlign w:val="center"/>
          </w:tcPr>
          <w:p w14:paraId="4983D627">
            <w:pPr>
              <w:tabs>
                <w:tab w:val="clear" w:pos="480"/>
              </w:tabs>
              <w:spacing w:line="240" w:lineRule="auto"/>
              <w:ind w:firstLine="0" w:firstLineChars="0"/>
              <w:jc w:val="center"/>
              <w:rPr>
                <w:sz w:val="18"/>
                <w:szCs w:val="18"/>
              </w:rPr>
            </w:pPr>
            <w:r>
              <w:drawing>
                <wp:inline distT="0" distB="0" distL="0" distR="0">
                  <wp:extent cx="2467610" cy="1637665"/>
                  <wp:effectExtent l="0" t="0" r="8890" b="635"/>
                  <wp:docPr id="1991516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16659" name="图片 1"/>
                          <pic:cNvPicPr>
                            <a:picLocks noChangeAspect="1"/>
                          </pic:cNvPicPr>
                        </pic:nvPicPr>
                        <pic:blipFill>
                          <a:blip r:embed="rId47"/>
                          <a:stretch>
                            <a:fillRect/>
                          </a:stretch>
                        </pic:blipFill>
                        <pic:spPr>
                          <a:xfrm>
                            <a:off x="0" y="0"/>
                            <a:ext cx="2474301" cy="1642206"/>
                          </a:xfrm>
                          <a:prstGeom prst="rect">
                            <a:avLst/>
                          </a:prstGeom>
                        </pic:spPr>
                      </pic:pic>
                    </a:graphicData>
                  </a:graphic>
                </wp:inline>
              </w:drawing>
            </w:r>
          </w:p>
        </w:tc>
      </w:tr>
      <w:tr w14:paraId="6ADB5A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718ACE74">
            <w:pPr>
              <w:tabs>
                <w:tab w:val="clear" w:pos="480"/>
              </w:tabs>
              <w:spacing w:line="240" w:lineRule="auto"/>
              <w:ind w:firstLine="0" w:firstLineChars="0"/>
              <w:jc w:val="center"/>
              <w:rPr>
                <w:sz w:val="18"/>
                <w:szCs w:val="18"/>
              </w:rPr>
            </w:pPr>
            <w:r>
              <w:rPr>
                <w:rFonts w:hint="eastAsia"/>
                <w:sz w:val="18"/>
                <w:szCs w:val="18"/>
              </w:rPr>
              <w:t>9</w:t>
            </w:r>
            <w:r>
              <w:rPr>
                <w:sz w:val="18"/>
                <w:szCs w:val="18"/>
              </w:rPr>
              <w:t>#</w:t>
            </w:r>
          </w:p>
        </w:tc>
        <w:tc>
          <w:tcPr>
            <w:tcW w:w="2057" w:type="pct"/>
            <w:vAlign w:val="center"/>
          </w:tcPr>
          <w:p w14:paraId="751F236F">
            <w:pPr>
              <w:tabs>
                <w:tab w:val="clear" w:pos="480"/>
              </w:tabs>
              <w:spacing w:line="240" w:lineRule="auto"/>
              <w:ind w:firstLine="0" w:firstLineChars="0"/>
              <w:rPr>
                <w:sz w:val="18"/>
                <w:szCs w:val="18"/>
              </w:rPr>
            </w:pPr>
            <w:r>
              <w:rPr>
                <w:rFonts w:hint="eastAsia"/>
                <w:sz w:val="18"/>
                <w:szCs w:val="18"/>
              </w:rPr>
              <w:t>该区域土地利用类型以林地为主，植被类型以针叶林、阔叶林、灌丛和灌草丛为主，常见的群系有马尾松林、杉木林、木荷林、白栎灌丛、粗叶悬钩子灌丛、龙牙草灌草从、白茅灌草从，常见的植物有杉木、马尾松、木荷、白栎、羊粗叶悬钩子、龙牙草、白茅、蕨等。</w:t>
            </w:r>
          </w:p>
        </w:tc>
        <w:tc>
          <w:tcPr>
            <w:tcW w:w="2441" w:type="pct"/>
            <w:vAlign w:val="center"/>
          </w:tcPr>
          <w:p w14:paraId="469F5DB9">
            <w:pPr>
              <w:tabs>
                <w:tab w:val="clear" w:pos="480"/>
              </w:tabs>
              <w:spacing w:line="240" w:lineRule="auto"/>
              <w:ind w:firstLine="0" w:firstLineChars="0"/>
              <w:jc w:val="center"/>
              <w:rPr>
                <w:sz w:val="18"/>
                <w:szCs w:val="18"/>
              </w:rPr>
            </w:pPr>
            <w:r>
              <w:drawing>
                <wp:inline distT="0" distB="0" distL="0" distR="0">
                  <wp:extent cx="2451100" cy="1852295"/>
                  <wp:effectExtent l="0" t="0" r="6350" b="0"/>
                  <wp:docPr id="551907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07210" name="图片 1"/>
                          <pic:cNvPicPr>
                            <a:picLocks noChangeAspect="1"/>
                          </pic:cNvPicPr>
                        </pic:nvPicPr>
                        <pic:blipFill>
                          <a:blip r:embed="rId48"/>
                          <a:stretch>
                            <a:fillRect/>
                          </a:stretch>
                        </pic:blipFill>
                        <pic:spPr>
                          <a:xfrm>
                            <a:off x="0" y="0"/>
                            <a:ext cx="2471343" cy="1867553"/>
                          </a:xfrm>
                          <a:prstGeom prst="rect">
                            <a:avLst/>
                          </a:prstGeom>
                        </pic:spPr>
                      </pic:pic>
                    </a:graphicData>
                  </a:graphic>
                </wp:inline>
              </w:drawing>
            </w:r>
          </w:p>
        </w:tc>
      </w:tr>
      <w:tr w14:paraId="1EF228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7C2D8C9D">
            <w:pPr>
              <w:tabs>
                <w:tab w:val="clear" w:pos="480"/>
              </w:tabs>
              <w:spacing w:line="240" w:lineRule="auto"/>
              <w:ind w:firstLine="0" w:firstLineChars="0"/>
              <w:jc w:val="center"/>
              <w:rPr>
                <w:sz w:val="18"/>
                <w:szCs w:val="18"/>
              </w:rPr>
            </w:pPr>
            <w:r>
              <w:rPr>
                <w:rFonts w:hint="eastAsia"/>
                <w:sz w:val="18"/>
                <w:szCs w:val="18"/>
              </w:rPr>
              <w:t>1</w:t>
            </w:r>
            <w:r>
              <w:rPr>
                <w:sz w:val="18"/>
                <w:szCs w:val="18"/>
              </w:rPr>
              <w:t>0#</w:t>
            </w:r>
          </w:p>
        </w:tc>
        <w:tc>
          <w:tcPr>
            <w:tcW w:w="2057" w:type="pct"/>
            <w:vAlign w:val="center"/>
          </w:tcPr>
          <w:p w14:paraId="7A7868A1">
            <w:pPr>
              <w:tabs>
                <w:tab w:val="clear" w:pos="480"/>
              </w:tabs>
              <w:spacing w:line="240" w:lineRule="auto"/>
              <w:ind w:firstLine="0" w:firstLineChars="0"/>
              <w:rPr>
                <w:sz w:val="18"/>
                <w:szCs w:val="18"/>
              </w:rPr>
            </w:pPr>
            <w:r>
              <w:rPr>
                <w:rFonts w:hint="eastAsia"/>
                <w:sz w:val="18"/>
                <w:szCs w:val="18"/>
              </w:rPr>
              <w:t>该区域土地利用类型以林地为主，植被类型以针叶林、阔叶林、竹林、灌丛和灌草丛为主，常见的群系有马尾松林、杉木林、木荷林、苦竹林、粗叶悬钩子灌丛、龙牙草灌草从、白茅灌草从，常见的植物有杉木、马尾松、木荷、苦竹（</w:t>
            </w:r>
            <w:r>
              <w:rPr>
                <w:sz w:val="18"/>
                <w:szCs w:val="18"/>
              </w:rPr>
              <w:t>11</w:t>
            </w:r>
            <w:r>
              <w:rPr>
                <w:rFonts w:hint="eastAsia"/>
                <w:sz w:val="18"/>
                <w:szCs w:val="18"/>
              </w:rPr>
              <w:t>#风机的东侧少量分布）、羊粗叶悬钩子、龙牙草、白茅、蕨等。</w:t>
            </w:r>
          </w:p>
        </w:tc>
        <w:tc>
          <w:tcPr>
            <w:tcW w:w="2441" w:type="pct"/>
            <w:vAlign w:val="center"/>
          </w:tcPr>
          <w:p w14:paraId="7852E398">
            <w:pPr>
              <w:tabs>
                <w:tab w:val="clear" w:pos="480"/>
              </w:tabs>
              <w:spacing w:line="240" w:lineRule="auto"/>
              <w:ind w:firstLine="0" w:firstLineChars="0"/>
              <w:jc w:val="center"/>
              <w:rPr>
                <w:sz w:val="18"/>
                <w:szCs w:val="18"/>
              </w:rPr>
            </w:pPr>
            <w:r>
              <w:drawing>
                <wp:inline distT="0" distB="0" distL="0" distR="0">
                  <wp:extent cx="2447925" cy="1685290"/>
                  <wp:effectExtent l="0" t="0" r="0" b="0"/>
                  <wp:docPr id="14740134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13407" name="图片 1"/>
                          <pic:cNvPicPr>
                            <a:picLocks noChangeAspect="1"/>
                          </pic:cNvPicPr>
                        </pic:nvPicPr>
                        <pic:blipFill>
                          <a:blip r:embed="rId49"/>
                          <a:stretch>
                            <a:fillRect/>
                          </a:stretch>
                        </pic:blipFill>
                        <pic:spPr>
                          <a:xfrm>
                            <a:off x="0" y="0"/>
                            <a:ext cx="2462196" cy="1695293"/>
                          </a:xfrm>
                          <a:prstGeom prst="rect">
                            <a:avLst/>
                          </a:prstGeom>
                        </pic:spPr>
                      </pic:pic>
                    </a:graphicData>
                  </a:graphic>
                </wp:inline>
              </w:drawing>
            </w:r>
          </w:p>
        </w:tc>
      </w:tr>
    </w:tbl>
    <w:p w14:paraId="4B15AC3A">
      <w:pPr>
        <w:ind w:firstLine="480"/>
      </w:pPr>
    </w:p>
    <w:tbl>
      <w:tblPr>
        <w:tblStyle w:val="368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1"/>
        <w:gridCol w:w="3508"/>
        <w:gridCol w:w="4158"/>
      </w:tblGrid>
      <w:tr w14:paraId="5674A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14:paraId="197D0B08">
            <w:pPr>
              <w:tabs>
                <w:tab w:val="clear" w:pos="480"/>
              </w:tabs>
              <w:spacing w:line="240" w:lineRule="auto"/>
              <w:ind w:firstLine="0" w:firstLineChars="0"/>
              <w:jc w:val="center"/>
              <w:rPr>
                <w:sz w:val="18"/>
                <w:szCs w:val="18"/>
              </w:rPr>
            </w:pPr>
            <w:r>
              <w:rPr>
                <w:rFonts w:hint="eastAsia"/>
                <w:sz w:val="18"/>
                <w:szCs w:val="18"/>
              </w:rPr>
              <w:t>1</w:t>
            </w:r>
            <w:r>
              <w:rPr>
                <w:sz w:val="18"/>
                <w:szCs w:val="18"/>
              </w:rPr>
              <w:t>6#</w:t>
            </w:r>
          </w:p>
        </w:tc>
        <w:tc>
          <w:tcPr>
            <w:tcW w:w="2057" w:type="pct"/>
            <w:vAlign w:val="center"/>
          </w:tcPr>
          <w:p w14:paraId="6D1D0333">
            <w:pPr>
              <w:tabs>
                <w:tab w:val="clear" w:pos="480"/>
              </w:tabs>
              <w:spacing w:line="240" w:lineRule="auto"/>
              <w:ind w:firstLine="0" w:firstLineChars="0"/>
              <w:rPr>
                <w:sz w:val="18"/>
                <w:szCs w:val="18"/>
              </w:rPr>
            </w:pPr>
            <w:r>
              <w:rPr>
                <w:rFonts w:hint="eastAsia"/>
                <w:sz w:val="18"/>
                <w:szCs w:val="18"/>
              </w:rPr>
              <w:t>该区域土地利用类型以林地为主，植被类型以针叶林、阔叶林、竹林、灌丛和灌草丛为主，常见的群系有马尾松林、杉木林、青冈林、苦竹林、羊蹄甲灌丛、芒灌草丛、五节芒灌草从，常见的植物有杉木、马尾松、青冈、苦竹（</w:t>
            </w:r>
            <w:r>
              <w:rPr>
                <w:sz w:val="18"/>
                <w:szCs w:val="18"/>
              </w:rPr>
              <w:t>12</w:t>
            </w:r>
            <w:r>
              <w:rPr>
                <w:rFonts w:hint="eastAsia"/>
                <w:sz w:val="18"/>
                <w:szCs w:val="18"/>
              </w:rPr>
              <w:t>#风机的东侧少量分布）、羊蹄甲、芒萁、五节芒等。</w:t>
            </w:r>
          </w:p>
        </w:tc>
        <w:tc>
          <w:tcPr>
            <w:tcW w:w="2441" w:type="pct"/>
            <w:vAlign w:val="center"/>
          </w:tcPr>
          <w:p w14:paraId="0D10BECE">
            <w:pPr>
              <w:tabs>
                <w:tab w:val="clear" w:pos="480"/>
              </w:tabs>
              <w:spacing w:line="240" w:lineRule="auto"/>
              <w:ind w:firstLine="0" w:firstLineChars="0"/>
              <w:jc w:val="center"/>
              <w:rPr>
                <w:sz w:val="18"/>
                <w:szCs w:val="18"/>
              </w:rPr>
            </w:pPr>
            <w:r>
              <mc:AlternateContent>
                <mc:Choice Requires="wps">
                  <w:drawing>
                    <wp:anchor distT="0" distB="0" distL="114300" distR="114300" simplePos="0" relativeHeight="251663360" behindDoc="0" locked="0" layoutInCell="1" allowOverlap="1">
                      <wp:simplePos x="0" y="0"/>
                      <wp:positionH relativeFrom="column">
                        <wp:posOffset>729615</wp:posOffset>
                      </wp:positionH>
                      <wp:positionV relativeFrom="paragraph">
                        <wp:posOffset>489585</wp:posOffset>
                      </wp:positionV>
                      <wp:extent cx="1351915" cy="874395"/>
                      <wp:effectExtent l="0" t="0" r="20320" b="20955"/>
                      <wp:wrapNone/>
                      <wp:docPr id="643408741" name="椭圆 3"/>
                      <wp:cNvGraphicFramePr/>
                      <a:graphic xmlns:a="http://schemas.openxmlformats.org/drawingml/2006/main">
                        <a:graphicData uri="http://schemas.microsoft.com/office/word/2010/wordprocessingShape">
                          <wps:wsp>
                            <wps:cNvSpPr/>
                            <wps:spPr>
                              <a:xfrm>
                                <a:off x="0" y="0"/>
                                <a:ext cx="1351721" cy="874644"/>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3" o:spid="_x0000_s1026" o:spt="3" type="#_x0000_t3" style="position:absolute;left:0pt;margin-left:57.45pt;margin-top:38.55pt;height:68.85pt;width:106.45pt;z-index:251663360;v-text-anchor:middle;mso-width-relative:page;mso-height-relative:page;" filled="f" stroked="t" coordsize="21600,21600" o:gfxdata="UEsDBAoAAAAAAIdO4kAAAAAAAAAAAAAAAAAEAAAAZHJzL1BLAwQUAAAACACHTuJAfE/BT9YAAAAK&#10;AQAADwAAAGRycy9kb3ducmV2LnhtbE2Py07DMBBF90j8gzVIbBB1HKokTeNUCKkLli1IbKexm0TY&#10;4yh2X3/PsILl1RzdObfZXL0TZzvHMZAGtchAWOqCGanX8Pmxfa5AxIRk0AWyGm42wqa9v2uwNuFC&#10;O3vep15wCcUaNQwpTbWUsRusx7gIkyW+HcPsMXGce2lmvHC5dzLPskJ6HIk/DDjZt8F23/uT1/B6&#10;k8nt4mr7ZAoqivQV39FVWj8+qGwNItlr+oPhV5/VoWWnQziRicJxVssVoxrKUoFg4CUvectBQ66W&#10;Fci2kf8ntD9QSwMEFAAAAAgAh07iQASY13NzAgAA1gQAAA4AAABkcnMvZTJvRG9jLnhtbK1US27b&#10;MBTcF+gdCO4byY4Sp0LkwIjhokDQBEiLrmmKsgjwV5K2nB6gp+iy2xyrPUeHkuKkaRdZ1Av6ke9x&#10;Hmc41PnFXiuyEz5Iayo6OcopEYbbWppNRT99XL05oyREZmqmrBEVvROBXsxfvzrvXCmmtrWqFp4A&#10;xISycxVtY3RllgXeCs3CkXXCINlYr1nE1G+y2rMO6Fpl0zw/zTrra+ctFyFgdTkk6YjoXwJom0Zy&#10;sbR8q4WJA6oXikVQCq10gc770zaN4PG6aYKIRFUUTGM/ognidRqz+TkrN565VvLxCOwlR3jGSTNp&#10;0PQAtWSRka2Xf0Fpyb0NtolH3OpsINIrAhaT/Jk2ty1zoucCqYM7iB7+Hyz/sLvxRNYVPS2Oi/xs&#10;VkwoMUzj4n/9uP/5/Rs5Thp1LpQovXU3fpwFhInwvvE6/YMK2fe63h10FftIOBYnxyeT2RTAHDm0&#10;OC2KBJo97nY+xHfCapKCigqlcIuJOivZ7irEofqhKi0bu5JKYZ2VypAOTaazHLfKGTzZwAsItQOv&#10;YDaUMLWB2Xn0PWSwStZpe9od/GZ9qTzZMVhktcrxGw/3R1nqvWShHer6VCpjpZYR70FJDWpp88Nu&#10;ZcAw6TYolaK1re+gtreDDYPjKwnYKxbiDfPwHc6PlxmvMTTKgpQdI0pa67/+az3Vww7IUtLBxyD8&#10;Zcu8oES9NzDK20lRJOP3k+JkNsXEP82sn2bMVl9a6IC7wun6MNVH9RA23urPeMCL1BUpZjh6D9KO&#10;k8s4vC98ArhYLPoymN2xeGVuHU/gwwUuttE2sr/bR3VG0WD33iDj00zv6em8r3r8HM1/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xPwU/WAAAACgEAAA8AAAAAAAAAAQAgAAAAIgAAAGRycy9kb3du&#10;cmV2LnhtbFBLAQIUABQAAAAIAIdO4kAEmNdzcwIAANYEAAAOAAAAAAAAAAEAIAAAACUBAABkcnMv&#10;ZTJvRG9jLnhtbFBLBQYAAAAABgAGAFkBAAAKBgAAAAA=&#10;">
                      <v:fill on="f" focussize="0,0"/>
                      <v:stroke weight="1pt" color="#FF0000 [3204]" miterlimit="8" joinstyle="miter"/>
                      <v:imagedata o:title=""/>
                      <o:lock v:ext="edit" aspectratio="f"/>
                    </v:shape>
                  </w:pict>
                </mc:Fallback>
              </mc:AlternateContent>
            </w:r>
            <w:r>
              <w:drawing>
                <wp:inline distT="0" distB="0" distL="0" distR="0">
                  <wp:extent cx="2430780" cy="1844675"/>
                  <wp:effectExtent l="0" t="0" r="7620" b="3175"/>
                  <wp:docPr id="2118020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20552" name="图片 1"/>
                          <pic:cNvPicPr>
                            <a:picLocks noChangeAspect="1"/>
                          </pic:cNvPicPr>
                        </pic:nvPicPr>
                        <pic:blipFill>
                          <a:blip r:embed="rId50"/>
                          <a:stretch>
                            <a:fillRect/>
                          </a:stretch>
                        </pic:blipFill>
                        <pic:spPr>
                          <a:xfrm>
                            <a:off x="0" y="0"/>
                            <a:ext cx="2450962" cy="1859836"/>
                          </a:xfrm>
                          <a:prstGeom prst="rect">
                            <a:avLst/>
                          </a:prstGeom>
                        </pic:spPr>
                      </pic:pic>
                    </a:graphicData>
                  </a:graphic>
                </wp:inline>
              </w:drawing>
            </w:r>
          </w:p>
        </w:tc>
      </w:tr>
      <w:tr w14:paraId="4D7713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vAlign w:val="center"/>
          </w:tcPr>
          <w:p w14:paraId="535CF737">
            <w:pPr>
              <w:tabs>
                <w:tab w:val="clear" w:pos="480"/>
              </w:tabs>
              <w:spacing w:line="240" w:lineRule="auto"/>
              <w:ind w:firstLine="0" w:firstLineChars="0"/>
              <w:jc w:val="center"/>
              <w:rPr>
                <w:sz w:val="18"/>
                <w:szCs w:val="18"/>
              </w:rPr>
            </w:pPr>
            <w:r>
              <w:rPr>
                <w:rFonts w:hint="eastAsia"/>
                <w:sz w:val="18"/>
                <w:szCs w:val="18"/>
              </w:rPr>
              <w:t>1</w:t>
            </w:r>
            <w:r>
              <w:rPr>
                <w:sz w:val="18"/>
                <w:szCs w:val="18"/>
              </w:rPr>
              <w:t>8#</w:t>
            </w:r>
          </w:p>
        </w:tc>
        <w:tc>
          <w:tcPr>
            <w:tcW w:w="2054" w:type="pct"/>
            <w:vAlign w:val="center"/>
          </w:tcPr>
          <w:p w14:paraId="3084D691">
            <w:pPr>
              <w:tabs>
                <w:tab w:val="clear" w:pos="480"/>
              </w:tabs>
              <w:spacing w:line="240" w:lineRule="auto"/>
              <w:ind w:firstLine="0" w:firstLineChars="0"/>
              <w:rPr>
                <w:sz w:val="18"/>
                <w:szCs w:val="18"/>
              </w:rPr>
            </w:pPr>
            <w:r>
              <w:rPr>
                <w:rFonts w:hint="eastAsia"/>
                <w:sz w:val="18"/>
                <w:szCs w:val="18"/>
              </w:rPr>
              <w:t>该区域土地利用类型以林地为主，植被类型以针叶林、阔叶林、灌丛（主要分布于1</w:t>
            </w:r>
            <w:r>
              <w:rPr>
                <w:sz w:val="18"/>
                <w:szCs w:val="18"/>
              </w:rPr>
              <w:t>3</w:t>
            </w:r>
            <w:r>
              <w:rPr>
                <w:rFonts w:hint="eastAsia"/>
                <w:sz w:val="18"/>
                <w:szCs w:val="18"/>
              </w:rPr>
              <w:t>#风机西侧）为主，常见的植被类型有杉木林、马尾松林、枫香林、粗叶悬钩子灌丛、檵木灌丛、芒灌草从，常见植被有马尾松和杉木、枫香、粗叶悬钩子、檵木等。</w:t>
            </w:r>
          </w:p>
          <w:p w14:paraId="73284D7E">
            <w:pPr>
              <w:tabs>
                <w:tab w:val="clear" w:pos="480"/>
              </w:tabs>
              <w:spacing w:line="240" w:lineRule="auto"/>
              <w:ind w:firstLine="0" w:firstLineChars="0"/>
              <w:rPr>
                <w:sz w:val="18"/>
                <w:szCs w:val="18"/>
              </w:rPr>
            </w:pPr>
          </w:p>
        </w:tc>
        <w:tc>
          <w:tcPr>
            <w:tcW w:w="2441" w:type="pct"/>
            <w:vAlign w:val="center"/>
          </w:tcPr>
          <w:p w14:paraId="6C31CC4A">
            <w:pPr>
              <w:tabs>
                <w:tab w:val="clear" w:pos="480"/>
              </w:tabs>
              <w:spacing w:line="240" w:lineRule="auto"/>
              <w:ind w:firstLine="0" w:firstLineChars="0"/>
              <w:jc w:val="center"/>
              <w:rPr>
                <w:sz w:val="21"/>
                <w:szCs w:val="22"/>
              </w:rPr>
            </w:pPr>
            <w:r>
              <mc:AlternateContent>
                <mc:Choice Requires="wps">
                  <w:drawing>
                    <wp:anchor distT="0" distB="0" distL="114300" distR="114300" simplePos="0" relativeHeight="251664384" behindDoc="0" locked="0" layoutInCell="1" allowOverlap="1">
                      <wp:simplePos x="0" y="0"/>
                      <wp:positionH relativeFrom="column">
                        <wp:posOffset>478790</wp:posOffset>
                      </wp:positionH>
                      <wp:positionV relativeFrom="paragraph">
                        <wp:posOffset>186690</wp:posOffset>
                      </wp:positionV>
                      <wp:extent cx="1407160" cy="906145"/>
                      <wp:effectExtent l="0" t="0" r="21590" b="27305"/>
                      <wp:wrapNone/>
                      <wp:docPr id="1653977582" name="椭圆 4"/>
                      <wp:cNvGraphicFramePr/>
                      <a:graphic xmlns:a="http://schemas.openxmlformats.org/drawingml/2006/main">
                        <a:graphicData uri="http://schemas.microsoft.com/office/word/2010/wordprocessingShape">
                          <wps:wsp>
                            <wps:cNvSpPr/>
                            <wps:spPr>
                              <a:xfrm>
                                <a:off x="0" y="0"/>
                                <a:ext cx="1407160" cy="90614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4" o:spid="_x0000_s1026" o:spt="3" type="#_x0000_t3" style="position:absolute;left:0pt;margin-left:37.7pt;margin-top:14.7pt;height:71.35pt;width:110.8pt;z-index:251664384;v-text-anchor:middle;mso-width-relative:page;mso-height-relative:page;" filled="f" stroked="t" coordsize="21600,21600" o:gfxdata="UEsDBAoAAAAAAIdO4kAAAAAAAAAAAAAAAAAEAAAAZHJzL1BLAwQUAAAACACHTuJAY+8oztYAAAAJ&#10;AQAADwAAAGRycy9kb3ducmV2LnhtbE2PzU7DMBCE70i8g7VIXBB1GkHShDgVQuqBY1skrtt4SSLs&#10;dRS7f2/PcoLTajSfZmea9cU7daI5joENLBcZKOIu2JF7Ax/7zeMKVEzIFl1gMnClCOv29qbB2oYz&#10;b+m0S72SEI41GhhSmmqtYzeQx7gIE7F4X2H2mETOvbYzniXcO51nWaE9jiwfBpzobaDue3f0Bl6v&#10;OrltrDYPtuCiSJ/xHd3KmPu7ZfYCKtEl/cHwW1+qQyudDuHINipnoHx+EtJAXskVP69K2XYQsMyX&#10;oNtG/1/Q/gBQSwMEFAAAAAgAh07iQCW83811AgAA1wQAAA4AAABkcnMvZTJvRG9jLnhtbK1Uy24T&#10;MRTdI/EPlvd0ZkIe7aiTKmoUhFRBpYJYOx5PxpJf2E4m5QP4CpZs+Sz4Do5npg8Kiy7IYnLte32u&#10;z/Gxzy+OWpGD8EFaU9HiJKdEGG5raXYV/fhh8+qUkhCZqZmyRlT0VgR6sXz54rxzpZjY1qpaeAIQ&#10;E8rOVbSN0ZVZFngrNAsn1gmDZGO9ZhFDv8tqzzqga5VN8nyeddbXzlsuQsDsekjSEdE/B9A2jeRi&#10;bfleCxMHVC8Ui6AUWukCXfa7bRrB4/umCSISVVEwjf0XTRBv0zdbnrNy55lrJR+3wJ6zhSecNJMG&#10;Te+h1iwysvfyLygtubfBNvGEW50NRHpFwKLIn2hz0zInei6QOrh70cP/g+XvDteeyBpOmM9eny0W&#10;s9MJJYZpnPyv7z9+fvtKpkmkzoUStTfu2o+jgDAxPjZep39wIcde2Nt7YcUxEo7JYpovijk058id&#10;5fNiOkug2cNq50N8I6wmKaioUArHmLizkh2uQhyq76rStLEbqRTmWakM6dBksshTCwZTNjADQu1A&#10;LJgdJUzt4HYefQ8ZrJJ1Wp5WB7/bXipPDgwe2Wxy/MbN/VGWeq9ZaIe6PpXKWKllxIVQUlf0NC2+&#10;W60MGCbdBqVStLX1LeT2dvBhcHwjAXvFQrxmHsbD/nE143t8GmVByo4RJa31X/41n+rhB2Qp6WBk&#10;EP68Z15Qot4aOOWsmE4BG/vBdLaYYOAfZ7aPM2avLy10KPAION6HqT6qu7DxVn/CDV6lrkgxw9F7&#10;kHYcXMbhguEN4GK16svgdsfilblxPIEPB7jaR9vI/mwf1BlFg997g4x3M12ox+O+6uE9W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8oztYAAAAJAQAADwAAAAAAAAABACAAAAAiAAAAZHJzL2Rv&#10;d25yZXYueG1sUEsBAhQAFAAAAAgAh07iQCW83811AgAA1wQAAA4AAAAAAAAAAQAgAAAAJQEAAGRy&#10;cy9lMm9Eb2MueG1sUEsFBgAAAAAGAAYAWQEAAAwGAAAAAA==&#10;">
                      <v:fill on="f" focussize="0,0"/>
                      <v:stroke weight="1pt" color="#FF0000 [3204]" miterlimit="8" joinstyle="miter"/>
                      <v:imagedata o:title=""/>
                      <o:lock v:ext="edit" aspectratio="f"/>
                    </v:shape>
                  </w:pict>
                </mc:Fallback>
              </mc:AlternateContent>
            </w:r>
            <w:r>
              <w:drawing>
                <wp:inline distT="0" distB="0" distL="0" distR="0">
                  <wp:extent cx="2401570" cy="1947545"/>
                  <wp:effectExtent l="0" t="0" r="0" b="0"/>
                  <wp:docPr id="13474416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41647" name="图片 1"/>
                          <pic:cNvPicPr>
                            <a:picLocks noChangeAspect="1"/>
                          </pic:cNvPicPr>
                        </pic:nvPicPr>
                        <pic:blipFill>
                          <a:blip r:embed="rId51"/>
                          <a:stretch>
                            <a:fillRect/>
                          </a:stretch>
                        </pic:blipFill>
                        <pic:spPr>
                          <a:xfrm>
                            <a:off x="0" y="0"/>
                            <a:ext cx="2405278" cy="1950870"/>
                          </a:xfrm>
                          <a:prstGeom prst="rect">
                            <a:avLst/>
                          </a:prstGeom>
                        </pic:spPr>
                      </pic:pic>
                    </a:graphicData>
                  </a:graphic>
                </wp:inline>
              </w:drawing>
            </w:r>
          </w:p>
        </w:tc>
      </w:tr>
    </w:tbl>
    <w:p w14:paraId="6C43DA89">
      <w:pPr>
        <w:adjustRightInd w:val="0"/>
        <w:snapToGrid w:val="0"/>
        <w:ind w:firstLine="480"/>
      </w:pPr>
      <w:r>
        <w:rPr>
          <w:rFonts w:hint="eastAsia"/>
        </w:rPr>
        <w:t>（2）升压站及施工生产生活区</w:t>
      </w:r>
    </w:p>
    <w:p w14:paraId="0223B482">
      <w:pPr>
        <w:adjustRightInd w:val="0"/>
        <w:snapToGrid w:val="0"/>
        <w:ind w:firstLine="480"/>
      </w:pPr>
      <w:r>
        <w:rPr>
          <w:rFonts w:hint="eastAsia"/>
        </w:rPr>
        <w:t>本项目新建一座1</w:t>
      </w:r>
      <w:r>
        <w:t>10</w:t>
      </w:r>
      <w:r>
        <w:rPr>
          <w:rFonts w:hint="eastAsia"/>
        </w:rPr>
        <w:t>k</w:t>
      </w:r>
      <w:r>
        <w:t>V</w:t>
      </w:r>
      <w:r>
        <w:rPr>
          <w:rFonts w:hint="eastAsia"/>
        </w:rPr>
        <w:t>升压站，项目施工生产生活区位于升压站旁</w:t>
      </w:r>
      <w:r>
        <w:t>。施工生产生活区占地面积约0.4hm</w:t>
      </w:r>
      <w:r>
        <w:rPr>
          <w:vertAlign w:val="superscript"/>
        </w:rPr>
        <w:t>2</w:t>
      </w:r>
      <w:r>
        <w:t>。</w:t>
      </w:r>
    </w:p>
    <w:p w14:paraId="2ED080B9">
      <w:pPr>
        <w:adjustRightInd w:val="0"/>
        <w:snapToGrid w:val="0"/>
        <w:spacing w:line="240" w:lineRule="auto"/>
        <w:ind w:firstLine="198" w:firstLineChars="82"/>
        <w:jc w:val="center"/>
        <w:rPr>
          <w:b/>
          <w:bCs/>
        </w:rPr>
      </w:pPr>
      <w:r>
        <w:rPr>
          <w:rFonts w:hint="eastAsia"/>
          <w:b/>
          <w:bCs/>
        </w:rPr>
        <w:t>表</w:t>
      </w:r>
      <w:r>
        <w:rPr>
          <w:b/>
          <w:bCs/>
        </w:rPr>
        <w:t xml:space="preserve">5.5-6 </w:t>
      </w:r>
      <w:r>
        <w:rPr>
          <w:rFonts w:hint="eastAsia"/>
          <w:b/>
          <w:bCs/>
        </w:rPr>
        <w:t>项目升压站区植被现状</w:t>
      </w:r>
    </w:p>
    <w:tbl>
      <w:tblPr>
        <w:tblStyle w:val="368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5"/>
        <w:gridCol w:w="3395"/>
        <w:gridCol w:w="4337"/>
      </w:tblGrid>
      <w:tr w14:paraId="5BC993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0FE6F41B">
            <w:pPr>
              <w:tabs>
                <w:tab w:val="clear" w:pos="480"/>
              </w:tabs>
              <w:spacing w:line="240" w:lineRule="auto"/>
              <w:ind w:firstLine="0" w:firstLineChars="0"/>
              <w:jc w:val="center"/>
              <w:rPr>
                <w:sz w:val="18"/>
                <w:szCs w:val="18"/>
              </w:rPr>
            </w:pPr>
            <w:r>
              <w:rPr>
                <w:rFonts w:hint="eastAsia"/>
                <w:sz w:val="18"/>
                <w:szCs w:val="18"/>
              </w:rPr>
              <w:t>升压站</w:t>
            </w:r>
            <w:r>
              <w:rPr>
                <w:sz w:val="18"/>
                <w:szCs w:val="18"/>
              </w:rPr>
              <w:t xml:space="preserve"> </w:t>
            </w:r>
          </w:p>
        </w:tc>
        <w:tc>
          <w:tcPr>
            <w:tcW w:w="1991" w:type="pct"/>
            <w:vAlign w:val="center"/>
          </w:tcPr>
          <w:p w14:paraId="2A2F7173">
            <w:pPr>
              <w:tabs>
                <w:tab w:val="clear" w:pos="480"/>
              </w:tabs>
              <w:spacing w:line="240" w:lineRule="auto"/>
              <w:ind w:firstLine="0" w:firstLineChars="0"/>
              <w:rPr>
                <w:sz w:val="18"/>
                <w:szCs w:val="18"/>
              </w:rPr>
            </w:pPr>
            <w:r>
              <w:rPr>
                <w:rFonts w:hint="eastAsia"/>
                <w:sz w:val="18"/>
                <w:szCs w:val="18"/>
              </w:rPr>
              <w:t>该区域土地利用类型以林地为主，植被类型以针叶林、竹林、灌丛和灌草丛为主，常见的群系有杉木林毛竹林、白栎灌丛、粗叶悬钩子灌丛、芒灌草从、五节芒灌草从、白茅灌草从、蕨灌草从 ，常见的植物有杉木、枫香、毛竹、白栎、粗叶悬钩子、芒萁、五节芒、白茅、蕨等。</w:t>
            </w:r>
          </w:p>
        </w:tc>
        <w:tc>
          <w:tcPr>
            <w:tcW w:w="2543" w:type="pct"/>
            <w:vAlign w:val="center"/>
          </w:tcPr>
          <w:p w14:paraId="792000BF">
            <w:pPr>
              <w:tabs>
                <w:tab w:val="clear" w:pos="480"/>
              </w:tabs>
              <w:spacing w:line="240" w:lineRule="auto"/>
              <w:ind w:firstLine="0" w:firstLineChars="0"/>
              <w:jc w:val="center"/>
              <w:rPr>
                <w:sz w:val="21"/>
                <w:szCs w:val="22"/>
              </w:rPr>
            </w:pPr>
            <w:r>
              <w:drawing>
                <wp:inline distT="0" distB="0" distL="0" distR="0">
                  <wp:extent cx="2537460" cy="1892300"/>
                  <wp:effectExtent l="0" t="0" r="0" b="0"/>
                  <wp:docPr id="33596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6589" name="图片 1"/>
                          <pic:cNvPicPr>
                            <a:picLocks noChangeAspect="1"/>
                          </pic:cNvPicPr>
                        </pic:nvPicPr>
                        <pic:blipFill>
                          <a:blip r:embed="rId52"/>
                          <a:stretch>
                            <a:fillRect/>
                          </a:stretch>
                        </pic:blipFill>
                        <pic:spPr>
                          <a:xfrm>
                            <a:off x="0" y="0"/>
                            <a:ext cx="2537460" cy="1892300"/>
                          </a:xfrm>
                          <a:prstGeom prst="rect">
                            <a:avLst/>
                          </a:prstGeom>
                        </pic:spPr>
                      </pic:pic>
                    </a:graphicData>
                  </a:graphic>
                </wp:inline>
              </w:drawing>
            </w:r>
          </w:p>
        </w:tc>
      </w:tr>
    </w:tbl>
    <w:p w14:paraId="5F2D6A7F">
      <w:pPr>
        <w:adjustRightInd w:val="0"/>
        <w:snapToGrid w:val="0"/>
        <w:ind w:firstLine="480"/>
      </w:pPr>
      <w:r>
        <w:rPr>
          <w:rFonts w:hint="eastAsia"/>
        </w:rPr>
        <w:t>（3）弃渣场</w:t>
      </w:r>
    </w:p>
    <w:p w14:paraId="6C5B7CC6">
      <w:pPr>
        <w:adjustRightInd w:val="0"/>
        <w:snapToGrid w:val="0"/>
        <w:ind w:firstLine="480"/>
      </w:pPr>
      <w:r>
        <w:rPr>
          <w:rFonts w:hint="eastAsia"/>
        </w:rPr>
        <w:t>项目</w:t>
      </w:r>
      <w:r>
        <w:t>土石方开挖总量为</w:t>
      </w:r>
      <w:r>
        <w:rPr>
          <w:rFonts w:hint="eastAsia"/>
        </w:rPr>
        <w:t>87.68</w:t>
      </w:r>
      <w:r>
        <w:t>万 m</w:t>
      </w:r>
      <w:r>
        <w:rPr>
          <w:vertAlign w:val="superscript"/>
        </w:rPr>
        <w:t>3</w:t>
      </w:r>
      <w:r>
        <w:t>，回填总量</w:t>
      </w:r>
      <w:r>
        <w:rPr>
          <w:rFonts w:hint="eastAsia"/>
        </w:rPr>
        <w:t>71.23</w:t>
      </w:r>
      <w:r>
        <w:t>万 m</w:t>
      </w:r>
      <w:r>
        <w:rPr>
          <w:vertAlign w:val="superscript"/>
        </w:rPr>
        <w:t>3</w:t>
      </w:r>
      <w:r>
        <w:t>，弃渣总量</w:t>
      </w:r>
      <w:r>
        <w:rPr>
          <w:rFonts w:hint="eastAsia"/>
        </w:rPr>
        <w:t>16.45</w:t>
      </w:r>
      <w:r>
        <w:t>万 m</w:t>
      </w:r>
      <w:r>
        <w:rPr>
          <w:vertAlign w:val="superscript"/>
        </w:rPr>
        <w:t>3</w:t>
      </w:r>
      <w:r>
        <w:t>。建设过程中需剥离、保存和利用表土共计5.44万 m</w:t>
      </w:r>
      <w:r>
        <w:rPr>
          <w:vertAlign w:val="superscript"/>
        </w:rPr>
        <w:t>3</w:t>
      </w:r>
      <w:r>
        <w:rPr>
          <w:rFonts w:hint="eastAsia"/>
        </w:rPr>
        <w:t>。</w:t>
      </w:r>
    </w:p>
    <w:p w14:paraId="0CCEB4B0">
      <w:pPr>
        <w:adjustRightInd w:val="0"/>
        <w:snapToGrid w:val="0"/>
        <w:ind w:firstLine="480"/>
      </w:pPr>
      <w:r>
        <w:t>根据“分散弃渣、相对集中、安全稳定、便于运弃”的原则，</w:t>
      </w:r>
      <w:r>
        <w:rPr>
          <w:rFonts w:hint="eastAsia"/>
        </w:rPr>
        <w:t>规划了8处弃渣场</w:t>
      </w:r>
      <w:r>
        <w:t>，总占地5.0hm</w:t>
      </w:r>
      <w:r>
        <w:rPr>
          <w:vertAlign w:val="superscript"/>
        </w:rPr>
        <w:t>2</w:t>
      </w:r>
      <w:r>
        <w:t>。</w:t>
      </w:r>
    </w:p>
    <w:p w14:paraId="4DF45F5E">
      <w:pPr>
        <w:adjustRightInd w:val="0"/>
        <w:snapToGrid w:val="0"/>
        <w:spacing w:line="240" w:lineRule="auto"/>
        <w:ind w:firstLine="198" w:firstLineChars="82"/>
        <w:jc w:val="center"/>
        <w:rPr>
          <w:b/>
          <w:bCs/>
        </w:rPr>
      </w:pPr>
      <w:r>
        <w:rPr>
          <w:rFonts w:hint="eastAsia"/>
          <w:b/>
          <w:bCs/>
        </w:rPr>
        <w:t>表</w:t>
      </w:r>
      <w:r>
        <w:rPr>
          <w:b/>
          <w:bCs/>
        </w:rPr>
        <w:t xml:space="preserve">5.5-7  </w:t>
      </w:r>
      <w:r>
        <w:rPr>
          <w:rFonts w:hint="eastAsia"/>
          <w:b/>
          <w:bCs/>
        </w:rPr>
        <w:t>项目弃渣场区植被现状</w:t>
      </w:r>
    </w:p>
    <w:tbl>
      <w:tblPr>
        <w:tblStyle w:val="368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5"/>
        <w:gridCol w:w="3395"/>
        <w:gridCol w:w="4337"/>
      </w:tblGrid>
      <w:tr w14:paraId="1106E5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32FB73E3">
            <w:pPr>
              <w:tabs>
                <w:tab w:val="clear" w:pos="480"/>
              </w:tabs>
              <w:spacing w:line="240" w:lineRule="auto"/>
              <w:ind w:firstLine="0" w:firstLineChars="0"/>
              <w:jc w:val="center"/>
              <w:rPr>
                <w:sz w:val="18"/>
                <w:szCs w:val="18"/>
              </w:rPr>
            </w:pPr>
            <w:r>
              <w:rPr>
                <w:sz w:val="18"/>
                <w:szCs w:val="18"/>
              </w:rPr>
              <w:t>Z1</w:t>
            </w:r>
            <w:r>
              <w:rPr>
                <w:rFonts w:hint="eastAsia"/>
                <w:sz w:val="18"/>
                <w:szCs w:val="18"/>
              </w:rPr>
              <w:t>弃渣场</w:t>
            </w:r>
          </w:p>
        </w:tc>
        <w:tc>
          <w:tcPr>
            <w:tcW w:w="1991" w:type="pct"/>
            <w:vAlign w:val="center"/>
          </w:tcPr>
          <w:p w14:paraId="7399A407">
            <w:pPr>
              <w:tabs>
                <w:tab w:val="clear" w:pos="480"/>
              </w:tabs>
              <w:spacing w:line="240" w:lineRule="auto"/>
              <w:ind w:firstLine="0" w:firstLineChars="0"/>
              <w:rPr>
                <w:sz w:val="18"/>
                <w:szCs w:val="18"/>
              </w:rPr>
            </w:pPr>
            <w:r>
              <w:rPr>
                <w:rFonts w:hint="eastAsia"/>
                <w:sz w:val="18"/>
                <w:szCs w:val="18"/>
              </w:rPr>
              <w:t>植被类型以针叶林、灌草丛为主，常见的植被类型有杉木林、鬼针草灌丛、芒灌草丛，常见植物有杉木、马尾松、悬铃叶苎麻、鸡眼草等。</w:t>
            </w:r>
          </w:p>
        </w:tc>
        <w:tc>
          <w:tcPr>
            <w:tcW w:w="2543" w:type="pct"/>
            <w:vAlign w:val="center"/>
          </w:tcPr>
          <w:p w14:paraId="68369534">
            <w:pPr>
              <w:tabs>
                <w:tab w:val="clear" w:pos="480"/>
              </w:tabs>
              <w:spacing w:line="240" w:lineRule="auto"/>
              <w:ind w:firstLine="0" w:firstLineChars="0"/>
              <w:jc w:val="center"/>
              <w:rPr>
                <w:sz w:val="21"/>
                <w:szCs w:val="22"/>
              </w:rPr>
            </w:pPr>
            <w:r>
              <w:drawing>
                <wp:inline distT="0" distB="0" distL="0" distR="0">
                  <wp:extent cx="2432050" cy="1758950"/>
                  <wp:effectExtent l="0" t="0" r="635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53"/>
                          <a:stretch>
                            <a:fillRect/>
                          </a:stretch>
                        </pic:blipFill>
                        <pic:spPr>
                          <a:xfrm>
                            <a:off x="0" y="0"/>
                            <a:ext cx="2444004" cy="1767619"/>
                          </a:xfrm>
                          <a:prstGeom prst="rect">
                            <a:avLst/>
                          </a:prstGeom>
                        </pic:spPr>
                      </pic:pic>
                    </a:graphicData>
                  </a:graphic>
                </wp:inline>
              </w:drawing>
            </w:r>
          </w:p>
        </w:tc>
      </w:tr>
      <w:tr w14:paraId="2FE9A1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508DF28C">
            <w:pPr>
              <w:tabs>
                <w:tab w:val="clear" w:pos="480"/>
              </w:tabs>
              <w:spacing w:line="240" w:lineRule="auto"/>
              <w:ind w:firstLine="0" w:firstLineChars="0"/>
              <w:jc w:val="center"/>
              <w:rPr>
                <w:sz w:val="18"/>
                <w:szCs w:val="18"/>
              </w:rPr>
            </w:pPr>
            <w:r>
              <w:rPr>
                <w:sz w:val="18"/>
                <w:szCs w:val="18"/>
              </w:rPr>
              <w:t>Z2</w:t>
            </w:r>
            <w:r>
              <w:rPr>
                <w:rFonts w:hint="eastAsia"/>
                <w:sz w:val="18"/>
                <w:szCs w:val="18"/>
              </w:rPr>
              <w:t>弃渣场</w:t>
            </w:r>
          </w:p>
        </w:tc>
        <w:tc>
          <w:tcPr>
            <w:tcW w:w="1991" w:type="pct"/>
            <w:vAlign w:val="center"/>
          </w:tcPr>
          <w:p w14:paraId="709EC1FE">
            <w:pPr>
              <w:tabs>
                <w:tab w:val="clear" w:pos="480"/>
              </w:tabs>
              <w:spacing w:line="240" w:lineRule="auto"/>
              <w:ind w:firstLine="0" w:firstLineChars="0"/>
              <w:rPr>
                <w:sz w:val="18"/>
                <w:szCs w:val="18"/>
              </w:rPr>
            </w:pPr>
            <w:r>
              <w:rPr>
                <w:rFonts w:hint="eastAsia"/>
                <w:sz w:val="18"/>
                <w:szCs w:val="18"/>
              </w:rPr>
              <w:t>植被类型以针叶林、灌丛为主，常见的植被类型有杉木林、油茶灌丛、檵木灌丛，常见的植物有寒莓、地菍、黄荆等。</w:t>
            </w:r>
          </w:p>
        </w:tc>
        <w:tc>
          <w:tcPr>
            <w:tcW w:w="2543" w:type="pct"/>
            <w:vAlign w:val="center"/>
          </w:tcPr>
          <w:p w14:paraId="15852503">
            <w:pPr>
              <w:tabs>
                <w:tab w:val="clear" w:pos="480"/>
              </w:tabs>
              <w:spacing w:line="240" w:lineRule="auto"/>
              <w:ind w:firstLine="0" w:firstLineChars="0"/>
              <w:jc w:val="center"/>
              <w:rPr>
                <w:sz w:val="21"/>
                <w:szCs w:val="22"/>
              </w:rPr>
            </w:pPr>
            <w:r>
              <w:drawing>
                <wp:inline distT="0" distB="0" distL="0" distR="0">
                  <wp:extent cx="2393950" cy="1771015"/>
                  <wp:effectExtent l="0" t="0" r="6350" b="63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54"/>
                          <a:stretch>
                            <a:fillRect/>
                          </a:stretch>
                        </pic:blipFill>
                        <pic:spPr>
                          <a:xfrm>
                            <a:off x="0" y="0"/>
                            <a:ext cx="2399103" cy="1774800"/>
                          </a:xfrm>
                          <a:prstGeom prst="rect">
                            <a:avLst/>
                          </a:prstGeom>
                        </pic:spPr>
                      </pic:pic>
                    </a:graphicData>
                  </a:graphic>
                </wp:inline>
              </w:drawing>
            </w:r>
          </w:p>
        </w:tc>
      </w:tr>
      <w:tr w14:paraId="1216CD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30EF55C3">
            <w:pPr>
              <w:tabs>
                <w:tab w:val="clear" w:pos="480"/>
              </w:tabs>
              <w:spacing w:line="240" w:lineRule="auto"/>
              <w:ind w:firstLine="0" w:firstLineChars="0"/>
              <w:jc w:val="center"/>
              <w:rPr>
                <w:sz w:val="18"/>
                <w:szCs w:val="18"/>
              </w:rPr>
            </w:pPr>
            <w:r>
              <w:rPr>
                <w:sz w:val="18"/>
                <w:szCs w:val="18"/>
              </w:rPr>
              <w:t>Z3</w:t>
            </w:r>
            <w:r>
              <w:rPr>
                <w:rFonts w:hint="eastAsia"/>
                <w:sz w:val="18"/>
                <w:szCs w:val="18"/>
              </w:rPr>
              <w:t>弃渣场</w:t>
            </w:r>
          </w:p>
        </w:tc>
        <w:tc>
          <w:tcPr>
            <w:tcW w:w="1991" w:type="pct"/>
            <w:vAlign w:val="center"/>
          </w:tcPr>
          <w:p w14:paraId="68B9DBD9">
            <w:pPr>
              <w:tabs>
                <w:tab w:val="clear" w:pos="480"/>
              </w:tabs>
              <w:spacing w:line="240" w:lineRule="auto"/>
              <w:ind w:firstLine="0" w:firstLineChars="0"/>
              <w:rPr>
                <w:sz w:val="18"/>
                <w:szCs w:val="18"/>
              </w:rPr>
            </w:pPr>
            <w:r>
              <w:rPr>
                <w:rFonts w:hint="eastAsia"/>
                <w:sz w:val="18"/>
                <w:szCs w:val="18"/>
              </w:rPr>
              <w:t>植被类型以针叶林、阔叶林、灌草丛为主，常见的植被类型有杉木林、白栎林、阔鳞鳞毛蕨灌草丛，常见的植物有杉木、柳杉、短柄枹栎、柯、芒等。</w:t>
            </w:r>
          </w:p>
        </w:tc>
        <w:tc>
          <w:tcPr>
            <w:tcW w:w="2543" w:type="pct"/>
            <w:vAlign w:val="center"/>
          </w:tcPr>
          <w:p w14:paraId="3D341502">
            <w:pPr>
              <w:tabs>
                <w:tab w:val="clear" w:pos="480"/>
              </w:tabs>
              <w:spacing w:line="240" w:lineRule="auto"/>
              <w:ind w:firstLine="0" w:firstLineChars="0"/>
              <w:jc w:val="center"/>
              <w:rPr>
                <w:sz w:val="21"/>
                <w:szCs w:val="22"/>
              </w:rPr>
            </w:pPr>
            <w:r>
              <w:drawing>
                <wp:inline distT="0" distB="0" distL="0" distR="0">
                  <wp:extent cx="2366010" cy="169989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55"/>
                          <a:stretch>
                            <a:fillRect/>
                          </a:stretch>
                        </pic:blipFill>
                        <pic:spPr>
                          <a:xfrm>
                            <a:off x="0" y="0"/>
                            <a:ext cx="2376906" cy="1707851"/>
                          </a:xfrm>
                          <a:prstGeom prst="rect">
                            <a:avLst/>
                          </a:prstGeom>
                        </pic:spPr>
                      </pic:pic>
                    </a:graphicData>
                  </a:graphic>
                </wp:inline>
              </w:drawing>
            </w:r>
          </w:p>
        </w:tc>
      </w:tr>
      <w:tr w14:paraId="599883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0FCD4D86">
            <w:pPr>
              <w:tabs>
                <w:tab w:val="clear" w:pos="480"/>
              </w:tabs>
              <w:spacing w:line="240" w:lineRule="auto"/>
              <w:ind w:firstLine="0" w:firstLineChars="0"/>
              <w:jc w:val="center"/>
              <w:rPr>
                <w:sz w:val="18"/>
                <w:szCs w:val="18"/>
              </w:rPr>
            </w:pPr>
            <w:r>
              <w:rPr>
                <w:sz w:val="18"/>
                <w:szCs w:val="18"/>
              </w:rPr>
              <w:t>Z4</w:t>
            </w:r>
            <w:r>
              <w:rPr>
                <w:rFonts w:hint="eastAsia"/>
                <w:sz w:val="18"/>
                <w:szCs w:val="18"/>
              </w:rPr>
              <w:t>弃渣场</w:t>
            </w:r>
          </w:p>
        </w:tc>
        <w:tc>
          <w:tcPr>
            <w:tcW w:w="1991" w:type="pct"/>
            <w:vAlign w:val="center"/>
          </w:tcPr>
          <w:p w14:paraId="5223BA69">
            <w:pPr>
              <w:tabs>
                <w:tab w:val="clear" w:pos="480"/>
              </w:tabs>
              <w:spacing w:line="240" w:lineRule="auto"/>
              <w:ind w:firstLine="0" w:firstLineChars="0"/>
              <w:rPr>
                <w:sz w:val="18"/>
                <w:szCs w:val="18"/>
              </w:rPr>
            </w:pPr>
            <w:r>
              <w:rPr>
                <w:rFonts w:hint="eastAsia"/>
                <w:sz w:val="18"/>
                <w:szCs w:val="18"/>
              </w:rPr>
              <w:t>植被类型以针叶林、灌丛、灌草丛为主，常见的植被类型有杉木林、鹿角杜鹃灌丛、亮叶崖豆藤灌丛、芒灌草丛。常见的植物有马尾松、算盘子、荚蒾、刺五加、紫萁等。</w:t>
            </w:r>
          </w:p>
        </w:tc>
        <w:tc>
          <w:tcPr>
            <w:tcW w:w="2543" w:type="pct"/>
            <w:vAlign w:val="center"/>
          </w:tcPr>
          <w:p w14:paraId="3FB338D8">
            <w:pPr>
              <w:tabs>
                <w:tab w:val="clear" w:pos="480"/>
              </w:tabs>
              <w:spacing w:line="240" w:lineRule="auto"/>
              <w:ind w:firstLine="0" w:firstLineChars="0"/>
              <w:jc w:val="center"/>
              <w:rPr>
                <w:sz w:val="21"/>
                <w:szCs w:val="22"/>
              </w:rPr>
            </w:pPr>
            <w:r>
              <w:drawing>
                <wp:inline distT="0" distB="0" distL="0" distR="0">
                  <wp:extent cx="2346960" cy="170116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56"/>
                          <a:stretch>
                            <a:fillRect/>
                          </a:stretch>
                        </pic:blipFill>
                        <pic:spPr>
                          <a:xfrm>
                            <a:off x="0" y="0"/>
                            <a:ext cx="2352037" cy="1705008"/>
                          </a:xfrm>
                          <a:prstGeom prst="rect">
                            <a:avLst/>
                          </a:prstGeom>
                        </pic:spPr>
                      </pic:pic>
                    </a:graphicData>
                  </a:graphic>
                </wp:inline>
              </w:drawing>
            </w:r>
          </w:p>
        </w:tc>
      </w:tr>
      <w:tr w14:paraId="32BDD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4AEB0F22">
            <w:pPr>
              <w:tabs>
                <w:tab w:val="clear" w:pos="480"/>
              </w:tabs>
              <w:spacing w:line="240" w:lineRule="auto"/>
              <w:ind w:firstLine="0" w:firstLineChars="0"/>
              <w:jc w:val="center"/>
              <w:rPr>
                <w:sz w:val="18"/>
                <w:szCs w:val="18"/>
              </w:rPr>
            </w:pPr>
            <w:r>
              <w:rPr>
                <w:sz w:val="18"/>
                <w:szCs w:val="18"/>
              </w:rPr>
              <w:t>Z5</w:t>
            </w:r>
            <w:r>
              <w:rPr>
                <w:rFonts w:hint="eastAsia"/>
                <w:sz w:val="18"/>
                <w:szCs w:val="18"/>
              </w:rPr>
              <w:t>弃渣场</w:t>
            </w:r>
          </w:p>
        </w:tc>
        <w:tc>
          <w:tcPr>
            <w:tcW w:w="1991" w:type="pct"/>
            <w:vAlign w:val="center"/>
          </w:tcPr>
          <w:p w14:paraId="36B06125">
            <w:pPr>
              <w:tabs>
                <w:tab w:val="clear" w:pos="480"/>
              </w:tabs>
              <w:spacing w:line="240" w:lineRule="auto"/>
              <w:ind w:firstLine="0" w:firstLineChars="0"/>
              <w:rPr>
                <w:sz w:val="18"/>
                <w:szCs w:val="18"/>
              </w:rPr>
            </w:pPr>
            <w:r>
              <w:rPr>
                <w:rFonts w:hint="eastAsia"/>
                <w:sz w:val="18"/>
                <w:szCs w:val="18"/>
              </w:rPr>
              <w:t>植被类型以灌丛、灌草丛为主，常见的植被类型有鹿角杜鹃灌丛、油茶灌丛、芒灌草丛、阔鳞鳞毛蕨灌草丛，常见植物有南蛇藤、半边月、山油麻、鬼针草、芒等。</w:t>
            </w:r>
          </w:p>
        </w:tc>
        <w:tc>
          <w:tcPr>
            <w:tcW w:w="2543" w:type="pct"/>
            <w:vAlign w:val="center"/>
          </w:tcPr>
          <w:p w14:paraId="278BA175">
            <w:pPr>
              <w:tabs>
                <w:tab w:val="clear" w:pos="480"/>
              </w:tabs>
              <w:spacing w:line="240" w:lineRule="auto"/>
              <w:ind w:firstLine="0" w:firstLineChars="0"/>
              <w:jc w:val="center"/>
              <w:rPr>
                <w:sz w:val="21"/>
                <w:szCs w:val="22"/>
              </w:rPr>
            </w:pPr>
            <w:r>
              <w:drawing>
                <wp:inline distT="0" distB="0" distL="0" distR="0">
                  <wp:extent cx="2356485" cy="1671955"/>
                  <wp:effectExtent l="0" t="0" r="5715" b="444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57"/>
                          <a:stretch>
                            <a:fillRect/>
                          </a:stretch>
                        </pic:blipFill>
                        <pic:spPr>
                          <a:xfrm>
                            <a:off x="0" y="0"/>
                            <a:ext cx="2365007" cy="1678112"/>
                          </a:xfrm>
                          <a:prstGeom prst="rect">
                            <a:avLst/>
                          </a:prstGeom>
                        </pic:spPr>
                      </pic:pic>
                    </a:graphicData>
                  </a:graphic>
                </wp:inline>
              </w:drawing>
            </w:r>
          </w:p>
        </w:tc>
      </w:tr>
      <w:tr w14:paraId="7D593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6" w:type="pct"/>
            <w:vAlign w:val="center"/>
          </w:tcPr>
          <w:p w14:paraId="37F7929C">
            <w:pPr>
              <w:tabs>
                <w:tab w:val="clear" w:pos="480"/>
              </w:tabs>
              <w:spacing w:line="240" w:lineRule="auto"/>
              <w:ind w:firstLine="0" w:firstLineChars="0"/>
              <w:jc w:val="center"/>
              <w:rPr>
                <w:sz w:val="18"/>
                <w:szCs w:val="18"/>
              </w:rPr>
            </w:pPr>
            <w:r>
              <w:rPr>
                <w:sz w:val="18"/>
                <w:szCs w:val="18"/>
              </w:rPr>
              <w:t>Z6</w:t>
            </w:r>
            <w:r>
              <w:rPr>
                <w:rFonts w:hint="eastAsia"/>
                <w:sz w:val="18"/>
                <w:szCs w:val="18"/>
              </w:rPr>
              <w:t>弃渣场</w:t>
            </w:r>
          </w:p>
        </w:tc>
        <w:tc>
          <w:tcPr>
            <w:tcW w:w="1991" w:type="pct"/>
            <w:vAlign w:val="center"/>
          </w:tcPr>
          <w:p w14:paraId="2FC034C7">
            <w:pPr>
              <w:tabs>
                <w:tab w:val="clear" w:pos="480"/>
              </w:tabs>
              <w:spacing w:line="240" w:lineRule="auto"/>
              <w:ind w:firstLine="0" w:firstLineChars="0"/>
              <w:rPr>
                <w:sz w:val="18"/>
                <w:szCs w:val="18"/>
              </w:rPr>
            </w:pPr>
            <w:r>
              <w:rPr>
                <w:rFonts w:hint="eastAsia"/>
                <w:sz w:val="18"/>
                <w:szCs w:val="18"/>
              </w:rPr>
              <w:t>植被类型以针叶林、阔叶林、灌丛为主，常见的植被类型有杉木林、阔叶箬竹林、川榛灌丛、檵木灌丛等，常见的植物有油桐、枫香树、黄檀、杜鹃、盐肤木等。</w:t>
            </w:r>
          </w:p>
        </w:tc>
        <w:tc>
          <w:tcPr>
            <w:tcW w:w="2543" w:type="pct"/>
            <w:vAlign w:val="center"/>
          </w:tcPr>
          <w:p w14:paraId="7BB5826B">
            <w:pPr>
              <w:tabs>
                <w:tab w:val="clear" w:pos="480"/>
              </w:tabs>
              <w:spacing w:line="240" w:lineRule="auto"/>
              <w:ind w:firstLine="0" w:firstLineChars="0"/>
              <w:jc w:val="center"/>
              <w:rPr>
                <w:sz w:val="21"/>
                <w:szCs w:val="22"/>
              </w:rPr>
            </w:pPr>
            <w:r>
              <w:drawing>
                <wp:inline distT="0" distB="0" distL="0" distR="0">
                  <wp:extent cx="2366010" cy="171513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8"/>
                          <a:stretch>
                            <a:fillRect/>
                          </a:stretch>
                        </pic:blipFill>
                        <pic:spPr>
                          <a:xfrm>
                            <a:off x="0" y="0"/>
                            <a:ext cx="2374241" cy="1721104"/>
                          </a:xfrm>
                          <a:prstGeom prst="rect">
                            <a:avLst/>
                          </a:prstGeom>
                        </pic:spPr>
                      </pic:pic>
                    </a:graphicData>
                  </a:graphic>
                </wp:inline>
              </w:drawing>
            </w:r>
          </w:p>
        </w:tc>
      </w:tr>
    </w:tbl>
    <w:p w14:paraId="61D41FA7">
      <w:pPr>
        <w:adjustRightInd w:val="0"/>
        <w:snapToGrid w:val="0"/>
        <w:ind w:firstLine="480"/>
      </w:pPr>
      <w:r>
        <w:rPr>
          <w:rFonts w:hint="eastAsia"/>
        </w:rPr>
        <w:t>（</w:t>
      </w:r>
      <w:r>
        <w:t>4</w:t>
      </w:r>
      <w:r>
        <w:rPr>
          <w:rFonts w:hint="eastAsia"/>
        </w:rPr>
        <w:t>）道路及集电线路区</w:t>
      </w:r>
    </w:p>
    <w:p w14:paraId="21CF271B">
      <w:pPr>
        <w:adjustRightInd w:val="0"/>
        <w:snapToGrid w:val="0"/>
        <w:ind w:firstLine="480"/>
      </w:pPr>
      <w:r>
        <w:t>本工程场内道路全长30.5km，</w:t>
      </w:r>
      <w:r>
        <w:rPr>
          <w:rFonts w:hint="eastAsia"/>
        </w:rPr>
        <w:t>其中新建场内部道路1</w:t>
      </w:r>
      <w:r>
        <w:t>6.4</w:t>
      </w:r>
      <w:r>
        <w:rPr>
          <w:rFonts w:hint="eastAsia"/>
        </w:rPr>
        <w:t>km，改建场内道路4</w:t>
      </w:r>
      <w:r>
        <w:t>.1</w:t>
      </w:r>
      <w:r>
        <w:rPr>
          <w:rFonts w:hint="eastAsia"/>
        </w:rPr>
        <w:t>km，改建进场道路1</w:t>
      </w:r>
      <w:r>
        <w:t>0</w:t>
      </w:r>
      <w:r>
        <w:rPr>
          <w:rFonts w:hint="eastAsia"/>
        </w:rPr>
        <w:t>km。道路工程临时占地</w:t>
      </w:r>
      <w:r>
        <w:t>33.52hm</w:t>
      </w:r>
      <w:r>
        <w:rPr>
          <w:vertAlign w:val="superscript"/>
        </w:rPr>
        <w:t>2</w:t>
      </w:r>
      <w:r>
        <w:rPr>
          <w:rFonts w:hint="eastAsia"/>
        </w:rPr>
        <w:t>。</w:t>
      </w:r>
    </w:p>
    <w:p w14:paraId="231BFDB1">
      <w:pPr>
        <w:adjustRightInd w:val="0"/>
        <w:snapToGrid w:val="0"/>
        <w:ind w:firstLine="480"/>
      </w:pPr>
      <w:r>
        <w:t>根据工程设计，本工程直埋线路全长13.5km，</w:t>
      </w:r>
      <w:r>
        <w:rPr>
          <w:rFonts w:hint="eastAsia"/>
        </w:rPr>
        <w:t>架空集电线路长9</w:t>
      </w:r>
      <w:r>
        <w:t>.0</w:t>
      </w:r>
      <w:r>
        <w:rPr>
          <w:rFonts w:hint="eastAsia"/>
        </w:rPr>
        <w:t>km，</w:t>
      </w:r>
      <w:r>
        <w:t>集电线路临时占地0.08hm</w:t>
      </w:r>
      <w:r>
        <w:rPr>
          <w:vertAlign w:val="superscript"/>
        </w:rPr>
        <w:t>2</w:t>
      </w:r>
      <w:r>
        <w:rPr>
          <w:rFonts w:hint="eastAsia"/>
        </w:rPr>
        <w:t>，永久占地0</w:t>
      </w:r>
      <w:r>
        <w:t>.05</w:t>
      </w:r>
      <w:r>
        <w:rPr>
          <w:rFonts w:hint="eastAsia"/>
        </w:rPr>
        <w:t>hm</w:t>
      </w:r>
      <w:r>
        <w:rPr>
          <w:vertAlign w:val="superscript"/>
        </w:rPr>
        <w:t>2</w:t>
      </w:r>
      <w:r>
        <w:rPr>
          <w:rFonts w:hint="eastAsia"/>
        </w:rPr>
        <w:t>。</w:t>
      </w:r>
    </w:p>
    <w:p w14:paraId="03E042B3">
      <w:pPr>
        <w:adjustRightInd w:val="0"/>
        <w:snapToGrid w:val="0"/>
        <w:spacing w:line="240" w:lineRule="auto"/>
        <w:ind w:firstLineChars="83"/>
        <w:jc w:val="center"/>
        <w:rPr>
          <w:b/>
          <w:bCs/>
        </w:rPr>
      </w:pPr>
      <w:bookmarkStart w:id="135" w:name="_Hlk18395817"/>
      <w:r>
        <w:rPr>
          <w:b/>
          <w:bCs/>
        </w:rPr>
        <w:t>表5.5-8施工道路区生态环境现状</w:t>
      </w:r>
    </w:p>
    <w:bookmarkEnd w:id="135"/>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315"/>
        <w:gridCol w:w="7212"/>
      </w:tblGrid>
      <w:tr w14:paraId="7FBBD7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771" w:type="pct"/>
            <w:vAlign w:val="center"/>
          </w:tcPr>
          <w:p w14:paraId="4D6B86DF">
            <w:pPr>
              <w:widowControl/>
              <w:tabs>
                <w:tab w:val="clear" w:pos="480"/>
              </w:tabs>
              <w:spacing w:line="240" w:lineRule="auto"/>
              <w:ind w:firstLine="0" w:firstLineChars="0"/>
              <w:jc w:val="left"/>
              <w:rPr>
                <w:b/>
                <w:sz w:val="18"/>
                <w:szCs w:val="18"/>
                <w:lang w:bidi="ar"/>
              </w:rPr>
            </w:pPr>
            <w:r>
              <w:rPr>
                <w:b/>
                <w:sz w:val="18"/>
                <w:szCs w:val="18"/>
                <w:lang w:bidi="ar"/>
              </w:rPr>
              <w:t>编号</w:t>
            </w:r>
          </w:p>
        </w:tc>
        <w:tc>
          <w:tcPr>
            <w:tcW w:w="4229" w:type="pct"/>
            <w:vAlign w:val="center"/>
          </w:tcPr>
          <w:p w14:paraId="3121FB8B">
            <w:pPr>
              <w:widowControl/>
              <w:tabs>
                <w:tab w:val="clear" w:pos="480"/>
              </w:tabs>
              <w:spacing w:line="240" w:lineRule="auto"/>
              <w:ind w:firstLine="0" w:firstLineChars="0"/>
              <w:jc w:val="center"/>
              <w:rPr>
                <w:b/>
                <w:sz w:val="18"/>
                <w:szCs w:val="18"/>
                <w:lang w:bidi="ar"/>
              </w:rPr>
            </w:pPr>
            <w:r>
              <w:rPr>
                <w:b/>
                <w:sz w:val="18"/>
                <w:szCs w:val="18"/>
                <w:lang w:bidi="ar"/>
              </w:rPr>
              <w:t>植被现状</w:t>
            </w:r>
          </w:p>
        </w:tc>
      </w:tr>
      <w:tr w14:paraId="1EE5BF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771" w:type="pct"/>
            <w:vAlign w:val="center"/>
          </w:tcPr>
          <w:p w14:paraId="6455275A">
            <w:pPr>
              <w:widowControl/>
              <w:tabs>
                <w:tab w:val="clear" w:pos="480"/>
              </w:tabs>
              <w:spacing w:line="240" w:lineRule="auto"/>
              <w:ind w:firstLine="0" w:firstLineChars="0"/>
              <w:jc w:val="center"/>
              <w:rPr>
                <w:sz w:val="18"/>
                <w:szCs w:val="18"/>
                <w:lang w:bidi="ar"/>
              </w:rPr>
            </w:pPr>
            <w:r>
              <w:rPr>
                <w:sz w:val="18"/>
                <w:szCs w:val="18"/>
                <w:lang w:bidi="ar"/>
              </w:rPr>
              <w:t>新建道路及集电线路</w:t>
            </w:r>
          </w:p>
        </w:tc>
        <w:tc>
          <w:tcPr>
            <w:tcW w:w="4229" w:type="pct"/>
            <w:vAlign w:val="center"/>
          </w:tcPr>
          <w:p w14:paraId="31D3A174">
            <w:pPr>
              <w:widowControl/>
              <w:tabs>
                <w:tab w:val="clear" w:pos="480"/>
              </w:tabs>
              <w:spacing w:line="240" w:lineRule="auto"/>
              <w:ind w:firstLine="0" w:firstLineChars="0"/>
              <w:rPr>
                <w:sz w:val="18"/>
                <w:szCs w:val="18"/>
                <w:lang w:bidi="ar"/>
              </w:rPr>
            </w:pPr>
            <w:r>
              <w:rPr>
                <w:sz w:val="18"/>
                <w:szCs w:val="18"/>
              </w:rPr>
              <w:t>该区域土地利用类型以林地、灌草地为主，植被以针叶林、灌丛、灌草丛为主，常见的群系有杉木林、粗叶悬钩子灌丛、五节芒灌草丛等，常见的物种有马尾松、毛竹、青冈、白茅、五节芒、檵木、白栎、芒萁等。</w:t>
            </w:r>
          </w:p>
        </w:tc>
      </w:tr>
    </w:tbl>
    <w:p w14:paraId="6EEA9BDC">
      <w:pPr>
        <w:pStyle w:val="2"/>
        <w:ind w:firstLine="420"/>
      </w:pPr>
    </w:p>
    <w:p w14:paraId="396A41A8">
      <w:pPr>
        <w:pStyle w:val="2"/>
        <w:ind w:firstLine="420"/>
      </w:pPr>
    </w:p>
    <w:p w14:paraId="6CDE83C5">
      <w:pPr>
        <w:ind w:firstLine="0" w:firstLineChars="0"/>
        <w:sectPr>
          <w:pgSz w:w="11905" w:h="16838"/>
          <w:pgMar w:top="851" w:right="1797" w:bottom="851" w:left="1797" w:header="567" w:footer="567" w:gutter="0"/>
          <w:cols w:space="0" w:num="1"/>
          <w:docGrid w:type="lines" w:linePitch="333" w:charSpace="0"/>
        </w:sectPr>
      </w:pPr>
    </w:p>
    <w:p w14:paraId="1F9A92B9">
      <w:pPr>
        <w:tabs>
          <w:tab w:val="clear" w:pos="480"/>
        </w:tabs>
        <w:adjustRightInd w:val="0"/>
        <w:snapToGrid w:val="0"/>
        <w:ind w:firstLine="0" w:firstLineChars="0"/>
        <w:outlineLvl w:val="3"/>
        <w:rPr>
          <w:b/>
          <w:kern w:val="0"/>
          <w:lang w:val="zh-CN"/>
        </w:rPr>
      </w:pPr>
      <w:r>
        <w:rPr>
          <w:b/>
          <w:kern w:val="0"/>
          <w:lang w:val="zh-CN"/>
        </w:rPr>
        <w:t>5.5.4.9</w:t>
      </w:r>
      <w:r>
        <w:rPr>
          <w:rFonts w:hint="eastAsia"/>
          <w:b/>
          <w:kern w:val="0"/>
          <w:lang w:val="zh-CN"/>
        </w:rPr>
        <w:t>评价区自然体系生物量现状</w:t>
      </w:r>
    </w:p>
    <w:p w14:paraId="07FB9435">
      <w:pPr>
        <w:adjustRightInd w:val="0"/>
        <w:snapToGrid w:val="0"/>
        <w:ind w:firstLine="480"/>
      </w:pPr>
      <w:r>
        <w:t>根据现场调查和卫片解译，结合评价区地表植被覆盖现状和植被立地情况，将评价区植被类型化分为5类。各植被类型自然体系生物量现状见</w:t>
      </w:r>
      <w:r>
        <w:rPr>
          <w:rFonts w:hint="eastAsia"/>
        </w:rPr>
        <w:t>下表</w:t>
      </w:r>
      <w:r>
        <w:t>。</w:t>
      </w:r>
    </w:p>
    <w:p w14:paraId="5971764A">
      <w:pPr>
        <w:tabs>
          <w:tab w:val="clear" w:pos="480"/>
        </w:tabs>
        <w:autoSpaceDE w:val="0"/>
        <w:autoSpaceDN w:val="0"/>
        <w:spacing w:line="240" w:lineRule="auto"/>
        <w:ind w:firstLine="0" w:firstLineChars="0"/>
        <w:jc w:val="center"/>
        <w:rPr>
          <w:b/>
          <w:bCs/>
          <w:kern w:val="0"/>
          <w:szCs w:val="22"/>
        </w:rPr>
      </w:pPr>
      <w:r>
        <w:rPr>
          <w:b/>
          <w:bCs/>
          <w:kern w:val="0"/>
          <w:szCs w:val="22"/>
        </w:rPr>
        <w:t>表5.5-9评价区自然体系生物量现状</w:t>
      </w:r>
    </w:p>
    <w:tbl>
      <w:tblPr>
        <w:tblStyle w:val="88"/>
        <w:tblW w:w="835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1393"/>
        <w:gridCol w:w="1393"/>
        <w:gridCol w:w="1393"/>
        <w:gridCol w:w="1391"/>
        <w:gridCol w:w="1388"/>
      </w:tblGrid>
      <w:tr w14:paraId="33D3E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70D3E832">
            <w:pPr>
              <w:tabs>
                <w:tab w:val="clear" w:pos="480"/>
              </w:tabs>
              <w:spacing w:line="240" w:lineRule="auto"/>
              <w:ind w:firstLine="0" w:firstLineChars="0"/>
              <w:jc w:val="center"/>
              <w:rPr>
                <w:b/>
                <w:kern w:val="0"/>
                <w:sz w:val="21"/>
                <w:szCs w:val="21"/>
              </w:rPr>
            </w:pPr>
            <w:r>
              <w:rPr>
                <w:b/>
                <w:kern w:val="0"/>
                <w:sz w:val="21"/>
                <w:szCs w:val="21"/>
              </w:rPr>
              <w:t>植被</w:t>
            </w:r>
          </w:p>
          <w:p w14:paraId="0C7FB4E9">
            <w:pPr>
              <w:tabs>
                <w:tab w:val="clear" w:pos="480"/>
              </w:tabs>
              <w:spacing w:line="240" w:lineRule="auto"/>
              <w:ind w:firstLine="0" w:firstLineChars="0"/>
              <w:jc w:val="center"/>
              <w:rPr>
                <w:b/>
                <w:kern w:val="0"/>
                <w:sz w:val="21"/>
                <w:szCs w:val="21"/>
              </w:rPr>
            </w:pPr>
            <w:r>
              <w:rPr>
                <w:b/>
                <w:kern w:val="0"/>
                <w:sz w:val="21"/>
                <w:szCs w:val="21"/>
              </w:rPr>
              <w:t>类型</w:t>
            </w:r>
          </w:p>
        </w:tc>
        <w:tc>
          <w:tcPr>
            <w:tcW w:w="1393" w:type="dxa"/>
            <w:vAlign w:val="center"/>
          </w:tcPr>
          <w:p w14:paraId="1A4C141B">
            <w:pPr>
              <w:tabs>
                <w:tab w:val="clear" w:pos="480"/>
              </w:tabs>
              <w:spacing w:line="240" w:lineRule="auto"/>
              <w:ind w:firstLine="0" w:firstLineChars="0"/>
              <w:jc w:val="center"/>
              <w:rPr>
                <w:b/>
                <w:kern w:val="0"/>
                <w:sz w:val="21"/>
                <w:szCs w:val="21"/>
              </w:rPr>
            </w:pPr>
            <w:r>
              <w:rPr>
                <w:b/>
                <w:kern w:val="0"/>
                <w:sz w:val="21"/>
                <w:szCs w:val="21"/>
              </w:rPr>
              <w:t>面积</w:t>
            </w:r>
          </w:p>
          <w:p w14:paraId="73AC11E4">
            <w:pPr>
              <w:tabs>
                <w:tab w:val="clear" w:pos="480"/>
              </w:tabs>
              <w:spacing w:line="240" w:lineRule="auto"/>
              <w:ind w:firstLine="0" w:firstLineChars="0"/>
              <w:jc w:val="center"/>
              <w:rPr>
                <w:b/>
                <w:kern w:val="0"/>
                <w:sz w:val="21"/>
                <w:szCs w:val="21"/>
              </w:rPr>
            </w:pPr>
            <w:r>
              <w:rPr>
                <w:b/>
                <w:kern w:val="0"/>
                <w:sz w:val="21"/>
                <w:szCs w:val="21"/>
              </w:rPr>
              <w:t xml:space="preserve">（hm </w:t>
            </w:r>
            <w:r>
              <w:rPr>
                <w:b/>
                <w:kern w:val="0"/>
                <w:sz w:val="21"/>
                <w:szCs w:val="21"/>
                <w:vertAlign w:val="superscript"/>
              </w:rPr>
              <w:t>2</w:t>
            </w:r>
            <w:r>
              <w:rPr>
                <w:b/>
                <w:kern w:val="0"/>
                <w:sz w:val="21"/>
                <w:szCs w:val="21"/>
              </w:rPr>
              <w:t>）</w:t>
            </w:r>
          </w:p>
        </w:tc>
        <w:tc>
          <w:tcPr>
            <w:tcW w:w="1393" w:type="dxa"/>
            <w:vAlign w:val="center"/>
          </w:tcPr>
          <w:p w14:paraId="2B375FF9">
            <w:pPr>
              <w:tabs>
                <w:tab w:val="clear" w:pos="480"/>
              </w:tabs>
              <w:spacing w:line="240" w:lineRule="auto"/>
              <w:ind w:firstLine="0" w:firstLineChars="0"/>
              <w:jc w:val="center"/>
              <w:rPr>
                <w:b/>
                <w:kern w:val="0"/>
                <w:sz w:val="21"/>
                <w:szCs w:val="21"/>
              </w:rPr>
            </w:pPr>
            <w:r>
              <w:rPr>
                <w:b/>
                <w:kern w:val="0"/>
                <w:sz w:val="21"/>
                <w:szCs w:val="21"/>
              </w:rPr>
              <w:t>占评价范围比例</w:t>
            </w:r>
            <w:r>
              <w:rPr>
                <w:b/>
                <w:sz w:val="21"/>
                <w:szCs w:val="21"/>
              </w:rPr>
              <w:t>（%）</w:t>
            </w:r>
          </w:p>
        </w:tc>
        <w:tc>
          <w:tcPr>
            <w:tcW w:w="1393" w:type="dxa"/>
            <w:vAlign w:val="center"/>
          </w:tcPr>
          <w:p w14:paraId="0669AEF3">
            <w:pPr>
              <w:tabs>
                <w:tab w:val="clear" w:pos="480"/>
              </w:tabs>
              <w:spacing w:line="240" w:lineRule="auto"/>
              <w:ind w:firstLine="0" w:firstLineChars="0"/>
              <w:jc w:val="center"/>
              <w:rPr>
                <w:b/>
                <w:kern w:val="0"/>
                <w:sz w:val="21"/>
                <w:szCs w:val="21"/>
                <w:lang w:val="de-DE"/>
              </w:rPr>
            </w:pPr>
            <w:r>
              <w:rPr>
                <w:b/>
                <w:kern w:val="0"/>
                <w:sz w:val="21"/>
                <w:szCs w:val="21"/>
              </w:rPr>
              <w:t>平均生物量</w:t>
            </w:r>
            <w:r>
              <w:rPr>
                <w:b/>
                <w:kern w:val="0"/>
                <w:sz w:val="21"/>
                <w:szCs w:val="21"/>
                <w:lang w:val="de-DE"/>
              </w:rPr>
              <w:t xml:space="preserve">（ t / hm </w:t>
            </w:r>
            <w:r>
              <w:rPr>
                <w:b/>
                <w:kern w:val="0"/>
                <w:sz w:val="21"/>
                <w:szCs w:val="21"/>
                <w:vertAlign w:val="superscript"/>
                <w:lang w:val="de-DE"/>
              </w:rPr>
              <w:t>2</w:t>
            </w:r>
            <w:r>
              <w:rPr>
                <w:b/>
                <w:kern w:val="0"/>
                <w:sz w:val="21"/>
                <w:szCs w:val="21"/>
                <w:lang w:val="de-DE"/>
              </w:rPr>
              <w:t>）</w:t>
            </w:r>
          </w:p>
        </w:tc>
        <w:tc>
          <w:tcPr>
            <w:tcW w:w="1391" w:type="dxa"/>
            <w:vAlign w:val="center"/>
          </w:tcPr>
          <w:p w14:paraId="1F694B70">
            <w:pPr>
              <w:tabs>
                <w:tab w:val="clear" w:pos="480"/>
              </w:tabs>
              <w:spacing w:line="240" w:lineRule="auto"/>
              <w:ind w:firstLine="0" w:firstLineChars="0"/>
              <w:jc w:val="center"/>
              <w:rPr>
                <w:b/>
                <w:kern w:val="0"/>
                <w:sz w:val="21"/>
                <w:szCs w:val="21"/>
              </w:rPr>
            </w:pPr>
            <w:r>
              <w:rPr>
                <w:b/>
                <w:kern w:val="0"/>
                <w:sz w:val="21"/>
                <w:szCs w:val="21"/>
              </w:rPr>
              <w:t>总生物量（t）</w:t>
            </w:r>
          </w:p>
        </w:tc>
        <w:tc>
          <w:tcPr>
            <w:tcW w:w="1388" w:type="dxa"/>
            <w:vAlign w:val="center"/>
          </w:tcPr>
          <w:p w14:paraId="257FD324">
            <w:pPr>
              <w:tabs>
                <w:tab w:val="clear" w:pos="480"/>
              </w:tabs>
              <w:spacing w:line="240" w:lineRule="auto"/>
              <w:ind w:firstLine="0" w:firstLineChars="0"/>
              <w:jc w:val="center"/>
              <w:rPr>
                <w:b/>
                <w:kern w:val="0"/>
                <w:sz w:val="21"/>
                <w:szCs w:val="21"/>
              </w:rPr>
            </w:pPr>
            <w:r>
              <w:rPr>
                <w:b/>
                <w:kern w:val="0"/>
                <w:sz w:val="21"/>
                <w:szCs w:val="21"/>
              </w:rPr>
              <w:t>占评价区总生物量比例</w:t>
            </w:r>
            <w:r>
              <w:rPr>
                <w:b/>
                <w:sz w:val="21"/>
                <w:szCs w:val="21"/>
              </w:rPr>
              <w:t>（%）</w:t>
            </w:r>
          </w:p>
        </w:tc>
      </w:tr>
      <w:tr w14:paraId="650429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62A6DFDC">
            <w:pPr>
              <w:tabs>
                <w:tab w:val="clear" w:pos="480"/>
              </w:tabs>
              <w:spacing w:line="240" w:lineRule="auto"/>
              <w:ind w:firstLine="0" w:firstLineChars="0"/>
              <w:jc w:val="center"/>
              <w:rPr>
                <w:b/>
                <w:kern w:val="0"/>
                <w:sz w:val="21"/>
                <w:szCs w:val="21"/>
              </w:rPr>
            </w:pPr>
            <w:r>
              <w:rPr>
                <w:b/>
                <w:sz w:val="21"/>
                <w:szCs w:val="21"/>
              </w:rPr>
              <w:t>针叶林</w:t>
            </w:r>
          </w:p>
        </w:tc>
        <w:tc>
          <w:tcPr>
            <w:tcW w:w="1393" w:type="dxa"/>
            <w:vAlign w:val="center"/>
          </w:tcPr>
          <w:p w14:paraId="36E6F44E">
            <w:pPr>
              <w:widowControl/>
              <w:tabs>
                <w:tab w:val="clear" w:pos="480"/>
              </w:tabs>
              <w:spacing w:line="240" w:lineRule="auto"/>
              <w:ind w:firstLine="0" w:firstLineChars="0"/>
              <w:jc w:val="center"/>
              <w:rPr>
                <w:kern w:val="0"/>
                <w:sz w:val="21"/>
                <w:szCs w:val="21"/>
              </w:rPr>
            </w:pPr>
            <w:r>
              <w:rPr>
                <w:kern w:val="0"/>
                <w:sz w:val="21"/>
                <w:szCs w:val="21"/>
              </w:rPr>
              <w:t>344.41</w:t>
            </w:r>
          </w:p>
        </w:tc>
        <w:tc>
          <w:tcPr>
            <w:tcW w:w="1393" w:type="dxa"/>
            <w:vAlign w:val="center"/>
          </w:tcPr>
          <w:p w14:paraId="55373811">
            <w:pPr>
              <w:widowControl/>
              <w:tabs>
                <w:tab w:val="clear" w:pos="480"/>
              </w:tabs>
              <w:spacing w:line="240" w:lineRule="auto"/>
              <w:ind w:firstLine="0" w:firstLineChars="0"/>
              <w:jc w:val="center"/>
              <w:rPr>
                <w:kern w:val="0"/>
                <w:sz w:val="21"/>
                <w:szCs w:val="21"/>
              </w:rPr>
            </w:pPr>
            <w:r>
              <w:rPr>
                <w:kern w:val="0"/>
                <w:sz w:val="21"/>
                <w:szCs w:val="21"/>
              </w:rPr>
              <w:t>29.58</w:t>
            </w:r>
          </w:p>
        </w:tc>
        <w:tc>
          <w:tcPr>
            <w:tcW w:w="1393" w:type="dxa"/>
            <w:vAlign w:val="center"/>
          </w:tcPr>
          <w:p w14:paraId="426EB4F3">
            <w:pPr>
              <w:tabs>
                <w:tab w:val="clear" w:pos="480"/>
              </w:tabs>
              <w:spacing w:line="240" w:lineRule="auto"/>
              <w:ind w:firstLine="0" w:firstLineChars="0"/>
              <w:jc w:val="center"/>
              <w:rPr>
                <w:sz w:val="21"/>
                <w:szCs w:val="21"/>
              </w:rPr>
            </w:pPr>
            <w:r>
              <w:rPr>
                <w:kern w:val="0"/>
                <w:sz w:val="21"/>
                <w:szCs w:val="21"/>
                <w14:ligatures w14:val="standardContextual"/>
              </w:rPr>
              <w:t>36.24</w:t>
            </w:r>
          </w:p>
        </w:tc>
        <w:tc>
          <w:tcPr>
            <w:tcW w:w="1391" w:type="dxa"/>
            <w:vAlign w:val="center"/>
          </w:tcPr>
          <w:p w14:paraId="2C20A0C6">
            <w:pPr>
              <w:tabs>
                <w:tab w:val="clear" w:pos="480"/>
              </w:tabs>
              <w:spacing w:line="240" w:lineRule="auto"/>
              <w:ind w:firstLine="0" w:firstLineChars="0"/>
              <w:jc w:val="center"/>
              <w:rPr>
                <w:sz w:val="21"/>
                <w:szCs w:val="21"/>
              </w:rPr>
            </w:pPr>
            <w:r>
              <w:rPr>
                <w:sz w:val="21"/>
                <w:szCs w:val="21"/>
                <w14:ligatures w14:val="standardContextual"/>
              </w:rPr>
              <w:t>12481.42</w:t>
            </w:r>
          </w:p>
        </w:tc>
        <w:tc>
          <w:tcPr>
            <w:tcW w:w="1388" w:type="dxa"/>
            <w:vAlign w:val="center"/>
          </w:tcPr>
          <w:p w14:paraId="7AC4A53E">
            <w:pPr>
              <w:tabs>
                <w:tab w:val="clear" w:pos="480"/>
              </w:tabs>
              <w:spacing w:line="240" w:lineRule="auto"/>
              <w:ind w:firstLine="0" w:firstLineChars="0"/>
              <w:jc w:val="center"/>
              <w:rPr>
                <w:sz w:val="21"/>
                <w:szCs w:val="21"/>
              </w:rPr>
            </w:pPr>
            <w:r>
              <w:rPr>
                <w:sz w:val="21"/>
                <w:szCs w:val="21"/>
                <w14:ligatures w14:val="standardContextual"/>
              </w:rPr>
              <w:t xml:space="preserve">37.14 </w:t>
            </w:r>
          </w:p>
        </w:tc>
      </w:tr>
      <w:tr w14:paraId="69DE6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6BAB4063">
            <w:pPr>
              <w:tabs>
                <w:tab w:val="clear" w:pos="480"/>
              </w:tabs>
              <w:spacing w:line="240" w:lineRule="auto"/>
              <w:ind w:firstLine="0" w:firstLineChars="0"/>
              <w:jc w:val="center"/>
              <w:rPr>
                <w:b/>
                <w:kern w:val="0"/>
                <w:sz w:val="21"/>
                <w:szCs w:val="21"/>
              </w:rPr>
            </w:pPr>
            <w:r>
              <w:rPr>
                <w:b/>
                <w:sz w:val="21"/>
                <w:szCs w:val="21"/>
              </w:rPr>
              <w:t>阔叶林</w:t>
            </w:r>
          </w:p>
        </w:tc>
        <w:tc>
          <w:tcPr>
            <w:tcW w:w="1393" w:type="dxa"/>
            <w:vAlign w:val="center"/>
          </w:tcPr>
          <w:p w14:paraId="23D20EE7">
            <w:pPr>
              <w:tabs>
                <w:tab w:val="clear" w:pos="480"/>
              </w:tabs>
              <w:spacing w:line="240" w:lineRule="auto"/>
              <w:ind w:firstLine="0" w:firstLineChars="0"/>
              <w:jc w:val="center"/>
              <w:rPr>
                <w:sz w:val="21"/>
                <w:szCs w:val="21"/>
              </w:rPr>
            </w:pPr>
            <w:r>
              <w:rPr>
                <w:sz w:val="21"/>
                <w:szCs w:val="21"/>
              </w:rPr>
              <w:t>132.27</w:t>
            </w:r>
          </w:p>
        </w:tc>
        <w:tc>
          <w:tcPr>
            <w:tcW w:w="1393" w:type="dxa"/>
            <w:vAlign w:val="center"/>
          </w:tcPr>
          <w:p w14:paraId="4C926DFD">
            <w:pPr>
              <w:widowControl/>
              <w:tabs>
                <w:tab w:val="clear" w:pos="480"/>
              </w:tabs>
              <w:spacing w:line="240" w:lineRule="auto"/>
              <w:ind w:firstLine="0" w:firstLineChars="0"/>
              <w:jc w:val="center"/>
              <w:rPr>
                <w:kern w:val="0"/>
                <w:sz w:val="21"/>
                <w:szCs w:val="21"/>
              </w:rPr>
            </w:pPr>
            <w:r>
              <w:rPr>
                <w:kern w:val="0"/>
                <w:sz w:val="21"/>
                <w:szCs w:val="21"/>
              </w:rPr>
              <w:t>11.36</w:t>
            </w:r>
          </w:p>
        </w:tc>
        <w:tc>
          <w:tcPr>
            <w:tcW w:w="1393" w:type="dxa"/>
            <w:vAlign w:val="center"/>
          </w:tcPr>
          <w:p w14:paraId="289253FC">
            <w:pPr>
              <w:tabs>
                <w:tab w:val="clear" w:pos="480"/>
              </w:tabs>
              <w:spacing w:line="240" w:lineRule="auto"/>
              <w:ind w:firstLine="0" w:firstLineChars="0"/>
              <w:jc w:val="center"/>
              <w:rPr>
                <w:sz w:val="21"/>
                <w:szCs w:val="21"/>
              </w:rPr>
            </w:pPr>
            <w:r>
              <w:rPr>
                <w:kern w:val="0"/>
                <w:sz w:val="21"/>
                <w:szCs w:val="21"/>
                <w14:ligatures w14:val="standardContextual"/>
              </w:rPr>
              <w:t>30.56</w:t>
            </w:r>
          </w:p>
        </w:tc>
        <w:tc>
          <w:tcPr>
            <w:tcW w:w="1391" w:type="dxa"/>
            <w:vAlign w:val="center"/>
          </w:tcPr>
          <w:p w14:paraId="10ACB28E">
            <w:pPr>
              <w:tabs>
                <w:tab w:val="clear" w:pos="480"/>
              </w:tabs>
              <w:spacing w:line="240" w:lineRule="auto"/>
              <w:ind w:firstLine="0" w:firstLineChars="0"/>
              <w:jc w:val="center"/>
              <w:rPr>
                <w:sz w:val="21"/>
                <w:szCs w:val="21"/>
              </w:rPr>
            </w:pPr>
            <w:r>
              <w:rPr>
                <w:sz w:val="21"/>
                <w:szCs w:val="21"/>
                <w14:ligatures w14:val="standardContextual"/>
              </w:rPr>
              <w:t>4042.171</w:t>
            </w:r>
          </w:p>
        </w:tc>
        <w:tc>
          <w:tcPr>
            <w:tcW w:w="1388" w:type="dxa"/>
            <w:vAlign w:val="center"/>
          </w:tcPr>
          <w:p w14:paraId="4C4ABA6A">
            <w:pPr>
              <w:tabs>
                <w:tab w:val="clear" w:pos="480"/>
              </w:tabs>
              <w:spacing w:line="240" w:lineRule="auto"/>
              <w:ind w:firstLine="0" w:firstLineChars="0"/>
              <w:jc w:val="center"/>
              <w:rPr>
                <w:sz w:val="21"/>
                <w:szCs w:val="21"/>
              </w:rPr>
            </w:pPr>
            <w:r>
              <w:rPr>
                <w:sz w:val="21"/>
                <w:szCs w:val="21"/>
                <w14:ligatures w14:val="standardContextual"/>
              </w:rPr>
              <w:t xml:space="preserve">12.03 </w:t>
            </w:r>
          </w:p>
        </w:tc>
      </w:tr>
      <w:tr w14:paraId="448451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13A0D947">
            <w:pPr>
              <w:tabs>
                <w:tab w:val="clear" w:pos="480"/>
              </w:tabs>
              <w:spacing w:line="240" w:lineRule="auto"/>
              <w:ind w:firstLine="0" w:firstLineChars="0"/>
              <w:jc w:val="center"/>
              <w:rPr>
                <w:b/>
                <w:kern w:val="0"/>
                <w:sz w:val="21"/>
                <w:szCs w:val="21"/>
              </w:rPr>
            </w:pPr>
            <w:r>
              <w:rPr>
                <w:b/>
                <w:sz w:val="21"/>
                <w:szCs w:val="21"/>
              </w:rPr>
              <w:t>灌草丛</w:t>
            </w:r>
          </w:p>
        </w:tc>
        <w:tc>
          <w:tcPr>
            <w:tcW w:w="1393" w:type="dxa"/>
            <w:vAlign w:val="center"/>
          </w:tcPr>
          <w:p w14:paraId="1CBC3EB4">
            <w:pPr>
              <w:tabs>
                <w:tab w:val="clear" w:pos="480"/>
              </w:tabs>
              <w:spacing w:line="240" w:lineRule="auto"/>
              <w:ind w:firstLine="0" w:firstLineChars="0"/>
              <w:jc w:val="center"/>
              <w:rPr>
                <w:sz w:val="21"/>
                <w:szCs w:val="21"/>
              </w:rPr>
            </w:pPr>
            <w:r>
              <w:rPr>
                <w:sz w:val="21"/>
                <w:szCs w:val="21"/>
              </w:rPr>
              <w:t>667.85</w:t>
            </w:r>
          </w:p>
        </w:tc>
        <w:tc>
          <w:tcPr>
            <w:tcW w:w="1393" w:type="dxa"/>
            <w:vAlign w:val="center"/>
          </w:tcPr>
          <w:p w14:paraId="7CBE44EC">
            <w:pPr>
              <w:widowControl/>
              <w:tabs>
                <w:tab w:val="clear" w:pos="480"/>
              </w:tabs>
              <w:spacing w:line="240" w:lineRule="auto"/>
              <w:ind w:firstLine="0" w:firstLineChars="0"/>
              <w:jc w:val="center"/>
              <w:rPr>
                <w:kern w:val="0"/>
                <w:sz w:val="21"/>
                <w:szCs w:val="21"/>
              </w:rPr>
            </w:pPr>
            <w:r>
              <w:rPr>
                <w:kern w:val="0"/>
                <w:sz w:val="21"/>
                <w:szCs w:val="21"/>
              </w:rPr>
              <w:t>57.36</w:t>
            </w:r>
          </w:p>
        </w:tc>
        <w:tc>
          <w:tcPr>
            <w:tcW w:w="1393" w:type="dxa"/>
            <w:vAlign w:val="center"/>
          </w:tcPr>
          <w:p w14:paraId="2A670128">
            <w:pPr>
              <w:tabs>
                <w:tab w:val="clear" w:pos="480"/>
              </w:tabs>
              <w:spacing w:line="240" w:lineRule="auto"/>
              <w:ind w:firstLine="0" w:firstLineChars="0"/>
              <w:jc w:val="center"/>
              <w:rPr>
                <w:sz w:val="21"/>
                <w:szCs w:val="21"/>
              </w:rPr>
            </w:pPr>
            <w:r>
              <w:rPr>
                <w:kern w:val="0"/>
                <w:sz w:val="21"/>
                <w:szCs w:val="21"/>
                <w14:ligatures w14:val="standardContextual"/>
              </w:rPr>
              <w:t>25.48</w:t>
            </w:r>
          </w:p>
        </w:tc>
        <w:tc>
          <w:tcPr>
            <w:tcW w:w="1391" w:type="dxa"/>
            <w:vAlign w:val="center"/>
          </w:tcPr>
          <w:p w14:paraId="4CA412E7">
            <w:pPr>
              <w:tabs>
                <w:tab w:val="clear" w:pos="480"/>
              </w:tabs>
              <w:spacing w:line="240" w:lineRule="auto"/>
              <w:ind w:firstLine="0" w:firstLineChars="0"/>
              <w:jc w:val="center"/>
              <w:rPr>
                <w:sz w:val="21"/>
                <w:szCs w:val="21"/>
              </w:rPr>
            </w:pPr>
            <w:r>
              <w:rPr>
                <w:sz w:val="21"/>
                <w:szCs w:val="21"/>
                <w14:ligatures w14:val="standardContextual"/>
              </w:rPr>
              <w:t>17016.82</w:t>
            </w:r>
          </w:p>
        </w:tc>
        <w:tc>
          <w:tcPr>
            <w:tcW w:w="1388" w:type="dxa"/>
            <w:vAlign w:val="center"/>
          </w:tcPr>
          <w:p w14:paraId="4D760AAC">
            <w:pPr>
              <w:tabs>
                <w:tab w:val="clear" w:pos="480"/>
              </w:tabs>
              <w:spacing w:line="240" w:lineRule="auto"/>
              <w:ind w:firstLine="0" w:firstLineChars="0"/>
              <w:jc w:val="center"/>
              <w:rPr>
                <w:sz w:val="21"/>
                <w:szCs w:val="21"/>
              </w:rPr>
            </w:pPr>
            <w:r>
              <w:rPr>
                <w:sz w:val="21"/>
                <w:szCs w:val="21"/>
                <w14:ligatures w14:val="standardContextual"/>
              </w:rPr>
              <w:t xml:space="preserve">50.63 </w:t>
            </w:r>
          </w:p>
        </w:tc>
      </w:tr>
      <w:tr w14:paraId="245E61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2341612F">
            <w:pPr>
              <w:tabs>
                <w:tab w:val="clear" w:pos="480"/>
              </w:tabs>
              <w:spacing w:line="240" w:lineRule="auto"/>
              <w:ind w:firstLine="0" w:firstLineChars="0"/>
              <w:jc w:val="center"/>
              <w:rPr>
                <w:b/>
                <w:kern w:val="0"/>
                <w:sz w:val="21"/>
                <w:szCs w:val="21"/>
              </w:rPr>
            </w:pPr>
            <w:r>
              <w:rPr>
                <w:b/>
                <w:sz w:val="21"/>
                <w:szCs w:val="21"/>
              </w:rPr>
              <w:t>水域</w:t>
            </w:r>
          </w:p>
        </w:tc>
        <w:tc>
          <w:tcPr>
            <w:tcW w:w="1393" w:type="dxa"/>
            <w:vAlign w:val="center"/>
          </w:tcPr>
          <w:p w14:paraId="1E3A1C85">
            <w:pPr>
              <w:tabs>
                <w:tab w:val="clear" w:pos="480"/>
              </w:tabs>
              <w:spacing w:line="240" w:lineRule="auto"/>
              <w:ind w:firstLine="0" w:firstLineChars="0"/>
              <w:jc w:val="center"/>
              <w:rPr>
                <w:sz w:val="21"/>
                <w:szCs w:val="21"/>
              </w:rPr>
            </w:pPr>
            <w:r>
              <w:rPr>
                <w:sz w:val="21"/>
                <w:szCs w:val="21"/>
              </w:rPr>
              <w:t>0.23</w:t>
            </w:r>
          </w:p>
        </w:tc>
        <w:tc>
          <w:tcPr>
            <w:tcW w:w="1393" w:type="dxa"/>
            <w:vAlign w:val="center"/>
          </w:tcPr>
          <w:p w14:paraId="3664E8FE">
            <w:pPr>
              <w:widowControl/>
              <w:tabs>
                <w:tab w:val="clear" w:pos="480"/>
              </w:tabs>
              <w:spacing w:line="240" w:lineRule="auto"/>
              <w:ind w:firstLine="0" w:firstLineChars="0"/>
              <w:jc w:val="center"/>
              <w:rPr>
                <w:kern w:val="0"/>
                <w:sz w:val="21"/>
                <w:szCs w:val="21"/>
              </w:rPr>
            </w:pPr>
            <w:r>
              <w:rPr>
                <w:kern w:val="0"/>
                <w:sz w:val="21"/>
                <w:szCs w:val="21"/>
                <w14:ligatures w14:val="standardContextual"/>
              </w:rPr>
              <w:t>0.02</w:t>
            </w:r>
          </w:p>
        </w:tc>
        <w:tc>
          <w:tcPr>
            <w:tcW w:w="1393" w:type="dxa"/>
            <w:vAlign w:val="center"/>
          </w:tcPr>
          <w:p w14:paraId="584B2779">
            <w:pPr>
              <w:tabs>
                <w:tab w:val="clear" w:pos="480"/>
              </w:tabs>
              <w:spacing w:line="240" w:lineRule="auto"/>
              <w:ind w:firstLine="0" w:firstLineChars="0"/>
              <w:jc w:val="center"/>
              <w:rPr>
                <w:sz w:val="21"/>
                <w:szCs w:val="21"/>
              </w:rPr>
            </w:pPr>
            <w:r>
              <w:rPr>
                <w:sz w:val="21"/>
                <w:szCs w:val="21"/>
              </w:rPr>
              <w:t>1.24</w:t>
            </w:r>
          </w:p>
        </w:tc>
        <w:tc>
          <w:tcPr>
            <w:tcW w:w="1391" w:type="dxa"/>
            <w:vAlign w:val="center"/>
          </w:tcPr>
          <w:p w14:paraId="56362692">
            <w:pPr>
              <w:tabs>
                <w:tab w:val="clear" w:pos="480"/>
              </w:tabs>
              <w:spacing w:line="240" w:lineRule="auto"/>
              <w:ind w:firstLine="0" w:firstLineChars="0"/>
              <w:jc w:val="center"/>
              <w:rPr>
                <w:sz w:val="21"/>
                <w:szCs w:val="21"/>
              </w:rPr>
            </w:pPr>
            <w:r>
              <w:rPr>
                <w:sz w:val="21"/>
                <w:szCs w:val="21"/>
                <w14:ligatures w14:val="standardContextual"/>
              </w:rPr>
              <w:t>0.29</w:t>
            </w:r>
          </w:p>
        </w:tc>
        <w:tc>
          <w:tcPr>
            <w:tcW w:w="1388" w:type="dxa"/>
            <w:vAlign w:val="center"/>
          </w:tcPr>
          <w:p w14:paraId="7672922B">
            <w:pPr>
              <w:tabs>
                <w:tab w:val="clear" w:pos="480"/>
              </w:tabs>
              <w:spacing w:line="240" w:lineRule="auto"/>
              <w:ind w:firstLine="0" w:firstLineChars="0"/>
              <w:jc w:val="center"/>
              <w:rPr>
                <w:sz w:val="21"/>
                <w:szCs w:val="21"/>
              </w:rPr>
            </w:pPr>
            <w:r>
              <w:rPr>
                <w:sz w:val="21"/>
                <w:szCs w:val="21"/>
                <w14:ligatures w14:val="standardContextual"/>
              </w:rPr>
              <w:t xml:space="preserve">0.00 </w:t>
            </w:r>
          </w:p>
        </w:tc>
      </w:tr>
      <w:tr w14:paraId="27F281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53CA6D20">
            <w:pPr>
              <w:tabs>
                <w:tab w:val="clear" w:pos="480"/>
              </w:tabs>
              <w:spacing w:line="240" w:lineRule="auto"/>
              <w:ind w:firstLine="0" w:firstLineChars="0"/>
              <w:jc w:val="center"/>
              <w:rPr>
                <w:b/>
                <w:kern w:val="0"/>
                <w:sz w:val="21"/>
                <w:szCs w:val="21"/>
              </w:rPr>
            </w:pPr>
            <w:r>
              <w:rPr>
                <w:b/>
                <w:sz w:val="21"/>
                <w:szCs w:val="21"/>
              </w:rPr>
              <w:t>耕地</w:t>
            </w:r>
          </w:p>
        </w:tc>
        <w:tc>
          <w:tcPr>
            <w:tcW w:w="1393" w:type="dxa"/>
            <w:vAlign w:val="center"/>
          </w:tcPr>
          <w:p w14:paraId="17C948E2">
            <w:pPr>
              <w:tabs>
                <w:tab w:val="clear" w:pos="480"/>
              </w:tabs>
              <w:spacing w:line="240" w:lineRule="auto"/>
              <w:ind w:firstLine="0" w:firstLineChars="0"/>
              <w:jc w:val="center"/>
              <w:rPr>
                <w:sz w:val="21"/>
                <w:szCs w:val="21"/>
              </w:rPr>
            </w:pPr>
            <w:r>
              <w:rPr>
                <w:sz w:val="21"/>
                <w:szCs w:val="21"/>
              </w:rPr>
              <w:t>15.14</w:t>
            </w:r>
          </w:p>
        </w:tc>
        <w:tc>
          <w:tcPr>
            <w:tcW w:w="1393" w:type="dxa"/>
            <w:vAlign w:val="center"/>
          </w:tcPr>
          <w:p w14:paraId="1FFDBAEE">
            <w:pPr>
              <w:widowControl/>
              <w:tabs>
                <w:tab w:val="clear" w:pos="480"/>
              </w:tabs>
              <w:spacing w:line="240" w:lineRule="auto"/>
              <w:ind w:firstLine="0" w:firstLineChars="0"/>
              <w:jc w:val="center"/>
              <w:rPr>
                <w:sz w:val="21"/>
                <w:szCs w:val="21"/>
              </w:rPr>
            </w:pPr>
            <w:r>
              <w:rPr>
                <w:kern w:val="0"/>
                <w:sz w:val="21"/>
                <w:szCs w:val="21"/>
                <w14:ligatures w14:val="standardContextual"/>
              </w:rPr>
              <w:t>1.30</w:t>
            </w:r>
          </w:p>
        </w:tc>
        <w:tc>
          <w:tcPr>
            <w:tcW w:w="1393" w:type="dxa"/>
            <w:vAlign w:val="center"/>
          </w:tcPr>
          <w:p w14:paraId="63F8F21C">
            <w:pPr>
              <w:tabs>
                <w:tab w:val="clear" w:pos="480"/>
              </w:tabs>
              <w:spacing w:line="240" w:lineRule="auto"/>
              <w:ind w:firstLine="0" w:firstLineChars="0"/>
              <w:jc w:val="center"/>
              <w:rPr>
                <w:sz w:val="21"/>
                <w:szCs w:val="21"/>
              </w:rPr>
            </w:pPr>
            <w:r>
              <w:rPr>
                <w:sz w:val="21"/>
                <w:szCs w:val="21"/>
              </w:rPr>
              <w:t>4.38</w:t>
            </w:r>
          </w:p>
        </w:tc>
        <w:tc>
          <w:tcPr>
            <w:tcW w:w="1391" w:type="dxa"/>
            <w:vAlign w:val="center"/>
          </w:tcPr>
          <w:p w14:paraId="606CF81B">
            <w:pPr>
              <w:tabs>
                <w:tab w:val="clear" w:pos="480"/>
              </w:tabs>
              <w:spacing w:line="240" w:lineRule="auto"/>
              <w:ind w:firstLine="0" w:firstLineChars="0"/>
              <w:jc w:val="center"/>
              <w:rPr>
                <w:sz w:val="21"/>
                <w:szCs w:val="21"/>
              </w:rPr>
            </w:pPr>
            <w:r>
              <w:rPr>
                <w:sz w:val="21"/>
                <w:szCs w:val="21"/>
                <w14:ligatures w14:val="standardContextual"/>
              </w:rPr>
              <w:t>66.31</w:t>
            </w:r>
          </w:p>
        </w:tc>
        <w:tc>
          <w:tcPr>
            <w:tcW w:w="1388" w:type="dxa"/>
            <w:vAlign w:val="center"/>
          </w:tcPr>
          <w:p w14:paraId="4F771F24">
            <w:pPr>
              <w:tabs>
                <w:tab w:val="clear" w:pos="480"/>
              </w:tabs>
              <w:spacing w:line="240" w:lineRule="auto"/>
              <w:ind w:firstLine="0" w:firstLineChars="0"/>
              <w:jc w:val="center"/>
              <w:rPr>
                <w:sz w:val="21"/>
                <w:szCs w:val="21"/>
              </w:rPr>
            </w:pPr>
            <w:r>
              <w:rPr>
                <w:sz w:val="21"/>
                <w:szCs w:val="21"/>
                <w14:ligatures w14:val="standardContextual"/>
              </w:rPr>
              <w:t xml:space="preserve">0.20 </w:t>
            </w:r>
          </w:p>
        </w:tc>
      </w:tr>
      <w:tr w14:paraId="276839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1D522757">
            <w:pPr>
              <w:tabs>
                <w:tab w:val="clear" w:pos="480"/>
              </w:tabs>
              <w:spacing w:line="240" w:lineRule="auto"/>
              <w:ind w:firstLine="0" w:firstLineChars="0"/>
              <w:jc w:val="center"/>
              <w:rPr>
                <w:b/>
                <w:sz w:val="21"/>
                <w:szCs w:val="21"/>
              </w:rPr>
            </w:pPr>
            <w:r>
              <w:rPr>
                <w:b/>
                <w:bCs/>
                <w:kern w:val="0"/>
                <w:sz w:val="21"/>
                <w:szCs w:val="21"/>
                <w14:ligatures w14:val="standardContextual"/>
              </w:rPr>
              <w:t>建筑用地和未利用地</w:t>
            </w:r>
          </w:p>
        </w:tc>
        <w:tc>
          <w:tcPr>
            <w:tcW w:w="1393" w:type="dxa"/>
            <w:vAlign w:val="center"/>
          </w:tcPr>
          <w:p w14:paraId="73BBEA7A">
            <w:pPr>
              <w:tabs>
                <w:tab w:val="clear" w:pos="480"/>
              </w:tabs>
              <w:spacing w:line="240" w:lineRule="auto"/>
              <w:ind w:firstLine="0" w:firstLineChars="0"/>
              <w:jc w:val="center"/>
              <w:rPr>
                <w:kern w:val="0"/>
                <w:sz w:val="21"/>
                <w:szCs w:val="21"/>
                <w14:ligatures w14:val="standardContextual"/>
              </w:rPr>
            </w:pPr>
            <w:r>
              <w:rPr>
                <w:sz w:val="21"/>
                <w:szCs w:val="21"/>
              </w:rPr>
              <w:t>4.42</w:t>
            </w:r>
          </w:p>
        </w:tc>
        <w:tc>
          <w:tcPr>
            <w:tcW w:w="1393" w:type="dxa"/>
            <w:vAlign w:val="center"/>
          </w:tcPr>
          <w:p w14:paraId="0B1F3B2A">
            <w:pPr>
              <w:widowControl/>
              <w:tabs>
                <w:tab w:val="clear" w:pos="480"/>
              </w:tabs>
              <w:spacing w:line="240" w:lineRule="auto"/>
              <w:ind w:firstLine="0" w:firstLineChars="0"/>
              <w:jc w:val="center"/>
              <w:rPr>
                <w:kern w:val="0"/>
                <w:sz w:val="21"/>
                <w:szCs w:val="21"/>
                <w14:ligatures w14:val="standardContextual"/>
              </w:rPr>
            </w:pPr>
            <w:r>
              <w:rPr>
                <w:kern w:val="0"/>
                <w:sz w:val="21"/>
                <w:szCs w:val="21"/>
                <w14:ligatures w14:val="standardContextual"/>
              </w:rPr>
              <w:t>0.38</w:t>
            </w:r>
          </w:p>
        </w:tc>
        <w:tc>
          <w:tcPr>
            <w:tcW w:w="1393" w:type="dxa"/>
            <w:vAlign w:val="center"/>
          </w:tcPr>
          <w:p w14:paraId="482D8303">
            <w:pPr>
              <w:tabs>
                <w:tab w:val="clear" w:pos="480"/>
              </w:tabs>
              <w:spacing w:line="240" w:lineRule="auto"/>
              <w:ind w:firstLine="0" w:firstLineChars="0"/>
              <w:jc w:val="center"/>
              <w:rPr>
                <w:sz w:val="21"/>
                <w:szCs w:val="21"/>
              </w:rPr>
            </w:pPr>
            <w:r>
              <w:rPr>
                <w:kern w:val="0"/>
                <w:sz w:val="21"/>
                <w:szCs w:val="21"/>
                <w14:ligatures w14:val="standardContextual"/>
              </w:rPr>
              <w:t>/</w:t>
            </w:r>
          </w:p>
        </w:tc>
        <w:tc>
          <w:tcPr>
            <w:tcW w:w="1391" w:type="dxa"/>
            <w:vAlign w:val="center"/>
          </w:tcPr>
          <w:p w14:paraId="1507F23E">
            <w:pPr>
              <w:tabs>
                <w:tab w:val="clear" w:pos="480"/>
              </w:tabs>
              <w:spacing w:line="240" w:lineRule="auto"/>
              <w:ind w:firstLine="0" w:firstLineChars="0"/>
              <w:jc w:val="center"/>
              <w:rPr>
                <w:kern w:val="0"/>
                <w:sz w:val="21"/>
                <w:szCs w:val="21"/>
                <w14:ligatures w14:val="standardContextual"/>
              </w:rPr>
            </w:pPr>
            <w:r>
              <w:rPr>
                <w:sz w:val="21"/>
                <w:szCs w:val="21"/>
                <w14:ligatures w14:val="standardContextual"/>
              </w:rPr>
              <w:t>/</w:t>
            </w:r>
          </w:p>
        </w:tc>
        <w:tc>
          <w:tcPr>
            <w:tcW w:w="1388" w:type="dxa"/>
            <w:vAlign w:val="center"/>
          </w:tcPr>
          <w:p w14:paraId="6CE4FA6E">
            <w:pPr>
              <w:tabs>
                <w:tab w:val="clear" w:pos="480"/>
              </w:tabs>
              <w:spacing w:line="240" w:lineRule="auto"/>
              <w:ind w:firstLine="0" w:firstLineChars="0"/>
              <w:jc w:val="center"/>
              <w:rPr>
                <w:kern w:val="0"/>
                <w:sz w:val="21"/>
                <w:szCs w:val="21"/>
                <w14:ligatures w14:val="standardContextual"/>
              </w:rPr>
            </w:pPr>
            <w:r>
              <w:rPr>
                <w:kern w:val="0"/>
                <w:sz w:val="21"/>
                <w:szCs w:val="21"/>
              </w:rPr>
              <w:t>—</w:t>
            </w:r>
          </w:p>
        </w:tc>
      </w:tr>
      <w:tr w14:paraId="1F057E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dxa"/>
            <w:vAlign w:val="center"/>
          </w:tcPr>
          <w:p w14:paraId="648075FA">
            <w:pPr>
              <w:tabs>
                <w:tab w:val="clear" w:pos="480"/>
              </w:tabs>
              <w:spacing w:line="240" w:lineRule="auto"/>
              <w:ind w:firstLine="0" w:firstLineChars="0"/>
              <w:jc w:val="center"/>
              <w:rPr>
                <w:b/>
                <w:kern w:val="0"/>
                <w:sz w:val="21"/>
                <w:szCs w:val="21"/>
              </w:rPr>
            </w:pPr>
            <w:r>
              <w:rPr>
                <w:b/>
                <w:kern w:val="0"/>
                <w:sz w:val="21"/>
                <w:szCs w:val="21"/>
              </w:rPr>
              <w:t>合计</w:t>
            </w:r>
          </w:p>
        </w:tc>
        <w:tc>
          <w:tcPr>
            <w:tcW w:w="1393" w:type="dxa"/>
            <w:vAlign w:val="center"/>
          </w:tcPr>
          <w:p w14:paraId="2F3AD57B">
            <w:pPr>
              <w:tabs>
                <w:tab w:val="clear" w:pos="480"/>
              </w:tabs>
              <w:spacing w:line="240" w:lineRule="auto"/>
              <w:ind w:firstLine="0" w:firstLineChars="0"/>
              <w:jc w:val="center"/>
              <w:rPr>
                <w:sz w:val="21"/>
                <w:szCs w:val="21"/>
              </w:rPr>
            </w:pPr>
            <w:r>
              <w:rPr>
                <w:sz w:val="21"/>
                <w:szCs w:val="21"/>
              </w:rPr>
              <w:t>1164.32</w:t>
            </w:r>
          </w:p>
        </w:tc>
        <w:tc>
          <w:tcPr>
            <w:tcW w:w="1393" w:type="dxa"/>
            <w:vAlign w:val="center"/>
          </w:tcPr>
          <w:p w14:paraId="7F1CAB78">
            <w:pPr>
              <w:tabs>
                <w:tab w:val="clear" w:pos="480"/>
              </w:tabs>
              <w:spacing w:line="240" w:lineRule="auto"/>
              <w:ind w:firstLine="0" w:firstLineChars="0"/>
              <w:jc w:val="center"/>
              <w:rPr>
                <w:b/>
                <w:sz w:val="21"/>
                <w:szCs w:val="21"/>
              </w:rPr>
            </w:pPr>
            <w:r>
              <w:rPr>
                <w:kern w:val="0"/>
                <w:sz w:val="21"/>
                <w:szCs w:val="21"/>
              </w:rPr>
              <w:t>—</w:t>
            </w:r>
          </w:p>
        </w:tc>
        <w:tc>
          <w:tcPr>
            <w:tcW w:w="1393" w:type="dxa"/>
            <w:vAlign w:val="center"/>
          </w:tcPr>
          <w:p w14:paraId="09EB07FE">
            <w:pPr>
              <w:tabs>
                <w:tab w:val="clear" w:pos="480"/>
              </w:tabs>
              <w:spacing w:line="240" w:lineRule="auto"/>
              <w:ind w:firstLine="0" w:firstLineChars="0"/>
              <w:jc w:val="center"/>
              <w:rPr>
                <w:b/>
                <w:sz w:val="21"/>
                <w:szCs w:val="21"/>
              </w:rPr>
            </w:pPr>
            <w:r>
              <w:rPr>
                <w:kern w:val="0"/>
                <w:sz w:val="21"/>
                <w:szCs w:val="21"/>
              </w:rPr>
              <w:t>—</w:t>
            </w:r>
          </w:p>
        </w:tc>
        <w:tc>
          <w:tcPr>
            <w:tcW w:w="1391" w:type="dxa"/>
            <w:vAlign w:val="center"/>
          </w:tcPr>
          <w:p w14:paraId="189E563F">
            <w:pPr>
              <w:tabs>
                <w:tab w:val="clear" w:pos="480"/>
              </w:tabs>
              <w:spacing w:line="240" w:lineRule="auto"/>
              <w:ind w:firstLine="0" w:firstLineChars="0"/>
              <w:jc w:val="center"/>
              <w:rPr>
                <w:b/>
                <w:sz w:val="21"/>
                <w:szCs w:val="21"/>
              </w:rPr>
            </w:pPr>
            <w:r>
              <w:rPr>
                <w:sz w:val="21"/>
                <w:szCs w:val="21"/>
                <w14:ligatures w14:val="standardContextual"/>
              </w:rPr>
              <w:t>33607.01</w:t>
            </w:r>
          </w:p>
        </w:tc>
        <w:tc>
          <w:tcPr>
            <w:tcW w:w="1388" w:type="dxa"/>
            <w:vAlign w:val="center"/>
          </w:tcPr>
          <w:p w14:paraId="0D5F607E">
            <w:pPr>
              <w:tabs>
                <w:tab w:val="clear" w:pos="480"/>
              </w:tabs>
              <w:spacing w:line="240" w:lineRule="auto"/>
              <w:ind w:firstLine="0" w:firstLineChars="0"/>
              <w:jc w:val="center"/>
              <w:rPr>
                <w:b/>
                <w:sz w:val="21"/>
                <w:szCs w:val="21"/>
              </w:rPr>
            </w:pPr>
            <w:r>
              <w:rPr>
                <w:sz w:val="21"/>
                <w:szCs w:val="21"/>
                <w14:ligatures w14:val="standardContextual"/>
              </w:rPr>
              <w:t xml:space="preserve">100.00 </w:t>
            </w:r>
          </w:p>
        </w:tc>
      </w:tr>
    </w:tbl>
    <w:p w14:paraId="30DA19A1">
      <w:pPr>
        <w:adjustRightInd w:val="0"/>
        <w:snapToGrid w:val="0"/>
        <w:ind w:firstLine="480"/>
      </w:pPr>
      <w:r>
        <w:t>由上表可知，评价区总生物量为33607.01t。评价区生态类型以</w:t>
      </w:r>
      <w:r>
        <w:rPr>
          <w:rFonts w:hint="eastAsia"/>
        </w:rPr>
        <w:t>灌丛/灌草从为主，灌丛/灌草从</w:t>
      </w:r>
      <w:r>
        <w:t>面积为667.58hm</w:t>
      </w:r>
      <w:r>
        <w:rPr>
          <w:vertAlign w:val="superscript"/>
        </w:rPr>
        <w:t>2</w:t>
      </w:r>
      <w:r>
        <w:t>，占总面积的57.36%</w:t>
      </w:r>
      <w:r>
        <w:rPr>
          <w:rFonts w:hint="eastAsia"/>
        </w:rPr>
        <w:t>。灌丛和灌草从总生物量1</w:t>
      </w:r>
      <w:r>
        <w:t>7016.82</w:t>
      </w:r>
      <w:r>
        <w:rPr>
          <w:rFonts w:hint="eastAsia"/>
        </w:rPr>
        <w:t>t，占总生物量的5</w:t>
      </w:r>
      <w:r>
        <w:t>0.63%</w:t>
      </w:r>
      <w:r>
        <w:rPr>
          <w:rFonts w:hint="eastAsia"/>
        </w:rPr>
        <w:t>；针叶林</w:t>
      </w:r>
      <w:r>
        <w:t>面积为344.41hm</w:t>
      </w:r>
      <w:r>
        <w:rPr>
          <w:vertAlign w:val="superscript"/>
        </w:rPr>
        <w:t>2</w:t>
      </w:r>
      <w:r>
        <w:t>，占总面积的29.58%</w:t>
      </w:r>
      <w:r>
        <w:rPr>
          <w:rFonts w:hint="eastAsia"/>
        </w:rPr>
        <w:t>，针叶林总生物量</w:t>
      </w:r>
      <w:r>
        <w:t>12481.42</w:t>
      </w:r>
      <w:r>
        <w:rPr>
          <w:rFonts w:hint="eastAsia"/>
        </w:rPr>
        <w:t>t，占总生物量的</w:t>
      </w:r>
      <w:r>
        <w:t>37.14%</w:t>
      </w:r>
      <w:r>
        <w:rPr>
          <w:rFonts w:hint="eastAsia"/>
        </w:rPr>
        <w:t>；阔叶林</w:t>
      </w:r>
      <w:r>
        <w:t>面积为132.27hm</w:t>
      </w:r>
      <w:r>
        <w:rPr>
          <w:vertAlign w:val="superscript"/>
        </w:rPr>
        <w:t>2</w:t>
      </w:r>
      <w:r>
        <w:t>，占总面积的11.36%</w:t>
      </w:r>
      <w:r>
        <w:rPr>
          <w:rFonts w:hint="eastAsia"/>
        </w:rPr>
        <w:t>，阔叶林总生物量</w:t>
      </w:r>
      <w:r>
        <w:t>4042.17</w:t>
      </w:r>
      <w:r>
        <w:rPr>
          <w:rFonts w:hint="eastAsia"/>
        </w:rPr>
        <w:t>t，占总生物量的</w:t>
      </w:r>
      <w:r>
        <w:t>12.03%</w:t>
      </w:r>
      <w:r>
        <w:rPr>
          <w:rFonts w:hint="eastAsia"/>
        </w:rPr>
        <w:t>；</w:t>
      </w:r>
      <w:r>
        <w:t>水域和耕地所占面积和生物量均较小，其中水域生物量最小，总生物量为0.29t，仅占总生物量的0.01%，而面积为0.23hm</w:t>
      </w:r>
      <w:r>
        <w:rPr>
          <w:vertAlign w:val="superscript"/>
        </w:rPr>
        <w:t>2</w:t>
      </w:r>
      <w:r>
        <w:t>，占总面积的0.02%。耕地面积为15.14hm</w:t>
      </w:r>
      <w:r>
        <w:rPr>
          <w:vertAlign w:val="superscript"/>
        </w:rPr>
        <w:t>2</w:t>
      </w:r>
      <w:r>
        <w:t>，占总面积的1.30%，总生物量为66.31t，占总生物量的0.20%。评价区内植被类型以</w:t>
      </w:r>
      <w:r>
        <w:rPr>
          <w:rFonts w:hint="eastAsia"/>
        </w:rPr>
        <w:t>灌丛/灌草从</w:t>
      </w:r>
      <w:r>
        <w:t>为主，水域和耕地非常之少。</w:t>
      </w:r>
    </w:p>
    <w:p w14:paraId="3A15FA59">
      <w:pPr>
        <w:tabs>
          <w:tab w:val="clear" w:pos="480"/>
        </w:tabs>
        <w:adjustRightInd w:val="0"/>
        <w:snapToGrid w:val="0"/>
        <w:ind w:firstLine="0" w:firstLineChars="0"/>
        <w:outlineLvl w:val="3"/>
        <w:rPr>
          <w:b/>
          <w:kern w:val="0"/>
          <w:lang w:val="zh-CN"/>
        </w:rPr>
      </w:pPr>
      <w:r>
        <w:rPr>
          <w:b/>
          <w:kern w:val="0"/>
          <w:lang w:val="zh-CN"/>
        </w:rPr>
        <w:t>5.5.4.10</w:t>
      </w:r>
      <w:r>
        <w:rPr>
          <w:rFonts w:hint="eastAsia"/>
          <w:b/>
          <w:kern w:val="0"/>
          <w:lang w:val="zh-CN"/>
        </w:rPr>
        <w:t>工程占地区生态指标</w:t>
      </w:r>
    </w:p>
    <w:p w14:paraId="7831FF65">
      <w:pPr>
        <w:adjustRightInd w:val="0"/>
        <w:snapToGrid w:val="0"/>
        <w:ind w:firstLine="480"/>
      </w:pPr>
      <w:r>
        <w:t>工程占地区生态环境指标详细情况见</w:t>
      </w:r>
      <w:r>
        <w:rPr>
          <w:rFonts w:hint="eastAsia"/>
        </w:rPr>
        <w:t>下表</w:t>
      </w:r>
      <w:r>
        <w:t>。</w:t>
      </w:r>
    </w:p>
    <w:p w14:paraId="311FC871">
      <w:pPr>
        <w:pStyle w:val="2"/>
        <w:ind w:firstLine="420"/>
      </w:pPr>
    </w:p>
    <w:p w14:paraId="2B596F8B">
      <w:pPr>
        <w:adjustRightInd w:val="0"/>
        <w:snapToGrid w:val="0"/>
        <w:ind w:firstLine="480"/>
      </w:pPr>
    </w:p>
    <w:p w14:paraId="2118EED4">
      <w:pPr>
        <w:pStyle w:val="2"/>
        <w:ind w:firstLine="420"/>
      </w:pPr>
    </w:p>
    <w:p w14:paraId="06DB0EEF">
      <w:pPr>
        <w:pStyle w:val="2"/>
        <w:ind w:firstLine="420"/>
        <w:sectPr>
          <w:pgSz w:w="11905" w:h="16838"/>
          <w:pgMar w:top="1440" w:right="1797" w:bottom="1440" w:left="1797" w:header="851" w:footer="992" w:gutter="0"/>
          <w:cols w:space="0" w:num="1"/>
          <w:docGrid w:type="lines" w:linePitch="333" w:charSpace="0"/>
        </w:sectPr>
      </w:pPr>
    </w:p>
    <w:p w14:paraId="0FACEC68">
      <w:pPr>
        <w:tabs>
          <w:tab w:val="clear" w:pos="480"/>
        </w:tabs>
        <w:ind w:firstLine="422"/>
        <w:jc w:val="center"/>
        <w:rPr>
          <w:bCs/>
        </w:rPr>
      </w:pPr>
      <w:r>
        <w:rPr>
          <w:b/>
          <w:sz w:val="21"/>
          <w:szCs w:val="21"/>
        </w:rPr>
        <w:t>表5.5-10工程占地区生态环境指标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2546"/>
        <w:gridCol w:w="4167"/>
        <w:gridCol w:w="955"/>
        <w:gridCol w:w="929"/>
        <w:gridCol w:w="1585"/>
        <w:gridCol w:w="1360"/>
        <w:gridCol w:w="1127"/>
        <w:gridCol w:w="1124"/>
      </w:tblGrid>
      <w:tr w14:paraId="2B20D1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Merge w:val="restart"/>
            <w:vAlign w:val="center"/>
          </w:tcPr>
          <w:p w14:paraId="77F61032">
            <w:pPr>
              <w:widowControl/>
              <w:tabs>
                <w:tab w:val="clear" w:pos="480"/>
              </w:tabs>
              <w:adjustRightInd w:val="0"/>
              <w:snapToGrid w:val="0"/>
              <w:spacing w:line="240" w:lineRule="auto"/>
              <w:ind w:firstLine="0" w:firstLineChars="0"/>
              <w:jc w:val="left"/>
              <w:rPr>
                <w:b/>
                <w:sz w:val="18"/>
                <w:szCs w:val="18"/>
              </w:rPr>
            </w:pPr>
            <w:r>
              <w:rPr>
                <w:b/>
                <w:sz w:val="18"/>
                <w:szCs w:val="18"/>
              </w:rPr>
              <w:t>工程占地区</w:t>
            </w:r>
          </w:p>
        </w:tc>
        <w:tc>
          <w:tcPr>
            <w:tcW w:w="861" w:type="pct"/>
            <w:vMerge w:val="restart"/>
            <w:vAlign w:val="center"/>
          </w:tcPr>
          <w:p w14:paraId="35D833C5">
            <w:pPr>
              <w:widowControl/>
              <w:tabs>
                <w:tab w:val="clear" w:pos="480"/>
              </w:tabs>
              <w:adjustRightInd w:val="0"/>
              <w:snapToGrid w:val="0"/>
              <w:spacing w:line="240" w:lineRule="auto"/>
              <w:ind w:firstLine="0" w:firstLineChars="0"/>
              <w:jc w:val="center"/>
              <w:rPr>
                <w:b/>
                <w:sz w:val="18"/>
                <w:szCs w:val="18"/>
              </w:rPr>
            </w:pPr>
            <w:r>
              <w:rPr>
                <w:b/>
                <w:sz w:val="18"/>
                <w:szCs w:val="18"/>
              </w:rPr>
              <w:t>植被类型</w:t>
            </w:r>
          </w:p>
        </w:tc>
        <w:tc>
          <w:tcPr>
            <w:tcW w:w="1409" w:type="pct"/>
            <w:vMerge w:val="restart"/>
            <w:vAlign w:val="center"/>
          </w:tcPr>
          <w:p w14:paraId="4246CBBB">
            <w:pPr>
              <w:widowControl/>
              <w:tabs>
                <w:tab w:val="clear" w:pos="480"/>
              </w:tabs>
              <w:adjustRightInd w:val="0"/>
              <w:snapToGrid w:val="0"/>
              <w:spacing w:line="240" w:lineRule="auto"/>
              <w:ind w:firstLine="0" w:firstLineChars="0"/>
              <w:jc w:val="center"/>
              <w:rPr>
                <w:b/>
                <w:sz w:val="18"/>
                <w:szCs w:val="18"/>
              </w:rPr>
            </w:pPr>
            <w:r>
              <w:rPr>
                <w:b/>
                <w:sz w:val="18"/>
                <w:szCs w:val="18"/>
              </w:rPr>
              <w:t>植被恢复措施</w:t>
            </w:r>
          </w:p>
        </w:tc>
        <w:tc>
          <w:tcPr>
            <w:tcW w:w="323" w:type="pct"/>
            <w:vMerge w:val="restart"/>
            <w:vAlign w:val="center"/>
          </w:tcPr>
          <w:p w14:paraId="3102A37F">
            <w:pPr>
              <w:widowControl/>
              <w:tabs>
                <w:tab w:val="clear" w:pos="480"/>
              </w:tabs>
              <w:adjustRightInd w:val="0"/>
              <w:snapToGrid w:val="0"/>
              <w:spacing w:line="240" w:lineRule="auto"/>
              <w:ind w:firstLine="0" w:firstLineChars="0"/>
              <w:jc w:val="center"/>
              <w:rPr>
                <w:b/>
                <w:sz w:val="18"/>
                <w:szCs w:val="18"/>
              </w:rPr>
            </w:pPr>
            <w:r>
              <w:rPr>
                <w:b/>
                <w:sz w:val="18"/>
                <w:szCs w:val="18"/>
              </w:rPr>
              <w:t>植被覆盖率</w:t>
            </w:r>
          </w:p>
        </w:tc>
        <w:tc>
          <w:tcPr>
            <w:tcW w:w="314" w:type="pct"/>
            <w:vMerge w:val="restart"/>
            <w:vAlign w:val="center"/>
          </w:tcPr>
          <w:p w14:paraId="4D46FB74">
            <w:pPr>
              <w:widowControl/>
              <w:tabs>
                <w:tab w:val="clear" w:pos="480"/>
              </w:tabs>
              <w:adjustRightInd w:val="0"/>
              <w:snapToGrid w:val="0"/>
              <w:spacing w:line="240" w:lineRule="auto"/>
              <w:ind w:firstLine="0" w:firstLineChars="0"/>
              <w:jc w:val="center"/>
              <w:rPr>
                <w:b/>
                <w:sz w:val="18"/>
                <w:szCs w:val="18"/>
              </w:rPr>
            </w:pPr>
            <w:r>
              <w:rPr>
                <w:b/>
                <w:sz w:val="18"/>
                <w:szCs w:val="18"/>
              </w:rPr>
              <w:t>林地郁闭度</w:t>
            </w:r>
          </w:p>
        </w:tc>
        <w:tc>
          <w:tcPr>
            <w:tcW w:w="536" w:type="pct"/>
            <w:vMerge w:val="restart"/>
            <w:vAlign w:val="center"/>
          </w:tcPr>
          <w:p w14:paraId="37297373">
            <w:pPr>
              <w:widowControl/>
              <w:tabs>
                <w:tab w:val="clear" w:pos="480"/>
              </w:tabs>
              <w:adjustRightInd w:val="0"/>
              <w:snapToGrid w:val="0"/>
              <w:spacing w:line="240" w:lineRule="auto"/>
              <w:ind w:firstLine="0" w:firstLineChars="0"/>
              <w:jc w:val="center"/>
              <w:rPr>
                <w:b/>
                <w:sz w:val="18"/>
                <w:szCs w:val="18"/>
              </w:rPr>
            </w:pPr>
            <w:r>
              <w:rPr>
                <w:b/>
                <w:sz w:val="18"/>
                <w:szCs w:val="18"/>
              </w:rPr>
              <w:t>单位面积林地蓄积量(m</w:t>
            </w:r>
            <w:r>
              <w:rPr>
                <w:b/>
                <w:sz w:val="18"/>
                <w:szCs w:val="18"/>
                <w:vertAlign w:val="superscript"/>
              </w:rPr>
              <w:t>3</w:t>
            </w:r>
            <w:r>
              <w:rPr>
                <w:b/>
                <w:sz w:val="18"/>
                <w:szCs w:val="18"/>
              </w:rPr>
              <w:t>/hm</w:t>
            </w:r>
            <w:r>
              <w:rPr>
                <w:b/>
                <w:sz w:val="18"/>
                <w:szCs w:val="18"/>
                <w:vertAlign w:val="superscript"/>
              </w:rPr>
              <w:t>2)</w:t>
            </w:r>
          </w:p>
        </w:tc>
        <w:tc>
          <w:tcPr>
            <w:tcW w:w="460" w:type="pct"/>
            <w:vMerge w:val="restart"/>
            <w:vAlign w:val="center"/>
          </w:tcPr>
          <w:p w14:paraId="4C3EC23E">
            <w:pPr>
              <w:widowControl/>
              <w:tabs>
                <w:tab w:val="clear" w:pos="480"/>
              </w:tabs>
              <w:adjustRightInd w:val="0"/>
              <w:snapToGrid w:val="0"/>
              <w:spacing w:line="240" w:lineRule="auto"/>
              <w:ind w:firstLine="0" w:firstLineChars="0"/>
              <w:jc w:val="center"/>
              <w:rPr>
                <w:b/>
                <w:sz w:val="18"/>
                <w:szCs w:val="18"/>
              </w:rPr>
            </w:pPr>
            <w:r>
              <w:rPr>
                <w:b/>
                <w:sz w:val="18"/>
                <w:szCs w:val="18"/>
              </w:rPr>
              <w:t>平均生物量(t/hm</w:t>
            </w:r>
            <w:r>
              <w:rPr>
                <w:b/>
                <w:sz w:val="18"/>
                <w:szCs w:val="18"/>
                <w:vertAlign w:val="superscript"/>
              </w:rPr>
              <w:t>2</w:t>
            </w:r>
            <w:r>
              <w:rPr>
                <w:b/>
                <w:sz w:val="18"/>
                <w:szCs w:val="18"/>
              </w:rPr>
              <w:t>)</w:t>
            </w:r>
          </w:p>
        </w:tc>
        <w:tc>
          <w:tcPr>
            <w:tcW w:w="761" w:type="pct"/>
            <w:gridSpan w:val="2"/>
            <w:vAlign w:val="center"/>
          </w:tcPr>
          <w:p w14:paraId="1EAE9898">
            <w:pPr>
              <w:widowControl/>
              <w:tabs>
                <w:tab w:val="clear" w:pos="480"/>
              </w:tabs>
              <w:adjustRightInd w:val="0"/>
              <w:snapToGrid w:val="0"/>
              <w:spacing w:line="240" w:lineRule="auto"/>
              <w:ind w:firstLine="0" w:firstLineChars="0"/>
              <w:jc w:val="center"/>
              <w:rPr>
                <w:b/>
                <w:sz w:val="18"/>
                <w:szCs w:val="18"/>
              </w:rPr>
            </w:pPr>
            <w:r>
              <w:rPr>
                <w:b/>
                <w:sz w:val="18"/>
                <w:szCs w:val="18"/>
              </w:rPr>
              <w:t>占地生物量损失</w:t>
            </w:r>
          </w:p>
        </w:tc>
      </w:tr>
      <w:tr w14:paraId="369818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Merge w:val="continue"/>
            <w:vAlign w:val="center"/>
          </w:tcPr>
          <w:p w14:paraId="250EB350">
            <w:pPr>
              <w:tabs>
                <w:tab w:val="clear" w:pos="480"/>
              </w:tabs>
              <w:adjustRightInd w:val="0"/>
              <w:snapToGrid w:val="0"/>
              <w:spacing w:line="240" w:lineRule="auto"/>
              <w:ind w:firstLine="0" w:firstLineChars="0"/>
              <w:rPr>
                <w:sz w:val="18"/>
                <w:szCs w:val="18"/>
              </w:rPr>
            </w:pPr>
          </w:p>
        </w:tc>
        <w:tc>
          <w:tcPr>
            <w:tcW w:w="861" w:type="pct"/>
            <w:vMerge w:val="continue"/>
            <w:vAlign w:val="center"/>
          </w:tcPr>
          <w:p w14:paraId="4001DBCE">
            <w:pPr>
              <w:tabs>
                <w:tab w:val="clear" w:pos="480"/>
              </w:tabs>
              <w:adjustRightInd w:val="0"/>
              <w:snapToGrid w:val="0"/>
              <w:spacing w:line="240" w:lineRule="auto"/>
              <w:ind w:firstLine="0" w:firstLineChars="0"/>
              <w:rPr>
                <w:sz w:val="18"/>
                <w:szCs w:val="18"/>
              </w:rPr>
            </w:pPr>
          </w:p>
        </w:tc>
        <w:tc>
          <w:tcPr>
            <w:tcW w:w="1409" w:type="pct"/>
            <w:vMerge w:val="continue"/>
            <w:vAlign w:val="center"/>
          </w:tcPr>
          <w:p w14:paraId="225A3C37">
            <w:pPr>
              <w:tabs>
                <w:tab w:val="clear" w:pos="480"/>
              </w:tabs>
              <w:adjustRightInd w:val="0"/>
              <w:snapToGrid w:val="0"/>
              <w:spacing w:line="240" w:lineRule="auto"/>
              <w:ind w:firstLine="0" w:firstLineChars="0"/>
              <w:rPr>
                <w:sz w:val="18"/>
                <w:szCs w:val="18"/>
              </w:rPr>
            </w:pPr>
          </w:p>
        </w:tc>
        <w:tc>
          <w:tcPr>
            <w:tcW w:w="323" w:type="pct"/>
            <w:vMerge w:val="continue"/>
            <w:vAlign w:val="center"/>
          </w:tcPr>
          <w:p w14:paraId="7AC4BD4E">
            <w:pPr>
              <w:tabs>
                <w:tab w:val="clear" w:pos="480"/>
              </w:tabs>
              <w:adjustRightInd w:val="0"/>
              <w:snapToGrid w:val="0"/>
              <w:spacing w:line="240" w:lineRule="auto"/>
              <w:ind w:firstLine="0" w:firstLineChars="0"/>
              <w:jc w:val="center"/>
              <w:rPr>
                <w:sz w:val="18"/>
                <w:szCs w:val="18"/>
              </w:rPr>
            </w:pPr>
          </w:p>
        </w:tc>
        <w:tc>
          <w:tcPr>
            <w:tcW w:w="314" w:type="pct"/>
            <w:vMerge w:val="continue"/>
            <w:vAlign w:val="center"/>
          </w:tcPr>
          <w:p w14:paraId="689F436F">
            <w:pPr>
              <w:tabs>
                <w:tab w:val="clear" w:pos="480"/>
              </w:tabs>
              <w:adjustRightInd w:val="0"/>
              <w:snapToGrid w:val="0"/>
              <w:spacing w:line="240" w:lineRule="auto"/>
              <w:ind w:firstLine="0" w:firstLineChars="0"/>
              <w:jc w:val="center"/>
              <w:rPr>
                <w:sz w:val="18"/>
                <w:szCs w:val="18"/>
              </w:rPr>
            </w:pPr>
          </w:p>
        </w:tc>
        <w:tc>
          <w:tcPr>
            <w:tcW w:w="536" w:type="pct"/>
            <w:vMerge w:val="continue"/>
            <w:vAlign w:val="center"/>
          </w:tcPr>
          <w:p w14:paraId="40EADAF5">
            <w:pPr>
              <w:tabs>
                <w:tab w:val="clear" w:pos="480"/>
              </w:tabs>
              <w:adjustRightInd w:val="0"/>
              <w:snapToGrid w:val="0"/>
              <w:spacing w:line="240" w:lineRule="auto"/>
              <w:ind w:firstLine="0" w:firstLineChars="0"/>
              <w:jc w:val="center"/>
              <w:rPr>
                <w:sz w:val="18"/>
                <w:szCs w:val="18"/>
              </w:rPr>
            </w:pPr>
          </w:p>
        </w:tc>
        <w:tc>
          <w:tcPr>
            <w:tcW w:w="460" w:type="pct"/>
            <w:vMerge w:val="continue"/>
            <w:vAlign w:val="center"/>
          </w:tcPr>
          <w:p w14:paraId="0CDEB67C">
            <w:pPr>
              <w:tabs>
                <w:tab w:val="clear" w:pos="480"/>
              </w:tabs>
              <w:adjustRightInd w:val="0"/>
              <w:snapToGrid w:val="0"/>
              <w:spacing w:line="240" w:lineRule="auto"/>
              <w:ind w:firstLine="0" w:firstLineChars="0"/>
              <w:jc w:val="center"/>
              <w:rPr>
                <w:sz w:val="18"/>
                <w:szCs w:val="18"/>
              </w:rPr>
            </w:pPr>
          </w:p>
        </w:tc>
        <w:tc>
          <w:tcPr>
            <w:tcW w:w="381" w:type="pct"/>
            <w:vAlign w:val="center"/>
          </w:tcPr>
          <w:p w14:paraId="570B5F7A">
            <w:pPr>
              <w:widowControl/>
              <w:tabs>
                <w:tab w:val="clear" w:pos="480"/>
              </w:tabs>
              <w:adjustRightInd w:val="0"/>
              <w:snapToGrid w:val="0"/>
              <w:spacing w:line="240" w:lineRule="auto"/>
              <w:ind w:firstLine="0" w:firstLineChars="0"/>
              <w:jc w:val="center"/>
              <w:rPr>
                <w:b/>
                <w:sz w:val="18"/>
                <w:szCs w:val="18"/>
              </w:rPr>
            </w:pPr>
            <w:r>
              <w:rPr>
                <w:b/>
                <w:sz w:val="18"/>
                <w:szCs w:val="18"/>
              </w:rPr>
              <w:t>永久（t）</w:t>
            </w:r>
          </w:p>
        </w:tc>
        <w:tc>
          <w:tcPr>
            <w:tcW w:w="380" w:type="pct"/>
            <w:vAlign w:val="center"/>
          </w:tcPr>
          <w:p w14:paraId="6A5AC082">
            <w:pPr>
              <w:widowControl/>
              <w:tabs>
                <w:tab w:val="clear" w:pos="480"/>
              </w:tabs>
              <w:adjustRightInd w:val="0"/>
              <w:snapToGrid w:val="0"/>
              <w:spacing w:line="240" w:lineRule="auto"/>
              <w:ind w:firstLine="0" w:firstLineChars="0"/>
              <w:jc w:val="center"/>
              <w:rPr>
                <w:b/>
                <w:sz w:val="18"/>
                <w:szCs w:val="18"/>
              </w:rPr>
            </w:pPr>
            <w:r>
              <w:rPr>
                <w:b/>
                <w:sz w:val="18"/>
                <w:szCs w:val="18"/>
              </w:rPr>
              <w:t>临时（t）</w:t>
            </w:r>
          </w:p>
        </w:tc>
      </w:tr>
      <w:tr w14:paraId="4B54A0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03EB7929">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r>
              <w:rPr>
                <w:kern w:val="0"/>
                <w:sz w:val="18"/>
                <w:szCs w:val="18"/>
              </w:rPr>
              <w:t>#</w:t>
            </w:r>
          </w:p>
        </w:tc>
        <w:tc>
          <w:tcPr>
            <w:tcW w:w="861" w:type="pct"/>
            <w:vAlign w:val="center"/>
          </w:tcPr>
          <w:p w14:paraId="7B93D768">
            <w:pPr>
              <w:tabs>
                <w:tab w:val="clear" w:pos="480"/>
              </w:tabs>
              <w:adjustRightInd w:val="0"/>
              <w:snapToGrid w:val="0"/>
              <w:spacing w:line="240" w:lineRule="auto"/>
              <w:ind w:firstLine="0" w:firstLineChars="0"/>
              <w:rPr>
                <w:sz w:val="18"/>
                <w:szCs w:val="18"/>
              </w:rPr>
            </w:pPr>
            <w:r>
              <w:rPr>
                <w:sz w:val="18"/>
                <w:szCs w:val="18"/>
              </w:rPr>
              <w:t>该区域土地利用类型以林地、灌草地为主，植被以针叶林、灌草丛为主，常见的群系有杉木林、白茅灌草丛等，常见的植物有毛竹、马尾松、枫香树、檵木、五节芒等。</w:t>
            </w:r>
          </w:p>
        </w:tc>
        <w:tc>
          <w:tcPr>
            <w:tcW w:w="1409" w:type="pct"/>
            <w:vAlign w:val="center"/>
          </w:tcPr>
          <w:p w14:paraId="71BBB5DA">
            <w:pPr>
              <w:tabs>
                <w:tab w:val="clear" w:pos="480"/>
              </w:tabs>
              <w:autoSpaceDE w:val="0"/>
              <w:autoSpaceDN w:val="0"/>
              <w:adjustRightInd w:val="0"/>
              <w:snapToGrid w:val="0"/>
              <w:spacing w:line="240" w:lineRule="auto"/>
              <w:ind w:firstLine="0" w:firstLineChars="0"/>
              <w:rPr>
                <w:sz w:val="18"/>
                <w:szCs w:val="18"/>
              </w:rPr>
            </w:pPr>
            <w:r>
              <w:rPr>
                <w:kern w:val="0"/>
                <w:sz w:val="18"/>
                <w:szCs w:val="18"/>
              </w:rPr>
              <w:t>填方边坡采用狗牙根草皮护坡，风机平台采用覆土撒播草籽的方式，覆土厚度为30cm，撒播狗牙根和冬茅草草籽，混播比例为1:1，混播密度为80kg/hm</w:t>
            </w:r>
            <w:r>
              <w:rPr>
                <w:kern w:val="0"/>
                <w:sz w:val="18"/>
                <w:szCs w:val="18"/>
                <w:vertAlign w:val="superscript"/>
              </w:rPr>
              <w:t>2</w:t>
            </w:r>
            <w:r>
              <w:rPr>
                <w:kern w:val="0"/>
                <w:sz w:val="18"/>
                <w:szCs w:val="18"/>
              </w:rPr>
              <w:t>，风机平台植被恢复面积为1800m</w:t>
            </w:r>
            <w:r>
              <w:rPr>
                <w:kern w:val="0"/>
                <w:sz w:val="18"/>
                <w:szCs w:val="18"/>
                <w:vertAlign w:val="superscript"/>
              </w:rPr>
              <w:t>2</w:t>
            </w:r>
            <w:r>
              <w:rPr>
                <w:kern w:val="0"/>
                <w:sz w:val="18"/>
                <w:szCs w:val="18"/>
              </w:rPr>
              <w:t>，填方边坡铺草皮700m</w:t>
            </w:r>
            <w:r>
              <w:rPr>
                <w:kern w:val="0"/>
                <w:sz w:val="18"/>
                <w:szCs w:val="18"/>
                <w:vertAlign w:val="superscript"/>
              </w:rPr>
              <w:t>2</w:t>
            </w:r>
            <w:r>
              <w:rPr>
                <w:kern w:val="0"/>
                <w:sz w:val="18"/>
                <w:szCs w:val="18"/>
              </w:rPr>
              <w:t xml:space="preserve"> (斜坡面积为840m</w:t>
            </w:r>
            <w:r>
              <w:rPr>
                <w:kern w:val="0"/>
                <w:sz w:val="18"/>
                <w:szCs w:val="18"/>
                <w:vertAlign w:val="superscript"/>
              </w:rPr>
              <w:t>2</w:t>
            </w:r>
            <w:r>
              <w:rPr>
                <w:kern w:val="0"/>
                <w:sz w:val="18"/>
                <w:szCs w:val="18"/>
              </w:rPr>
              <w:t>)。</w:t>
            </w:r>
          </w:p>
        </w:tc>
        <w:tc>
          <w:tcPr>
            <w:tcW w:w="323" w:type="pct"/>
            <w:vAlign w:val="center"/>
          </w:tcPr>
          <w:p w14:paraId="493C5CD0">
            <w:pPr>
              <w:widowControl/>
              <w:tabs>
                <w:tab w:val="clear" w:pos="480"/>
              </w:tabs>
              <w:adjustRightInd w:val="0"/>
              <w:snapToGrid w:val="0"/>
              <w:spacing w:line="240" w:lineRule="auto"/>
              <w:ind w:firstLine="0" w:firstLineChars="0"/>
              <w:jc w:val="center"/>
              <w:rPr>
                <w:sz w:val="18"/>
                <w:szCs w:val="18"/>
              </w:rPr>
            </w:pPr>
            <w:r>
              <w:rPr>
                <w:kern w:val="0"/>
                <w:sz w:val="18"/>
                <w:szCs w:val="18"/>
              </w:rPr>
              <w:t>75%</w:t>
            </w:r>
          </w:p>
        </w:tc>
        <w:tc>
          <w:tcPr>
            <w:tcW w:w="314" w:type="pct"/>
            <w:vAlign w:val="center"/>
          </w:tcPr>
          <w:p w14:paraId="2BC171B4">
            <w:pPr>
              <w:widowControl/>
              <w:tabs>
                <w:tab w:val="clear" w:pos="480"/>
              </w:tabs>
              <w:adjustRightInd w:val="0"/>
              <w:snapToGrid w:val="0"/>
              <w:spacing w:line="240" w:lineRule="auto"/>
              <w:ind w:firstLine="0" w:firstLineChars="0"/>
              <w:jc w:val="center"/>
              <w:rPr>
                <w:sz w:val="18"/>
                <w:szCs w:val="18"/>
              </w:rPr>
            </w:pPr>
            <w:r>
              <w:rPr>
                <w:sz w:val="18"/>
                <w:szCs w:val="18"/>
              </w:rPr>
              <w:t>0.6</w:t>
            </w:r>
          </w:p>
        </w:tc>
        <w:tc>
          <w:tcPr>
            <w:tcW w:w="536" w:type="pct"/>
            <w:vAlign w:val="center"/>
          </w:tcPr>
          <w:p w14:paraId="3733CD93">
            <w:pPr>
              <w:widowControl/>
              <w:tabs>
                <w:tab w:val="clear" w:pos="480"/>
              </w:tabs>
              <w:adjustRightInd w:val="0"/>
              <w:snapToGrid w:val="0"/>
              <w:spacing w:line="240" w:lineRule="auto"/>
              <w:ind w:firstLine="0" w:firstLineChars="0"/>
              <w:jc w:val="center"/>
              <w:rPr>
                <w:sz w:val="18"/>
                <w:szCs w:val="18"/>
              </w:rPr>
            </w:pPr>
            <w:r>
              <w:rPr>
                <w:bCs/>
                <w:sz w:val="18"/>
                <w:szCs w:val="18"/>
              </w:rPr>
              <w:t>40.2</w:t>
            </w:r>
          </w:p>
        </w:tc>
        <w:tc>
          <w:tcPr>
            <w:tcW w:w="460" w:type="pct"/>
            <w:vAlign w:val="center"/>
          </w:tcPr>
          <w:p w14:paraId="5962494E">
            <w:pPr>
              <w:widowControl/>
              <w:tabs>
                <w:tab w:val="clear" w:pos="480"/>
              </w:tabs>
              <w:adjustRightInd w:val="0"/>
              <w:snapToGrid w:val="0"/>
              <w:spacing w:line="240" w:lineRule="auto"/>
              <w:ind w:firstLine="0" w:firstLineChars="0"/>
              <w:jc w:val="center"/>
              <w:rPr>
                <w:sz w:val="18"/>
                <w:szCs w:val="18"/>
              </w:rPr>
            </w:pPr>
            <w:r>
              <w:rPr>
                <w:rFonts w:hint="eastAsia"/>
                <w:sz w:val="18"/>
                <w:szCs w:val="18"/>
              </w:rPr>
              <w:t>24.52</w:t>
            </w:r>
          </w:p>
        </w:tc>
        <w:tc>
          <w:tcPr>
            <w:tcW w:w="381" w:type="pct"/>
            <w:vAlign w:val="center"/>
          </w:tcPr>
          <w:p w14:paraId="2AA32B6D">
            <w:pPr>
              <w:widowControl/>
              <w:tabs>
                <w:tab w:val="clear" w:pos="480"/>
              </w:tabs>
              <w:adjustRightInd w:val="0"/>
              <w:snapToGrid w:val="0"/>
              <w:spacing w:line="240" w:lineRule="auto"/>
              <w:ind w:firstLine="0" w:firstLineChars="0"/>
              <w:jc w:val="center"/>
              <w:rPr>
                <w:sz w:val="18"/>
                <w:szCs w:val="18"/>
              </w:rPr>
            </w:pPr>
            <w:r>
              <w:rPr>
                <w:rFonts w:hint="eastAsia"/>
                <w:sz w:val="18"/>
                <w:szCs w:val="18"/>
              </w:rPr>
              <w:t>1.10</w:t>
            </w:r>
          </w:p>
        </w:tc>
        <w:tc>
          <w:tcPr>
            <w:tcW w:w="380" w:type="pct"/>
            <w:vAlign w:val="center"/>
          </w:tcPr>
          <w:p w14:paraId="50C5B243">
            <w:pPr>
              <w:widowControl/>
              <w:tabs>
                <w:tab w:val="clear" w:pos="480"/>
              </w:tabs>
              <w:adjustRightInd w:val="0"/>
              <w:snapToGrid w:val="0"/>
              <w:spacing w:line="240" w:lineRule="auto"/>
              <w:ind w:firstLine="0" w:firstLineChars="0"/>
              <w:jc w:val="center"/>
              <w:rPr>
                <w:sz w:val="18"/>
                <w:szCs w:val="18"/>
              </w:rPr>
            </w:pPr>
            <w:r>
              <w:rPr>
                <w:rFonts w:hint="eastAsia"/>
                <w:sz w:val="18"/>
                <w:szCs w:val="18"/>
              </w:rPr>
              <w:t>7.36</w:t>
            </w:r>
          </w:p>
        </w:tc>
      </w:tr>
      <w:tr w14:paraId="1415E6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08B0CBED">
            <w:pPr>
              <w:tabs>
                <w:tab w:val="clear" w:pos="480"/>
              </w:tabs>
              <w:adjustRightInd w:val="0"/>
              <w:snapToGrid w:val="0"/>
              <w:spacing w:line="240" w:lineRule="auto"/>
              <w:ind w:firstLine="0" w:firstLineChars="0"/>
              <w:jc w:val="center"/>
              <w:rPr>
                <w:sz w:val="18"/>
                <w:szCs w:val="18"/>
              </w:rPr>
            </w:pPr>
            <w:r>
              <w:rPr>
                <w:rFonts w:hint="eastAsia"/>
                <w:sz w:val="18"/>
                <w:szCs w:val="18"/>
              </w:rPr>
              <w:t>2</w:t>
            </w:r>
            <w:r>
              <w:rPr>
                <w:sz w:val="18"/>
                <w:szCs w:val="18"/>
              </w:rPr>
              <w:t>#</w:t>
            </w:r>
          </w:p>
        </w:tc>
        <w:tc>
          <w:tcPr>
            <w:tcW w:w="861" w:type="pct"/>
            <w:vAlign w:val="center"/>
          </w:tcPr>
          <w:p w14:paraId="018BF78D">
            <w:pPr>
              <w:tabs>
                <w:tab w:val="clear" w:pos="480"/>
              </w:tabs>
              <w:adjustRightInd w:val="0"/>
              <w:snapToGrid w:val="0"/>
              <w:spacing w:line="240" w:lineRule="auto"/>
              <w:ind w:firstLine="0" w:firstLineChars="0"/>
              <w:rPr>
                <w:sz w:val="18"/>
                <w:szCs w:val="18"/>
              </w:rPr>
            </w:pPr>
            <w:r>
              <w:rPr>
                <w:sz w:val="18"/>
                <w:szCs w:val="18"/>
              </w:rPr>
              <w:t>该区域土地利用类型以林地为主，植被以针叶林、阔叶林为主，常见的群系有杉木林、青冈林等，常见的植物有毛竹、马尾松、青冈、檵木、芒萁等。</w:t>
            </w:r>
          </w:p>
        </w:tc>
        <w:tc>
          <w:tcPr>
            <w:tcW w:w="1409" w:type="pct"/>
            <w:vAlign w:val="center"/>
          </w:tcPr>
          <w:p w14:paraId="71A49564">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，挖填方边坡铺草皮500m</w:t>
            </w:r>
            <w:r>
              <w:rPr>
                <w:sz w:val="18"/>
                <w:szCs w:val="18"/>
                <w:vertAlign w:val="superscript"/>
              </w:rPr>
              <w:t>2</w:t>
            </w:r>
            <w:r>
              <w:rPr>
                <w:sz w:val="18"/>
                <w:szCs w:val="18"/>
              </w:rPr>
              <w:t xml:space="preserve"> (斜坡面积为600m</w:t>
            </w:r>
            <w:r>
              <w:rPr>
                <w:sz w:val="18"/>
                <w:szCs w:val="18"/>
                <w:vertAlign w:val="superscript"/>
              </w:rPr>
              <w:t>2</w:t>
            </w:r>
            <w:r>
              <w:rPr>
                <w:sz w:val="18"/>
                <w:szCs w:val="18"/>
              </w:rPr>
              <w:t>)，挖方边坡挂网喷播植草200m</w:t>
            </w:r>
            <w:r>
              <w:rPr>
                <w:sz w:val="18"/>
                <w:szCs w:val="18"/>
                <w:vertAlign w:val="superscript"/>
              </w:rPr>
              <w:t>2</w:t>
            </w:r>
            <w:r>
              <w:rPr>
                <w:sz w:val="18"/>
                <w:szCs w:val="18"/>
              </w:rPr>
              <w:t>(斜坡面积为240m</w:t>
            </w:r>
            <w:r>
              <w:rPr>
                <w:sz w:val="18"/>
                <w:szCs w:val="18"/>
                <w:vertAlign w:val="superscript"/>
              </w:rPr>
              <w:t>2</w:t>
            </w:r>
            <w:r>
              <w:rPr>
                <w:sz w:val="18"/>
                <w:szCs w:val="18"/>
              </w:rPr>
              <w:t>。</w:t>
            </w:r>
          </w:p>
        </w:tc>
        <w:tc>
          <w:tcPr>
            <w:tcW w:w="323" w:type="pct"/>
            <w:vAlign w:val="center"/>
          </w:tcPr>
          <w:p w14:paraId="52040DDF">
            <w:pPr>
              <w:widowControl/>
              <w:tabs>
                <w:tab w:val="clear" w:pos="480"/>
              </w:tabs>
              <w:adjustRightInd w:val="0"/>
              <w:snapToGrid w:val="0"/>
              <w:spacing w:line="240" w:lineRule="auto"/>
              <w:ind w:firstLine="0" w:firstLineChars="0"/>
              <w:jc w:val="center"/>
              <w:rPr>
                <w:sz w:val="18"/>
                <w:szCs w:val="18"/>
              </w:rPr>
            </w:pPr>
            <w:r>
              <w:rPr>
                <w:kern w:val="0"/>
                <w:sz w:val="18"/>
                <w:szCs w:val="18"/>
              </w:rPr>
              <w:t>70%</w:t>
            </w:r>
          </w:p>
        </w:tc>
        <w:tc>
          <w:tcPr>
            <w:tcW w:w="314" w:type="pct"/>
            <w:vAlign w:val="center"/>
          </w:tcPr>
          <w:p w14:paraId="009502A6">
            <w:pPr>
              <w:widowControl/>
              <w:tabs>
                <w:tab w:val="clear" w:pos="480"/>
              </w:tabs>
              <w:adjustRightInd w:val="0"/>
              <w:snapToGrid w:val="0"/>
              <w:spacing w:line="240" w:lineRule="auto"/>
              <w:ind w:firstLine="0" w:firstLineChars="0"/>
              <w:jc w:val="center"/>
              <w:rPr>
                <w:sz w:val="18"/>
                <w:szCs w:val="18"/>
              </w:rPr>
            </w:pPr>
            <w:r>
              <w:rPr>
                <w:sz w:val="18"/>
                <w:szCs w:val="18"/>
              </w:rPr>
              <w:t>0.6</w:t>
            </w:r>
          </w:p>
        </w:tc>
        <w:tc>
          <w:tcPr>
            <w:tcW w:w="536" w:type="pct"/>
            <w:vAlign w:val="center"/>
          </w:tcPr>
          <w:p w14:paraId="6F935D96">
            <w:pPr>
              <w:widowControl/>
              <w:tabs>
                <w:tab w:val="clear" w:pos="480"/>
              </w:tabs>
              <w:adjustRightInd w:val="0"/>
              <w:snapToGrid w:val="0"/>
              <w:spacing w:line="240" w:lineRule="auto"/>
              <w:ind w:firstLine="0" w:firstLineChars="0"/>
              <w:jc w:val="center"/>
              <w:rPr>
                <w:sz w:val="18"/>
                <w:szCs w:val="18"/>
              </w:rPr>
            </w:pPr>
            <w:r>
              <w:rPr>
                <w:bCs/>
                <w:sz w:val="18"/>
                <w:szCs w:val="18"/>
              </w:rPr>
              <w:t>38.4</w:t>
            </w:r>
          </w:p>
        </w:tc>
        <w:tc>
          <w:tcPr>
            <w:tcW w:w="460" w:type="pct"/>
            <w:vAlign w:val="center"/>
          </w:tcPr>
          <w:p w14:paraId="037A480C">
            <w:pPr>
              <w:widowControl/>
              <w:tabs>
                <w:tab w:val="clear" w:pos="480"/>
              </w:tabs>
              <w:adjustRightInd w:val="0"/>
              <w:snapToGrid w:val="0"/>
              <w:spacing w:line="240" w:lineRule="auto"/>
              <w:ind w:firstLine="0" w:firstLineChars="0"/>
              <w:jc w:val="center"/>
              <w:rPr>
                <w:sz w:val="18"/>
                <w:szCs w:val="18"/>
              </w:rPr>
            </w:pPr>
            <w:r>
              <w:rPr>
                <w:rFonts w:hint="eastAsia"/>
                <w:sz w:val="18"/>
                <w:szCs w:val="18"/>
              </w:rPr>
              <w:t>25.48</w:t>
            </w:r>
          </w:p>
        </w:tc>
        <w:tc>
          <w:tcPr>
            <w:tcW w:w="381" w:type="pct"/>
            <w:vAlign w:val="center"/>
          </w:tcPr>
          <w:p w14:paraId="052A9974">
            <w:pPr>
              <w:widowControl/>
              <w:tabs>
                <w:tab w:val="clear" w:pos="480"/>
              </w:tabs>
              <w:adjustRightInd w:val="0"/>
              <w:snapToGrid w:val="0"/>
              <w:spacing w:line="240" w:lineRule="auto"/>
              <w:ind w:firstLine="0" w:firstLineChars="0"/>
              <w:jc w:val="center"/>
              <w:rPr>
                <w:sz w:val="18"/>
                <w:szCs w:val="18"/>
              </w:rPr>
            </w:pPr>
            <w:r>
              <w:rPr>
                <w:rFonts w:hint="eastAsia"/>
                <w:sz w:val="18"/>
                <w:szCs w:val="18"/>
              </w:rPr>
              <w:t>1.15</w:t>
            </w:r>
          </w:p>
        </w:tc>
        <w:tc>
          <w:tcPr>
            <w:tcW w:w="380" w:type="pct"/>
            <w:vAlign w:val="center"/>
          </w:tcPr>
          <w:p w14:paraId="4E4DA73E">
            <w:pPr>
              <w:widowControl/>
              <w:tabs>
                <w:tab w:val="clear" w:pos="480"/>
              </w:tabs>
              <w:adjustRightInd w:val="0"/>
              <w:snapToGrid w:val="0"/>
              <w:spacing w:line="240" w:lineRule="auto"/>
              <w:ind w:firstLine="0" w:firstLineChars="0"/>
              <w:jc w:val="center"/>
              <w:rPr>
                <w:sz w:val="18"/>
                <w:szCs w:val="18"/>
              </w:rPr>
            </w:pPr>
            <w:r>
              <w:rPr>
                <w:rFonts w:hint="eastAsia"/>
                <w:sz w:val="18"/>
                <w:szCs w:val="18"/>
              </w:rPr>
              <w:t>7.64</w:t>
            </w:r>
          </w:p>
        </w:tc>
      </w:tr>
      <w:tr w14:paraId="72C74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27478BDA">
            <w:pPr>
              <w:tabs>
                <w:tab w:val="clear" w:pos="480"/>
              </w:tabs>
              <w:adjustRightInd w:val="0"/>
              <w:snapToGrid w:val="0"/>
              <w:spacing w:line="240" w:lineRule="auto"/>
              <w:ind w:firstLine="0" w:firstLineChars="0"/>
              <w:jc w:val="center"/>
              <w:rPr>
                <w:sz w:val="18"/>
                <w:szCs w:val="18"/>
              </w:rPr>
            </w:pPr>
            <w:r>
              <w:rPr>
                <w:rFonts w:hint="eastAsia"/>
                <w:sz w:val="18"/>
                <w:szCs w:val="18"/>
              </w:rPr>
              <w:t>3</w:t>
            </w:r>
            <w:r>
              <w:rPr>
                <w:sz w:val="18"/>
                <w:szCs w:val="18"/>
              </w:rPr>
              <w:t>#</w:t>
            </w:r>
          </w:p>
        </w:tc>
        <w:tc>
          <w:tcPr>
            <w:tcW w:w="861" w:type="pct"/>
            <w:vAlign w:val="center"/>
          </w:tcPr>
          <w:p w14:paraId="7ECCE78F">
            <w:pPr>
              <w:tabs>
                <w:tab w:val="clear" w:pos="480"/>
              </w:tabs>
              <w:adjustRightInd w:val="0"/>
              <w:snapToGrid w:val="0"/>
              <w:spacing w:line="240" w:lineRule="auto"/>
              <w:ind w:firstLine="0" w:firstLineChars="0"/>
              <w:rPr>
                <w:sz w:val="18"/>
                <w:szCs w:val="18"/>
              </w:rPr>
            </w:pPr>
            <w:r>
              <w:rPr>
                <w:sz w:val="18"/>
                <w:szCs w:val="18"/>
              </w:rPr>
              <w:t>该区域土地利用类型以林地为主，植被以针叶林、灌丛为主，常见的群系有杉木林、檵木灌丛等，常见的植物有毛竹、白栎、五节芒、白茅等。</w:t>
            </w:r>
          </w:p>
        </w:tc>
        <w:tc>
          <w:tcPr>
            <w:tcW w:w="1409" w:type="pct"/>
            <w:vAlign w:val="center"/>
          </w:tcPr>
          <w:p w14:paraId="15DC5017">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，挖填方边坡铺草皮500m</w:t>
            </w:r>
            <w:r>
              <w:rPr>
                <w:sz w:val="18"/>
                <w:szCs w:val="18"/>
                <w:vertAlign w:val="superscript"/>
              </w:rPr>
              <w:t>2</w:t>
            </w:r>
            <w:r>
              <w:rPr>
                <w:sz w:val="18"/>
                <w:szCs w:val="18"/>
              </w:rPr>
              <w:t xml:space="preserve"> (斜坡面积为600m</w:t>
            </w:r>
            <w:r>
              <w:rPr>
                <w:sz w:val="18"/>
                <w:szCs w:val="18"/>
                <w:vertAlign w:val="superscript"/>
              </w:rPr>
              <w:t>2</w:t>
            </w:r>
            <w:r>
              <w:rPr>
                <w:sz w:val="18"/>
                <w:szCs w:val="18"/>
              </w:rPr>
              <w:t>)，挖方边坡挂网喷播植草200m</w:t>
            </w:r>
            <w:r>
              <w:rPr>
                <w:sz w:val="18"/>
                <w:szCs w:val="18"/>
                <w:vertAlign w:val="superscript"/>
              </w:rPr>
              <w:t>2</w:t>
            </w:r>
            <w:r>
              <w:rPr>
                <w:sz w:val="18"/>
                <w:szCs w:val="18"/>
              </w:rPr>
              <w:t>(斜坡面积为240m</w:t>
            </w:r>
            <w:r>
              <w:rPr>
                <w:sz w:val="18"/>
                <w:szCs w:val="18"/>
                <w:vertAlign w:val="superscript"/>
              </w:rPr>
              <w:t>2</w:t>
            </w:r>
            <w:r>
              <w:rPr>
                <w:sz w:val="18"/>
                <w:szCs w:val="18"/>
              </w:rPr>
              <w:t>。</w:t>
            </w:r>
          </w:p>
        </w:tc>
        <w:tc>
          <w:tcPr>
            <w:tcW w:w="323" w:type="pct"/>
            <w:vAlign w:val="center"/>
          </w:tcPr>
          <w:p w14:paraId="3FF92EA3">
            <w:pPr>
              <w:widowControl/>
              <w:tabs>
                <w:tab w:val="clear" w:pos="480"/>
              </w:tabs>
              <w:adjustRightInd w:val="0"/>
              <w:snapToGrid w:val="0"/>
              <w:spacing w:line="240" w:lineRule="auto"/>
              <w:ind w:firstLine="0" w:firstLineChars="0"/>
              <w:jc w:val="center"/>
              <w:rPr>
                <w:sz w:val="18"/>
                <w:szCs w:val="18"/>
              </w:rPr>
            </w:pPr>
            <w:r>
              <w:rPr>
                <w:sz w:val="18"/>
                <w:szCs w:val="18"/>
              </w:rPr>
              <w:t>75%</w:t>
            </w:r>
          </w:p>
        </w:tc>
        <w:tc>
          <w:tcPr>
            <w:tcW w:w="314" w:type="pct"/>
            <w:vAlign w:val="center"/>
          </w:tcPr>
          <w:p w14:paraId="557F0A77">
            <w:pPr>
              <w:widowControl/>
              <w:tabs>
                <w:tab w:val="clear" w:pos="480"/>
              </w:tabs>
              <w:adjustRightInd w:val="0"/>
              <w:snapToGrid w:val="0"/>
              <w:spacing w:line="240" w:lineRule="auto"/>
              <w:ind w:firstLine="0" w:firstLineChars="0"/>
              <w:jc w:val="center"/>
              <w:rPr>
                <w:sz w:val="18"/>
                <w:szCs w:val="18"/>
              </w:rPr>
            </w:pPr>
            <w:r>
              <w:rPr>
                <w:sz w:val="18"/>
                <w:szCs w:val="18"/>
              </w:rPr>
              <w:t>0.6</w:t>
            </w:r>
          </w:p>
        </w:tc>
        <w:tc>
          <w:tcPr>
            <w:tcW w:w="536" w:type="pct"/>
            <w:vAlign w:val="center"/>
          </w:tcPr>
          <w:p w14:paraId="05C15C9D">
            <w:pPr>
              <w:widowControl/>
              <w:tabs>
                <w:tab w:val="clear" w:pos="480"/>
              </w:tabs>
              <w:adjustRightInd w:val="0"/>
              <w:snapToGrid w:val="0"/>
              <w:spacing w:line="240" w:lineRule="auto"/>
              <w:ind w:firstLine="0" w:firstLineChars="0"/>
              <w:jc w:val="center"/>
              <w:rPr>
                <w:sz w:val="18"/>
                <w:szCs w:val="18"/>
              </w:rPr>
            </w:pPr>
            <w:r>
              <w:rPr>
                <w:bCs/>
                <w:sz w:val="18"/>
                <w:szCs w:val="18"/>
              </w:rPr>
              <w:t>40.2</w:t>
            </w:r>
          </w:p>
        </w:tc>
        <w:tc>
          <w:tcPr>
            <w:tcW w:w="460" w:type="pct"/>
            <w:vAlign w:val="center"/>
          </w:tcPr>
          <w:p w14:paraId="660A9D4B">
            <w:pPr>
              <w:widowControl/>
              <w:tabs>
                <w:tab w:val="clear" w:pos="480"/>
              </w:tabs>
              <w:adjustRightInd w:val="0"/>
              <w:snapToGrid w:val="0"/>
              <w:spacing w:line="240" w:lineRule="auto"/>
              <w:ind w:firstLine="0" w:firstLineChars="0"/>
              <w:jc w:val="center"/>
              <w:rPr>
                <w:sz w:val="18"/>
                <w:szCs w:val="18"/>
              </w:rPr>
            </w:pPr>
            <w:r>
              <w:rPr>
                <w:rFonts w:hint="eastAsia"/>
                <w:sz w:val="18"/>
                <w:szCs w:val="18"/>
              </w:rPr>
              <w:t>26.37</w:t>
            </w:r>
          </w:p>
        </w:tc>
        <w:tc>
          <w:tcPr>
            <w:tcW w:w="381" w:type="pct"/>
            <w:vAlign w:val="center"/>
          </w:tcPr>
          <w:p w14:paraId="4041312B">
            <w:pPr>
              <w:widowControl/>
              <w:tabs>
                <w:tab w:val="clear" w:pos="480"/>
              </w:tabs>
              <w:adjustRightInd w:val="0"/>
              <w:snapToGrid w:val="0"/>
              <w:spacing w:line="240" w:lineRule="auto"/>
              <w:ind w:firstLine="0" w:firstLineChars="0"/>
              <w:jc w:val="center"/>
              <w:rPr>
                <w:sz w:val="18"/>
                <w:szCs w:val="18"/>
              </w:rPr>
            </w:pPr>
            <w:r>
              <w:rPr>
                <w:rFonts w:hint="eastAsia"/>
                <w:sz w:val="18"/>
                <w:szCs w:val="18"/>
              </w:rPr>
              <w:t>1.19</w:t>
            </w:r>
          </w:p>
        </w:tc>
        <w:tc>
          <w:tcPr>
            <w:tcW w:w="380" w:type="pct"/>
            <w:vAlign w:val="center"/>
          </w:tcPr>
          <w:p w14:paraId="2008202E">
            <w:pPr>
              <w:widowControl/>
              <w:tabs>
                <w:tab w:val="clear" w:pos="480"/>
              </w:tabs>
              <w:adjustRightInd w:val="0"/>
              <w:snapToGrid w:val="0"/>
              <w:spacing w:line="240" w:lineRule="auto"/>
              <w:ind w:firstLine="0" w:firstLineChars="0"/>
              <w:jc w:val="center"/>
              <w:rPr>
                <w:sz w:val="18"/>
                <w:szCs w:val="18"/>
              </w:rPr>
            </w:pPr>
            <w:r>
              <w:rPr>
                <w:rFonts w:hint="eastAsia"/>
                <w:sz w:val="18"/>
                <w:szCs w:val="18"/>
              </w:rPr>
              <w:t>7.91</w:t>
            </w:r>
          </w:p>
        </w:tc>
      </w:tr>
      <w:tr w14:paraId="1C214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629D7A42">
            <w:pPr>
              <w:tabs>
                <w:tab w:val="clear" w:pos="480"/>
              </w:tabs>
              <w:adjustRightInd w:val="0"/>
              <w:snapToGrid w:val="0"/>
              <w:spacing w:line="240" w:lineRule="auto"/>
              <w:ind w:firstLine="0" w:firstLineChars="0"/>
              <w:jc w:val="center"/>
              <w:rPr>
                <w:sz w:val="18"/>
                <w:szCs w:val="18"/>
              </w:rPr>
            </w:pPr>
            <w:r>
              <w:rPr>
                <w:rFonts w:hint="eastAsia"/>
                <w:sz w:val="18"/>
                <w:szCs w:val="18"/>
              </w:rPr>
              <w:t>4</w:t>
            </w:r>
            <w:r>
              <w:rPr>
                <w:sz w:val="18"/>
                <w:szCs w:val="18"/>
              </w:rPr>
              <w:t>#</w:t>
            </w:r>
          </w:p>
        </w:tc>
        <w:tc>
          <w:tcPr>
            <w:tcW w:w="861" w:type="pct"/>
            <w:vAlign w:val="center"/>
          </w:tcPr>
          <w:p w14:paraId="4E682ACA">
            <w:pPr>
              <w:tabs>
                <w:tab w:val="clear" w:pos="480"/>
              </w:tabs>
              <w:adjustRightInd w:val="0"/>
              <w:snapToGrid w:val="0"/>
              <w:spacing w:line="240" w:lineRule="auto"/>
              <w:ind w:firstLine="0" w:firstLineChars="0"/>
              <w:rPr>
                <w:sz w:val="18"/>
                <w:szCs w:val="18"/>
              </w:rPr>
            </w:pPr>
            <w:r>
              <w:rPr>
                <w:sz w:val="18"/>
                <w:szCs w:val="18"/>
              </w:rPr>
              <w:t>该区域土地利用类型以林地为主，植被以针叶林为主，常见的群系有杉木林等，常见的植物有毛竹、马尾松、檵木、盐肤木、藤黄檀、蕨、五节芒、三脉紫菀等。</w:t>
            </w:r>
          </w:p>
        </w:tc>
        <w:tc>
          <w:tcPr>
            <w:tcW w:w="1409" w:type="pct"/>
            <w:vAlign w:val="center"/>
          </w:tcPr>
          <w:p w14:paraId="0D3E680B">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，挖填方边坡铺草皮500m</w:t>
            </w:r>
            <w:r>
              <w:rPr>
                <w:sz w:val="18"/>
                <w:szCs w:val="18"/>
                <w:vertAlign w:val="superscript"/>
              </w:rPr>
              <w:t>2</w:t>
            </w:r>
            <w:r>
              <w:rPr>
                <w:sz w:val="18"/>
                <w:szCs w:val="18"/>
              </w:rPr>
              <w:t xml:space="preserve"> (斜坡面积为600m</w:t>
            </w:r>
            <w:r>
              <w:rPr>
                <w:sz w:val="18"/>
                <w:szCs w:val="18"/>
                <w:vertAlign w:val="superscript"/>
              </w:rPr>
              <w:t>2</w:t>
            </w:r>
            <w:r>
              <w:rPr>
                <w:sz w:val="18"/>
                <w:szCs w:val="18"/>
              </w:rPr>
              <w:t>)，挖方边坡挂网喷播植草200m</w:t>
            </w:r>
            <w:r>
              <w:rPr>
                <w:sz w:val="18"/>
                <w:szCs w:val="18"/>
                <w:vertAlign w:val="superscript"/>
              </w:rPr>
              <w:t>2</w:t>
            </w:r>
            <w:r>
              <w:rPr>
                <w:sz w:val="18"/>
                <w:szCs w:val="18"/>
              </w:rPr>
              <w:t>(斜坡面积为240m</w:t>
            </w:r>
            <w:r>
              <w:rPr>
                <w:sz w:val="18"/>
                <w:szCs w:val="18"/>
                <w:vertAlign w:val="superscript"/>
              </w:rPr>
              <w:t>2</w:t>
            </w:r>
            <w:r>
              <w:rPr>
                <w:sz w:val="18"/>
                <w:szCs w:val="18"/>
              </w:rPr>
              <w:t>。</w:t>
            </w:r>
          </w:p>
        </w:tc>
        <w:tc>
          <w:tcPr>
            <w:tcW w:w="323" w:type="pct"/>
            <w:vAlign w:val="center"/>
          </w:tcPr>
          <w:p w14:paraId="2E2A2D9D">
            <w:pPr>
              <w:widowControl/>
              <w:tabs>
                <w:tab w:val="clear" w:pos="480"/>
              </w:tabs>
              <w:adjustRightInd w:val="0"/>
              <w:snapToGrid w:val="0"/>
              <w:spacing w:line="240" w:lineRule="auto"/>
              <w:ind w:firstLine="0" w:firstLineChars="0"/>
              <w:jc w:val="center"/>
              <w:rPr>
                <w:sz w:val="18"/>
                <w:szCs w:val="18"/>
              </w:rPr>
            </w:pPr>
            <w:r>
              <w:rPr>
                <w:kern w:val="0"/>
                <w:sz w:val="18"/>
                <w:szCs w:val="18"/>
              </w:rPr>
              <w:t>70%</w:t>
            </w:r>
          </w:p>
        </w:tc>
        <w:tc>
          <w:tcPr>
            <w:tcW w:w="314" w:type="pct"/>
            <w:vAlign w:val="center"/>
          </w:tcPr>
          <w:p w14:paraId="23249BAE">
            <w:pPr>
              <w:widowControl/>
              <w:tabs>
                <w:tab w:val="clear" w:pos="480"/>
              </w:tabs>
              <w:adjustRightInd w:val="0"/>
              <w:snapToGrid w:val="0"/>
              <w:spacing w:line="240" w:lineRule="auto"/>
              <w:ind w:firstLine="0" w:firstLineChars="0"/>
              <w:jc w:val="center"/>
              <w:rPr>
                <w:sz w:val="18"/>
                <w:szCs w:val="18"/>
              </w:rPr>
            </w:pPr>
            <w:r>
              <w:rPr>
                <w:sz w:val="18"/>
                <w:szCs w:val="18"/>
              </w:rPr>
              <w:t>0.6</w:t>
            </w:r>
          </w:p>
        </w:tc>
        <w:tc>
          <w:tcPr>
            <w:tcW w:w="536" w:type="pct"/>
            <w:vAlign w:val="center"/>
          </w:tcPr>
          <w:p w14:paraId="4E752C2A">
            <w:pPr>
              <w:widowControl/>
              <w:tabs>
                <w:tab w:val="clear" w:pos="480"/>
              </w:tabs>
              <w:adjustRightInd w:val="0"/>
              <w:snapToGrid w:val="0"/>
              <w:spacing w:line="240" w:lineRule="auto"/>
              <w:ind w:firstLine="0" w:firstLineChars="0"/>
              <w:jc w:val="center"/>
              <w:rPr>
                <w:sz w:val="18"/>
                <w:szCs w:val="18"/>
              </w:rPr>
            </w:pPr>
            <w:r>
              <w:rPr>
                <w:bCs/>
                <w:sz w:val="18"/>
                <w:szCs w:val="18"/>
              </w:rPr>
              <w:t>38.4</w:t>
            </w:r>
          </w:p>
        </w:tc>
        <w:tc>
          <w:tcPr>
            <w:tcW w:w="460" w:type="pct"/>
            <w:vAlign w:val="center"/>
          </w:tcPr>
          <w:p w14:paraId="002C2BD1">
            <w:pPr>
              <w:widowControl/>
              <w:tabs>
                <w:tab w:val="clear" w:pos="480"/>
              </w:tabs>
              <w:adjustRightInd w:val="0"/>
              <w:snapToGrid w:val="0"/>
              <w:spacing w:line="240" w:lineRule="auto"/>
              <w:ind w:firstLine="0" w:firstLineChars="0"/>
              <w:jc w:val="center"/>
              <w:rPr>
                <w:sz w:val="18"/>
                <w:szCs w:val="18"/>
              </w:rPr>
            </w:pPr>
            <w:r>
              <w:rPr>
                <w:rFonts w:hint="eastAsia"/>
                <w:sz w:val="18"/>
                <w:szCs w:val="18"/>
              </w:rPr>
              <w:t>28.56</w:t>
            </w:r>
          </w:p>
        </w:tc>
        <w:tc>
          <w:tcPr>
            <w:tcW w:w="381" w:type="pct"/>
            <w:vAlign w:val="center"/>
          </w:tcPr>
          <w:p w14:paraId="39999B43">
            <w:pPr>
              <w:widowControl/>
              <w:tabs>
                <w:tab w:val="clear" w:pos="480"/>
              </w:tabs>
              <w:adjustRightInd w:val="0"/>
              <w:snapToGrid w:val="0"/>
              <w:spacing w:line="240" w:lineRule="auto"/>
              <w:ind w:firstLine="0" w:firstLineChars="0"/>
              <w:jc w:val="center"/>
              <w:rPr>
                <w:sz w:val="18"/>
                <w:szCs w:val="18"/>
              </w:rPr>
            </w:pPr>
            <w:r>
              <w:rPr>
                <w:rFonts w:hint="eastAsia"/>
                <w:sz w:val="18"/>
                <w:szCs w:val="18"/>
              </w:rPr>
              <w:t>1.29</w:t>
            </w:r>
          </w:p>
        </w:tc>
        <w:tc>
          <w:tcPr>
            <w:tcW w:w="380" w:type="pct"/>
            <w:vAlign w:val="center"/>
          </w:tcPr>
          <w:p w14:paraId="54E624DE">
            <w:pPr>
              <w:widowControl/>
              <w:tabs>
                <w:tab w:val="clear" w:pos="480"/>
              </w:tabs>
              <w:adjustRightInd w:val="0"/>
              <w:snapToGrid w:val="0"/>
              <w:spacing w:line="240" w:lineRule="auto"/>
              <w:ind w:firstLine="0" w:firstLineChars="0"/>
              <w:jc w:val="center"/>
              <w:rPr>
                <w:sz w:val="18"/>
                <w:szCs w:val="18"/>
              </w:rPr>
            </w:pPr>
            <w:r>
              <w:rPr>
                <w:rFonts w:hint="eastAsia"/>
                <w:sz w:val="18"/>
                <w:szCs w:val="18"/>
              </w:rPr>
              <w:t>8.57</w:t>
            </w:r>
          </w:p>
        </w:tc>
      </w:tr>
      <w:tr w14:paraId="0BCAC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434C980B">
            <w:pPr>
              <w:tabs>
                <w:tab w:val="clear" w:pos="480"/>
              </w:tabs>
              <w:adjustRightInd w:val="0"/>
              <w:snapToGrid w:val="0"/>
              <w:spacing w:line="240" w:lineRule="auto"/>
              <w:ind w:firstLine="0" w:firstLineChars="0"/>
              <w:jc w:val="center"/>
              <w:rPr>
                <w:sz w:val="18"/>
                <w:szCs w:val="18"/>
              </w:rPr>
            </w:pPr>
            <w:r>
              <w:rPr>
                <w:rFonts w:hint="eastAsia"/>
                <w:sz w:val="18"/>
                <w:szCs w:val="18"/>
              </w:rPr>
              <w:t>5</w:t>
            </w:r>
            <w:r>
              <w:rPr>
                <w:sz w:val="18"/>
                <w:szCs w:val="18"/>
              </w:rPr>
              <w:t>#</w:t>
            </w:r>
          </w:p>
        </w:tc>
        <w:tc>
          <w:tcPr>
            <w:tcW w:w="861" w:type="pct"/>
            <w:vAlign w:val="center"/>
          </w:tcPr>
          <w:p w14:paraId="6C71BFC6">
            <w:pPr>
              <w:tabs>
                <w:tab w:val="clear" w:pos="480"/>
              </w:tabs>
              <w:adjustRightInd w:val="0"/>
              <w:snapToGrid w:val="0"/>
              <w:spacing w:line="240" w:lineRule="auto"/>
              <w:ind w:firstLine="0" w:firstLineChars="0"/>
              <w:rPr>
                <w:sz w:val="18"/>
                <w:szCs w:val="18"/>
              </w:rPr>
            </w:pPr>
            <w:r>
              <w:rPr>
                <w:sz w:val="18"/>
                <w:szCs w:val="18"/>
              </w:rPr>
              <w:t>该区域土地利用类型以林地为主，植被以针叶林、竹林为主，常见的群系有杉木林、毛竹林，常见的植物有马尾松、羊蹄甲、白栎、蕨等。</w:t>
            </w:r>
          </w:p>
        </w:tc>
        <w:tc>
          <w:tcPr>
            <w:tcW w:w="1409" w:type="pct"/>
            <w:vAlign w:val="center"/>
          </w:tcPr>
          <w:p w14:paraId="62D710B4">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3" w:type="pct"/>
            <w:vAlign w:val="center"/>
          </w:tcPr>
          <w:p w14:paraId="6FA8BA4E">
            <w:pPr>
              <w:widowControl/>
              <w:tabs>
                <w:tab w:val="clear" w:pos="480"/>
              </w:tabs>
              <w:adjustRightInd w:val="0"/>
              <w:snapToGrid w:val="0"/>
              <w:spacing w:line="240" w:lineRule="auto"/>
              <w:ind w:firstLine="0" w:firstLineChars="0"/>
              <w:jc w:val="center"/>
              <w:rPr>
                <w:sz w:val="18"/>
                <w:szCs w:val="18"/>
              </w:rPr>
            </w:pPr>
            <w:r>
              <w:rPr>
                <w:kern w:val="0"/>
                <w:sz w:val="18"/>
                <w:szCs w:val="18"/>
              </w:rPr>
              <w:t>70%</w:t>
            </w:r>
          </w:p>
        </w:tc>
        <w:tc>
          <w:tcPr>
            <w:tcW w:w="314" w:type="pct"/>
            <w:vAlign w:val="center"/>
          </w:tcPr>
          <w:p w14:paraId="37003846">
            <w:pPr>
              <w:widowControl/>
              <w:tabs>
                <w:tab w:val="clear" w:pos="480"/>
              </w:tabs>
              <w:adjustRightInd w:val="0"/>
              <w:snapToGrid w:val="0"/>
              <w:spacing w:line="240" w:lineRule="auto"/>
              <w:ind w:firstLine="0" w:firstLineChars="0"/>
              <w:jc w:val="center"/>
              <w:rPr>
                <w:sz w:val="18"/>
                <w:szCs w:val="18"/>
              </w:rPr>
            </w:pPr>
            <w:r>
              <w:rPr>
                <w:sz w:val="18"/>
                <w:szCs w:val="18"/>
              </w:rPr>
              <w:t>0.6</w:t>
            </w:r>
          </w:p>
        </w:tc>
        <w:tc>
          <w:tcPr>
            <w:tcW w:w="536" w:type="pct"/>
            <w:vAlign w:val="center"/>
          </w:tcPr>
          <w:p w14:paraId="1E7BABAD">
            <w:pPr>
              <w:widowControl/>
              <w:tabs>
                <w:tab w:val="clear" w:pos="480"/>
              </w:tabs>
              <w:adjustRightInd w:val="0"/>
              <w:snapToGrid w:val="0"/>
              <w:spacing w:line="240" w:lineRule="auto"/>
              <w:ind w:firstLine="0" w:firstLineChars="0"/>
              <w:jc w:val="center"/>
              <w:rPr>
                <w:sz w:val="18"/>
                <w:szCs w:val="18"/>
              </w:rPr>
            </w:pPr>
            <w:r>
              <w:rPr>
                <w:bCs/>
                <w:sz w:val="18"/>
                <w:szCs w:val="18"/>
              </w:rPr>
              <w:t>38.4</w:t>
            </w:r>
          </w:p>
        </w:tc>
        <w:tc>
          <w:tcPr>
            <w:tcW w:w="460" w:type="pct"/>
            <w:vAlign w:val="center"/>
          </w:tcPr>
          <w:p w14:paraId="0975C1F3">
            <w:pPr>
              <w:widowControl/>
              <w:tabs>
                <w:tab w:val="clear" w:pos="480"/>
              </w:tabs>
              <w:adjustRightInd w:val="0"/>
              <w:snapToGrid w:val="0"/>
              <w:spacing w:line="240" w:lineRule="auto"/>
              <w:ind w:firstLine="0" w:firstLineChars="0"/>
              <w:jc w:val="center"/>
              <w:rPr>
                <w:sz w:val="18"/>
                <w:szCs w:val="18"/>
              </w:rPr>
            </w:pPr>
            <w:r>
              <w:rPr>
                <w:rFonts w:hint="eastAsia"/>
                <w:sz w:val="18"/>
                <w:szCs w:val="18"/>
              </w:rPr>
              <w:t>25.64</w:t>
            </w:r>
          </w:p>
        </w:tc>
        <w:tc>
          <w:tcPr>
            <w:tcW w:w="381" w:type="pct"/>
            <w:vAlign w:val="center"/>
          </w:tcPr>
          <w:p w14:paraId="059E404D">
            <w:pPr>
              <w:widowControl/>
              <w:tabs>
                <w:tab w:val="clear" w:pos="480"/>
              </w:tabs>
              <w:adjustRightInd w:val="0"/>
              <w:snapToGrid w:val="0"/>
              <w:spacing w:line="240" w:lineRule="auto"/>
              <w:ind w:firstLine="0" w:firstLineChars="0"/>
              <w:jc w:val="center"/>
              <w:rPr>
                <w:sz w:val="18"/>
                <w:szCs w:val="18"/>
              </w:rPr>
            </w:pPr>
            <w:r>
              <w:rPr>
                <w:rFonts w:hint="eastAsia"/>
                <w:sz w:val="18"/>
                <w:szCs w:val="18"/>
              </w:rPr>
              <w:t>1.15</w:t>
            </w:r>
          </w:p>
        </w:tc>
        <w:tc>
          <w:tcPr>
            <w:tcW w:w="380" w:type="pct"/>
            <w:vAlign w:val="center"/>
          </w:tcPr>
          <w:p w14:paraId="23158638">
            <w:pPr>
              <w:widowControl/>
              <w:tabs>
                <w:tab w:val="clear" w:pos="480"/>
              </w:tabs>
              <w:adjustRightInd w:val="0"/>
              <w:snapToGrid w:val="0"/>
              <w:spacing w:line="240" w:lineRule="auto"/>
              <w:ind w:firstLine="0" w:firstLineChars="0"/>
              <w:jc w:val="center"/>
              <w:rPr>
                <w:sz w:val="18"/>
                <w:szCs w:val="18"/>
              </w:rPr>
            </w:pPr>
            <w:r>
              <w:rPr>
                <w:rFonts w:hint="eastAsia"/>
                <w:sz w:val="18"/>
                <w:szCs w:val="18"/>
              </w:rPr>
              <w:t>7.69</w:t>
            </w:r>
          </w:p>
        </w:tc>
      </w:tr>
      <w:tr w14:paraId="1A5765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7D4D585F">
            <w:pPr>
              <w:tabs>
                <w:tab w:val="clear" w:pos="480"/>
              </w:tabs>
              <w:adjustRightInd w:val="0"/>
              <w:snapToGrid w:val="0"/>
              <w:spacing w:line="240" w:lineRule="auto"/>
              <w:ind w:firstLine="0" w:firstLineChars="0"/>
              <w:jc w:val="center"/>
              <w:rPr>
                <w:sz w:val="18"/>
                <w:szCs w:val="18"/>
              </w:rPr>
            </w:pPr>
            <w:r>
              <w:rPr>
                <w:rFonts w:hint="eastAsia"/>
                <w:sz w:val="18"/>
                <w:szCs w:val="18"/>
              </w:rPr>
              <w:t>6</w:t>
            </w:r>
            <w:r>
              <w:rPr>
                <w:sz w:val="18"/>
                <w:szCs w:val="18"/>
              </w:rPr>
              <w:t>#</w:t>
            </w:r>
          </w:p>
        </w:tc>
        <w:tc>
          <w:tcPr>
            <w:tcW w:w="861" w:type="pct"/>
            <w:vAlign w:val="center"/>
          </w:tcPr>
          <w:p w14:paraId="1B442E93">
            <w:pPr>
              <w:tabs>
                <w:tab w:val="clear" w:pos="480"/>
              </w:tabs>
              <w:adjustRightInd w:val="0"/>
              <w:snapToGrid w:val="0"/>
              <w:spacing w:line="240" w:lineRule="auto"/>
              <w:ind w:firstLine="0" w:firstLineChars="0"/>
              <w:rPr>
                <w:sz w:val="18"/>
                <w:szCs w:val="18"/>
              </w:rPr>
            </w:pPr>
            <w:r>
              <w:rPr>
                <w:sz w:val="18"/>
                <w:szCs w:val="18"/>
              </w:rPr>
              <w:t>该区域土地利用类型以林地、灌草地为主，植被以针叶林、灌丛为主，常见的群系有杉木林、檵木灌丛等，常见的植物有毛竹、青冈、</w:t>
            </w:r>
            <w:r>
              <w:rPr>
                <w:rFonts w:hint="eastAsia"/>
                <w:sz w:val="18"/>
                <w:szCs w:val="18"/>
              </w:rPr>
              <w:t>白栎、白茅、蕨</w:t>
            </w:r>
            <w:r>
              <w:rPr>
                <w:sz w:val="18"/>
                <w:szCs w:val="18"/>
              </w:rPr>
              <w:t>等。</w:t>
            </w:r>
          </w:p>
        </w:tc>
        <w:tc>
          <w:tcPr>
            <w:tcW w:w="1409" w:type="pct"/>
            <w:vAlign w:val="center"/>
          </w:tcPr>
          <w:p w14:paraId="21BB6CD6">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3" w:type="pct"/>
            <w:vAlign w:val="center"/>
          </w:tcPr>
          <w:p w14:paraId="2E4B0065">
            <w:pPr>
              <w:widowControl/>
              <w:tabs>
                <w:tab w:val="clear" w:pos="480"/>
              </w:tabs>
              <w:adjustRightInd w:val="0"/>
              <w:snapToGrid w:val="0"/>
              <w:spacing w:line="240" w:lineRule="auto"/>
              <w:ind w:firstLine="0" w:firstLineChars="0"/>
              <w:jc w:val="center"/>
              <w:rPr>
                <w:sz w:val="18"/>
                <w:szCs w:val="18"/>
              </w:rPr>
            </w:pPr>
            <w:r>
              <w:rPr>
                <w:kern w:val="0"/>
                <w:sz w:val="18"/>
                <w:szCs w:val="18"/>
              </w:rPr>
              <w:t>75%</w:t>
            </w:r>
          </w:p>
        </w:tc>
        <w:tc>
          <w:tcPr>
            <w:tcW w:w="314" w:type="pct"/>
            <w:vAlign w:val="center"/>
          </w:tcPr>
          <w:p w14:paraId="0E5AF471">
            <w:pPr>
              <w:widowControl/>
              <w:tabs>
                <w:tab w:val="clear" w:pos="480"/>
              </w:tabs>
              <w:adjustRightInd w:val="0"/>
              <w:snapToGrid w:val="0"/>
              <w:spacing w:line="240" w:lineRule="auto"/>
              <w:ind w:firstLine="0" w:firstLineChars="0"/>
              <w:jc w:val="center"/>
              <w:rPr>
                <w:sz w:val="18"/>
                <w:szCs w:val="18"/>
              </w:rPr>
            </w:pPr>
            <w:r>
              <w:rPr>
                <w:sz w:val="18"/>
                <w:szCs w:val="18"/>
              </w:rPr>
              <w:t>0.6</w:t>
            </w:r>
          </w:p>
        </w:tc>
        <w:tc>
          <w:tcPr>
            <w:tcW w:w="536" w:type="pct"/>
            <w:vAlign w:val="center"/>
          </w:tcPr>
          <w:p w14:paraId="52604D0B">
            <w:pPr>
              <w:widowControl/>
              <w:tabs>
                <w:tab w:val="clear" w:pos="480"/>
              </w:tabs>
              <w:adjustRightInd w:val="0"/>
              <w:snapToGrid w:val="0"/>
              <w:spacing w:line="240" w:lineRule="auto"/>
              <w:ind w:firstLine="0" w:firstLineChars="0"/>
              <w:jc w:val="center"/>
              <w:rPr>
                <w:sz w:val="18"/>
                <w:szCs w:val="18"/>
              </w:rPr>
            </w:pPr>
            <w:r>
              <w:rPr>
                <w:bCs/>
                <w:sz w:val="18"/>
                <w:szCs w:val="18"/>
              </w:rPr>
              <w:t>40.2</w:t>
            </w:r>
          </w:p>
        </w:tc>
        <w:tc>
          <w:tcPr>
            <w:tcW w:w="460" w:type="pct"/>
            <w:vAlign w:val="center"/>
          </w:tcPr>
          <w:p w14:paraId="53788F76">
            <w:pPr>
              <w:widowControl/>
              <w:tabs>
                <w:tab w:val="clear" w:pos="480"/>
              </w:tabs>
              <w:adjustRightInd w:val="0"/>
              <w:snapToGrid w:val="0"/>
              <w:spacing w:line="240" w:lineRule="auto"/>
              <w:ind w:firstLine="0" w:firstLineChars="0"/>
              <w:jc w:val="center"/>
              <w:rPr>
                <w:sz w:val="18"/>
                <w:szCs w:val="18"/>
              </w:rPr>
            </w:pPr>
            <w:r>
              <w:rPr>
                <w:rFonts w:hint="eastAsia"/>
                <w:sz w:val="18"/>
                <w:szCs w:val="18"/>
              </w:rPr>
              <w:t>26.78</w:t>
            </w:r>
          </w:p>
        </w:tc>
        <w:tc>
          <w:tcPr>
            <w:tcW w:w="381" w:type="pct"/>
            <w:vAlign w:val="center"/>
          </w:tcPr>
          <w:p w14:paraId="5324945B">
            <w:pPr>
              <w:widowControl/>
              <w:tabs>
                <w:tab w:val="clear" w:pos="480"/>
              </w:tabs>
              <w:adjustRightInd w:val="0"/>
              <w:snapToGrid w:val="0"/>
              <w:spacing w:line="240" w:lineRule="auto"/>
              <w:ind w:firstLine="0" w:firstLineChars="0"/>
              <w:jc w:val="center"/>
              <w:rPr>
                <w:sz w:val="18"/>
                <w:szCs w:val="18"/>
              </w:rPr>
            </w:pPr>
            <w:r>
              <w:rPr>
                <w:rFonts w:hint="eastAsia"/>
                <w:sz w:val="18"/>
                <w:szCs w:val="18"/>
              </w:rPr>
              <w:t>1.21</w:t>
            </w:r>
          </w:p>
        </w:tc>
        <w:tc>
          <w:tcPr>
            <w:tcW w:w="380" w:type="pct"/>
            <w:vAlign w:val="center"/>
          </w:tcPr>
          <w:p w14:paraId="3D5C55E1">
            <w:pPr>
              <w:widowControl/>
              <w:tabs>
                <w:tab w:val="clear" w:pos="480"/>
              </w:tabs>
              <w:adjustRightInd w:val="0"/>
              <w:snapToGrid w:val="0"/>
              <w:spacing w:line="240" w:lineRule="auto"/>
              <w:ind w:firstLine="0" w:firstLineChars="0"/>
              <w:jc w:val="center"/>
              <w:rPr>
                <w:sz w:val="18"/>
                <w:szCs w:val="18"/>
              </w:rPr>
            </w:pPr>
            <w:r>
              <w:rPr>
                <w:rFonts w:hint="eastAsia"/>
                <w:sz w:val="18"/>
                <w:szCs w:val="18"/>
              </w:rPr>
              <w:t>8.03</w:t>
            </w:r>
          </w:p>
        </w:tc>
      </w:tr>
      <w:tr w14:paraId="43ED7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25CB20D9">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w:t>
            </w:r>
          </w:p>
        </w:tc>
        <w:tc>
          <w:tcPr>
            <w:tcW w:w="861" w:type="pct"/>
            <w:vAlign w:val="center"/>
          </w:tcPr>
          <w:p w14:paraId="7CB7E8DD">
            <w:pPr>
              <w:tabs>
                <w:tab w:val="clear" w:pos="480"/>
              </w:tabs>
              <w:adjustRightInd w:val="0"/>
              <w:snapToGrid w:val="0"/>
              <w:spacing w:line="240" w:lineRule="auto"/>
              <w:ind w:firstLine="0" w:firstLineChars="0"/>
              <w:rPr>
                <w:sz w:val="18"/>
                <w:szCs w:val="18"/>
              </w:rPr>
            </w:pPr>
            <w:r>
              <w:rPr>
                <w:sz w:val="18"/>
                <w:szCs w:val="18"/>
              </w:rPr>
              <w:t>该区域土地利用类型以林地、灌草地为主，植被以针叶林、灌草丛为主，常见的群系有杉木林、五节芒灌草丛等，常见的植物有毛竹、檵木、白栎、白茅等。</w:t>
            </w:r>
          </w:p>
        </w:tc>
        <w:tc>
          <w:tcPr>
            <w:tcW w:w="1409" w:type="pct"/>
            <w:vAlign w:val="center"/>
          </w:tcPr>
          <w:p w14:paraId="366D63CA">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3" w:type="pct"/>
            <w:vAlign w:val="center"/>
          </w:tcPr>
          <w:p w14:paraId="1D9A1FD1">
            <w:pPr>
              <w:widowControl/>
              <w:tabs>
                <w:tab w:val="clear" w:pos="480"/>
              </w:tabs>
              <w:adjustRightInd w:val="0"/>
              <w:snapToGrid w:val="0"/>
              <w:spacing w:line="240" w:lineRule="auto"/>
              <w:ind w:firstLine="0" w:firstLineChars="0"/>
              <w:jc w:val="center"/>
              <w:rPr>
                <w:sz w:val="18"/>
                <w:szCs w:val="18"/>
              </w:rPr>
            </w:pPr>
            <w:r>
              <w:rPr>
                <w:kern w:val="0"/>
                <w:sz w:val="18"/>
                <w:szCs w:val="18"/>
              </w:rPr>
              <w:t>65%</w:t>
            </w:r>
          </w:p>
        </w:tc>
        <w:tc>
          <w:tcPr>
            <w:tcW w:w="314" w:type="pct"/>
            <w:vAlign w:val="center"/>
          </w:tcPr>
          <w:p w14:paraId="3CC349D3">
            <w:pPr>
              <w:widowControl/>
              <w:tabs>
                <w:tab w:val="clear" w:pos="480"/>
              </w:tabs>
              <w:adjustRightInd w:val="0"/>
              <w:snapToGrid w:val="0"/>
              <w:spacing w:line="240" w:lineRule="auto"/>
              <w:ind w:firstLine="0" w:firstLineChars="0"/>
              <w:jc w:val="center"/>
              <w:rPr>
                <w:sz w:val="18"/>
                <w:szCs w:val="18"/>
              </w:rPr>
            </w:pPr>
            <w:r>
              <w:rPr>
                <w:sz w:val="18"/>
                <w:szCs w:val="18"/>
              </w:rPr>
              <w:t>0.55</w:t>
            </w:r>
          </w:p>
        </w:tc>
        <w:tc>
          <w:tcPr>
            <w:tcW w:w="536" w:type="pct"/>
            <w:vAlign w:val="center"/>
          </w:tcPr>
          <w:p w14:paraId="2AF406A2">
            <w:pPr>
              <w:widowControl/>
              <w:tabs>
                <w:tab w:val="clear" w:pos="480"/>
              </w:tabs>
              <w:adjustRightInd w:val="0"/>
              <w:snapToGrid w:val="0"/>
              <w:spacing w:line="240" w:lineRule="auto"/>
              <w:ind w:firstLine="0" w:firstLineChars="0"/>
              <w:jc w:val="center"/>
              <w:rPr>
                <w:sz w:val="18"/>
                <w:szCs w:val="18"/>
              </w:rPr>
            </w:pPr>
            <w:r>
              <w:rPr>
                <w:sz w:val="18"/>
                <w:szCs w:val="18"/>
              </w:rPr>
              <w:t>35.6</w:t>
            </w:r>
          </w:p>
        </w:tc>
        <w:tc>
          <w:tcPr>
            <w:tcW w:w="460" w:type="pct"/>
            <w:vAlign w:val="center"/>
          </w:tcPr>
          <w:p w14:paraId="6EAF4CAA">
            <w:pPr>
              <w:widowControl/>
              <w:tabs>
                <w:tab w:val="clear" w:pos="480"/>
              </w:tabs>
              <w:adjustRightInd w:val="0"/>
              <w:snapToGrid w:val="0"/>
              <w:spacing w:line="240" w:lineRule="auto"/>
              <w:ind w:firstLine="0" w:firstLineChars="0"/>
              <w:jc w:val="center"/>
              <w:rPr>
                <w:sz w:val="18"/>
                <w:szCs w:val="18"/>
              </w:rPr>
            </w:pPr>
            <w:r>
              <w:rPr>
                <w:rFonts w:hint="eastAsia"/>
                <w:sz w:val="18"/>
                <w:szCs w:val="18"/>
              </w:rPr>
              <w:t>28.32</w:t>
            </w:r>
          </w:p>
        </w:tc>
        <w:tc>
          <w:tcPr>
            <w:tcW w:w="381" w:type="pct"/>
            <w:vAlign w:val="center"/>
          </w:tcPr>
          <w:p w14:paraId="561D1177">
            <w:pPr>
              <w:widowControl/>
              <w:tabs>
                <w:tab w:val="clear" w:pos="480"/>
              </w:tabs>
              <w:adjustRightInd w:val="0"/>
              <w:snapToGrid w:val="0"/>
              <w:spacing w:line="240" w:lineRule="auto"/>
              <w:ind w:firstLine="0" w:firstLineChars="0"/>
              <w:jc w:val="center"/>
              <w:rPr>
                <w:sz w:val="18"/>
                <w:szCs w:val="18"/>
              </w:rPr>
            </w:pPr>
            <w:r>
              <w:rPr>
                <w:rFonts w:hint="eastAsia"/>
                <w:sz w:val="18"/>
                <w:szCs w:val="18"/>
              </w:rPr>
              <w:t>1.27</w:t>
            </w:r>
          </w:p>
        </w:tc>
        <w:tc>
          <w:tcPr>
            <w:tcW w:w="380" w:type="pct"/>
            <w:vAlign w:val="center"/>
          </w:tcPr>
          <w:p w14:paraId="3433D7E0">
            <w:pPr>
              <w:widowControl/>
              <w:tabs>
                <w:tab w:val="clear" w:pos="480"/>
              </w:tabs>
              <w:adjustRightInd w:val="0"/>
              <w:snapToGrid w:val="0"/>
              <w:spacing w:line="240" w:lineRule="auto"/>
              <w:ind w:firstLine="0" w:firstLineChars="0"/>
              <w:jc w:val="center"/>
              <w:rPr>
                <w:sz w:val="18"/>
                <w:szCs w:val="18"/>
              </w:rPr>
            </w:pPr>
            <w:r>
              <w:rPr>
                <w:rFonts w:hint="eastAsia"/>
                <w:sz w:val="18"/>
                <w:szCs w:val="18"/>
              </w:rPr>
              <w:t>8.50</w:t>
            </w:r>
          </w:p>
        </w:tc>
      </w:tr>
      <w:tr w14:paraId="069A0E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080C7722">
            <w:pPr>
              <w:tabs>
                <w:tab w:val="clear" w:pos="480"/>
              </w:tabs>
              <w:adjustRightInd w:val="0"/>
              <w:snapToGrid w:val="0"/>
              <w:spacing w:line="240" w:lineRule="auto"/>
              <w:ind w:firstLine="0" w:firstLineChars="0"/>
              <w:jc w:val="center"/>
              <w:rPr>
                <w:sz w:val="18"/>
                <w:szCs w:val="18"/>
              </w:rPr>
            </w:pPr>
            <w:r>
              <w:rPr>
                <w:rFonts w:hint="eastAsia"/>
                <w:sz w:val="18"/>
                <w:szCs w:val="18"/>
              </w:rPr>
              <w:t>8</w:t>
            </w:r>
            <w:r>
              <w:rPr>
                <w:sz w:val="18"/>
                <w:szCs w:val="18"/>
              </w:rPr>
              <w:t>#</w:t>
            </w:r>
          </w:p>
        </w:tc>
        <w:tc>
          <w:tcPr>
            <w:tcW w:w="861" w:type="pct"/>
            <w:vAlign w:val="center"/>
          </w:tcPr>
          <w:p w14:paraId="61430C98">
            <w:pPr>
              <w:tabs>
                <w:tab w:val="clear" w:pos="480"/>
              </w:tabs>
              <w:adjustRightInd w:val="0"/>
              <w:snapToGrid w:val="0"/>
              <w:spacing w:line="240" w:lineRule="auto"/>
              <w:ind w:firstLine="0" w:firstLineChars="0"/>
              <w:rPr>
                <w:sz w:val="18"/>
                <w:szCs w:val="18"/>
              </w:rPr>
            </w:pPr>
            <w:r>
              <w:rPr>
                <w:sz w:val="18"/>
                <w:szCs w:val="18"/>
              </w:rPr>
              <w:t>该区域土地利用类型以林地为主，植被以阔叶林为主，常见的群系有青冈林等，常见的植物有杉木、青榨槭、檵木、芒萁等。</w:t>
            </w:r>
          </w:p>
        </w:tc>
        <w:tc>
          <w:tcPr>
            <w:tcW w:w="1409" w:type="pct"/>
            <w:vAlign w:val="center"/>
          </w:tcPr>
          <w:p w14:paraId="64471ABA">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3" w:type="pct"/>
            <w:vAlign w:val="center"/>
          </w:tcPr>
          <w:p w14:paraId="16D946E9">
            <w:pPr>
              <w:widowControl/>
              <w:tabs>
                <w:tab w:val="clear" w:pos="480"/>
              </w:tabs>
              <w:adjustRightInd w:val="0"/>
              <w:snapToGrid w:val="0"/>
              <w:spacing w:line="240" w:lineRule="auto"/>
              <w:ind w:firstLine="0" w:firstLineChars="0"/>
              <w:jc w:val="center"/>
              <w:rPr>
                <w:sz w:val="18"/>
                <w:szCs w:val="18"/>
              </w:rPr>
            </w:pPr>
            <w:r>
              <w:rPr>
                <w:kern w:val="0"/>
                <w:sz w:val="18"/>
                <w:szCs w:val="18"/>
              </w:rPr>
              <w:t>65%</w:t>
            </w:r>
          </w:p>
        </w:tc>
        <w:tc>
          <w:tcPr>
            <w:tcW w:w="314" w:type="pct"/>
            <w:vAlign w:val="center"/>
          </w:tcPr>
          <w:p w14:paraId="28821D5B">
            <w:pPr>
              <w:widowControl/>
              <w:tabs>
                <w:tab w:val="clear" w:pos="480"/>
              </w:tabs>
              <w:adjustRightInd w:val="0"/>
              <w:snapToGrid w:val="0"/>
              <w:spacing w:line="240" w:lineRule="auto"/>
              <w:ind w:firstLine="0" w:firstLineChars="0"/>
              <w:jc w:val="center"/>
              <w:rPr>
                <w:sz w:val="18"/>
                <w:szCs w:val="18"/>
              </w:rPr>
            </w:pPr>
            <w:r>
              <w:rPr>
                <w:sz w:val="18"/>
                <w:szCs w:val="18"/>
              </w:rPr>
              <w:t>0.55</w:t>
            </w:r>
          </w:p>
        </w:tc>
        <w:tc>
          <w:tcPr>
            <w:tcW w:w="536" w:type="pct"/>
            <w:vAlign w:val="center"/>
          </w:tcPr>
          <w:p w14:paraId="22ACF531">
            <w:pPr>
              <w:widowControl/>
              <w:tabs>
                <w:tab w:val="clear" w:pos="480"/>
              </w:tabs>
              <w:adjustRightInd w:val="0"/>
              <w:snapToGrid w:val="0"/>
              <w:spacing w:line="240" w:lineRule="auto"/>
              <w:ind w:firstLine="0" w:firstLineChars="0"/>
              <w:jc w:val="center"/>
              <w:rPr>
                <w:sz w:val="18"/>
                <w:szCs w:val="18"/>
              </w:rPr>
            </w:pPr>
            <w:r>
              <w:rPr>
                <w:sz w:val="18"/>
                <w:szCs w:val="18"/>
              </w:rPr>
              <w:t>35.6</w:t>
            </w:r>
          </w:p>
        </w:tc>
        <w:tc>
          <w:tcPr>
            <w:tcW w:w="460" w:type="pct"/>
            <w:vAlign w:val="center"/>
          </w:tcPr>
          <w:p w14:paraId="60471711">
            <w:pPr>
              <w:widowControl/>
              <w:tabs>
                <w:tab w:val="clear" w:pos="480"/>
              </w:tabs>
              <w:adjustRightInd w:val="0"/>
              <w:snapToGrid w:val="0"/>
              <w:spacing w:line="240" w:lineRule="auto"/>
              <w:ind w:firstLine="0" w:firstLineChars="0"/>
              <w:jc w:val="center"/>
              <w:rPr>
                <w:sz w:val="18"/>
                <w:szCs w:val="18"/>
              </w:rPr>
            </w:pPr>
            <w:r>
              <w:rPr>
                <w:rFonts w:hint="eastAsia"/>
                <w:sz w:val="18"/>
                <w:szCs w:val="18"/>
              </w:rPr>
              <w:t>27.48</w:t>
            </w:r>
          </w:p>
        </w:tc>
        <w:tc>
          <w:tcPr>
            <w:tcW w:w="381" w:type="pct"/>
            <w:vAlign w:val="center"/>
          </w:tcPr>
          <w:p w14:paraId="224CBED8">
            <w:pPr>
              <w:widowControl/>
              <w:tabs>
                <w:tab w:val="clear" w:pos="480"/>
              </w:tabs>
              <w:adjustRightInd w:val="0"/>
              <w:snapToGrid w:val="0"/>
              <w:spacing w:line="240" w:lineRule="auto"/>
              <w:ind w:firstLine="0" w:firstLineChars="0"/>
              <w:jc w:val="center"/>
              <w:rPr>
                <w:sz w:val="18"/>
                <w:szCs w:val="18"/>
              </w:rPr>
            </w:pPr>
            <w:r>
              <w:rPr>
                <w:rFonts w:hint="eastAsia"/>
                <w:sz w:val="18"/>
                <w:szCs w:val="18"/>
              </w:rPr>
              <w:t>1.24</w:t>
            </w:r>
          </w:p>
        </w:tc>
        <w:tc>
          <w:tcPr>
            <w:tcW w:w="380" w:type="pct"/>
            <w:vAlign w:val="center"/>
          </w:tcPr>
          <w:p w14:paraId="75422BDF">
            <w:pPr>
              <w:widowControl/>
              <w:tabs>
                <w:tab w:val="clear" w:pos="480"/>
              </w:tabs>
              <w:adjustRightInd w:val="0"/>
              <w:snapToGrid w:val="0"/>
              <w:spacing w:line="240" w:lineRule="auto"/>
              <w:ind w:firstLine="0" w:firstLineChars="0"/>
              <w:jc w:val="center"/>
              <w:rPr>
                <w:sz w:val="18"/>
                <w:szCs w:val="18"/>
              </w:rPr>
            </w:pPr>
            <w:r>
              <w:rPr>
                <w:rFonts w:hint="eastAsia"/>
                <w:sz w:val="18"/>
                <w:szCs w:val="18"/>
              </w:rPr>
              <w:t>8.24</w:t>
            </w:r>
          </w:p>
        </w:tc>
      </w:tr>
      <w:tr w14:paraId="4F65BE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5F1F0ACC">
            <w:pPr>
              <w:tabs>
                <w:tab w:val="clear" w:pos="480"/>
              </w:tabs>
              <w:adjustRightInd w:val="0"/>
              <w:snapToGrid w:val="0"/>
              <w:spacing w:line="240" w:lineRule="auto"/>
              <w:ind w:firstLine="0" w:firstLineChars="0"/>
              <w:jc w:val="center"/>
              <w:rPr>
                <w:sz w:val="18"/>
                <w:szCs w:val="18"/>
              </w:rPr>
            </w:pPr>
            <w:r>
              <w:rPr>
                <w:rFonts w:hint="eastAsia"/>
                <w:sz w:val="18"/>
                <w:szCs w:val="18"/>
              </w:rPr>
              <w:t>9</w:t>
            </w:r>
            <w:r>
              <w:rPr>
                <w:sz w:val="18"/>
                <w:szCs w:val="18"/>
              </w:rPr>
              <w:t>#</w:t>
            </w:r>
          </w:p>
        </w:tc>
        <w:tc>
          <w:tcPr>
            <w:tcW w:w="861" w:type="pct"/>
            <w:vAlign w:val="center"/>
          </w:tcPr>
          <w:p w14:paraId="44EE1943">
            <w:pPr>
              <w:tabs>
                <w:tab w:val="clear" w:pos="480"/>
              </w:tabs>
              <w:adjustRightInd w:val="0"/>
              <w:snapToGrid w:val="0"/>
              <w:spacing w:line="240" w:lineRule="auto"/>
              <w:ind w:firstLine="0" w:firstLineChars="0"/>
              <w:rPr>
                <w:sz w:val="18"/>
                <w:szCs w:val="18"/>
              </w:rPr>
            </w:pPr>
            <w:r>
              <w:rPr>
                <w:sz w:val="18"/>
                <w:szCs w:val="18"/>
              </w:rPr>
              <w:t>该区域土地利用类型以灌草地为主，植被以灌丛、灌草丛为主，常见的群系有檵木灌丛、五节芒灌草丛等，常见的植物有白茅、五节芒等。</w:t>
            </w:r>
          </w:p>
        </w:tc>
        <w:tc>
          <w:tcPr>
            <w:tcW w:w="1409" w:type="pct"/>
            <w:vAlign w:val="center"/>
          </w:tcPr>
          <w:p w14:paraId="7D4C016B">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3" w:type="pct"/>
            <w:vAlign w:val="center"/>
          </w:tcPr>
          <w:p w14:paraId="67DF5D28">
            <w:pPr>
              <w:widowControl/>
              <w:tabs>
                <w:tab w:val="clear" w:pos="480"/>
              </w:tabs>
              <w:adjustRightInd w:val="0"/>
              <w:snapToGrid w:val="0"/>
              <w:spacing w:line="240" w:lineRule="auto"/>
              <w:ind w:firstLine="0" w:firstLineChars="0"/>
              <w:jc w:val="center"/>
              <w:rPr>
                <w:sz w:val="18"/>
                <w:szCs w:val="18"/>
              </w:rPr>
            </w:pPr>
            <w:r>
              <w:rPr>
                <w:kern w:val="0"/>
                <w:sz w:val="18"/>
                <w:szCs w:val="18"/>
              </w:rPr>
              <w:t>65%</w:t>
            </w:r>
          </w:p>
        </w:tc>
        <w:tc>
          <w:tcPr>
            <w:tcW w:w="314" w:type="pct"/>
            <w:vAlign w:val="center"/>
          </w:tcPr>
          <w:p w14:paraId="7F05A7F6">
            <w:pPr>
              <w:widowControl/>
              <w:tabs>
                <w:tab w:val="clear" w:pos="480"/>
              </w:tabs>
              <w:adjustRightInd w:val="0"/>
              <w:snapToGrid w:val="0"/>
              <w:spacing w:line="240" w:lineRule="auto"/>
              <w:ind w:firstLine="0" w:firstLineChars="0"/>
              <w:jc w:val="center"/>
              <w:rPr>
                <w:sz w:val="18"/>
                <w:szCs w:val="18"/>
              </w:rPr>
            </w:pPr>
            <w:r>
              <w:rPr>
                <w:sz w:val="18"/>
                <w:szCs w:val="18"/>
              </w:rPr>
              <w:t>0.55</w:t>
            </w:r>
          </w:p>
        </w:tc>
        <w:tc>
          <w:tcPr>
            <w:tcW w:w="536" w:type="pct"/>
            <w:vAlign w:val="center"/>
          </w:tcPr>
          <w:p w14:paraId="17097FCE">
            <w:pPr>
              <w:widowControl/>
              <w:tabs>
                <w:tab w:val="clear" w:pos="480"/>
              </w:tabs>
              <w:adjustRightInd w:val="0"/>
              <w:snapToGrid w:val="0"/>
              <w:spacing w:line="240" w:lineRule="auto"/>
              <w:ind w:firstLine="0" w:firstLineChars="0"/>
              <w:jc w:val="center"/>
              <w:rPr>
                <w:sz w:val="18"/>
                <w:szCs w:val="18"/>
              </w:rPr>
            </w:pPr>
            <w:r>
              <w:rPr>
                <w:sz w:val="18"/>
                <w:szCs w:val="18"/>
              </w:rPr>
              <w:t>35.6</w:t>
            </w:r>
          </w:p>
        </w:tc>
        <w:tc>
          <w:tcPr>
            <w:tcW w:w="460" w:type="pct"/>
            <w:vAlign w:val="center"/>
          </w:tcPr>
          <w:p w14:paraId="6278C9FD">
            <w:pPr>
              <w:widowControl/>
              <w:tabs>
                <w:tab w:val="clear" w:pos="480"/>
              </w:tabs>
              <w:adjustRightInd w:val="0"/>
              <w:snapToGrid w:val="0"/>
              <w:spacing w:line="240" w:lineRule="auto"/>
              <w:ind w:firstLine="0" w:firstLineChars="0"/>
              <w:jc w:val="center"/>
              <w:rPr>
                <w:sz w:val="18"/>
                <w:szCs w:val="18"/>
              </w:rPr>
            </w:pPr>
            <w:r>
              <w:rPr>
                <w:rFonts w:hint="eastAsia"/>
                <w:sz w:val="18"/>
                <w:szCs w:val="18"/>
              </w:rPr>
              <w:t>26.54</w:t>
            </w:r>
          </w:p>
        </w:tc>
        <w:tc>
          <w:tcPr>
            <w:tcW w:w="381" w:type="pct"/>
            <w:vAlign w:val="center"/>
          </w:tcPr>
          <w:p w14:paraId="4EE9EC0A">
            <w:pPr>
              <w:widowControl/>
              <w:tabs>
                <w:tab w:val="clear" w:pos="480"/>
              </w:tabs>
              <w:adjustRightInd w:val="0"/>
              <w:snapToGrid w:val="0"/>
              <w:spacing w:line="240" w:lineRule="auto"/>
              <w:ind w:firstLine="0" w:firstLineChars="0"/>
              <w:jc w:val="center"/>
              <w:rPr>
                <w:sz w:val="18"/>
                <w:szCs w:val="18"/>
              </w:rPr>
            </w:pPr>
            <w:r>
              <w:rPr>
                <w:rFonts w:hint="eastAsia"/>
                <w:sz w:val="18"/>
                <w:szCs w:val="18"/>
              </w:rPr>
              <w:t>1.19</w:t>
            </w:r>
          </w:p>
        </w:tc>
        <w:tc>
          <w:tcPr>
            <w:tcW w:w="380" w:type="pct"/>
            <w:vAlign w:val="center"/>
          </w:tcPr>
          <w:p w14:paraId="7F112281">
            <w:pPr>
              <w:widowControl/>
              <w:tabs>
                <w:tab w:val="clear" w:pos="480"/>
              </w:tabs>
              <w:adjustRightInd w:val="0"/>
              <w:snapToGrid w:val="0"/>
              <w:spacing w:line="240" w:lineRule="auto"/>
              <w:ind w:firstLine="0" w:firstLineChars="0"/>
              <w:jc w:val="center"/>
              <w:rPr>
                <w:sz w:val="18"/>
                <w:szCs w:val="18"/>
              </w:rPr>
            </w:pPr>
            <w:r>
              <w:rPr>
                <w:rFonts w:hint="eastAsia"/>
                <w:sz w:val="18"/>
                <w:szCs w:val="18"/>
              </w:rPr>
              <w:t>7.96</w:t>
            </w:r>
          </w:p>
        </w:tc>
      </w:tr>
      <w:tr w14:paraId="45D344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0D3BB6DB">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0#</w:t>
            </w:r>
          </w:p>
        </w:tc>
        <w:tc>
          <w:tcPr>
            <w:tcW w:w="861" w:type="pct"/>
            <w:vAlign w:val="center"/>
          </w:tcPr>
          <w:p w14:paraId="46E2B23F">
            <w:pPr>
              <w:tabs>
                <w:tab w:val="clear" w:pos="480"/>
              </w:tabs>
              <w:adjustRightInd w:val="0"/>
              <w:snapToGrid w:val="0"/>
              <w:spacing w:line="240" w:lineRule="auto"/>
              <w:ind w:firstLine="0" w:firstLineChars="0"/>
              <w:rPr>
                <w:sz w:val="18"/>
                <w:szCs w:val="18"/>
              </w:rPr>
            </w:pPr>
            <w:r>
              <w:rPr>
                <w:sz w:val="18"/>
                <w:szCs w:val="18"/>
              </w:rPr>
              <w:t>该区域土地利用类型以林地为主，植被以阔叶林为主，常见的群系有青冈林、枫香树林等，常见的植物有檵木、白栎、芒萁、白茅等。</w:t>
            </w:r>
          </w:p>
        </w:tc>
        <w:tc>
          <w:tcPr>
            <w:tcW w:w="1409" w:type="pct"/>
            <w:vAlign w:val="center"/>
          </w:tcPr>
          <w:p w14:paraId="01DCE7B1">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3" w:type="pct"/>
            <w:vAlign w:val="center"/>
          </w:tcPr>
          <w:p w14:paraId="12B12BBF">
            <w:pPr>
              <w:widowControl/>
              <w:tabs>
                <w:tab w:val="clear" w:pos="480"/>
              </w:tabs>
              <w:adjustRightInd w:val="0"/>
              <w:snapToGrid w:val="0"/>
              <w:spacing w:line="240" w:lineRule="auto"/>
              <w:ind w:firstLine="0" w:firstLineChars="0"/>
              <w:jc w:val="center"/>
              <w:rPr>
                <w:sz w:val="18"/>
                <w:szCs w:val="18"/>
              </w:rPr>
            </w:pPr>
            <w:r>
              <w:rPr>
                <w:kern w:val="0"/>
                <w:sz w:val="18"/>
                <w:szCs w:val="18"/>
              </w:rPr>
              <w:t>60%</w:t>
            </w:r>
          </w:p>
        </w:tc>
        <w:tc>
          <w:tcPr>
            <w:tcW w:w="314" w:type="pct"/>
            <w:vAlign w:val="center"/>
          </w:tcPr>
          <w:p w14:paraId="31E80BF1">
            <w:pPr>
              <w:widowControl/>
              <w:tabs>
                <w:tab w:val="clear" w:pos="480"/>
              </w:tabs>
              <w:adjustRightInd w:val="0"/>
              <w:snapToGrid w:val="0"/>
              <w:spacing w:line="240" w:lineRule="auto"/>
              <w:ind w:firstLine="0" w:firstLineChars="0"/>
              <w:jc w:val="center"/>
              <w:rPr>
                <w:sz w:val="18"/>
                <w:szCs w:val="18"/>
              </w:rPr>
            </w:pPr>
            <w:r>
              <w:rPr>
                <w:sz w:val="18"/>
                <w:szCs w:val="18"/>
              </w:rPr>
              <w:t>0.5</w:t>
            </w:r>
          </w:p>
        </w:tc>
        <w:tc>
          <w:tcPr>
            <w:tcW w:w="536" w:type="pct"/>
            <w:vAlign w:val="center"/>
          </w:tcPr>
          <w:p w14:paraId="2E1EE6F5">
            <w:pPr>
              <w:widowControl/>
              <w:tabs>
                <w:tab w:val="clear" w:pos="480"/>
              </w:tabs>
              <w:adjustRightInd w:val="0"/>
              <w:snapToGrid w:val="0"/>
              <w:spacing w:line="240" w:lineRule="auto"/>
              <w:ind w:firstLine="0" w:firstLineChars="0"/>
              <w:jc w:val="center"/>
              <w:rPr>
                <w:sz w:val="18"/>
                <w:szCs w:val="18"/>
              </w:rPr>
            </w:pPr>
            <w:r>
              <w:rPr>
                <w:bCs/>
                <w:sz w:val="18"/>
                <w:szCs w:val="18"/>
              </w:rPr>
              <w:t>32.8</w:t>
            </w:r>
          </w:p>
        </w:tc>
        <w:tc>
          <w:tcPr>
            <w:tcW w:w="460" w:type="pct"/>
            <w:vAlign w:val="center"/>
          </w:tcPr>
          <w:p w14:paraId="728F06A3">
            <w:pPr>
              <w:widowControl/>
              <w:tabs>
                <w:tab w:val="clear" w:pos="480"/>
              </w:tabs>
              <w:adjustRightInd w:val="0"/>
              <w:snapToGrid w:val="0"/>
              <w:spacing w:line="240" w:lineRule="auto"/>
              <w:ind w:firstLine="0" w:firstLineChars="0"/>
              <w:jc w:val="center"/>
              <w:rPr>
                <w:sz w:val="18"/>
                <w:szCs w:val="18"/>
              </w:rPr>
            </w:pPr>
            <w:r>
              <w:rPr>
                <w:rFonts w:hint="eastAsia"/>
                <w:sz w:val="18"/>
                <w:szCs w:val="18"/>
              </w:rPr>
              <w:t>26.83</w:t>
            </w:r>
          </w:p>
        </w:tc>
        <w:tc>
          <w:tcPr>
            <w:tcW w:w="381" w:type="pct"/>
            <w:vAlign w:val="center"/>
          </w:tcPr>
          <w:p w14:paraId="73FE9FE9">
            <w:pPr>
              <w:widowControl/>
              <w:tabs>
                <w:tab w:val="clear" w:pos="480"/>
              </w:tabs>
              <w:adjustRightInd w:val="0"/>
              <w:snapToGrid w:val="0"/>
              <w:spacing w:line="240" w:lineRule="auto"/>
              <w:ind w:firstLine="0" w:firstLineChars="0"/>
              <w:jc w:val="center"/>
              <w:rPr>
                <w:sz w:val="18"/>
                <w:szCs w:val="18"/>
              </w:rPr>
            </w:pPr>
            <w:r>
              <w:rPr>
                <w:rFonts w:hint="eastAsia"/>
                <w:sz w:val="18"/>
                <w:szCs w:val="18"/>
              </w:rPr>
              <w:t>1.21</w:t>
            </w:r>
          </w:p>
        </w:tc>
        <w:tc>
          <w:tcPr>
            <w:tcW w:w="380" w:type="pct"/>
            <w:vAlign w:val="center"/>
          </w:tcPr>
          <w:p w14:paraId="0A49A1DD">
            <w:pPr>
              <w:widowControl/>
              <w:tabs>
                <w:tab w:val="clear" w:pos="480"/>
              </w:tabs>
              <w:adjustRightInd w:val="0"/>
              <w:snapToGrid w:val="0"/>
              <w:spacing w:line="240" w:lineRule="auto"/>
              <w:ind w:firstLine="0" w:firstLineChars="0"/>
              <w:jc w:val="center"/>
              <w:rPr>
                <w:sz w:val="18"/>
                <w:szCs w:val="18"/>
              </w:rPr>
            </w:pPr>
            <w:r>
              <w:rPr>
                <w:rFonts w:hint="eastAsia"/>
                <w:sz w:val="18"/>
                <w:szCs w:val="18"/>
              </w:rPr>
              <w:t>8.05</w:t>
            </w:r>
          </w:p>
        </w:tc>
      </w:tr>
      <w:tr w14:paraId="4CC504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54EEF29E">
            <w:pPr>
              <w:tabs>
                <w:tab w:val="clear" w:pos="480"/>
              </w:tabs>
              <w:adjustRightInd w:val="0"/>
              <w:snapToGrid w:val="0"/>
              <w:spacing w:line="240" w:lineRule="auto"/>
              <w:ind w:firstLine="0" w:firstLineChars="0"/>
              <w:jc w:val="center"/>
              <w:rPr>
                <w:sz w:val="18"/>
                <w:szCs w:val="18"/>
              </w:rPr>
            </w:pPr>
            <w:r>
              <w:rPr>
                <w:sz w:val="18"/>
                <w:szCs w:val="18"/>
              </w:rPr>
              <w:t>施工生产生活区</w:t>
            </w:r>
          </w:p>
        </w:tc>
        <w:tc>
          <w:tcPr>
            <w:tcW w:w="861" w:type="pct"/>
            <w:vAlign w:val="center"/>
          </w:tcPr>
          <w:p w14:paraId="6DDE7249">
            <w:pPr>
              <w:tabs>
                <w:tab w:val="clear" w:pos="480"/>
              </w:tabs>
              <w:adjustRightInd w:val="0"/>
              <w:snapToGrid w:val="0"/>
              <w:spacing w:line="240" w:lineRule="auto"/>
              <w:ind w:firstLine="0" w:firstLineChars="0"/>
              <w:rPr>
                <w:sz w:val="18"/>
                <w:szCs w:val="18"/>
              </w:rPr>
            </w:pPr>
            <w:r>
              <w:rPr>
                <w:sz w:val="18"/>
                <w:szCs w:val="18"/>
              </w:rPr>
              <w:t>该区域土地利用类型以灌草为主，植被以针叶林为主，常见的群系有杉木林等，常见的植物有五节芒、芒萁、白茅、蕨等。</w:t>
            </w:r>
          </w:p>
        </w:tc>
        <w:tc>
          <w:tcPr>
            <w:tcW w:w="1409" w:type="pct"/>
            <w:vAlign w:val="center"/>
          </w:tcPr>
          <w:p w14:paraId="09D34106">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交叉种植胡枝子和杜鹃，带土球种植，株行距为1.0m×1.0m，种植穴规格为0.5m×0.5m（直径×坑深）；林下撒播狗牙根和白三叶草籽，撒播密度80kg/hm</w:t>
            </w:r>
            <w:r>
              <w:rPr>
                <w:kern w:val="0"/>
                <w:sz w:val="18"/>
                <w:szCs w:val="18"/>
                <w:vertAlign w:val="superscript"/>
              </w:rPr>
              <w:t>2</w:t>
            </w:r>
            <w:r>
              <w:rPr>
                <w:kern w:val="0"/>
                <w:sz w:val="18"/>
                <w:szCs w:val="18"/>
              </w:rPr>
              <w:t>，覆土厚度为0.3m。草籽混播在春秋两季进行，混播后顶面用镐耙浅层耕作，坡面用木板轻拍地表，保证草籽同土壤充分结合。施工生产生活区植物措施工程量为：覆土1800m</w:t>
            </w:r>
            <w:r>
              <w:rPr>
                <w:kern w:val="0"/>
                <w:sz w:val="18"/>
                <w:szCs w:val="18"/>
                <w:vertAlign w:val="superscript"/>
              </w:rPr>
              <w:t>3</w:t>
            </w:r>
            <w:r>
              <w:rPr>
                <w:kern w:val="0"/>
                <w:sz w:val="18"/>
                <w:szCs w:val="18"/>
              </w:rPr>
              <w:t>、种植胡枝子3000株、杜鹃3000株、混播草籽48kg。</w:t>
            </w:r>
          </w:p>
        </w:tc>
        <w:tc>
          <w:tcPr>
            <w:tcW w:w="323" w:type="pct"/>
            <w:vAlign w:val="center"/>
          </w:tcPr>
          <w:p w14:paraId="0872493E">
            <w:pPr>
              <w:tabs>
                <w:tab w:val="clear" w:pos="480"/>
              </w:tabs>
              <w:adjustRightInd w:val="0"/>
              <w:snapToGrid w:val="0"/>
              <w:spacing w:line="240" w:lineRule="auto"/>
              <w:ind w:firstLine="0" w:firstLineChars="0"/>
              <w:jc w:val="center"/>
              <w:rPr>
                <w:kern w:val="0"/>
                <w:sz w:val="18"/>
                <w:szCs w:val="18"/>
              </w:rPr>
            </w:pPr>
            <w:r>
              <w:rPr>
                <w:kern w:val="0"/>
                <w:sz w:val="18"/>
                <w:szCs w:val="18"/>
              </w:rPr>
              <w:t>20</w:t>
            </w:r>
            <w:r>
              <w:rPr>
                <w:sz w:val="18"/>
                <w:szCs w:val="18"/>
              </w:rPr>
              <w:t>%</w:t>
            </w:r>
          </w:p>
        </w:tc>
        <w:tc>
          <w:tcPr>
            <w:tcW w:w="314" w:type="pct"/>
            <w:vAlign w:val="center"/>
          </w:tcPr>
          <w:p w14:paraId="23707CA2">
            <w:pPr>
              <w:tabs>
                <w:tab w:val="clear" w:pos="480"/>
              </w:tabs>
              <w:adjustRightInd w:val="0"/>
              <w:snapToGrid w:val="0"/>
              <w:spacing w:line="240" w:lineRule="auto"/>
              <w:ind w:firstLine="0" w:firstLineChars="0"/>
              <w:jc w:val="center"/>
              <w:rPr>
                <w:kern w:val="0"/>
                <w:sz w:val="18"/>
                <w:szCs w:val="18"/>
              </w:rPr>
            </w:pPr>
            <w:r>
              <w:rPr>
                <w:sz w:val="18"/>
                <w:szCs w:val="18"/>
              </w:rPr>
              <w:t>0.2</w:t>
            </w:r>
          </w:p>
        </w:tc>
        <w:tc>
          <w:tcPr>
            <w:tcW w:w="536" w:type="pct"/>
            <w:vAlign w:val="center"/>
          </w:tcPr>
          <w:p w14:paraId="2D6A13AA">
            <w:pPr>
              <w:widowControl/>
              <w:tabs>
                <w:tab w:val="clear" w:pos="480"/>
              </w:tabs>
              <w:adjustRightInd w:val="0"/>
              <w:snapToGrid w:val="0"/>
              <w:spacing w:line="240" w:lineRule="auto"/>
              <w:ind w:firstLine="0" w:firstLineChars="0"/>
              <w:jc w:val="center"/>
              <w:rPr>
                <w:sz w:val="18"/>
                <w:szCs w:val="18"/>
              </w:rPr>
            </w:pPr>
            <w:r>
              <w:rPr>
                <w:sz w:val="18"/>
                <w:szCs w:val="18"/>
              </w:rPr>
              <w:t>14.2</w:t>
            </w:r>
          </w:p>
        </w:tc>
        <w:tc>
          <w:tcPr>
            <w:tcW w:w="460" w:type="pct"/>
            <w:vAlign w:val="center"/>
          </w:tcPr>
          <w:p w14:paraId="59813F2B">
            <w:pPr>
              <w:widowControl/>
              <w:tabs>
                <w:tab w:val="clear" w:pos="480"/>
              </w:tabs>
              <w:adjustRightInd w:val="0"/>
              <w:snapToGrid w:val="0"/>
              <w:spacing w:line="240" w:lineRule="auto"/>
              <w:ind w:firstLine="0" w:firstLineChars="0"/>
              <w:jc w:val="center"/>
              <w:rPr>
                <w:sz w:val="18"/>
                <w:szCs w:val="18"/>
              </w:rPr>
            </w:pPr>
            <w:r>
              <w:rPr>
                <w:sz w:val="18"/>
                <w:szCs w:val="18"/>
              </w:rPr>
              <w:t>2</w:t>
            </w:r>
            <w:r>
              <w:rPr>
                <w:rFonts w:hint="eastAsia"/>
                <w:sz w:val="18"/>
                <w:szCs w:val="18"/>
              </w:rPr>
              <w:t>3</w:t>
            </w:r>
            <w:r>
              <w:rPr>
                <w:sz w:val="18"/>
                <w:szCs w:val="18"/>
              </w:rPr>
              <w:t>.67</w:t>
            </w:r>
          </w:p>
        </w:tc>
        <w:tc>
          <w:tcPr>
            <w:tcW w:w="381" w:type="pct"/>
            <w:vAlign w:val="center"/>
          </w:tcPr>
          <w:p w14:paraId="4E61295D">
            <w:pPr>
              <w:widowControl/>
              <w:tabs>
                <w:tab w:val="clear" w:pos="480"/>
              </w:tabs>
              <w:adjustRightInd w:val="0"/>
              <w:snapToGrid w:val="0"/>
              <w:spacing w:line="240" w:lineRule="auto"/>
              <w:ind w:firstLine="0" w:firstLineChars="0"/>
              <w:jc w:val="center"/>
              <w:rPr>
                <w:sz w:val="18"/>
                <w:szCs w:val="18"/>
              </w:rPr>
            </w:pPr>
            <w:r>
              <w:rPr>
                <w:rFonts w:hint="eastAsia"/>
                <w:sz w:val="18"/>
                <w:szCs w:val="18"/>
              </w:rPr>
              <w:t>0.00</w:t>
            </w:r>
          </w:p>
        </w:tc>
        <w:tc>
          <w:tcPr>
            <w:tcW w:w="380" w:type="pct"/>
            <w:vAlign w:val="center"/>
          </w:tcPr>
          <w:p w14:paraId="007CBF56">
            <w:pPr>
              <w:widowControl/>
              <w:tabs>
                <w:tab w:val="clear" w:pos="480"/>
              </w:tabs>
              <w:adjustRightInd w:val="0"/>
              <w:snapToGrid w:val="0"/>
              <w:spacing w:line="240" w:lineRule="auto"/>
              <w:ind w:firstLine="0" w:firstLineChars="0"/>
              <w:jc w:val="center"/>
              <w:rPr>
                <w:sz w:val="18"/>
                <w:szCs w:val="18"/>
              </w:rPr>
            </w:pPr>
            <w:r>
              <w:rPr>
                <w:rFonts w:hint="eastAsia"/>
                <w:sz w:val="18"/>
                <w:szCs w:val="18"/>
              </w:rPr>
              <w:t>9.47</w:t>
            </w:r>
          </w:p>
        </w:tc>
      </w:tr>
      <w:tr w14:paraId="2752DD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3D5C061E">
            <w:pPr>
              <w:widowControl/>
              <w:tabs>
                <w:tab w:val="clear" w:pos="480"/>
              </w:tabs>
              <w:adjustRightInd w:val="0"/>
              <w:snapToGrid w:val="0"/>
              <w:spacing w:line="240" w:lineRule="auto"/>
              <w:ind w:firstLine="0" w:firstLineChars="0"/>
              <w:jc w:val="center"/>
              <w:rPr>
                <w:sz w:val="18"/>
                <w:szCs w:val="18"/>
              </w:rPr>
            </w:pPr>
            <w:r>
              <w:rPr>
                <w:sz w:val="18"/>
                <w:szCs w:val="18"/>
              </w:rPr>
              <w:t>施工道路区及集电线路区</w:t>
            </w:r>
          </w:p>
        </w:tc>
        <w:tc>
          <w:tcPr>
            <w:tcW w:w="861" w:type="pct"/>
            <w:vAlign w:val="center"/>
          </w:tcPr>
          <w:p w14:paraId="0E638D69">
            <w:pPr>
              <w:widowControl/>
              <w:tabs>
                <w:tab w:val="clear" w:pos="480"/>
              </w:tabs>
              <w:adjustRightInd w:val="0"/>
              <w:snapToGrid w:val="0"/>
              <w:spacing w:line="240" w:lineRule="auto"/>
              <w:ind w:firstLine="0" w:firstLineChars="0"/>
              <w:rPr>
                <w:sz w:val="18"/>
                <w:szCs w:val="18"/>
              </w:rPr>
            </w:pPr>
            <w:r>
              <w:rPr>
                <w:sz w:val="18"/>
                <w:szCs w:val="18"/>
              </w:rPr>
              <w:t>该区域土地利用类型以林地、灌草地为主，植被以针叶林、灌丛、灌草丛为主，常见的群系有杉木林、粗叶悬钩子灌丛、五节芒灌草丛等，常见的物种有马尾松、毛竹、青冈、白茅、五节芒、檵木、白栎、芒萁等。</w:t>
            </w:r>
          </w:p>
        </w:tc>
        <w:tc>
          <w:tcPr>
            <w:tcW w:w="1409" w:type="pct"/>
            <w:vAlign w:val="center"/>
          </w:tcPr>
          <w:p w14:paraId="1C34A6D3">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挖方边坡，根据边坡岩性，采取挂网喷播和喷播绿化的方式：基质厚10cm，分两次喷播，第一次喷基层，厚8cm，第二次喷面层，厚2cm，面层含白三叶草籽，密度为12g/m</w:t>
            </w:r>
            <w:r>
              <w:rPr>
                <w:kern w:val="0"/>
                <w:sz w:val="18"/>
                <w:szCs w:val="18"/>
                <w:vertAlign w:val="superscript"/>
              </w:rPr>
              <w:t>2</w:t>
            </w:r>
            <w:r>
              <w:rPr>
                <w:kern w:val="0"/>
                <w:sz w:val="18"/>
                <w:szCs w:val="18"/>
              </w:rPr>
              <w:t>。填方边坡撒播草籽：填方边坡形成后，立即覆土，然后撒播草籽恢复植被。草籽采用狗牙根和白三叶，混播比例为1:1，撒播密度为80kg/hm</w:t>
            </w:r>
            <w:r>
              <w:rPr>
                <w:kern w:val="0"/>
                <w:sz w:val="18"/>
                <w:szCs w:val="18"/>
                <w:vertAlign w:val="superscript"/>
              </w:rPr>
              <w:t>2</w:t>
            </w:r>
            <w:r>
              <w:rPr>
                <w:kern w:val="0"/>
                <w:sz w:val="18"/>
                <w:szCs w:val="18"/>
              </w:rPr>
              <w:t>。</w:t>
            </w:r>
          </w:p>
        </w:tc>
        <w:tc>
          <w:tcPr>
            <w:tcW w:w="323" w:type="pct"/>
            <w:vAlign w:val="center"/>
          </w:tcPr>
          <w:p w14:paraId="2AF0B08A">
            <w:pPr>
              <w:widowControl/>
              <w:tabs>
                <w:tab w:val="clear" w:pos="480"/>
              </w:tabs>
              <w:adjustRightInd w:val="0"/>
              <w:snapToGrid w:val="0"/>
              <w:spacing w:line="240" w:lineRule="auto"/>
              <w:ind w:firstLine="0" w:firstLineChars="0"/>
              <w:jc w:val="center"/>
              <w:rPr>
                <w:kern w:val="0"/>
                <w:sz w:val="18"/>
                <w:szCs w:val="18"/>
              </w:rPr>
            </w:pPr>
            <w:r>
              <w:rPr>
                <w:kern w:val="0"/>
                <w:sz w:val="18"/>
                <w:szCs w:val="18"/>
              </w:rPr>
              <w:t>50</w:t>
            </w:r>
            <w:r>
              <w:rPr>
                <w:sz w:val="18"/>
                <w:szCs w:val="18"/>
              </w:rPr>
              <w:t>%</w:t>
            </w:r>
          </w:p>
        </w:tc>
        <w:tc>
          <w:tcPr>
            <w:tcW w:w="314" w:type="pct"/>
            <w:vAlign w:val="center"/>
          </w:tcPr>
          <w:p w14:paraId="6EB16756">
            <w:pPr>
              <w:widowControl/>
              <w:tabs>
                <w:tab w:val="clear" w:pos="480"/>
              </w:tabs>
              <w:adjustRightInd w:val="0"/>
              <w:snapToGrid w:val="0"/>
              <w:spacing w:line="240" w:lineRule="auto"/>
              <w:ind w:firstLine="0" w:firstLineChars="0"/>
              <w:jc w:val="center"/>
              <w:rPr>
                <w:kern w:val="0"/>
                <w:sz w:val="18"/>
                <w:szCs w:val="18"/>
              </w:rPr>
            </w:pPr>
            <w:r>
              <w:rPr>
                <w:sz w:val="18"/>
                <w:szCs w:val="18"/>
              </w:rPr>
              <w:t>0.5</w:t>
            </w:r>
          </w:p>
        </w:tc>
        <w:tc>
          <w:tcPr>
            <w:tcW w:w="536" w:type="pct"/>
            <w:vAlign w:val="center"/>
          </w:tcPr>
          <w:p w14:paraId="26D639D7">
            <w:pPr>
              <w:widowControl/>
              <w:tabs>
                <w:tab w:val="clear" w:pos="480"/>
              </w:tabs>
              <w:adjustRightInd w:val="0"/>
              <w:snapToGrid w:val="0"/>
              <w:spacing w:line="240" w:lineRule="auto"/>
              <w:ind w:firstLine="0" w:firstLineChars="0"/>
              <w:jc w:val="center"/>
              <w:rPr>
                <w:sz w:val="18"/>
                <w:szCs w:val="18"/>
              </w:rPr>
            </w:pPr>
            <w:r>
              <w:rPr>
                <w:bCs/>
                <w:sz w:val="18"/>
                <w:szCs w:val="18"/>
              </w:rPr>
              <w:t>32.6</w:t>
            </w:r>
          </w:p>
        </w:tc>
        <w:tc>
          <w:tcPr>
            <w:tcW w:w="460" w:type="pct"/>
            <w:vAlign w:val="center"/>
          </w:tcPr>
          <w:p w14:paraId="0375C0A8">
            <w:pPr>
              <w:widowControl/>
              <w:tabs>
                <w:tab w:val="clear" w:pos="480"/>
              </w:tabs>
              <w:adjustRightInd w:val="0"/>
              <w:snapToGrid w:val="0"/>
              <w:spacing w:line="240" w:lineRule="auto"/>
              <w:ind w:firstLine="0" w:firstLineChars="0"/>
              <w:jc w:val="center"/>
              <w:rPr>
                <w:sz w:val="18"/>
                <w:szCs w:val="18"/>
              </w:rPr>
            </w:pPr>
            <w:r>
              <w:rPr>
                <w:sz w:val="18"/>
                <w:szCs w:val="18"/>
              </w:rPr>
              <w:t>20.53</w:t>
            </w:r>
          </w:p>
        </w:tc>
        <w:tc>
          <w:tcPr>
            <w:tcW w:w="381" w:type="pct"/>
            <w:vAlign w:val="center"/>
          </w:tcPr>
          <w:p w14:paraId="576C8E73">
            <w:pPr>
              <w:widowControl/>
              <w:tabs>
                <w:tab w:val="clear" w:pos="480"/>
              </w:tabs>
              <w:adjustRightInd w:val="0"/>
              <w:snapToGrid w:val="0"/>
              <w:spacing w:line="240" w:lineRule="auto"/>
              <w:ind w:firstLine="0" w:firstLineChars="0"/>
              <w:jc w:val="center"/>
              <w:rPr>
                <w:sz w:val="18"/>
                <w:szCs w:val="18"/>
              </w:rPr>
            </w:pPr>
            <w:r>
              <w:rPr>
                <w:sz w:val="18"/>
                <w:szCs w:val="18"/>
              </w:rPr>
              <w:t>1.03</w:t>
            </w:r>
          </w:p>
        </w:tc>
        <w:tc>
          <w:tcPr>
            <w:tcW w:w="380" w:type="pct"/>
            <w:vAlign w:val="center"/>
          </w:tcPr>
          <w:p w14:paraId="7AA1AC10">
            <w:pPr>
              <w:widowControl/>
              <w:tabs>
                <w:tab w:val="clear" w:pos="480"/>
              </w:tabs>
              <w:adjustRightInd w:val="0"/>
              <w:snapToGrid w:val="0"/>
              <w:spacing w:line="240" w:lineRule="auto"/>
              <w:ind w:firstLine="0" w:firstLineChars="0"/>
              <w:jc w:val="center"/>
              <w:rPr>
                <w:sz w:val="18"/>
                <w:szCs w:val="18"/>
              </w:rPr>
            </w:pPr>
            <w:r>
              <w:rPr>
                <w:sz w:val="18"/>
                <w:szCs w:val="18"/>
              </w:rPr>
              <w:t>689.81</w:t>
            </w:r>
          </w:p>
        </w:tc>
      </w:tr>
      <w:tr w14:paraId="1149F3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31006D46">
            <w:pPr>
              <w:widowControl/>
              <w:tabs>
                <w:tab w:val="clear" w:pos="480"/>
              </w:tabs>
              <w:adjustRightInd w:val="0"/>
              <w:snapToGrid w:val="0"/>
              <w:spacing w:line="240" w:lineRule="auto"/>
              <w:ind w:firstLine="0" w:firstLineChars="0"/>
              <w:jc w:val="center"/>
              <w:rPr>
                <w:kern w:val="0"/>
                <w:sz w:val="18"/>
                <w:szCs w:val="18"/>
              </w:rPr>
            </w:pPr>
            <w:r>
              <w:rPr>
                <w:kern w:val="0"/>
                <w:sz w:val="18"/>
                <w:szCs w:val="18"/>
              </w:rPr>
              <w:t>弃渣场</w:t>
            </w:r>
          </w:p>
        </w:tc>
        <w:tc>
          <w:tcPr>
            <w:tcW w:w="861" w:type="pct"/>
            <w:vAlign w:val="center"/>
          </w:tcPr>
          <w:p w14:paraId="786CE6E6">
            <w:pPr>
              <w:widowControl/>
              <w:tabs>
                <w:tab w:val="clear" w:pos="480"/>
              </w:tabs>
              <w:adjustRightInd w:val="0"/>
              <w:snapToGrid w:val="0"/>
              <w:spacing w:line="240" w:lineRule="auto"/>
              <w:ind w:firstLine="0" w:firstLineChars="0"/>
              <w:jc w:val="left"/>
              <w:rPr>
                <w:kern w:val="0"/>
                <w:sz w:val="18"/>
                <w:szCs w:val="18"/>
              </w:rPr>
            </w:pPr>
            <w:r>
              <w:rPr>
                <w:kern w:val="0"/>
                <w:sz w:val="18"/>
                <w:szCs w:val="18"/>
              </w:rPr>
              <w:t>该区域土地利用类型以林地、灌草地为主，植被以针叶林、灌丛为主，常见的群系有杉木林、檵木灌丛等，常见的植物有白栎、羊蹄甲、刚竹、牡荆、五节芒、芒萁、白茅、蕨等。</w:t>
            </w:r>
          </w:p>
        </w:tc>
        <w:tc>
          <w:tcPr>
            <w:tcW w:w="1409" w:type="pct"/>
            <w:vAlign w:val="center"/>
          </w:tcPr>
          <w:p w14:paraId="04E308E8">
            <w:pPr>
              <w:widowControl/>
              <w:tabs>
                <w:tab w:val="clear" w:pos="480"/>
              </w:tabs>
              <w:adjustRightInd w:val="0"/>
              <w:snapToGrid w:val="0"/>
              <w:spacing w:line="240" w:lineRule="auto"/>
              <w:ind w:firstLine="0" w:firstLineChars="0"/>
              <w:rPr>
                <w:sz w:val="18"/>
                <w:szCs w:val="18"/>
              </w:rPr>
            </w:pPr>
            <w:r>
              <w:rPr>
                <w:sz w:val="18"/>
                <w:szCs w:val="18"/>
              </w:rPr>
              <w:t>主要是渣场边坡、弃渣面的林草防护。边坡：根据弃渣场堆渣高度，弃渣场采用撒播狗牙根草籽护坡；马道和弃渣面：顶部种植水土保持林，马道撒播草籽。树种选用当地适生的乔灌木，乔木选用马尾松，灌木选用胡枝子，草种选用狗牙根。</w:t>
            </w:r>
          </w:p>
        </w:tc>
        <w:tc>
          <w:tcPr>
            <w:tcW w:w="323" w:type="pct"/>
            <w:vAlign w:val="center"/>
          </w:tcPr>
          <w:p w14:paraId="14D96FCB">
            <w:pPr>
              <w:widowControl/>
              <w:tabs>
                <w:tab w:val="clear" w:pos="480"/>
              </w:tabs>
              <w:adjustRightInd w:val="0"/>
              <w:snapToGrid w:val="0"/>
              <w:spacing w:line="240" w:lineRule="auto"/>
              <w:ind w:firstLine="0" w:firstLineChars="0"/>
              <w:jc w:val="center"/>
              <w:rPr>
                <w:sz w:val="18"/>
                <w:szCs w:val="18"/>
              </w:rPr>
            </w:pPr>
            <w:r>
              <w:rPr>
                <w:kern w:val="0"/>
                <w:sz w:val="18"/>
                <w:szCs w:val="18"/>
              </w:rPr>
              <w:t>50</w:t>
            </w:r>
            <w:r>
              <w:rPr>
                <w:sz w:val="18"/>
                <w:szCs w:val="18"/>
              </w:rPr>
              <w:t>%</w:t>
            </w:r>
          </w:p>
        </w:tc>
        <w:tc>
          <w:tcPr>
            <w:tcW w:w="314" w:type="pct"/>
            <w:vAlign w:val="center"/>
          </w:tcPr>
          <w:p w14:paraId="74A28B78">
            <w:pPr>
              <w:widowControl/>
              <w:tabs>
                <w:tab w:val="clear" w:pos="480"/>
              </w:tabs>
              <w:adjustRightInd w:val="0"/>
              <w:snapToGrid w:val="0"/>
              <w:spacing w:line="240" w:lineRule="auto"/>
              <w:ind w:firstLine="0" w:firstLineChars="0"/>
              <w:jc w:val="center"/>
              <w:rPr>
                <w:sz w:val="18"/>
                <w:szCs w:val="18"/>
              </w:rPr>
            </w:pPr>
            <w:r>
              <w:rPr>
                <w:sz w:val="18"/>
                <w:szCs w:val="18"/>
              </w:rPr>
              <w:t>0.5</w:t>
            </w:r>
          </w:p>
        </w:tc>
        <w:tc>
          <w:tcPr>
            <w:tcW w:w="536" w:type="pct"/>
            <w:vAlign w:val="center"/>
          </w:tcPr>
          <w:p w14:paraId="1ACD7ACC">
            <w:pPr>
              <w:widowControl/>
              <w:tabs>
                <w:tab w:val="clear" w:pos="480"/>
              </w:tabs>
              <w:adjustRightInd w:val="0"/>
              <w:snapToGrid w:val="0"/>
              <w:spacing w:line="240" w:lineRule="auto"/>
              <w:ind w:firstLine="0" w:firstLineChars="0"/>
              <w:jc w:val="center"/>
              <w:rPr>
                <w:sz w:val="18"/>
                <w:szCs w:val="18"/>
              </w:rPr>
            </w:pPr>
            <w:r>
              <w:rPr>
                <w:bCs/>
                <w:sz w:val="18"/>
                <w:szCs w:val="18"/>
              </w:rPr>
              <w:t>28.6</w:t>
            </w:r>
          </w:p>
        </w:tc>
        <w:tc>
          <w:tcPr>
            <w:tcW w:w="460" w:type="pct"/>
            <w:vAlign w:val="center"/>
          </w:tcPr>
          <w:p w14:paraId="57ECB5DB">
            <w:pPr>
              <w:widowControl/>
              <w:tabs>
                <w:tab w:val="clear" w:pos="480"/>
              </w:tabs>
              <w:adjustRightInd w:val="0"/>
              <w:snapToGrid w:val="0"/>
              <w:spacing w:line="240" w:lineRule="auto"/>
              <w:ind w:firstLine="0" w:firstLineChars="0"/>
              <w:jc w:val="center"/>
              <w:rPr>
                <w:sz w:val="18"/>
                <w:szCs w:val="18"/>
              </w:rPr>
            </w:pPr>
            <w:r>
              <w:rPr>
                <w:sz w:val="18"/>
                <w:szCs w:val="18"/>
              </w:rPr>
              <w:t>20.53</w:t>
            </w:r>
          </w:p>
        </w:tc>
        <w:tc>
          <w:tcPr>
            <w:tcW w:w="381" w:type="pct"/>
            <w:vAlign w:val="center"/>
          </w:tcPr>
          <w:p w14:paraId="2F0972EB">
            <w:pPr>
              <w:widowControl/>
              <w:tabs>
                <w:tab w:val="clear" w:pos="480"/>
              </w:tabs>
              <w:adjustRightInd w:val="0"/>
              <w:snapToGrid w:val="0"/>
              <w:spacing w:line="240" w:lineRule="auto"/>
              <w:ind w:firstLine="0" w:firstLineChars="0"/>
              <w:jc w:val="center"/>
              <w:rPr>
                <w:sz w:val="18"/>
                <w:szCs w:val="18"/>
              </w:rPr>
            </w:pPr>
            <w:r>
              <w:rPr>
                <w:rFonts w:hint="eastAsia"/>
                <w:sz w:val="18"/>
                <w:szCs w:val="18"/>
              </w:rPr>
              <w:t>0.00</w:t>
            </w:r>
          </w:p>
        </w:tc>
        <w:tc>
          <w:tcPr>
            <w:tcW w:w="380" w:type="pct"/>
            <w:vAlign w:val="center"/>
          </w:tcPr>
          <w:p w14:paraId="188A6B7A">
            <w:pPr>
              <w:widowControl/>
              <w:tabs>
                <w:tab w:val="clear" w:pos="480"/>
              </w:tabs>
              <w:adjustRightInd w:val="0"/>
              <w:snapToGrid w:val="0"/>
              <w:spacing w:line="240" w:lineRule="auto"/>
              <w:ind w:firstLine="0" w:firstLineChars="0"/>
              <w:jc w:val="center"/>
              <w:rPr>
                <w:sz w:val="18"/>
                <w:szCs w:val="18"/>
              </w:rPr>
            </w:pPr>
            <w:r>
              <w:rPr>
                <w:sz w:val="18"/>
                <w:szCs w:val="18"/>
              </w:rPr>
              <w:t>102.65</w:t>
            </w:r>
          </w:p>
        </w:tc>
      </w:tr>
      <w:tr w14:paraId="1F9D5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6" w:type="pct"/>
            <w:vAlign w:val="center"/>
          </w:tcPr>
          <w:p w14:paraId="5D0D4B3B">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升压站</w:t>
            </w:r>
          </w:p>
        </w:tc>
        <w:tc>
          <w:tcPr>
            <w:tcW w:w="861" w:type="pct"/>
            <w:vAlign w:val="center"/>
          </w:tcPr>
          <w:p w14:paraId="620C0912">
            <w:pPr>
              <w:widowControl/>
              <w:tabs>
                <w:tab w:val="clear" w:pos="480"/>
              </w:tabs>
              <w:adjustRightInd w:val="0"/>
              <w:snapToGrid w:val="0"/>
              <w:spacing w:line="240" w:lineRule="auto"/>
              <w:ind w:firstLine="0" w:firstLineChars="0"/>
              <w:jc w:val="left"/>
              <w:rPr>
                <w:kern w:val="0"/>
                <w:sz w:val="18"/>
                <w:szCs w:val="18"/>
              </w:rPr>
            </w:pPr>
            <w:r>
              <w:rPr>
                <w:kern w:val="0"/>
                <w:sz w:val="18"/>
                <w:szCs w:val="18"/>
              </w:rPr>
              <w:t>该区域土地利用类型以林地、灌草地为主，植被以针叶林、灌丛为主，常见的群系有杉木林、檵木灌丛等，常见的植物有白栎、羊蹄甲、刚竹、牡荆、五节芒、芒萁、白茅、蕨等。</w:t>
            </w:r>
          </w:p>
        </w:tc>
        <w:tc>
          <w:tcPr>
            <w:tcW w:w="1409" w:type="pct"/>
            <w:vAlign w:val="center"/>
          </w:tcPr>
          <w:p w14:paraId="02C4F44C">
            <w:pPr>
              <w:widowControl/>
              <w:tabs>
                <w:tab w:val="clear" w:pos="480"/>
              </w:tabs>
              <w:adjustRightInd w:val="0"/>
              <w:snapToGrid w:val="0"/>
              <w:spacing w:line="240" w:lineRule="auto"/>
              <w:ind w:firstLine="0" w:firstLineChars="0"/>
              <w:rPr>
                <w:sz w:val="18"/>
                <w:szCs w:val="18"/>
              </w:rPr>
            </w:pPr>
            <w:r>
              <w:rPr>
                <w:sz w:val="18"/>
                <w:szCs w:val="18"/>
              </w:rPr>
              <w:t>主要是渣场边坡、弃渣面的林草防护。边坡：根据弃渣场堆渣高度，弃渣场采用撒播狗牙根草籽护坡；马道和弃渣面：顶部种植水土保持林，马道撒播草籽。树种选用当地适生的乔灌木，乔木选用马尾松，灌木选用胡枝子，草种选用狗牙根。</w:t>
            </w:r>
          </w:p>
        </w:tc>
        <w:tc>
          <w:tcPr>
            <w:tcW w:w="323" w:type="pct"/>
            <w:vAlign w:val="center"/>
          </w:tcPr>
          <w:p w14:paraId="58DCCBA5">
            <w:pPr>
              <w:widowControl/>
              <w:tabs>
                <w:tab w:val="clear" w:pos="480"/>
              </w:tabs>
              <w:adjustRightInd w:val="0"/>
              <w:snapToGrid w:val="0"/>
              <w:spacing w:line="240" w:lineRule="auto"/>
              <w:ind w:firstLine="0" w:firstLineChars="0"/>
              <w:jc w:val="center"/>
              <w:rPr>
                <w:sz w:val="18"/>
                <w:szCs w:val="18"/>
              </w:rPr>
            </w:pPr>
            <w:r>
              <w:rPr>
                <w:kern w:val="0"/>
                <w:sz w:val="18"/>
                <w:szCs w:val="18"/>
              </w:rPr>
              <w:t>50</w:t>
            </w:r>
            <w:r>
              <w:rPr>
                <w:sz w:val="18"/>
                <w:szCs w:val="18"/>
              </w:rPr>
              <w:t>%</w:t>
            </w:r>
          </w:p>
        </w:tc>
        <w:tc>
          <w:tcPr>
            <w:tcW w:w="314" w:type="pct"/>
            <w:vAlign w:val="center"/>
          </w:tcPr>
          <w:p w14:paraId="297D5016">
            <w:pPr>
              <w:widowControl/>
              <w:tabs>
                <w:tab w:val="clear" w:pos="480"/>
              </w:tabs>
              <w:adjustRightInd w:val="0"/>
              <w:snapToGrid w:val="0"/>
              <w:spacing w:line="240" w:lineRule="auto"/>
              <w:ind w:firstLine="0" w:firstLineChars="0"/>
              <w:jc w:val="center"/>
              <w:rPr>
                <w:sz w:val="18"/>
                <w:szCs w:val="18"/>
              </w:rPr>
            </w:pPr>
            <w:r>
              <w:rPr>
                <w:rFonts w:hint="eastAsia"/>
                <w:sz w:val="18"/>
                <w:szCs w:val="18"/>
              </w:rPr>
              <w:t>0.5</w:t>
            </w:r>
          </w:p>
        </w:tc>
        <w:tc>
          <w:tcPr>
            <w:tcW w:w="536" w:type="pct"/>
            <w:vAlign w:val="center"/>
          </w:tcPr>
          <w:p w14:paraId="47762FFD">
            <w:pPr>
              <w:widowControl/>
              <w:tabs>
                <w:tab w:val="clear" w:pos="480"/>
              </w:tabs>
              <w:adjustRightInd w:val="0"/>
              <w:snapToGrid w:val="0"/>
              <w:spacing w:line="240" w:lineRule="auto"/>
              <w:ind w:firstLine="0" w:firstLineChars="0"/>
              <w:jc w:val="center"/>
              <w:rPr>
                <w:bCs/>
                <w:sz w:val="18"/>
                <w:szCs w:val="18"/>
              </w:rPr>
            </w:pPr>
            <w:r>
              <w:rPr>
                <w:rFonts w:hint="eastAsia"/>
                <w:bCs/>
                <w:sz w:val="18"/>
                <w:szCs w:val="18"/>
              </w:rPr>
              <w:t>28.4</w:t>
            </w:r>
          </w:p>
        </w:tc>
        <w:tc>
          <w:tcPr>
            <w:tcW w:w="460" w:type="pct"/>
            <w:vAlign w:val="center"/>
          </w:tcPr>
          <w:p w14:paraId="1C1BC824">
            <w:pPr>
              <w:widowControl/>
              <w:tabs>
                <w:tab w:val="clear" w:pos="480"/>
              </w:tabs>
              <w:adjustRightInd w:val="0"/>
              <w:snapToGrid w:val="0"/>
              <w:spacing w:line="240" w:lineRule="auto"/>
              <w:ind w:firstLine="0" w:firstLineChars="0"/>
              <w:jc w:val="center"/>
              <w:rPr>
                <w:sz w:val="18"/>
                <w:szCs w:val="18"/>
              </w:rPr>
            </w:pPr>
            <w:r>
              <w:rPr>
                <w:rFonts w:hint="eastAsia"/>
                <w:sz w:val="18"/>
                <w:szCs w:val="18"/>
              </w:rPr>
              <w:t>23.67</w:t>
            </w:r>
          </w:p>
        </w:tc>
        <w:tc>
          <w:tcPr>
            <w:tcW w:w="381" w:type="pct"/>
            <w:vAlign w:val="center"/>
          </w:tcPr>
          <w:p w14:paraId="70D9CEA3">
            <w:pPr>
              <w:widowControl/>
              <w:tabs>
                <w:tab w:val="clear" w:pos="480"/>
              </w:tabs>
              <w:adjustRightInd w:val="0"/>
              <w:snapToGrid w:val="0"/>
              <w:spacing w:line="240" w:lineRule="auto"/>
              <w:ind w:firstLine="0" w:firstLineChars="0"/>
              <w:jc w:val="center"/>
              <w:rPr>
                <w:sz w:val="18"/>
                <w:szCs w:val="18"/>
              </w:rPr>
            </w:pPr>
            <w:r>
              <w:rPr>
                <w:sz w:val="18"/>
                <w:szCs w:val="18"/>
              </w:rPr>
              <w:t>15.69</w:t>
            </w:r>
          </w:p>
        </w:tc>
        <w:tc>
          <w:tcPr>
            <w:tcW w:w="380" w:type="pct"/>
            <w:vAlign w:val="center"/>
          </w:tcPr>
          <w:p w14:paraId="6ED940F1">
            <w:pPr>
              <w:widowControl/>
              <w:tabs>
                <w:tab w:val="clear" w:pos="480"/>
              </w:tabs>
              <w:adjustRightInd w:val="0"/>
              <w:snapToGrid w:val="0"/>
              <w:spacing w:line="240" w:lineRule="auto"/>
              <w:ind w:firstLine="0" w:firstLineChars="0"/>
              <w:jc w:val="center"/>
              <w:rPr>
                <w:sz w:val="18"/>
                <w:szCs w:val="18"/>
              </w:rPr>
            </w:pPr>
            <w:r>
              <w:rPr>
                <w:rFonts w:hint="eastAsia"/>
                <w:sz w:val="18"/>
                <w:szCs w:val="18"/>
              </w:rPr>
              <w:t>0.00</w:t>
            </w:r>
          </w:p>
        </w:tc>
      </w:tr>
      <w:tr w14:paraId="432111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9" w:type="pct"/>
            <w:gridSpan w:val="7"/>
            <w:vAlign w:val="center"/>
          </w:tcPr>
          <w:p w14:paraId="71F7944F">
            <w:pPr>
              <w:widowControl/>
              <w:tabs>
                <w:tab w:val="clear" w:pos="480"/>
              </w:tabs>
              <w:adjustRightInd w:val="0"/>
              <w:snapToGrid w:val="0"/>
              <w:spacing w:line="240" w:lineRule="auto"/>
              <w:ind w:firstLine="0" w:firstLineChars="0"/>
              <w:jc w:val="center"/>
              <w:rPr>
                <w:sz w:val="18"/>
                <w:szCs w:val="18"/>
              </w:rPr>
            </w:pPr>
            <w:r>
              <w:rPr>
                <w:sz w:val="18"/>
                <w:szCs w:val="18"/>
              </w:rPr>
              <w:t>合计</w:t>
            </w:r>
          </w:p>
        </w:tc>
        <w:tc>
          <w:tcPr>
            <w:tcW w:w="381" w:type="pct"/>
            <w:vAlign w:val="center"/>
          </w:tcPr>
          <w:p w14:paraId="420181A7">
            <w:pPr>
              <w:widowControl/>
              <w:tabs>
                <w:tab w:val="clear" w:pos="480"/>
              </w:tabs>
              <w:adjustRightInd w:val="0"/>
              <w:snapToGrid w:val="0"/>
              <w:spacing w:line="240" w:lineRule="auto"/>
              <w:ind w:firstLine="0" w:firstLineChars="0"/>
              <w:jc w:val="center"/>
              <w:rPr>
                <w:sz w:val="18"/>
                <w:szCs w:val="18"/>
              </w:rPr>
            </w:pPr>
            <w:r>
              <w:rPr>
                <w:sz w:val="18"/>
                <w:szCs w:val="18"/>
              </w:rPr>
              <w:t>28.72</w:t>
            </w:r>
          </w:p>
        </w:tc>
        <w:tc>
          <w:tcPr>
            <w:tcW w:w="380" w:type="pct"/>
            <w:vAlign w:val="center"/>
          </w:tcPr>
          <w:p w14:paraId="4ED7AD52">
            <w:pPr>
              <w:widowControl/>
              <w:tabs>
                <w:tab w:val="clear" w:pos="480"/>
              </w:tabs>
              <w:adjustRightInd w:val="0"/>
              <w:snapToGrid w:val="0"/>
              <w:spacing w:line="240" w:lineRule="auto"/>
              <w:ind w:firstLine="0" w:firstLineChars="0"/>
              <w:jc w:val="center"/>
              <w:rPr>
                <w:sz w:val="18"/>
                <w:szCs w:val="18"/>
              </w:rPr>
            </w:pPr>
            <w:r>
              <w:rPr>
                <w:rFonts w:hint="eastAsia"/>
                <w:sz w:val="18"/>
                <w:szCs w:val="18"/>
              </w:rPr>
              <w:t>8</w:t>
            </w:r>
            <w:r>
              <w:rPr>
                <w:sz w:val="18"/>
                <w:szCs w:val="18"/>
              </w:rPr>
              <w:t>81.87</w:t>
            </w:r>
          </w:p>
        </w:tc>
      </w:tr>
    </w:tbl>
    <w:p w14:paraId="66B5F98F">
      <w:pPr>
        <w:tabs>
          <w:tab w:val="clear" w:pos="480"/>
        </w:tabs>
        <w:spacing w:line="240" w:lineRule="auto"/>
        <w:ind w:firstLine="422"/>
        <w:jc w:val="center"/>
        <w:rPr>
          <w:bCs/>
        </w:rPr>
      </w:pPr>
      <w:r>
        <w:rPr>
          <w:b/>
          <w:sz w:val="21"/>
          <w:szCs w:val="21"/>
        </w:rPr>
        <w:t>表5.5-11工程占地区生态环境指标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2549"/>
        <w:gridCol w:w="4167"/>
        <w:gridCol w:w="958"/>
        <w:gridCol w:w="929"/>
        <w:gridCol w:w="1588"/>
        <w:gridCol w:w="1348"/>
        <w:gridCol w:w="1127"/>
        <w:gridCol w:w="1124"/>
      </w:tblGrid>
      <w:tr w14:paraId="1C67E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 w:type="pct"/>
            <w:vMerge w:val="restart"/>
            <w:vAlign w:val="center"/>
          </w:tcPr>
          <w:p w14:paraId="6E33D357">
            <w:pPr>
              <w:widowControl/>
              <w:tabs>
                <w:tab w:val="clear" w:pos="480"/>
              </w:tabs>
              <w:adjustRightInd w:val="0"/>
              <w:snapToGrid w:val="0"/>
              <w:spacing w:line="240" w:lineRule="auto"/>
              <w:ind w:firstLine="0" w:firstLineChars="0"/>
              <w:jc w:val="left"/>
              <w:rPr>
                <w:b/>
                <w:sz w:val="18"/>
                <w:szCs w:val="18"/>
              </w:rPr>
            </w:pPr>
            <w:r>
              <w:rPr>
                <w:b/>
                <w:sz w:val="18"/>
                <w:szCs w:val="18"/>
              </w:rPr>
              <w:t>工程占地区</w:t>
            </w:r>
          </w:p>
        </w:tc>
        <w:tc>
          <w:tcPr>
            <w:tcW w:w="862" w:type="pct"/>
            <w:vMerge w:val="restart"/>
            <w:vAlign w:val="center"/>
          </w:tcPr>
          <w:p w14:paraId="553F9C20">
            <w:pPr>
              <w:widowControl/>
              <w:tabs>
                <w:tab w:val="clear" w:pos="480"/>
              </w:tabs>
              <w:adjustRightInd w:val="0"/>
              <w:snapToGrid w:val="0"/>
              <w:spacing w:line="240" w:lineRule="auto"/>
              <w:ind w:firstLine="0" w:firstLineChars="0"/>
              <w:jc w:val="center"/>
              <w:rPr>
                <w:b/>
                <w:sz w:val="18"/>
                <w:szCs w:val="18"/>
              </w:rPr>
            </w:pPr>
            <w:r>
              <w:rPr>
                <w:b/>
                <w:sz w:val="18"/>
                <w:szCs w:val="18"/>
              </w:rPr>
              <w:t>植被类型</w:t>
            </w:r>
          </w:p>
        </w:tc>
        <w:tc>
          <w:tcPr>
            <w:tcW w:w="1409" w:type="pct"/>
            <w:vMerge w:val="restart"/>
            <w:vAlign w:val="center"/>
          </w:tcPr>
          <w:p w14:paraId="04556AA5">
            <w:pPr>
              <w:widowControl/>
              <w:tabs>
                <w:tab w:val="clear" w:pos="480"/>
              </w:tabs>
              <w:adjustRightInd w:val="0"/>
              <w:snapToGrid w:val="0"/>
              <w:spacing w:line="240" w:lineRule="auto"/>
              <w:ind w:firstLine="0" w:firstLineChars="0"/>
              <w:jc w:val="center"/>
              <w:rPr>
                <w:b/>
                <w:sz w:val="18"/>
                <w:szCs w:val="18"/>
              </w:rPr>
            </w:pPr>
            <w:r>
              <w:rPr>
                <w:b/>
                <w:sz w:val="18"/>
                <w:szCs w:val="18"/>
              </w:rPr>
              <w:t>植被恢复措施</w:t>
            </w:r>
          </w:p>
        </w:tc>
        <w:tc>
          <w:tcPr>
            <w:tcW w:w="324" w:type="pct"/>
            <w:vMerge w:val="restart"/>
            <w:vAlign w:val="center"/>
          </w:tcPr>
          <w:p w14:paraId="5BE8E873">
            <w:pPr>
              <w:widowControl/>
              <w:tabs>
                <w:tab w:val="clear" w:pos="480"/>
              </w:tabs>
              <w:adjustRightInd w:val="0"/>
              <w:snapToGrid w:val="0"/>
              <w:spacing w:line="240" w:lineRule="auto"/>
              <w:ind w:firstLine="0" w:firstLineChars="0"/>
              <w:jc w:val="center"/>
              <w:rPr>
                <w:b/>
                <w:sz w:val="18"/>
                <w:szCs w:val="18"/>
              </w:rPr>
            </w:pPr>
            <w:r>
              <w:rPr>
                <w:b/>
                <w:sz w:val="18"/>
                <w:szCs w:val="18"/>
              </w:rPr>
              <w:t>植被覆盖率</w:t>
            </w:r>
          </w:p>
        </w:tc>
        <w:tc>
          <w:tcPr>
            <w:tcW w:w="314" w:type="pct"/>
            <w:vMerge w:val="restart"/>
            <w:vAlign w:val="center"/>
          </w:tcPr>
          <w:p w14:paraId="112A5993">
            <w:pPr>
              <w:widowControl/>
              <w:tabs>
                <w:tab w:val="clear" w:pos="480"/>
              </w:tabs>
              <w:adjustRightInd w:val="0"/>
              <w:snapToGrid w:val="0"/>
              <w:spacing w:line="240" w:lineRule="auto"/>
              <w:ind w:firstLine="0" w:firstLineChars="0"/>
              <w:jc w:val="center"/>
              <w:rPr>
                <w:b/>
                <w:sz w:val="18"/>
                <w:szCs w:val="18"/>
              </w:rPr>
            </w:pPr>
            <w:r>
              <w:rPr>
                <w:b/>
                <w:sz w:val="18"/>
                <w:szCs w:val="18"/>
              </w:rPr>
              <w:t>林地郁闭度</w:t>
            </w:r>
          </w:p>
        </w:tc>
        <w:tc>
          <w:tcPr>
            <w:tcW w:w="537" w:type="pct"/>
            <w:vMerge w:val="restart"/>
            <w:vAlign w:val="center"/>
          </w:tcPr>
          <w:p w14:paraId="20BB0F0E">
            <w:pPr>
              <w:widowControl/>
              <w:tabs>
                <w:tab w:val="clear" w:pos="480"/>
              </w:tabs>
              <w:adjustRightInd w:val="0"/>
              <w:snapToGrid w:val="0"/>
              <w:spacing w:line="240" w:lineRule="auto"/>
              <w:ind w:firstLine="0" w:firstLineChars="0"/>
              <w:jc w:val="center"/>
              <w:rPr>
                <w:b/>
                <w:sz w:val="18"/>
                <w:szCs w:val="18"/>
              </w:rPr>
            </w:pPr>
            <w:r>
              <w:rPr>
                <w:b/>
                <w:sz w:val="18"/>
                <w:szCs w:val="18"/>
              </w:rPr>
              <w:t>单位面积林地蓄积量(m</w:t>
            </w:r>
            <w:r>
              <w:rPr>
                <w:b/>
                <w:sz w:val="18"/>
                <w:szCs w:val="18"/>
                <w:vertAlign w:val="superscript"/>
              </w:rPr>
              <w:t>3</w:t>
            </w:r>
            <w:r>
              <w:rPr>
                <w:b/>
                <w:sz w:val="18"/>
                <w:szCs w:val="18"/>
              </w:rPr>
              <w:t>/hm</w:t>
            </w:r>
            <w:r>
              <w:rPr>
                <w:b/>
                <w:sz w:val="18"/>
                <w:szCs w:val="18"/>
                <w:vertAlign w:val="superscript"/>
              </w:rPr>
              <w:t>2)</w:t>
            </w:r>
          </w:p>
        </w:tc>
        <w:tc>
          <w:tcPr>
            <w:tcW w:w="456" w:type="pct"/>
            <w:vMerge w:val="restart"/>
            <w:vAlign w:val="center"/>
          </w:tcPr>
          <w:p w14:paraId="433D5DD5">
            <w:pPr>
              <w:widowControl/>
              <w:tabs>
                <w:tab w:val="clear" w:pos="480"/>
              </w:tabs>
              <w:adjustRightInd w:val="0"/>
              <w:snapToGrid w:val="0"/>
              <w:spacing w:line="240" w:lineRule="auto"/>
              <w:ind w:firstLine="0" w:firstLineChars="0"/>
              <w:jc w:val="center"/>
              <w:rPr>
                <w:b/>
                <w:sz w:val="18"/>
                <w:szCs w:val="18"/>
              </w:rPr>
            </w:pPr>
            <w:r>
              <w:rPr>
                <w:b/>
                <w:sz w:val="18"/>
                <w:szCs w:val="18"/>
              </w:rPr>
              <w:t>平均生物量(t/hm</w:t>
            </w:r>
            <w:r>
              <w:rPr>
                <w:b/>
                <w:sz w:val="18"/>
                <w:szCs w:val="18"/>
                <w:vertAlign w:val="superscript"/>
              </w:rPr>
              <w:t>2</w:t>
            </w:r>
            <w:r>
              <w:rPr>
                <w:b/>
                <w:sz w:val="18"/>
                <w:szCs w:val="18"/>
              </w:rPr>
              <w:t>)</w:t>
            </w:r>
          </w:p>
        </w:tc>
        <w:tc>
          <w:tcPr>
            <w:tcW w:w="761" w:type="pct"/>
            <w:gridSpan w:val="2"/>
            <w:vAlign w:val="center"/>
          </w:tcPr>
          <w:p w14:paraId="244594BD">
            <w:pPr>
              <w:widowControl/>
              <w:tabs>
                <w:tab w:val="clear" w:pos="480"/>
              </w:tabs>
              <w:adjustRightInd w:val="0"/>
              <w:snapToGrid w:val="0"/>
              <w:spacing w:line="240" w:lineRule="auto"/>
              <w:ind w:firstLine="0" w:firstLineChars="0"/>
              <w:jc w:val="center"/>
              <w:rPr>
                <w:b/>
                <w:sz w:val="18"/>
                <w:szCs w:val="18"/>
              </w:rPr>
            </w:pPr>
            <w:r>
              <w:rPr>
                <w:b/>
                <w:sz w:val="18"/>
                <w:szCs w:val="18"/>
              </w:rPr>
              <w:t>占地生物量损失</w:t>
            </w:r>
          </w:p>
        </w:tc>
      </w:tr>
      <w:tr w14:paraId="44F39A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 w:type="pct"/>
            <w:vMerge w:val="continue"/>
            <w:vAlign w:val="center"/>
          </w:tcPr>
          <w:p w14:paraId="58268B54">
            <w:pPr>
              <w:tabs>
                <w:tab w:val="clear" w:pos="480"/>
              </w:tabs>
              <w:adjustRightInd w:val="0"/>
              <w:snapToGrid w:val="0"/>
              <w:spacing w:line="240" w:lineRule="auto"/>
              <w:ind w:firstLine="0" w:firstLineChars="0"/>
              <w:rPr>
                <w:sz w:val="18"/>
                <w:szCs w:val="18"/>
              </w:rPr>
            </w:pPr>
          </w:p>
        </w:tc>
        <w:tc>
          <w:tcPr>
            <w:tcW w:w="862" w:type="pct"/>
            <w:vMerge w:val="continue"/>
            <w:vAlign w:val="center"/>
          </w:tcPr>
          <w:p w14:paraId="59BC0455">
            <w:pPr>
              <w:tabs>
                <w:tab w:val="clear" w:pos="480"/>
              </w:tabs>
              <w:adjustRightInd w:val="0"/>
              <w:snapToGrid w:val="0"/>
              <w:spacing w:line="240" w:lineRule="auto"/>
              <w:ind w:firstLine="0" w:firstLineChars="0"/>
              <w:rPr>
                <w:sz w:val="18"/>
                <w:szCs w:val="18"/>
              </w:rPr>
            </w:pPr>
          </w:p>
        </w:tc>
        <w:tc>
          <w:tcPr>
            <w:tcW w:w="1409" w:type="pct"/>
            <w:vMerge w:val="continue"/>
            <w:vAlign w:val="center"/>
          </w:tcPr>
          <w:p w14:paraId="1CFF2386">
            <w:pPr>
              <w:tabs>
                <w:tab w:val="clear" w:pos="480"/>
              </w:tabs>
              <w:adjustRightInd w:val="0"/>
              <w:snapToGrid w:val="0"/>
              <w:spacing w:line="240" w:lineRule="auto"/>
              <w:ind w:firstLine="0" w:firstLineChars="0"/>
              <w:rPr>
                <w:sz w:val="18"/>
                <w:szCs w:val="18"/>
              </w:rPr>
            </w:pPr>
          </w:p>
        </w:tc>
        <w:tc>
          <w:tcPr>
            <w:tcW w:w="324" w:type="pct"/>
            <w:vMerge w:val="continue"/>
            <w:vAlign w:val="center"/>
          </w:tcPr>
          <w:p w14:paraId="03027BB6">
            <w:pPr>
              <w:tabs>
                <w:tab w:val="clear" w:pos="480"/>
              </w:tabs>
              <w:adjustRightInd w:val="0"/>
              <w:snapToGrid w:val="0"/>
              <w:spacing w:line="240" w:lineRule="auto"/>
              <w:ind w:firstLine="0" w:firstLineChars="0"/>
              <w:jc w:val="center"/>
              <w:rPr>
                <w:sz w:val="18"/>
                <w:szCs w:val="18"/>
              </w:rPr>
            </w:pPr>
          </w:p>
        </w:tc>
        <w:tc>
          <w:tcPr>
            <w:tcW w:w="314" w:type="pct"/>
            <w:vMerge w:val="continue"/>
            <w:vAlign w:val="center"/>
          </w:tcPr>
          <w:p w14:paraId="1150B928">
            <w:pPr>
              <w:tabs>
                <w:tab w:val="clear" w:pos="480"/>
              </w:tabs>
              <w:adjustRightInd w:val="0"/>
              <w:snapToGrid w:val="0"/>
              <w:spacing w:line="240" w:lineRule="auto"/>
              <w:ind w:firstLine="0" w:firstLineChars="0"/>
              <w:jc w:val="center"/>
              <w:rPr>
                <w:sz w:val="18"/>
                <w:szCs w:val="18"/>
              </w:rPr>
            </w:pPr>
          </w:p>
        </w:tc>
        <w:tc>
          <w:tcPr>
            <w:tcW w:w="537" w:type="pct"/>
            <w:vMerge w:val="continue"/>
            <w:vAlign w:val="center"/>
          </w:tcPr>
          <w:p w14:paraId="60DBE44F">
            <w:pPr>
              <w:tabs>
                <w:tab w:val="clear" w:pos="480"/>
              </w:tabs>
              <w:adjustRightInd w:val="0"/>
              <w:snapToGrid w:val="0"/>
              <w:spacing w:line="240" w:lineRule="auto"/>
              <w:ind w:firstLine="0" w:firstLineChars="0"/>
              <w:jc w:val="center"/>
              <w:rPr>
                <w:sz w:val="18"/>
                <w:szCs w:val="18"/>
              </w:rPr>
            </w:pPr>
          </w:p>
        </w:tc>
        <w:tc>
          <w:tcPr>
            <w:tcW w:w="456" w:type="pct"/>
            <w:vMerge w:val="continue"/>
            <w:vAlign w:val="center"/>
          </w:tcPr>
          <w:p w14:paraId="6ED2A50E">
            <w:pPr>
              <w:tabs>
                <w:tab w:val="clear" w:pos="480"/>
              </w:tabs>
              <w:adjustRightInd w:val="0"/>
              <w:snapToGrid w:val="0"/>
              <w:spacing w:line="240" w:lineRule="auto"/>
              <w:ind w:firstLine="0" w:firstLineChars="0"/>
              <w:jc w:val="center"/>
              <w:rPr>
                <w:sz w:val="18"/>
                <w:szCs w:val="18"/>
              </w:rPr>
            </w:pPr>
          </w:p>
        </w:tc>
        <w:tc>
          <w:tcPr>
            <w:tcW w:w="381" w:type="pct"/>
            <w:vAlign w:val="center"/>
          </w:tcPr>
          <w:p w14:paraId="2212FBAE">
            <w:pPr>
              <w:widowControl/>
              <w:tabs>
                <w:tab w:val="clear" w:pos="480"/>
              </w:tabs>
              <w:adjustRightInd w:val="0"/>
              <w:snapToGrid w:val="0"/>
              <w:spacing w:line="240" w:lineRule="auto"/>
              <w:ind w:firstLine="0" w:firstLineChars="0"/>
              <w:jc w:val="center"/>
              <w:rPr>
                <w:b/>
                <w:sz w:val="18"/>
                <w:szCs w:val="18"/>
              </w:rPr>
            </w:pPr>
            <w:r>
              <w:rPr>
                <w:b/>
                <w:sz w:val="18"/>
                <w:szCs w:val="18"/>
              </w:rPr>
              <w:t>永久（t）</w:t>
            </w:r>
          </w:p>
        </w:tc>
        <w:tc>
          <w:tcPr>
            <w:tcW w:w="380" w:type="pct"/>
            <w:vAlign w:val="center"/>
          </w:tcPr>
          <w:p w14:paraId="4D4E03C6">
            <w:pPr>
              <w:widowControl/>
              <w:tabs>
                <w:tab w:val="clear" w:pos="480"/>
              </w:tabs>
              <w:adjustRightInd w:val="0"/>
              <w:snapToGrid w:val="0"/>
              <w:spacing w:line="240" w:lineRule="auto"/>
              <w:ind w:firstLine="0" w:firstLineChars="0"/>
              <w:jc w:val="center"/>
              <w:rPr>
                <w:b/>
                <w:sz w:val="18"/>
                <w:szCs w:val="18"/>
              </w:rPr>
            </w:pPr>
            <w:r>
              <w:rPr>
                <w:b/>
                <w:sz w:val="18"/>
                <w:szCs w:val="18"/>
              </w:rPr>
              <w:t>临时（t）</w:t>
            </w:r>
          </w:p>
        </w:tc>
      </w:tr>
      <w:tr w14:paraId="37CEBD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 w:type="pct"/>
            <w:vAlign w:val="center"/>
          </w:tcPr>
          <w:p w14:paraId="50732781">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6#</w:t>
            </w:r>
          </w:p>
        </w:tc>
        <w:tc>
          <w:tcPr>
            <w:tcW w:w="862" w:type="pct"/>
            <w:vAlign w:val="center"/>
          </w:tcPr>
          <w:p w14:paraId="6CBF6E28">
            <w:pPr>
              <w:tabs>
                <w:tab w:val="clear" w:pos="480"/>
              </w:tabs>
              <w:adjustRightInd w:val="0"/>
              <w:snapToGrid w:val="0"/>
              <w:spacing w:line="240" w:lineRule="auto"/>
              <w:ind w:firstLine="0" w:firstLineChars="0"/>
              <w:rPr>
                <w:sz w:val="18"/>
                <w:szCs w:val="18"/>
              </w:rPr>
            </w:pPr>
            <w:r>
              <w:rPr>
                <w:sz w:val="18"/>
                <w:szCs w:val="18"/>
              </w:rPr>
              <w:t>该区域土地利用类型以灌草地为主，植被以灌丛、灌草丛为主，常见的群系有檵木灌丛、蕨灌草丛等，常见的物种有白栎、檵木、五节芒、芒萁、白茅、羊蹄甲等。</w:t>
            </w:r>
          </w:p>
        </w:tc>
        <w:tc>
          <w:tcPr>
            <w:tcW w:w="1409" w:type="pct"/>
            <w:vAlign w:val="center"/>
          </w:tcPr>
          <w:p w14:paraId="06F1DCC3">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，填方边坡铺草皮700m</w:t>
            </w:r>
            <w:r>
              <w:rPr>
                <w:sz w:val="18"/>
                <w:szCs w:val="18"/>
                <w:vertAlign w:val="superscript"/>
              </w:rPr>
              <w:t>2</w:t>
            </w:r>
            <w:r>
              <w:rPr>
                <w:sz w:val="18"/>
                <w:szCs w:val="18"/>
              </w:rPr>
              <w:t xml:space="preserve"> (斜坡面积为840m</w:t>
            </w:r>
            <w:r>
              <w:rPr>
                <w:sz w:val="18"/>
                <w:szCs w:val="18"/>
                <w:vertAlign w:val="superscript"/>
              </w:rPr>
              <w:t>2</w:t>
            </w:r>
            <w:r>
              <w:rPr>
                <w:sz w:val="18"/>
                <w:szCs w:val="18"/>
              </w:rPr>
              <w:t>)。</w:t>
            </w:r>
          </w:p>
        </w:tc>
        <w:tc>
          <w:tcPr>
            <w:tcW w:w="324" w:type="pct"/>
            <w:vAlign w:val="center"/>
          </w:tcPr>
          <w:p w14:paraId="07AECB6F">
            <w:pPr>
              <w:widowControl/>
              <w:tabs>
                <w:tab w:val="clear" w:pos="480"/>
              </w:tabs>
              <w:adjustRightInd w:val="0"/>
              <w:snapToGrid w:val="0"/>
              <w:spacing w:line="240" w:lineRule="auto"/>
              <w:ind w:firstLine="0" w:firstLineChars="0"/>
              <w:jc w:val="center"/>
              <w:rPr>
                <w:kern w:val="0"/>
                <w:sz w:val="18"/>
                <w:szCs w:val="18"/>
              </w:rPr>
            </w:pPr>
            <w:r>
              <w:rPr>
                <w:kern w:val="0"/>
                <w:sz w:val="18"/>
                <w:szCs w:val="18"/>
              </w:rPr>
              <w:t>60%</w:t>
            </w:r>
          </w:p>
        </w:tc>
        <w:tc>
          <w:tcPr>
            <w:tcW w:w="314" w:type="pct"/>
            <w:vAlign w:val="center"/>
          </w:tcPr>
          <w:p w14:paraId="57BF0357">
            <w:pPr>
              <w:widowControl/>
              <w:tabs>
                <w:tab w:val="clear" w:pos="480"/>
              </w:tabs>
              <w:adjustRightInd w:val="0"/>
              <w:snapToGrid w:val="0"/>
              <w:spacing w:line="240" w:lineRule="auto"/>
              <w:ind w:firstLine="0" w:firstLineChars="0"/>
              <w:jc w:val="center"/>
              <w:rPr>
                <w:kern w:val="0"/>
                <w:sz w:val="18"/>
                <w:szCs w:val="18"/>
              </w:rPr>
            </w:pPr>
            <w:r>
              <w:rPr>
                <w:sz w:val="18"/>
                <w:szCs w:val="18"/>
              </w:rPr>
              <w:t>0.5</w:t>
            </w:r>
          </w:p>
        </w:tc>
        <w:tc>
          <w:tcPr>
            <w:tcW w:w="537" w:type="pct"/>
            <w:vAlign w:val="center"/>
          </w:tcPr>
          <w:p w14:paraId="55F00C47">
            <w:pPr>
              <w:widowControl/>
              <w:tabs>
                <w:tab w:val="clear" w:pos="480"/>
              </w:tabs>
              <w:adjustRightInd w:val="0"/>
              <w:snapToGrid w:val="0"/>
              <w:spacing w:line="240" w:lineRule="auto"/>
              <w:ind w:firstLine="0" w:firstLineChars="0"/>
              <w:jc w:val="center"/>
              <w:rPr>
                <w:sz w:val="18"/>
                <w:szCs w:val="18"/>
              </w:rPr>
            </w:pPr>
            <w:r>
              <w:rPr>
                <w:bCs/>
                <w:sz w:val="18"/>
                <w:szCs w:val="18"/>
              </w:rPr>
              <w:t>32.8</w:t>
            </w:r>
          </w:p>
        </w:tc>
        <w:tc>
          <w:tcPr>
            <w:tcW w:w="456" w:type="pct"/>
            <w:vAlign w:val="center"/>
          </w:tcPr>
          <w:p w14:paraId="7513DA4E">
            <w:pPr>
              <w:tabs>
                <w:tab w:val="clear" w:pos="480"/>
              </w:tabs>
              <w:adjustRightInd w:val="0"/>
              <w:snapToGrid w:val="0"/>
              <w:spacing w:line="240" w:lineRule="auto"/>
              <w:ind w:firstLine="0" w:firstLineChars="0"/>
              <w:jc w:val="center"/>
              <w:rPr>
                <w:sz w:val="18"/>
                <w:szCs w:val="18"/>
              </w:rPr>
            </w:pPr>
            <w:r>
              <w:rPr>
                <w:sz w:val="18"/>
                <w:szCs w:val="18"/>
              </w:rPr>
              <w:t>27.46</w:t>
            </w:r>
          </w:p>
        </w:tc>
        <w:tc>
          <w:tcPr>
            <w:tcW w:w="381" w:type="pct"/>
            <w:vAlign w:val="center"/>
          </w:tcPr>
          <w:p w14:paraId="15AACC5D">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.24</w:t>
            </w:r>
          </w:p>
        </w:tc>
        <w:tc>
          <w:tcPr>
            <w:tcW w:w="380" w:type="pct"/>
            <w:vAlign w:val="center"/>
          </w:tcPr>
          <w:p w14:paraId="546EC029">
            <w:pPr>
              <w:tabs>
                <w:tab w:val="clear" w:pos="480"/>
              </w:tabs>
              <w:adjustRightInd w:val="0"/>
              <w:snapToGrid w:val="0"/>
              <w:spacing w:line="240" w:lineRule="auto"/>
              <w:ind w:firstLine="0" w:firstLineChars="0"/>
              <w:jc w:val="center"/>
              <w:rPr>
                <w:sz w:val="18"/>
                <w:szCs w:val="18"/>
              </w:rPr>
            </w:pPr>
            <w:r>
              <w:rPr>
                <w:rFonts w:hint="eastAsia"/>
                <w:sz w:val="18"/>
                <w:szCs w:val="18"/>
              </w:rPr>
              <w:t>8</w:t>
            </w:r>
            <w:r>
              <w:rPr>
                <w:sz w:val="18"/>
                <w:szCs w:val="18"/>
              </w:rPr>
              <w:t>.24</w:t>
            </w:r>
          </w:p>
        </w:tc>
      </w:tr>
      <w:tr w14:paraId="071421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 w:type="pct"/>
            <w:vAlign w:val="center"/>
          </w:tcPr>
          <w:p w14:paraId="1147262C">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8#</w:t>
            </w:r>
          </w:p>
        </w:tc>
        <w:tc>
          <w:tcPr>
            <w:tcW w:w="862" w:type="pct"/>
            <w:vAlign w:val="center"/>
          </w:tcPr>
          <w:p w14:paraId="71901257">
            <w:pPr>
              <w:tabs>
                <w:tab w:val="clear" w:pos="480"/>
              </w:tabs>
              <w:adjustRightInd w:val="0"/>
              <w:snapToGrid w:val="0"/>
              <w:spacing w:line="240" w:lineRule="auto"/>
              <w:ind w:firstLine="0" w:firstLineChars="0"/>
              <w:rPr>
                <w:sz w:val="18"/>
                <w:szCs w:val="18"/>
              </w:rPr>
            </w:pPr>
            <w:r>
              <w:rPr>
                <w:sz w:val="18"/>
                <w:szCs w:val="18"/>
              </w:rPr>
              <w:t>该区域土地利用类型以林地、灌草地为主，植被以针叶林、灌丛为主，常见的群系有毛竹</w:t>
            </w:r>
            <w:r>
              <w:rPr>
                <w:rFonts w:hint="eastAsia"/>
                <w:sz w:val="18"/>
                <w:szCs w:val="18"/>
              </w:rPr>
              <w:t>林、</w:t>
            </w:r>
            <w:r>
              <w:rPr>
                <w:sz w:val="18"/>
                <w:szCs w:val="18"/>
              </w:rPr>
              <w:t>马尾松林、檵木灌丛等，常见的物种有毛竹、青冈芒萁、</w:t>
            </w:r>
            <w:r>
              <w:rPr>
                <w:rFonts w:hint="eastAsia"/>
                <w:sz w:val="18"/>
                <w:szCs w:val="18"/>
              </w:rPr>
              <w:t>五节芒、牡荆</w:t>
            </w:r>
            <w:r>
              <w:rPr>
                <w:sz w:val="18"/>
                <w:szCs w:val="18"/>
              </w:rPr>
              <w:t>等。</w:t>
            </w:r>
          </w:p>
        </w:tc>
        <w:tc>
          <w:tcPr>
            <w:tcW w:w="1409" w:type="pct"/>
            <w:vAlign w:val="center"/>
          </w:tcPr>
          <w:p w14:paraId="3F1C81D3">
            <w:pPr>
              <w:widowControl/>
              <w:tabs>
                <w:tab w:val="clear" w:pos="480"/>
              </w:tabs>
              <w:adjustRightInd w:val="0"/>
              <w:snapToGrid w:val="0"/>
              <w:spacing w:line="240" w:lineRule="auto"/>
              <w:ind w:firstLine="0" w:firstLineChars="0"/>
              <w:rPr>
                <w:sz w:val="18"/>
                <w:szCs w:val="18"/>
              </w:rPr>
            </w:pPr>
            <w:r>
              <w:rPr>
                <w:sz w:val="18"/>
                <w:szCs w:val="18"/>
              </w:rPr>
              <w:t>填方边坡采用狗牙根草皮护坡，风机平台采用覆土撒播草籽的方式，覆土厚度为30cm，撒播狗牙根和冬茅草草籽，混播比例为1:1，混播密度为80kg/hm</w:t>
            </w:r>
            <w:r>
              <w:rPr>
                <w:sz w:val="18"/>
                <w:szCs w:val="18"/>
                <w:vertAlign w:val="superscript"/>
              </w:rPr>
              <w:t>2</w:t>
            </w:r>
            <w:r>
              <w:rPr>
                <w:sz w:val="18"/>
                <w:szCs w:val="18"/>
              </w:rPr>
              <w:t>，风机平台植被恢复面积为1800m</w:t>
            </w:r>
            <w:r>
              <w:rPr>
                <w:sz w:val="18"/>
                <w:szCs w:val="18"/>
                <w:vertAlign w:val="superscript"/>
              </w:rPr>
              <w:t>2</w:t>
            </w:r>
            <w:r>
              <w:rPr>
                <w:sz w:val="18"/>
                <w:szCs w:val="18"/>
              </w:rPr>
              <w:t>，挖填方边坡铺草皮500m</w:t>
            </w:r>
            <w:r>
              <w:rPr>
                <w:sz w:val="18"/>
                <w:szCs w:val="18"/>
                <w:vertAlign w:val="superscript"/>
              </w:rPr>
              <w:t>2</w:t>
            </w:r>
            <w:r>
              <w:rPr>
                <w:sz w:val="18"/>
                <w:szCs w:val="18"/>
              </w:rPr>
              <w:t xml:space="preserve"> (斜坡面积为600m</w:t>
            </w:r>
            <w:r>
              <w:rPr>
                <w:sz w:val="18"/>
                <w:szCs w:val="18"/>
                <w:vertAlign w:val="superscript"/>
              </w:rPr>
              <w:t>2</w:t>
            </w:r>
            <w:r>
              <w:rPr>
                <w:sz w:val="18"/>
                <w:szCs w:val="18"/>
              </w:rPr>
              <w:t>)，挖方边坡挂网喷播植草200m</w:t>
            </w:r>
            <w:r>
              <w:rPr>
                <w:sz w:val="18"/>
                <w:szCs w:val="18"/>
                <w:vertAlign w:val="superscript"/>
              </w:rPr>
              <w:t>2</w:t>
            </w:r>
            <w:r>
              <w:rPr>
                <w:sz w:val="18"/>
                <w:szCs w:val="18"/>
              </w:rPr>
              <w:t>(斜坡面积为240m</w:t>
            </w:r>
            <w:r>
              <w:rPr>
                <w:sz w:val="18"/>
                <w:szCs w:val="18"/>
                <w:vertAlign w:val="superscript"/>
              </w:rPr>
              <w:t>2</w:t>
            </w:r>
            <w:r>
              <w:rPr>
                <w:sz w:val="18"/>
                <w:szCs w:val="18"/>
              </w:rPr>
              <w:t>。</w:t>
            </w:r>
          </w:p>
        </w:tc>
        <w:tc>
          <w:tcPr>
            <w:tcW w:w="324" w:type="pct"/>
            <w:vAlign w:val="center"/>
          </w:tcPr>
          <w:p w14:paraId="43AD5CFC">
            <w:pPr>
              <w:widowControl/>
              <w:tabs>
                <w:tab w:val="clear" w:pos="480"/>
              </w:tabs>
              <w:adjustRightInd w:val="0"/>
              <w:snapToGrid w:val="0"/>
              <w:spacing w:line="240" w:lineRule="auto"/>
              <w:ind w:firstLine="0" w:firstLineChars="0"/>
              <w:jc w:val="center"/>
              <w:rPr>
                <w:kern w:val="0"/>
                <w:sz w:val="18"/>
                <w:szCs w:val="18"/>
              </w:rPr>
            </w:pPr>
            <w:r>
              <w:rPr>
                <w:kern w:val="0"/>
                <w:sz w:val="18"/>
                <w:szCs w:val="18"/>
              </w:rPr>
              <w:t>65%</w:t>
            </w:r>
          </w:p>
        </w:tc>
        <w:tc>
          <w:tcPr>
            <w:tcW w:w="314" w:type="pct"/>
            <w:vAlign w:val="center"/>
          </w:tcPr>
          <w:p w14:paraId="6CD50783">
            <w:pPr>
              <w:widowControl/>
              <w:tabs>
                <w:tab w:val="clear" w:pos="480"/>
              </w:tabs>
              <w:adjustRightInd w:val="0"/>
              <w:snapToGrid w:val="0"/>
              <w:spacing w:line="240" w:lineRule="auto"/>
              <w:ind w:firstLine="0" w:firstLineChars="0"/>
              <w:jc w:val="center"/>
              <w:rPr>
                <w:kern w:val="0"/>
                <w:sz w:val="18"/>
                <w:szCs w:val="18"/>
              </w:rPr>
            </w:pPr>
            <w:r>
              <w:rPr>
                <w:sz w:val="18"/>
                <w:szCs w:val="18"/>
              </w:rPr>
              <w:t>0.55</w:t>
            </w:r>
          </w:p>
        </w:tc>
        <w:tc>
          <w:tcPr>
            <w:tcW w:w="537" w:type="pct"/>
            <w:vAlign w:val="center"/>
          </w:tcPr>
          <w:p w14:paraId="438E0FDF">
            <w:pPr>
              <w:widowControl/>
              <w:tabs>
                <w:tab w:val="clear" w:pos="480"/>
              </w:tabs>
              <w:adjustRightInd w:val="0"/>
              <w:snapToGrid w:val="0"/>
              <w:spacing w:line="240" w:lineRule="auto"/>
              <w:ind w:firstLine="0" w:firstLineChars="0"/>
              <w:jc w:val="center"/>
              <w:rPr>
                <w:sz w:val="18"/>
                <w:szCs w:val="18"/>
              </w:rPr>
            </w:pPr>
            <w:r>
              <w:rPr>
                <w:bCs/>
                <w:sz w:val="18"/>
                <w:szCs w:val="18"/>
              </w:rPr>
              <w:t>35.6</w:t>
            </w:r>
          </w:p>
        </w:tc>
        <w:tc>
          <w:tcPr>
            <w:tcW w:w="456" w:type="pct"/>
            <w:vAlign w:val="center"/>
          </w:tcPr>
          <w:p w14:paraId="3C03AB6A">
            <w:pPr>
              <w:tabs>
                <w:tab w:val="clear" w:pos="480"/>
              </w:tabs>
              <w:adjustRightInd w:val="0"/>
              <w:snapToGrid w:val="0"/>
              <w:spacing w:line="240" w:lineRule="auto"/>
              <w:ind w:firstLine="0" w:firstLineChars="0"/>
              <w:jc w:val="center"/>
              <w:rPr>
                <w:sz w:val="18"/>
                <w:szCs w:val="18"/>
              </w:rPr>
            </w:pPr>
            <w:r>
              <w:rPr>
                <w:sz w:val="18"/>
                <w:szCs w:val="18"/>
              </w:rPr>
              <w:t>25.18</w:t>
            </w:r>
          </w:p>
        </w:tc>
        <w:tc>
          <w:tcPr>
            <w:tcW w:w="381" w:type="pct"/>
            <w:vAlign w:val="center"/>
          </w:tcPr>
          <w:p w14:paraId="73D3CD55">
            <w:pPr>
              <w:tabs>
                <w:tab w:val="clear" w:pos="480"/>
              </w:tabs>
              <w:adjustRightInd w:val="0"/>
              <w:snapToGrid w:val="0"/>
              <w:spacing w:line="240" w:lineRule="auto"/>
              <w:ind w:firstLine="0" w:firstLineChars="0"/>
              <w:jc w:val="center"/>
              <w:rPr>
                <w:sz w:val="18"/>
                <w:szCs w:val="18"/>
              </w:rPr>
            </w:pPr>
            <w:r>
              <w:rPr>
                <w:rFonts w:hint="eastAsia"/>
                <w:sz w:val="18"/>
                <w:szCs w:val="18"/>
              </w:rPr>
              <w:t>1</w:t>
            </w:r>
            <w:r>
              <w:rPr>
                <w:sz w:val="18"/>
                <w:szCs w:val="18"/>
              </w:rPr>
              <w:t>.13</w:t>
            </w:r>
          </w:p>
        </w:tc>
        <w:tc>
          <w:tcPr>
            <w:tcW w:w="380" w:type="pct"/>
            <w:vAlign w:val="center"/>
          </w:tcPr>
          <w:p w14:paraId="1F792F31">
            <w:pPr>
              <w:tabs>
                <w:tab w:val="clear" w:pos="480"/>
              </w:tabs>
              <w:adjustRightInd w:val="0"/>
              <w:snapToGrid w:val="0"/>
              <w:spacing w:line="240" w:lineRule="auto"/>
              <w:ind w:firstLine="0" w:firstLineChars="0"/>
              <w:jc w:val="center"/>
              <w:rPr>
                <w:sz w:val="18"/>
                <w:szCs w:val="18"/>
              </w:rPr>
            </w:pPr>
            <w:r>
              <w:rPr>
                <w:rFonts w:hint="eastAsia"/>
                <w:sz w:val="18"/>
                <w:szCs w:val="18"/>
              </w:rPr>
              <w:t>7</w:t>
            </w:r>
            <w:r>
              <w:rPr>
                <w:sz w:val="18"/>
                <w:szCs w:val="18"/>
              </w:rPr>
              <w:t>.55</w:t>
            </w:r>
          </w:p>
        </w:tc>
      </w:tr>
    </w:tbl>
    <w:p w14:paraId="2A4D564B">
      <w:pPr>
        <w:pStyle w:val="2"/>
        <w:ind w:firstLine="0" w:firstLineChars="0"/>
      </w:pPr>
    </w:p>
    <w:p w14:paraId="73F4493E">
      <w:pPr>
        <w:ind w:firstLine="480"/>
      </w:pPr>
    </w:p>
    <w:p w14:paraId="400EDA10">
      <w:pPr>
        <w:ind w:firstLine="480"/>
        <w:sectPr>
          <w:pgSz w:w="16838" w:h="11905" w:orient="landscape"/>
          <w:pgMar w:top="851" w:right="1134" w:bottom="851" w:left="1134" w:header="851" w:footer="992" w:gutter="0"/>
          <w:cols w:space="0" w:num="1"/>
          <w:docGrid w:type="lines" w:linePitch="333" w:charSpace="0"/>
        </w:sectPr>
      </w:pPr>
    </w:p>
    <w:p w14:paraId="1D713E6D">
      <w:pPr>
        <w:tabs>
          <w:tab w:val="clear" w:pos="480"/>
        </w:tabs>
        <w:adjustRightInd w:val="0"/>
        <w:snapToGrid w:val="0"/>
        <w:ind w:firstLine="0" w:firstLineChars="0"/>
        <w:outlineLvl w:val="3"/>
        <w:rPr>
          <w:b/>
          <w:kern w:val="0"/>
          <w:lang w:val="zh-CN"/>
        </w:rPr>
      </w:pPr>
      <w:r>
        <w:rPr>
          <w:b/>
          <w:kern w:val="0"/>
          <w:lang w:val="zh-CN"/>
        </w:rPr>
        <w:t>5.5.4.11</w:t>
      </w:r>
      <w:r>
        <w:rPr>
          <w:rFonts w:hint="eastAsia"/>
          <w:b/>
          <w:kern w:val="0"/>
          <w:lang w:val="zh-CN"/>
        </w:rPr>
        <w:t>景观生态系统的质量现状</w:t>
      </w:r>
    </w:p>
    <w:p w14:paraId="1C749512">
      <w:pPr>
        <w:tabs>
          <w:tab w:val="clear" w:pos="480"/>
        </w:tabs>
        <w:autoSpaceDE w:val="0"/>
        <w:autoSpaceDN w:val="0"/>
        <w:adjustRightInd w:val="0"/>
        <w:snapToGrid w:val="0"/>
        <w:ind w:firstLine="480"/>
        <w:rPr>
          <w:kern w:val="0"/>
          <w:szCs w:val="22"/>
        </w:rPr>
      </w:pPr>
      <w:r>
        <w:rPr>
          <w:kern w:val="0"/>
          <w:szCs w:val="22"/>
        </w:rPr>
        <w:t>在自然体系等级划分中，评价范围属于自然景观生态系统，主要由林地生态系统、灌丛</w:t>
      </w:r>
      <w:r>
        <w:rPr>
          <w:rFonts w:hint="eastAsia"/>
          <w:kern w:val="0"/>
          <w:szCs w:val="22"/>
        </w:rPr>
        <w:t>/</w:t>
      </w:r>
      <w:r>
        <w:rPr>
          <w:kern w:val="0"/>
          <w:szCs w:val="22"/>
        </w:rPr>
        <w:t>草</w:t>
      </w:r>
      <w:r>
        <w:rPr>
          <w:rFonts w:hint="eastAsia"/>
          <w:kern w:val="0"/>
          <w:szCs w:val="22"/>
        </w:rPr>
        <w:t>地</w:t>
      </w:r>
      <w:r>
        <w:rPr>
          <w:kern w:val="0"/>
          <w:szCs w:val="22"/>
        </w:rPr>
        <w:t>生态系统相</w:t>
      </w:r>
      <w:bookmarkStart w:id="136" w:name="_Toc478148584"/>
      <w:bookmarkStart w:id="137" w:name="_Toc448490622"/>
      <w:bookmarkStart w:id="138" w:name="_Toc445709586"/>
      <w:r>
        <w:rPr>
          <w:kern w:val="0"/>
          <w:szCs w:val="22"/>
        </w:rPr>
        <w:t>间组成。</w:t>
      </w:r>
      <w:bookmarkEnd w:id="136"/>
      <w:bookmarkEnd w:id="137"/>
      <w:bookmarkEnd w:id="138"/>
      <w:r>
        <w:rPr>
          <w:kern w:val="0"/>
          <w:szCs w:val="22"/>
        </w:rPr>
        <w:t>景观生态体系的质量现状由评价区域内的自然环境、各种生物以及人类社会之间复杂的相互作用来决定。从景观生态学结构与功能相匹配的理论来说，结构是否合理决定了景观功能的优劣，在组成景观生态系统的各类组分中，模地是景观的背景区域，它在很大程度上决定了景观的性质，对景观的动态起着主导作用。评价区模地主要采用传统的生态学方法来确定，即计算组成景观的各类拼块的优势度值（Do），优势度值大的就是模地。优势度值通过计算评价区内各拼块的重要值的方法判定某拼块在景观中的优势，由以下3种参数计算出：密度（Rd）、频度（Rf）和景观比例（Lp）。</w:t>
      </w:r>
    </w:p>
    <w:p w14:paraId="3F87933A">
      <w:pPr>
        <w:tabs>
          <w:tab w:val="clear" w:pos="480"/>
        </w:tabs>
        <w:adjustRightInd w:val="0"/>
        <w:snapToGrid w:val="0"/>
        <w:ind w:firstLine="480"/>
        <w:rPr>
          <w:szCs w:val="21"/>
        </w:rPr>
      </w:pPr>
      <w:r>
        <w:rPr>
          <w:szCs w:val="21"/>
        </w:rPr>
        <w:t>优势度值（Do）= {（Rd+Rf）/2 + Lp}/2×100</w:t>
      </w:r>
    </w:p>
    <w:p w14:paraId="4F28010B">
      <w:pPr>
        <w:tabs>
          <w:tab w:val="clear" w:pos="480"/>
        </w:tabs>
        <w:adjustRightInd w:val="0"/>
        <w:snapToGrid w:val="0"/>
        <w:ind w:firstLine="480"/>
        <w:rPr>
          <w:szCs w:val="21"/>
        </w:rPr>
      </w:pPr>
      <w:r>
        <w:rPr>
          <w:szCs w:val="21"/>
        </w:rPr>
        <w:t>密度（Rd）＝嵌块i的数目/嵌块总数×100</w:t>
      </w:r>
    </w:p>
    <w:p w14:paraId="4CBCEF31">
      <w:pPr>
        <w:tabs>
          <w:tab w:val="clear" w:pos="480"/>
        </w:tabs>
        <w:adjustRightInd w:val="0"/>
        <w:snapToGrid w:val="0"/>
        <w:ind w:firstLine="480"/>
        <w:rPr>
          <w:szCs w:val="21"/>
        </w:rPr>
      </w:pPr>
      <w:r>
        <w:rPr>
          <w:szCs w:val="21"/>
        </w:rPr>
        <w:t>频度（Rf）＝嵌块i出现的样方数/总样方数×100</w:t>
      </w:r>
    </w:p>
    <w:p w14:paraId="07310FBC">
      <w:pPr>
        <w:tabs>
          <w:tab w:val="clear" w:pos="480"/>
        </w:tabs>
        <w:adjustRightInd w:val="0"/>
        <w:snapToGrid w:val="0"/>
        <w:ind w:firstLine="480"/>
        <w:rPr>
          <w:szCs w:val="21"/>
        </w:rPr>
      </w:pPr>
      <w:r>
        <w:rPr>
          <w:szCs w:val="21"/>
        </w:rPr>
        <w:t>景观比例（Lp）=嵌块i的面积/样地总面积×100</w:t>
      </w:r>
    </w:p>
    <w:p w14:paraId="0035461D">
      <w:pPr>
        <w:tabs>
          <w:tab w:val="clear" w:pos="480"/>
        </w:tabs>
        <w:adjustRightInd w:val="0"/>
        <w:snapToGrid w:val="0"/>
        <w:ind w:firstLine="480"/>
        <w:rPr>
          <w:szCs w:val="21"/>
        </w:rPr>
      </w:pPr>
      <w:r>
        <w:rPr>
          <w:szCs w:val="21"/>
        </w:rPr>
        <w:t>运用上述参数计算本项目生态评价范围各类拼块优势度值，其结果见</w:t>
      </w:r>
      <w:r>
        <w:rPr>
          <w:rFonts w:hint="eastAsia"/>
          <w:szCs w:val="21"/>
        </w:rPr>
        <w:t>下表</w:t>
      </w:r>
      <w:r>
        <w:rPr>
          <w:szCs w:val="21"/>
        </w:rPr>
        <w:t>。</w:t>
      </w:r>
    </w:p>
    <w:p w14:paraId="16CF7D76">
      <w:pPr>
        <w:tabs>
          <w:tab w:val="clear" w:pos="480"/>
        </w:tabs>
        <w:autoSpaceDE w:val="0"/>
        <w:autoSpaceDN w:val="0"/>
        <w:spacing w:line="240" w:lineRule="auto"/>
        <w:ind w:firstLine="0" w:firstLineChars="0"/>
        <w:jc w:val="center"/>
        <w:rPr>
          <w:b/>
          <w:bCs/>
          <w:kern w:val="0"/>
          <w:szCs w:val="22"/>
        </w:rPr>
      </w:pPr>
      <w:r>
        <w:rPr>
          <w:b/>
          <w:bCs/>
          <w:kern w:val="0"/>
          <w:szCs w:val="22"/>
        </w:rPr>
        <w:t>表5.5-12</w:t>
      </w:r>
      <w:r>
        <w:rPr>
          <w:rFonts w:hint="eastAsia"/>
          <w:b/>
          <w:bCs/>
          <w:kern w:val="0"/>
          <w:szCs w:val="22"/>
        </w:rPr>
        <w:t>评价</w:t>
      </w:r>
      <w:r>
        <w:rPr>
          <w:b/>
          <w:bCs/>
          <w:kern w:val="0"/>
          <w:szCs w:val="22"/>
        </w:rPr>
        <w:t>区各类斑块优势度值表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41"/>
        <w:gridCol w:w="1604"/>
        <w:gridCol w:w="1455"/>
        <w:gridCol w:w="1893"/>
        <w:gridCol w:w="1659"/>
      </w:tblGrid>
      <w:tr w14:paraId="364E4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Align w:val="center"/>
          </w:tcPr>
          <w:p w14:paraId="310CD0D1">
            <w:pPr>
              <w:tabs>
                <w:tab w:val="clear" w:pos="480"/>
              </w:tabs>
              <w:spacing w:line="240" w:lineRule="auto"/>
              <w:ind w:firstLine="0" w:firstLineChars="0"/>
              <w:jc w:val="center"/>
              <w:rPr>
                <w:b/>
                <w:sz w:val="21"/>
                <w:szCs w:val="21"/>
              </w:rPr>
            </w:pPr>
            <w:r>
              <w:rPr>
                <w:b/>
                <w:sz w:val="21"/>
                <w:szCs w:val="21"/>
              </w:rPr>
              <w:t>景观类型</w:t>
            </w:r>
          </w:p>
        </w:tc>
        <w:tc>
          <w:tcPr>
            <w:tcW w:w="1604" w:type="dxa"/>
            <w:vAlign w:val="center"/>
          </w:tcPr>
          <w:p w14:paraId="53B3A591">
            <w:pPr>
              <w:tabs>
                <w:tab w:val="clear" w:pos="480"/>
              </w:tabs>
              <w:spacing w:line="240" w:lineRule="auto"/>
              <w:ind w:firstLine="0" w:firstLineChars="0"/>
              <w:jc w:val="center"/>
              <w:rPr>
                <w:b/>
                <w:sz w:val="21"/>
                <w:szCs w:val="21"/>
              </w:rPr>
            </w:pPr>
            <w:r>
              <w:rPr>
                <w:b/>
                <w:sz w:val="21"/>
                <w:szCs w:val="21"/>
              </w:rPr>
              <w:t>密度（Rd/%）</w:t>
            </w:r>
          </w:p>
        </w:tc>
        <w:tc>
          <w:tcPr>
            <w:tcW w:w="1455" w:type="dxa"/>
            <w:vAlign w:val="center"/>
          </w:tcPr>
          <w:p w14:paraId="2DE38E35">
            <w:pPr>
              <w:tabs>
                <w:tab w:val="clear" w:pos="480"/>
              </w:tabs>
              <w:spacing w:line="240" w:lineRule="auto"/>
              <w:ind w:firstLine="0" w:firstLineChars="0"/>
              <w:jc w:val="center"/>
              <w:rPr>
                <w:b/>
                <w:sz w:val="21"/>
                <w:szCs w:val="21"/>
              </w:rPr>
            </w:pPr>
            <w:r>
              <w:rPr>
                <w:b/>
                <w:sz w:val="21"/>
                <w:szCs w:val="21"/>
              </w:rPr>
              <w:t>频度（Rf%）</w:t>
            </w:r>
          </w:p>
        </w:tc>
        <w:tc>
          <w:tcPr>
            <w:tcW w:w="1893" w:type="dxa"/>
            <w:vAlign w:val="center"/>
          </w:tcPr>
          <w:p w14:paraId="0DD35BA0">
            <w:pPr>
              <w:tabs>
                <w:tab w:val="clear" w:pos="480"/>
              </w:tabs>
              <w:spacing w:line="240" w:lineRule="auto"/>
              <w:ind w:firstLine="0" w:firstLineChars="0"/>
              <w:jc w:val="center"/>
              <w:rPr>
                <w:b/>
                <w:sz w:val="21"/>
                <w:szCs w:val="21"/>
              </w:rPr>
            </w:pPr>
            <w:r>
              <w:rPr>
                <w:b/>
                <w:sz w:val="21"/>
                <w:szCs w:val="21"/>
              </w:rPr>
              <w:t>景观比例（Lp%）</w:t>
            </w:r>
          </w:p>
        </w:tc>
        <w:tc>
          <w:tcPr>
            <w:tcW w:w="1659" w:type="dxa"/>
            <w:vAlign w:val="center"/>
          </w:tcPr>
          <w:p w14:paraId="006ED0D6">
            <w:pPr>
              <w:tabs>
                <w:tab w:val="clear" w:pos="480"/>
              </w:tabs>
              <w:spacing w:line="240" w:lineRule="auto"/>
              <w:ind w:firstLine="0" w:firstLineChars="0"/>
              <w:jc w:val="center"/>
              <w:rPr>
                <w:b/>
                <w:sz w:val="21"/>
                <w:szCs w:val="21"/>
              </w:rPr>
            </w:pPr>
            <w:r>
              <w:rPr>
                <w:b/>
                <w:sz w:val="21"/>
                <w:szCs w:val="21"/>
              </w:rPr>
              <w:t>优势度（Do%）</w:t>
            </w:r>
          </w:p>
        </w:tc>
      </w:tr>
      <w:tr w14:paraId="2BE661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Align w:val="center"/>
          </w:tcPr>
          <w:p w14:paraId="752E0244">
            <w:pPr>
              <w:tabs>
                <w:tab w:val="clear" w:pos="480"/>
              </w:tabs>
              <w:spacing w:line="240" w:lineRule="auto"/>
              <w:ind w:firstLine="0" w:firstLineChars="0"/>
              <w:jc w:val="center"/>
              <w:rPr>
                <w:b/>
                <w:sz w:val="21"/>
                <w:szCs w:val="21"/>
              </w:rPr>
            </w:pPr>
            <w:r>
              <w:rPr>
                <w:b/>
                <w:sz w:val="21"/>
                <w:szCs w:val="21"/>
              </w:rPr>
              <w:t>灌草地</w:t>
            </w:r>
          </w:p>
        </w:tc>
        <w:tc>
          <w:tcPr>
            <w:tcW w:w="1604" w:type="dxa"/>
            <w:vAlign w:val="center"/>
          </w:tcPr>
          <w:p w14:paraId="0119DCD3">
            <w:pPr>
              <w:tabs>
                <w:tab w:val="clear" w:pos="480"/>
              </w:tabs>
              <w:spacing w:line="240" w:lineRule="auto"/>
              <w:ind w:firstLine="0" w:firstLineChars="0"/>
              <w:jc w:val="center"/>
              <w:rPr>
                <w:sz w:val="21"/>
                <w:szCs w:val="21"/>
              </w:rPr>
            </w:pPr>
            <w:r>
              <w:rPr>
                <w:rFonts w:hint="eastAsia"/>
                <w:sz w:val="21"/>
                <w:szCs w:val="21"/>
              </w:rPr>
              <w:t>5</w:t>
            </w:r>
            <w:r>
              <w:rPr>
                <w:sz w:val="21"/>
                <w:szCs w:val="21"/>
              </w:rPr>
              <w:t>7.36</w:t>
            </w:r>
          </w:p>
        </w:tc>
        <w:tc>
          <w:tcPr>
            <w:tcW w:w="1455" w:type="dxa"/>
            <w:vAlign w:val="center"/>
          </w:tcPr>
          <w:p w14:paraId="58393057">
            <w:pPr>
              <w:tabs>
                <w:tab w:val="clear" w:pos="480"/>
              </w:tabs>
              <w:spacing w:line="240" w:lineRule="auto"/>
              <w:ind w:firstLine="0" w:firstLineChars="0"/>
              <w:jc w:val="center"/>
              <w:rPr>
                <w:sz w:val="21"/>
                <w:szCs w:val="21"/>
              </w:rPr>
            </w:pPr>
            <w:r>
              <w:rPr>
                <w:sz w:val="21"/>
                <w:szCs w:val="21"/>
              </w:rPr>
              <w:t>72.48</w:t>
            </w:r>
          </w:p>
        </w:tc>
        <w:tc>
          <w:tcPr>
            <w:tcW w:w="1893" w:type="dxa"/>
            <w:vAlign w:val="center"/>
          </w:tcPr>
          <w:p w14:paraId="25006176">
            <w:pPr>
              <w:widowControl/>
              <w:tabs>
                <w:tab w:val="clear" w:pos="480"/>
              </w:tabs>
              <w:spacing w:line="240" w:lineRule="auto"/>
              <w:ind w:firstLine="0" w:firstLineChars="0"/>
              <w:jc w:val="center"/>
              <w:rPr>
                <w:kern w:val="0"/>
                <w:sz w:val="21"/>
                <w:szCs w:val="21"/>
              </w:rPr>
            </w:pPr>
            <w:r>
              <w:rPr>
                <w:sz w:val="21"/>
                <w:szCs w:val="21"/>
              </w:rPr>
              <w:t>75.52</w:t>
            </w:r>
          </w:p>
        </w:tc>
        <w:tc>
          <w:tcPr>
            <w:tcW w:w="1659" w:type="dxa"/>
            <w:vAlign w:val="center"/>
          </w:tcPr>
          <w:p w14:paraId="1AA7A15E">
            <w:pPr>
              <w:widowControl/>
              <w:tabs>
                <w:tab w:val="clear" w:pos="480"/>
              </w:tabs>
              <w:spacing w:line="240" w:lineRule="auto"/>
              <w:ind w:firstLine="0" w:firstLineChars="0"/>
              <w:jc w:val="center"/>
              <w:rPr>
                <w:kern w:val="0"/>
                <w:sz w:val="21"/>
                <w:szCs w:val="21"/>
              </w:rPr>
            </w:pPr>
            <w:r>
              <w:rPr>
                <w:rFonts w:hint="eastAsia"/>
                <w:sz w:val="21"/>
                <w:szCs w:val="21"/>
              </w:rPr>
              <w:t>7</w:t>
            </w:r>
            <w:r>
              <w:rPr>
                <w:sz w:val="21"/>
                <w:szCs w:val="21"/>
              </w:rPr>
              <w:t>0.22</w:t>
            </w:r>
          </w:p>
        </w:tc>
      </w:tr>
      <w:tr w14:paraId="7283A4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Align w:val="center"/>
          </w:tcPr>
          <w:p w14:paraId="4029CC04">
            <w:pPr>
              <w:tabs>
                <w:tab w:val="clear" w:pos="480"/>
              </w:tabs>
              <w:spacing w:line="240" w:lineRule="auto"/>
              <w:ind w:firstLine="0" w:firstLineChars="0"/>
              <w:jc w:val="center"/>
              <w:rPr>
                <w:b/>
                <w:sz w:val="21"/>
                <w:szCs w:val="21"/>
              </w:rPr>
            </w:pPr>
            <w:r>
              <w:rPr>
                <w:b/>
                <w:sz w:val="21"/>
                <w:szCs w:val="21"/>
              </w:rPr>
              <w:t>林地</w:t>
            </w:r>
          </w:p>
        </w:tc>
        <w:tc>
          <w:tcPr>
            <w:tcW w:w="1604" w:type="dxa"/>
            <w:vAlign w:val="center"/>
          </w:tcPr>
          <w:p w14:paraId="1E848DCC">
            <w:pPr>
              <w:tabs>
                <w:tab w:val="clear" w:pos="480"/>
              </w:tabs>
              <w:spacing w:line="240" w:lineRule="auto"/>
              <w:ind w:firstLine="0" w:firstLineChars="0"/>
              <w:jc w:val="center"/>
              <w:rPr>
                <w:sz w:val="21"/>
                <w:szCs w:val="21"/>
              </w:rPr>
            </w:pPr>
            <w:r>
              <w:rPr>
                <w:rFonts w:hint="eastAsia"/>
                <w:sz w:val="21"/>
                <w:szCs w:val="21"/>
              </w:rPr>
              <w:t>4</w:t>
            </w:r>
            <w:r>
              <w:rPr>
                <w:sz w:val="21"/>
                <w:szCs w:val="21"/>
              </w:rPr>
              <w:t>0.94</w:t>
            </w:r>
          </w:p>
        </w:tc>
        <w:tc>
          <w:tcPr>
            <w:tcW w:w="1455" w:type="dxa"/>
            <w:vAlign w:val="center"/>
          </w:tcPr>
          <w:p w14:paraId="5E408481">
            <w:pPr>
              <w:tabs>
                <w:tab w:val="clear" w:pos="480"/>
              </w:tabs>
              <w:spacing w:line="240" w:lineRule="auto"/>
              <w:ind w:firstLine="0" w:firstLineChars="0"/>
              <w:jc w:val="center"/>
              <w:rPr>
                <w:sz w:val="21"/>
                <w:szCs w:val="21"/>
              </w:rPr>
            </w:pPr>
            <w:r>
              <w:rPr>
                <w:sz w:val="21"/>
                <w:szCs w:val="21"/>
              </w:rPr>
              <w:t>23.21</w:t>
            </w:r>
          </w:p>
        </w:tc>
        <w:tc>
          <w:tcPr>
            <w:tcW w:w="1893" w:type="dxa"/>
            <w:vAlign w:val="center"/>
          </w:tcPr>
          <w:p w14:paraId="6C2827F2">
            <w:pPr>
              <w:tabs>
                <w:tab w:val="clear" w:pos="480"/>
              </w:tabs>
              <w:spacing w:line="240" w:lineRule="auto"/>
              <w:ind w:firstLine="0" w:firstLineChars="0"/>
              <w:jc w:val="center"/>
              <w:rPr>
                <w:sz w:val="21"/>
                <w:szCs w:val="21"/>
              </w:rPr>
            </w:pPr>
            <w:r>
              <w:rPr>
                <w:sz w:val="21"/>
                <w:szCs w:val="21"/>
              </w:rPr>
              <w:t>22.67</w:t>
            </w:r>
          </w:p>
        </w:tc>
        <w:tc>
          <w:tcPr>
            <w:tcW w:w="1659" w:type="dxa"/>
            <w:vAlign w:val="center"/>
          </w:tcPr>
          <w:p w14:paraId="5B915C02">
            <w:pPr>
              <w:tabs>
                <w:tab w:val="clear" w:pos="480"/>
              </w:tabs>
              <w:spacing w:line="240" w:lineRule="auto"/>
              <w:ind w:firstLine="0" w:firstLineChars="0"/>
              <w:jc w:val="center"/>
              <w:rPr>
                <w:sz w:val="21"/>
                <w:szCs w:val="21"/>
              </w:rPr>
            </w:pPr>
            <w:r>
              <w:rPr>
                <w:rFonts w:hint="eastAsia"/>
                <w:sz w:val="21"/>
                <w:szCs w:val="21"/>
              </w:rPr>
              <w:t>2</w:t>
            </w:r>
            <w:r>
              <w:rPr>
                <w:sz w:val="21"/>
                <w:szCs w:val="21"/>
              </w:rPr>
              <w:t>7.37</w:t>
            </w:r>
          </w:p>
        </w:tc>
      </w:tr>
      <w:tr w14:paraId="4059C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Align w:val="center"/>
          </w:tcPr>
          <w:p w14:paraId="3F4C774F">
            <w:pPr>
              <w:tabs>
                <w:tab w:val="clear" w:pos="480"/>
              </w:tabs>
              <w:spacing w:line="240" w:lineRule="auto"/>
              <w:ind w:firstLine="0" w:firstLineChars="0"/>
              <w:jc w:val="center"/>
              <w:rPr>
                <w:b/>
                <w:sz w:val="21"/>
                <w:szCs w:val="21"/>
              </w:rPr>
            </w:pPr>
            <w:r>
              <w:rPr>
                <w:b/>
                <w:sz w:val="21"/>
                <w:szCs w:val="21"/>
              </w:rPr>
              <w:t>水域</w:t>
            </w:r>
          </w:p>
        </w:tc>
        <w:tc>
          <w:tcPr>
            <w:tcW w:w="1604" w:type="dxa"/>
            <w:vAlign w:val="center"/>
          </w:tcPr>
          <w:p w14:paraId="7389F3A1">
            <w:pPr>
              <w:tabs>
                <w:tab w:val="clear" w:pos="480"/>
              </w:tabs>
              <w:spacing w:line="240" w:lineRule="auto"/>
              <w:ind w:firstLine="0" w:firstLineChars="0"/>
              <w:jc w:val="center"/>
              <w:rPr>
                <w:sz w:val="21"/>
                <w:szCs w:val="21"/>
              </w:rPr>
            </w:pPr>
            <w:r>
              <w:rPr>
                <w:rFonts w:hint="eastAsia"/>
                <w:sz w:val="21"/>
                <w:szCs w:val="21"/>
              </w:rPr>
              <w:t>0</w:t>
            </w:r>
            <w:r>
              <w:rPr>
                <w:sz w:val="21"/>
                <w:szCs w:val="21"/>
              </w:rPr>
              <w:t>.02</w:t>
            </w:r>
          </w:p>
        </w:tc>
        <w:tc>
          <w:tcPr>
            <w:tcW w:w="1455" w:type="dxa"/>
            <w:vAlign w:val="center"/>
          </w:tcPr>
          <w:p w14:paraId="0E5450D7">
            <w:pPr>
              <w:tabs>
                <w:tab w:val="clear" w:pos="480"/>
              </w:tabs>
              <w:spacing w:line="240" w:lineRule="auto"/>
              <w:ind w:firstLine="0" w:firstLineChars="0"/>
              <w:jc w:val="center"/>
              <w:rPr>
                <w:sz w:val="21"/>
                <w:szCs w:val="21"/>
              </w:rPr>
            </w:pPr>
            <w:r>
              <w:rPr>
                <w:sz w:val="21"/>
                <w:szCs w:val="21"/>
              </w:rPr>
              <w:t>0.32</w:t>
            </w:r>
          </w:p>
        </w:tc>
        <w:tc>
          <w:tcPr>
            <w:tcW w:w="1893" w:type="dxa"/>
            <w:vAlign w:val="center"/>
          </w:tcPr>
          <w:p w14:paraId="53AE0A91">
            <w:pPr>
              <w:tabs>
                <w:tab w:val="clear" w:pos="480"/>
              </w:tabs>
              <w:spacing w:line="240" w:lineRule="auto"/>
              <w:ind w:firstLine="0" w:firstLineChars="0"/>
              <w:jc w:val="center"/>
              <w:rPr>
                <w:sz w:val="21"/>
                <w:szCs w:val="21"/>
              </w:rPr>
            </w:pPr>
            <w:r>
              <w:rPr>
                <w:sz w:val="21"/>
                <w:szCs w:val="21"/>
              </w:rPr>
              <w:t>0.09</w:t>
            </w:r>
          </w:p>
        </w:tc>
        <w:tc>
          <w:tcPr>
            <w:tcW w:w="1659" w:type="dxa"/>
            <w:vAlign w:val="center"/>
          </w:tcPr>
          <w:p w14:paraId="56D83AEF">
            <w:pPr>
              <w:tabs>
                <w:tab w:val="clear" w:pos="480"/>
              </w:tabs>
              <w:spacing w:line="240" w:lineRule="auto"/>
              <w:ind w:firstLine="0" w:firstLineChars="0"/>
              <w:jc w:val="center"/>
              <w:rPr>
                <w:sz w:val="21"/>
                <w:szCs w:val="21"/>
              </w:rPr>
            </w:pPr>
            <w:r>
              <w:rPr>
                <w:rFonts w:hint="eastAsia"/>
                <w:sz w:val="21"/>
                <w:szCs w:val="21"/>
              </w:rPr>
              <w:t>0</w:t>
            </w:r>
            <w:r>
              <w:rPr>
                <w:sz w:val="21"/>
                <w:szCs w:val="21"/>
              </w:rPr>
              <w:t>.13</w:t>
            </w:r>
          </w:p>
        </w:tc>
      </w:tr>
      <w:tr w14:paraId="651F1C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Align w:val="center"/>
          </w:tcPr>
          <w:p w14:paraId="508D3610">
            <w:pPr>
              <w:tabs>
                <w:tab w:val="clear" w:pos="480"/>
              </w:tabs>
              <w:spacing w:line="240" w:lineRule="auto"/>
              <w:ind w:firstLine="0" w:firstLineChars="0"/>
              <w:jc w:val="center"/>
              <w:rPr>
                <w:b/>
                <w:sz w:val="21"/>
                <w:szCs w:val="21"/>
              </w:rPr>
            </w:pPr>
            <w:r>
              <w:rPr>
                <w:b/>
                <w:sz w:val="21"/>
                <w:szCs w:val="21"/>
              </w:rPr>
              <w:t>建设用地</w:t>
            </w:r>
          </w:p>
        </w:tc>
        <w:tc>
          <w:tcPr>
            <w:tcW w:w="1604" w:type="dxa"/>
            <w:vAlign w:val="center"/>
          </w:tcPr>
          <w:p w14:paraId="545FE824">
            <w:pPr>
              <w:tabs>
                <w:tab w:val="clear" w:pos="480"/>
              </w:tabs>
              <w:spacing w:line="240" w:lineRule="auto"/>
              <w:ind w:firstLine="0" w:firstLineChars="0"/>
              <w:jc w:val="center"/>
              <w:rPr>
                <w:sz w:val="21"/>
                <w:szCs w:val="21"/>
              </w:rPr>
            </w:pPr>
            <w:r>
              <w:rPr>
                <w:rFonts w:hint="eastAsia"/>
                <w:sz w:val="21"/>
                <w:szCs w:val="21"/>
              </w:rPr>
              <w:t>1</w:t>
            </w:r>
            <w:r>
              <w:rPr>
                <w:sz w:val="21"/>
                <w:szCs w:val="21"/>
              </w:rPr>
              <w:t>.30</w:t>
            </w:r>
          </w:p>
        </w:tc>
        <w:tc>
          <w:tcPr>
            <w:tcW w:w="1455" w:type="dxa"/>
            <w:vAlign w:val="center"/>
          </w:tcPr>
          <w:p w14:paraId="7E598F3B">
            <w:pPr>
              <w:tabs>
                <w:tab w:val="clear" w:pos="480"/>
              </w:tabs>
              <w:spacing w:line="240" w:lineRule="auto"/>
              <w:ind w:firstLine="0" w:firstLineChars="0"/>
              <w:jc w:val="center"/>
              <w:rPr>
                <w:sz w:val="21"/>
                <w:szCs w:val="21"/>
              </w:rPr>
            </w:pPr>
            <w:r>
              <w:rPr>
                <w:sz w:val="21"/>
                <w:szCs w:val="21"/>
              </w:rPr>
              <w:t>2.56</w:t>
            </w:r>
          </w:p>
        </w:tc>
        <w:tc>
          <w:tcPr>
            <w:tcW w:w="1893" w:type="dxa"/>
            <w:vAlign w:val="center"/>
          </w:tcPr>
          <w:p w14:paraId="4CD8C8B0">
            <w:pPr>
              <w:tabs>
                <w:tab w:val="clear" w:pos="480"/>
              </w:tabs>
              <w:spacing w:line="240" w:lineRule="auto"/>
              <w:ind w:firstLine="0" w:firstLineChars="0"/>
              <w:jc w:val="center"/>
              <w:rPr>
                <w:sz w:val="21"/>
                <w:szCs w:val="21"/>
              </w:rPr>
            </w:pPr>
            <w:r>
              <w:rPr>
                <w:sz w:val="21"/>
                <w:szCs w:val="21"/>
              </w:rPr>
              <w:t>1.24</w:t>
            </w:r>
          </w:p>
        </w:tc>
        <w:tc>
          <w:tcPr>
            <w:tcW w:w="1659" w:type="dxa"/>
            <w:vAlign w:val="center"/>
          </w:tcPr>
          <w:p w14:paraId="3397E453">
            <w:pPr>
              <w:tabs>
                <w:tab w:val="clear" w:pos="480"/>
              </w:tabs>
              <w:spacing w:line="240" w:lineRule="auto"/>
              <w:ind w:firstLine="0" w:firstLineChars="0"/>
              <w:jc w:val="center"/>
              <w:rPr>
                <w:sz w:val="21"/>
                <w:szCs w:val="21"/>
              </w:rPr>
            </w:pPr>
            <w:r>
              <w:rPr>
                <w:rFonts w:hint="eastAsia"/>
                <w:sz w:val="21"/>
                <w:szCs w:val="21"/>
              </w:rPr>
              <w:t>1</w:t>
            </w:r>
            <w:r>
              <w:rPr>
                <w:sz w:val="21"/>
                <w:szCs w:val="21"/>
              </w:rPr>
              <w:t>.59</w:t>
            </w:r>
          </w:p>
        </w:tc>
      </w:tr>
      <w:tr w14:paraId="353FBE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Align w:val="center"/>
          </w:tcPr>
          <w:p w14:paraId="7597CD66">
            <w:pPr>
              <w:tabs>
                <w:tab w:val="clear" w:pos="480"/>
              </w:tabs>
              <w:spacing w:line="240" w:lineRule="auto"/>
              <w:ind w:firstLine="0" w:firstLineChars="0"/>
              <w:jc w:val="center"/>
              <w:rPr>
                <w:b/>
                <w:sz w:val="21"/>
                <w:szCs w:val="21"/>
              </w:rPr>
            </w:pPr>
            <w:r>
              <w:rPr>
                <w:b/>
                <w:sz w:val="21"/>
                <w:szCs w:val="21"/>
              </w:rPr>
              <w:t>耕地</w:t>
            </w:r>
          </w:p>
        </w:tc>
        <w:tc>
          <w:tcPr>
            <w:tcW w:w="1604" w:type="dxa"/>
            <w:vAlign w:val="center"/>
          </w:tcPr>
          <w:p w14:paraId="5BAFC361">
            <w:pPr>
              <w:tabs>
                <w:tab w:val="clear" w:pos="480"/>
              </w:tabs>
              <w:spacing w:line="240" w:lineRule="auto"/>
              <w:ind w:firstLine="0" w:firstLineChars="0"/>
              <w:jc w:val="center"/>
              <w:rPr>
                <w:sz w:val="21"/>
                <w:szCs w:val="21"/>
              </w:rPr>
            </w:pPr>
            <w:r>
              <w:rPr>
                <w:rFonts w:hint="eastAsia"/>
                <w:sz w:val="21"/>
                <w:szCs w:val="21"/>
              </w:rPr>
              <w:t>0</w:t>
            </w:r>
            <w:r>
              <w:rPr>
                <w:sz w:val="21"/>
                <w:szCs w:val="21"/>
              </w:rPr>
              <w:t>.38</w:t>
            </w:r>
          </w:p>
        </w:tc>
        <w:tc>
          <w:tcPr>
            <w:tcW w:w="1455" w:type="dxa"/>
            <w:vAlign w:val="center"/>
          </w:tcPr>
          <w:p w14:paraId="00E74DDD">
            <w:pPr>
              <w:tabs>
                <w:tab w:val="clear" w:pos="480"/>
              </w:tabs>
              <w:spacing w:line="240" w:lineRule="auto"/>
              <w:ind w:firstLine="0" w:firstLineChars="0"/>
              <w:jc w:val="center"/>
              <w:rPr>
                <w:sz w:val="21"/>
                <w:szCs w:val="21"/>
              </w:rPr>
            </w:pPr>
            <w:r>
              <w:rPr>
                <w:sz w:val="21"/>
                <w:szCs w:val="21"/>
              </w:rPr>
              <w:t>1.43</w:t>
            </w:r>
          </w:p>
        </w:tc>
        <w:tc>
          <w:tcPr>
            <w:tcW w:w="1893" w:type="dxa"/>
            <w:vAlign w:val="center"/>
          </w:tcPr>
          <w:p w14:paraId="44A2C0CC">
            <w:pPr>
              <w:tabs>
                <w:tab w:val="clear" w:pos="480"/>
              </w:tabs>
              <w:spacing w:line="240" w:lineRule="auto"/>
              <w:ind w:firstLine="0" w:firstLineChars="0"/>
              <w:jc w:val="center"/>
              <w:rPr>
                <w:sz w:val="21"/>
                <w:szCs w:val="21"/>
              </w:rPr>
            </w:pPr>
            <w:r>
              <w:rPr>
                <w:sz w:val="21"/>
                <w:szCs w:val="21"/>
              </w:rPr>
              <w:t>0.48</w:t>
            </w:r>
          </w:p>
        </w:tc>
        <w:tc>
          <w:tcPr>
            <w:tcW w:w="1659" w:type="dxa"/>
            <w:vAlign w:val="center"/>
          </w:tcPr>
          <w:p w14:paraId="32CB1DB7">
            <w:pPr>
              <w:tabs>
                <w:tab w:val="clear" w:pos="480"/>
              </w:tabs>
              <w:spacing w:line="240" w:lineRule="auto"/>
              <w:ind w:firstLine="0" w:firstLineChars="0"/>
              <w:jc w:val="center"/>
              <w:rPr>
                <w:sz w:val="21"/>
                <w:szCs w:val="21"/>
              </w:rPr>
            </w:pPr>
            <w:r>
              <w:rPr>
                <w:rFonts w:hint="eastAsia"/>
                <w:sz w:val="21"/>
                <w:szCs w:val="21"/>
              </w:rPr>
              <w:t>0</w:t>
            </w:r>
            <w:r>
              <w:rPr>
                <w:sz w:val="21"/>
                <w:szCs w:val="21"/>
              </w:rPr>
              <w:t>.69</w:t>
            </w:r>
          </w:p>
        </w:tc>
      </w:tr>
    </w:tbl>
    <w:p w14:paraId="698EAAA7">
      <w:pPr>
        <w:adjustRightInd w:val="0"/>
        <w:snapToGrid w:val="0"/>
        <w:ind w:firstLine="480"/>
      </w:pPr>
      <w:r>
        <w:t>由上表可知：评价区建设前组成景观的各斑块类型中，林地和灌草地是环境资源斑块中对生态质量调控能力最强的高亚稳定性元素类型。评价区</w:t>
      </w:r>
      <w:r>
        <w:rPr>
          <w:rFonts w:hint="eastAsia"/>
        </w:rPr>
        <w:t>灌草地</w:t>
      </w:r>
      <w:r>
        <w:t>的优势度Do最高，达70.22%，其频度72.48%，景观比例75.52%，均高于其他斑块类型，说明</w:t>
      </w:r>
      <w:r>
        <w:rPr>
          <w:rFonts w:hint="eastAsia"/>
        </w:rPr>
        <w:t>灌草地</w:t>
      </w:r>
      <w:r>
        <w:t>是该地区的模地，是本区域内对景观具有控制作用的生态体系部分，说明区域景观生态体系具有较强的生产能力和抗干扰能力，系统调控环境质量能力较强。评价区内耕地、水域、建设用地等优势度均不高，说明了评价区内人为活动较少，自然环境受干扰较小。</w:t>
      </w:r>
    </w:p>
    <w:p w14:paraId="2135B218">
      <w:pPr>
        <w:tabs>
          <w:tab w:val="clear" w:pos="480"/>
        </w:tabs>
        <w:adjustRightInd w:val="0"/>
        <w:snapToGrid w:val="0"/>
        <w:ind w:firstLine="0" w:firstLineChars="0"/>
        <w:outlineLvl w:val="3"/>
        <w:rPr>
          <w:b/>
          <w:kern w:val="0"/>
          <w:lang w:val="zh-CN"/>
        </w:rPr>
      </w:pPr>
      <w:r>
        <w:rPr>
          <w:b/>
          <w:kern w:val="0"/>
          <w:lang w:val="zh-CN"/>
        </w:rPr>
        <w:t>5.5.4.12</w:t>
      </w:r>
      <w:r>
        <w:rPr>
          <w:rFonts w:hint="eastAsia"/>
          <w:b/>
          <w:kern w:val="0"/>
          <w:lang w:val="zh-CN"/>
        </w:rPr>
        <w:t>重点保护植物和古树名木</w:t>
      </w:r>
    </w:p>
    <w:p w14:paraId="23FE0C00">
      <w:pPr>
        <w:adjustRightInd w:val="0"/>
        <w:snapToGrid w:val="0"/>
        <w:ind w:firstLine="480"/>
      </w:pPr>
      <w:r>
        <w:rPr>
          <w:rFonts w:hint="eastAsia"/>
        </w:rPr>
        <w:t>（1）重点保护植物</w:t>
      </w:r>
    </w:p>
    <w:p w14:paraId="641F2833">
      <w:pPr>
        <w:adjustRightInd w:val="0"/>
        <w:snapToGrid w:val="0"/>
        <w:ind w:firstLine="480"/>
      </w:pPr>
      <w:r>
        <w:t>评价区国家重点保护野生植物根据《国家重点保护野生植物名录》（第一批）（国务院，1999年8月）确定，湖南省重点保护野生植物根据《湖南省人民政府关于修订湖南省地方重点保护野生植物名录的通知）（湘政函，[2002]172号）确定。参考《湖南省国家级珍稀濒危植物分布特征及区系探讨》（刘德良，2001年）、《湖南珍稀濒危保护植物的地理分布及其区系特征》（杨一光，1987年）、《湖南省林木种源普查资料汇编》（湖南省林业厅，1985年）、《湖南植物名录》（祁承经，1987年）、《湖南珍稀濒危植物优先护存分级指标的研究》（颜立红等，1997）、《湖南珍稀濒危植物迁地仿生护存的初步研究》（颜立红等，1997）</w:t>
      </w:r>
      <w:r>
        <w:rPr>
          <w:rFonts w:hint="eastAsia"/>
        </w:rPr>
        <w:t>、</w:t>
      </w:r>
      <w:r>
        <w:t>本工程所在行政区内关于国家及湖南省重点保护野生植物的相关资料</w:t>
      </w:r>
      <w:r>
        <w:rPr>
          <w:rFonts w:hint="eastAsia"/>
        </w:rPr>
        <w:t>以及衡阳县林业局的相关文件</w:t>
      </w:r>
      <w:r>
        <w:t>，结合现场调查情况</w:t>
      </w:r>
      <w:r>
        <w:rPr>
          <w:rFonts w:hint="eastAsia"/>
        </w:rPr>
        <w:t>，</w:t>
      </w:r>
      <w:r>
        <w:t>评价区暂未发现国家和湖南省级重点保护野生植物。</w:t>
      </w:r>
    </w:p>
    <w:p w14:paraId="1A562251">
      <w:pPr>
        <w:adjustRightInd w:val="0"/>
        <w:snapToGrid w:val="0"/>
        <w:ind w:firstLine="480"/>
      </w:pPr>
      <w:r>
        <w:rPr>
          <w:rFonts w:hint="eastAsia"/>
        </w:rPr>
        <w:t>（</w:t>
      </w:r>
      <w:r>
        <w:t>2</w:t>
      </w:r>
      <w:r>
        <w:rPr>
          <w:rFonts w:hint="eastAsia"/>
        </w:rPr>
        <w:t>）古树名木</w:t>
      </w:r>
    </w:p>
    <w:p w14:paraId="756F4594">
      <w:pPr>
        <w:adjustRightInd w:val="0"/>
        <w:snapToGrid w:val="0"/>
        <w:ind w:firstLine="480"/>
      </w:pPr>
      <w:r>
        <w:rPr>
          <w:rFonts w:hint="eastAsia"/>
        </w:rPr>
        <w:t>评价区古树名木根据《湖南省人民政府关于修订湖南省地方重点保护野生植物名录的通知）（湘政函，</w:t>
      </w:r>
      <w:r>
        <w:t>[2002]172</w:t>
      </w:r>
      <w:r>
        <w:rPr>
          <w:rFonts w:hint="eastAsia"/>
        </w:rPr>
        <w:t>号）、《湖南省林业条例》（湖南省人大常委会</w:t>
      </w:r>
      <w:r>
        <w:t>2012</w:t>
      </w:r>
      <w:r>
        <w:rPr>
          <w:rFonts w:hint="eastAsia"/>
        </w:rPr>
        <w:t>年修订）、（全绿委关于开展古树名木普查建档工作的通知）（全国绿化委员会、国家林业局，全绿字</w:t>
      </w:r>
      <w:r>
        <w:t>[2001]15</w:t>
      </w:r>
      <w:r>
        <w:rPr>
          <w:rFonts w:hint="eastAsia"/>
        </w:rPr>
        <w:t>号）确定。</w:t>
      </w:r>
    </w:p>
    <w:p w14:paraId="48CD3BE5">
      <w:pPr>
        <w:adjustRightInd w:val="0"/>
        <w:snapToGrid w:val="0"/>
        <w:ind w:firstLine="480"/>
      </w:pPr>
      <w:r>
        <w:rPr>
          <w:rFonts w:hint="eastAsia"/>
        </w:rPr>
        <w:t>通过搜集整理评价区内关于古树名木及其分布资料，同时对项目所在区域的林业局、附近村民进行访问及现场调查，在评价区未发现古树名木分布。</w:t>
      </w:r>
    </w:p>
    <w:p w14:paraId="047FA739">
      <w:pPr>
        <w:tabs>
          <w:tab w:val="clear" w:pos="480"/>
        </w:tabs>
        <w:adjustRightInd w:val="0"/>
        <w:snapToGrid w:val="0"/>
        <w:ind w:firstLine="0" w:firstLineChars="0"/>
        <w:outlineLvl w:val="3"/>
        <w:rPr>
          <w:b/>
          <w:kern w:val="0"/>
          <w:lang w:val="zh-CN"/>
        </w:rPr>
      </w:pPr>
      <w:r>
        <w:rPr>
          <w:b/>
          <w:kern w:val="0"/>
          <w:lang w:val="zh-CN"/>
        </w:rPr>
        <w:t>5.5.4.13</w:t>
      </w:r>
      <w:r>
        <w:rPr>
          <w:rFonts w:hint="eastAsia"/>
          <w:b/>
          <w:kern w:val="0"/>
          <w:lang w:val="zh-CN"/>
        </w:rPr>
        <w:t>外来物种</w:t>
      </w:r>
    </w:p>
    <w:p w14:paraId="303EDFD1">
      <w:pPr>
        <w:adjustRightInd w:val="0"/>
        <w:snapToGrid w:val="0"/>
        <w:ind w:firstLine="480"/>
      </w:pPr>
      <w:r>
        <w:t>外来物种入侵是造成生物多样性下降的直接原因之一。《生物多样性公约》明确要求，防止引进、控制或消除那些威胁到生态系统、</w:t>
      </w:r>
      <w:r>
        <w:rPr>
          <w:rFonts w:hint="eastAsia"/>
          <w:lang w:eastAsia="zh-CN"/>
        </w:rPr>
        <w:t>环境</w:t>
      </w:r>
      <w:r>
        <w:t>或物种的外来物种。根据《中国外来入侵物种名单》（第一批，2003年）、《中国外来入侵物种名单》（第二批，2010年）、《中国外来入侵物种名单》（第三批，2014年）、《中国自然生态系统外来入侵物种名单》（第四批，2016年），参考本工程所在行政区内关于外来入侵植物的相关资料，通过现场实地调查，评价区外来入侵种主要有小蓬草、一年蓬、垂序商陆等，多零星分布于评价区人为活动较多的村落及道路旁，危害程度较小。</w:t>
      </w:r>
    </w:p>
    <w:p w14:paraId="771D31E9">
      <w:pPr>
        <w:tabs>
          <w:tab w:val="clear" w:pos="480"/>
        </w:tabs>
        <w:adjustRightInd w:val="0"/>
        <w:snapToGrid w:val="0"/>
        <w:ind w:firstLine="0" w:firstLineChars="0"/>
        <w:outlineLvl w:val="3"/>
        <w:rPr>
          <w:b/>
          <w:kern w:val="0"/>
          <w:lang w:val="zh-CN"/>
        </w:rPr>
      </w:pPr>
      <w:r>
        <w:rPr>
          <w:b/>
          <w:kern w:val="0"/>
          <w:lang w:val="zh-CN"/>
        </w:rPr>
        <w:t>5.5.4.14</w:t>
      </w:r>
      <w:r>
        <w:rPr>
          <w:rFonts w:hint="eastAsia"/>
          <w:b/>
          <w:kern w:val="0"/>
          <w:lang w:val="zh-CN"/>
        </w:rPr>
        <w:t>永久基本农田</w:t>
      </w:r>
    </w:p>
    <w:p w14:paraId="3610A172">
      <w:pPr>
        <w:adjustRightInd w:val="0"/>
        <w:snapToGrid w:val="0"/>
        <w:ind w:firstLine="480"/>
      </w:pPr>
      <w:r>
        <w:rPr>
          <w:rFonts w:hint="eastAsia"/>
        </w:rPr>
        <w:t>根据工程布置，本工程建设不占用耕地。根据与衡阳县“三区三线”划定成果套合示意图对比可知，本工程不占用基本农田。</w:t>
      </w:r>
    </w:p>
    <w:p w14:paraId="370E582C">
      <w:pPr>
        <w:keepNext/>
        <w:keepLines/>
        <w:tabs>
          <w:tab w:val="left" w:pos="425"/>
          <w:tab w:val="clear" w:pos="480"/>
        </w:tabs>
        <w:adjustRightInd w:val="0"/>
        <w:snapToGrid w:val="0"/>
        <w:ind w:firstLine="0" w:firstLineChars="0"/>
        <w:outlineLvl w:val="2"/>
        <w:rPr>
          <w:b/>
          <w:kern w:val="24"/>
          <w:sz w:val="28"/>
          <w:szCs w:val="28"/>
          <w:lang w:val="zh-CN"/>
        </w:rPr>
      </w:pPr>
      <w:r>
        <w:rPr>
          <w:b/>
          <w:kern w:val="24"/>
          <w:sz w:val="28"/>
          <w:szCs w:val="28"/>
          <w:lang w:val="zh-CN"/>
        </w:rPr>
        <w:t>5.5.5</w:t>
      </w:r>
      <w:r>
        <w:rPr>
          <w:rFonts w:hint="eastAsia"/>
          <w:b/>
          <w:kern w:val="24"/>
          <w:sz w:val="28"/>
          <w:szCs w:val="28"/>
          <w:lang w:val="zh-CN"/>
        </w:rPr>
        <w:t>陆生动物现状</w:t>
      </w:r>
    </w:p>
    <w:p w14:paraId="3C596DF2">
      <w:pPr>
        <w:adjustRightInd w:val="0"/>
        <w:snapToGrid w:val="0"/>
        <w:ind w:firstLine="480"/>
      </w:pPr>
      <w:r>
        <w:t>2023</w:t>
      </w:r>
      <w:r>
        <w:rPr>
          <w:rFonts w:hint="eastAsia"/>
        </w:rPr>
        <w:t>年</w:t>
      </w:r>
      <w:r>
        <w:t>5</w:t>
      </w:r>
      <w:r>
        <w:rPr>
          <w:rFonts w:hint="eastAsia"/>
        </w:rPr>
        <w:t>月，湖南天瑶环境技术有限公司的专业人员对评价区进行了实地调查。根据工程特点，选择典型</w:t>
      </w:r>
      <w:r>
        <w:rPr>
          <w:rFonts w:hint="eastAsia"/>
          <w:lang w:eastAsia="zh-CN"/>
        </w:rPr>
        <w:t>环境</w:t>
      </w:r>
      <w:r>
        <w:rPr>
          <w:rFonts w:hint="eastAsia"/>
        </w:rPr>
        <w:t>，采用样线法、样方法对评价区内陆生野生动物进行了外业调查，并在沿线村庄进行了座谈访问，在此基础上查阅并参考《湖南省的爬行动物区系》（梁启燊等人，</w:t>
      </w:r>
      <w:r>
        <w:t>1988</w:t>
      </w:r>
      <w:r>
        <w:rPr>
          <w:rFonts w:hint="eastAsia"/>
        </w:rPr>
        <w:t>年）、《中国脊椎动物红色名录》（蒋志刚等人，</w:t>
      </w:r>
      <w:r>
        <w:t>2016</w:t>
      </w:r>
      <w:r>
        <w:rPr>
          <w:rFonts w:hint="eastAsia"/>
        </w:rPr>
        <w:t>年）、《中国爬行动物图鉴》（中国野生动物保护协会，</w:t>
      </w:r>
      <w:r>
        <w:t>2002</w:t>
      </w:r>
      <w:r>
        <w:rPr>
          <w:rFonts w:hint="eastAsia"/>
        </w:rPr>
        <w:t>年）、《中国鸟类分类与分布名录（第三版）》（郑光美，</w:t>
      </w:r>
      <w:r>
        <w:t>2017</w:t>
      </w:r>
      <w:r>
        <w:rPr>
          <w:rFonts w:hint="eastAsia"/>
        </w:rPr>
        <w:t>年）、《中国兽类野外手册》（湖南教育出版社，</w:t>
      </w:r>
      <w:r>
        <w:t>2009</w:t>
      </w:r>
      <w:r>
        <w:rPr>
          <w:rFonts w:hint="eastAsia"/>
        </w:rPr>
        <w:t>年）等著作以及关于本地区脊椎动物类的相关文献资料《湖南省两栖动物调查及区系分析》（沈猷慧，</w:t>
      </w:r>
      <w:r>
        <w:t>1983</w:t>
      </w:r>
      <w:r>
        <w:rPr>
          <w:rFonts w:hint="eastAsia"/>
        </w:rPr>
        <w:t>年）、《湖南省野生动物资源概况》（张启湘，易伐桂，</w:t>
      </w:r>
      <w:r>
        <w:t>1996</w:t>
      </w:r>
      <w:r>
        <w:rPr>
          <w:rFonts w:hint="eastAsia"/>
        </w:rPr>
        <w:t>年）、《湖南爬行动物区系与地理区划》（邓学建，叶贻云，</w:t>
      </w:r>
      <w:r>
        <w:t>1998</w:t>
      </w:r>
      <w:r>
        <w:rPr>
          <w:rFonts w:hint="eastAsia"/>
        </w:rPr>
        <w:t>年）、《湖南鸟类初步调查</w:t>
      </w:r>
      <w:r>
        <w:t xml:space="preserve"> </w:t>
      </w:r>
      <w:r>
        <w:rPr>
          <w:rFonts w:hint="eastAsia"/>
        </w:rPr>
        <w:t>非雀形目》（郑作新，钱燕文等，</w:t>
      </w:r>
      <w:r>
        <w:t>1960</w:t>
      </w:r>
      <w:r>
        <w:rPr>
          <w:rFonts w:hint="eastAsia"/>
        </w:rPr>
        <w:t>年）、《湖南鸟类初步调查</w:t>
      </w:r>
      <w:r>
        <w:t xml:space="preserve"> </w:t>
      </w:r>
      <w:r>
        <w:rPr>
          <w:rFonts w:hint="eastAsia"/>
        </w:rPr>
        <w:t>雀形目》（郑作新，冼耀华等，</w:t>
      </w:r>
      <w:r>
        <w:t>1961</w:t>
      </w:r>
      <w:r>
        <w:rPr>
          <w:rFonts w:hint="eastAsia"/>
        </w:rPr>
        <w:t>年）、等，对评价区的野生动物资源现状得出综合结论。</w:t>
      </w:r>
    </w:p>
    <w:p w14:paraId="4DDBAE36">
      <w:pPr>
        <w:tabs>
          <w:tab w:val="clear" w:pos="480"/>
        </w:tabs>
        <w:adjustRightInd w:val="0"/>
        <w:snapToGrid w:val="0"/>
        <w:ind w:firstLine="0" w:firstLineChars="0"/>
        <w:outlineLvl w:val="3"/>
        <w:rPr>
          <w:b/>
          <w:kern w:val="0"/>
          <w:lang w:val="zh-CN"/>
        </w:rPr>
      </w:pPr>
      <w:r>
        <w:rPr>
          <w:b/>
          <w:kern w:val="0"/>
          <w:lang w:val="zh-CN"/>
        </w:rPr>
        <w:t>5.5.5.1</w:t>
      </w:r>
      <w:r>
        <w:rPr>
          <w:rFonts w:hint="eastAsia"/>
          <w:b/>
          <w:kern w:val="0"/>
          <w:lang w:val="zh-CN"/>
        </w:rPr>
        <w:t>动物区系</w:t>
      </w:r>
    </w:p>
    <w:p w14:paraId="7FB72A86">
      <w:pPr>
        <w:adjustRightInd w:val="0"/>
        <w:snapToGrid w:val="0"/>
        <w:ind w:firstLine="480"/>
      </w:pPr>
      <w:r>
        <w:rPr>
          <w:rFonts w:hint="eastAsia"/>
        </w:rPr>
        <w:t>根据《中国动物地理》（科学出版社，</w:t>
      </w:r>
      <w:r>
        <w:t>2011</w:t>
      </w:r>
      <w:r>
        <w:rPr>
          <w:rFonts w:hint="eastAsia"/>
        </w:rPr>
        <w:t>），我国动物地理区划分属于世界动物地理分区的古北界与东洋界。两界在我国境内的分界线西起横断山脉北部，经过川北的岷山与陕南的秦岭，向东至淮河南岸，直抵长江口以北。我国动物区系根据陆栖脊椎动物，特别是哺乳类和鸟类的分布情况，可以分为东北区、华北区、蒙新区、青藏区、西南区、华中区及华南区</w:t>
      </w:r>
      <w:r>
        <w:t>7</w:t>
      </w:r>
      <w:r>
        <w:rPr>
          <w:rFonts w:hint="eastAsia"/>
        </w:rPr>
        <w:t>个区。其中前</w:t>
      </w:r>
      <w:r>
        <w:t>4</w:t>
      </w:r>
      <w:r>
        <w:rPr>
          <w:rFonts w:hint="eastAsia"/>
        </w:rPr>
        <w:t>个区属于古北界；后</w:t>
      </w:r>
      <w:r>
        <w:t>3</w:t>
      </w:r>
      <w:r>
        <w:rPr>
          <w:rFonts w:hint="eastAsia"/>
        </w:rPr>
        <w:t>个区属于东洋界。</w:t>
      </w:r>
    </w:p>
    <w:p w14:paraId="30E75FE0">
      <w:pPr>
        <w:adjustRightInd w:val="0"/>
        <w:snapToGrid w:val="0"/>
        <w:ind w:firstLine="480"/>
      </w:pPr>
      <w:r>
        <w:rPr>
          <w:rFonts w:hint="eastAsia"/>
        </w:rPr>
        <w:t>本项目位于湖南省衡阳市衡阳县渣江镇、岣嵝乡、集兵镇、界牌镇一带。动物区划属于东洋界—中印亚界—华中区</w:t>
      </w:r>
      <w:r>
        <w:t>(</w:t>
      </w:r>
      <w:r>
        <w:rPr>
          <w:rFonts w:hint="eastAsia"/>
        </w:rPr>
        <w:t>Ⅵ</w:t>
      </w:r>
      <w:r>
        <w:t>)</w:t>
      </w:r>
      <w:r>
        <w:rPr>
          <w:rFonts w:hint="eastAsia"/>
        </w:rPr>
        <w:t>—东部丘陵平原亚区</w:t>
      </w:r>
      <w:r>
        <w:t>(</w:t>
      </w:r>
      <w:r>
        <w:rPr>
          <w:rFonts w:hint="eastAsia"/>
        </w:rPr>
        <w:t>Ⅵ</w:t>
      </w:r>
      <w:r>
        <w:t>A)</w:t>
      </w:r>
      <w:r>
        <w:rPr>
          <w:rFonts w:hint="eastAsia"/>
        </w:rPr>
        <w:t>，评价区涉及江南丘陵省—亚热带林灌农田动物群。</w:t>
      </w:r>
    </w:p>
    <w:p w14:paraId="3755DE55">
      <w:pPr>
        <w:tabs>
          <w:tab w:val="clear" w:pos="480"/>
        </w:tabs>
        <w:adjustRightInd w:val="0"/>
        <w:snapToGrid w:val="0"/>
        <w:ind w:firstLine="0" w:firstLineChars="0"/>
        <w:outlineLvl w:val="3"/>
        <w:rPr>
          <w:b/>
          <w:kern w:val="0"/>
          <w:lang w:val="zh-CN"/>
        </w:rPr>
      </w:pPr>
      <w:r>
        <w:rPr>
          <w:b/>
          <w:kern w:val="0"/>
          <w:lang w:val="zh-CN"/>
        </w:rPr>
        <w:t>5.5.5.2</w:t>
      </w:r>
      <w:r>
        <w:rPr>
          <w:rFonts w:hint="eastAsia"/>
          <w:b/>
          <w:kern w:val="0"/>
          <w:lang w:val="zh-CN"/>
        </w:rPr>
        <w:t>种类组成</w:t>
      </w:r>
    </w:p>
    <w:p w14:paraId="743F2111">
      <w:pPr>
        <w:adjustRightInd w:val="0"/>
        <w:snapToGrid w:val="0"/>
        <w:ind w:firstLine="480"/>
      </w:pPr>
      <w:r>
        <w:rPr>
          <w:rFonts w:hint="eastAsia"/>
        </w:rPr>
        <w:t>根据实地考察及对相关资料的综合分析，评价区范围内共有陆生野生脊椎动物</w:t>
      </w:r>
      <w:r>
        <w:t>4</w:t>
      </w:r>
      <w:r>
        <w:rPr>
          <w:rFonts w:hint="eastAsia"/>
        </w:rPr>
        <w:t>纲</w:t>
      </w:r>
      <w:r>
        <w:t>18</w:t>
      </w:r>
      <w:r>
        <w:rPr>
          <w:rFonts w:hint="eastAsia"/>
        </w:rPr>
        <w:t>目</w:t>
      </w:r>
      <w:r>
        <w:t>55</w:t>
      </w:r>
      <w:r>
        <w:rPr>
          <w:rFonts w:hint="eastAsia"/>
        </w:rPr>
        <w:t>科</w:t>
      </w:r>
      <w:r>
        <w:t>131</w:t>
      </w:r>
      <w:r>
        <w:rPr>
          <w:rFonts w:hint="eastAsia"/>
        </w:rPr>
        <w:t>种。评价区内未发现国家</w:t>
      </w:r>
      <w:r>
        <w:t>Ⅰ</w:t>
      </w:r>
      <w:r>
        <w:rPr>
          <w:rFonts w:hint="eastAsia"/>
        </w:rPr>
        <w:t>级重点保护野生动物，有国家</w:t>
      </w:r>
      <w:r>
        <w:t>Ⅱ</w:t>
      </w:r>
      <w:r>
        <w:rPr>
          <w:rFonts w:hint="eastAsia"/>
        </w:rPr>
        <w:t>级重点保护野生动物</w:t>
      </w:r>
      <w:r>
        <w:t>5</w:t>
      </w:r>
      <w:r>
        <w:rPr>
          <w:rFonts w:hint="eastAsia"/>
        </w:rPr>
        <w:t>种，有湖南省级重点保护野生动物</w:t>
      </w:r>
      <w:r>
        <w:t>85</w:t>
      </w:r>
      <w:r>
        <w:rPr>
          <w:rFonts w:hint="eastAsia"/>
        </w:rPr>
        <w:t>种。评价区两栖类、爬行类、鸟类、兽类各纲的种类组成、区系、保护等级参见下表。</w:t>
      </w:r>
    </w:p>
    <w:p w14:paraId="34E4803D">
      <w:pPr>
        <w:adjustRightInd w:val="0"/>
        <w:snapToGrid w:val="0"/>
        <w:spacing w:line="240" w:lineRule="auto"/>
        <w:ind w:firstLine="0" w:firstLineChars="0"/>
        <w:jc w:val="center"/>
        <w:rPr>
          <w:b/>
          <w:bCs/>
        </w:rPr>
      </w:pPr>
      <w:bookmarkStart w:id="139" w:name="_Ref435611175"/>
    </w:p>
    <w:p w14:paraId="3D186FC3">
      <w:pPr>
        <w:adjustRightInd w:val="0"/>
        <w:snapToGrid w:val="0"/>
        <w:spacing w:line="240" w:lineRule="auto"/>
        <w:ind w:firstLine="0" w:firstLineChars="0"/>
        <w:jc w:val="center"/>
        <w:rPr>
          <w:b/>
          <w:bCs/>
        </w:rPr>
      </w:pPr>
      <w:r>
        <w:rPr>
          <w:rFonts w:hint="eastAsia"/>
          <w:b/>
          <w:bCs/>
        </w:rPr>
        <w:t>表</w:t>
      </w:r>
      <w:bookmarkEnd w:id="139"/>
      <w:r>
        <w:rPr>
          <w:b/>
          <w:bCs/>
        </w:rPr>
        <w:t>5.5-13</w:t>
      </w:r>
      <w:r>
        <w:rPr>
          <w:rFonts w:hint="eastAsia"/>
          <w:b/>
          <w:bCs/>
        </w:rPr>
        <w:t>评价区陆生脊椎动物种类组成、区系和保护等级</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83"/>
        <w:gridCol w:w="839"/>
        <w:gridCol w:w="841"/>
        <w:gridCol w:w="841"/>
        <w:gridCol w:w="841"/>
        <w:gridCol w:w="839"/>
        <w:gridCol w:w="841"/>
        <w:gridCol w:w="839"/>
        <w:gridCol w:w="841"/>
        <w:gridCol w:w="836"/>
      </w:tblGrid>
      <w:tr w14:paraId="30A834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980" w:type="pct"/>
            <w:gridSpan w:val="4"/>
            <w:tcBorders>
              <w:top w:val="single" w:color="000000" w:sz="12" w:space="0"/>
              <w:left w:val="single" w:color="000000" w:sz="12" w:space="0"/>
              <w:bottom w:val="single" w:color="000000" w:sz="4" w:space="0"/>
              <w:right w:val="single" w:color="000000" w:sz="4" w:space="0"/>
            </w:tcBorders>
            <w:tcMar>
              <w:top w:w="15" w:type="dxa"/>
              <w:left w:w="15" w:type="dxa"/>
              <w:bottom w:w="15" w:type="dxa"/>
              <w:right w:w="15" w:type="dxa"/>
            </w:tcMar>
            <w:vAlign w:val="center"/>
          </w:tcPr>
          <w:p w14:paraId="6D84703E">
            <w:pPr>
              <w:widowControl/>
              <w:adjustRightInd w:val="0"/>
              <w:snapToGrid w:val="0"/>
              <w:spacing w:line="240" w:lineRule="auto"/>
              <w:ind w:firstLine="0" w:firstLineChars="0"/>
              <w:jc w:val="center"/>
              <w:rPr>
                <w:b/>
                <w:bCs/>
                <w:kern w:val="0"/>
                <w:sz w:val="21"/>
                <w:szCs w:val="21"/>
              </w:rPr>
            </w:pPr>
            <w:r>
              <w:rPr>
                <w:rFonts w:hint="eastAsia"/>
                <w:b/>
                <w:bCs/>
                <w:kern w:val="0"/>
                <w:szCs w:val="21"/>
              </w:rPr>
              <w:t>种类组成</w:t>
            </w:r>
          </w:p>
        </w:tc>
        <w:tc>
          <w:tcPr>
            <w:tcW w:w="1511" w:type="pct"/>
            <w:gridSpan w:val="3"/>
            <w:tcBorders>
              <w:top w:val="single" w:color="000000" w:sz="12"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0CD2E3A7">
            <w:pPr>
              <w:widowControl/>
              <w:adjustRightInd w:val="0"/>
              <w:snapToGrid w:val="0"/>
              <w:spacing w:line="240" w:lineRule="auto"/>
              <w:ind w:firstLine="0" w:firstLineChars="0"/>
              <w:jc w:val="center"/>
              <w:rPr>
                <w:b/>
                <w:bCs/>
                <w:kern w:val="0"/>
                <w:szCs w:val="21"/>
              </w:rPr>
            </w:pPr>
            <w:r>
              <w:rPr>
                <w:rFonts w:hint="eastAsia"/>
                <w:b/>
                <w:bCs/>
                <w:kern w:val="0"/>
                <w:szCs w:val="21"/>
              </w:rPr>
              <w:t>动物区系</w:t>
            </w:r>
          </w:p>
        </w:tc>
        <w:tc>
          <w:tcPr>
            <w:tcW w:w="1508" w:type="pct"/>
            <w:gridSpan w:val="3"/>
            <w:tcBorders>
              <w:top w:val="single" w:color="000000" w:sz="12" w:space="0"/>
              <w:left w:val="single" w:color="000000" w:sz="4" w:space="0"/>
              <w:bottom w:val="single" w:color="000000" w:sz="4" w:space="0"/>
              <w:right w:val="single" w:color="000000" w:sz="12" w:space="0"/>
            </w:tcBorders>
            <w:tcMar>
              <w:top w:w="15" w:type="dxa"/>
              <w:left w:w="15" w:type="dxa"/>
              <w:bottom w:w="15" w:type="dxa"/>
              <w:right w:w="15" w:type="dxa"/>
            </w:tcMar>
            <w:vAlign w:val="center"/>
          </w:tcPr>
          <w:p w14:paraId="11742B27">
            <w:pPr>
              <w:widowControl/>
              <w:adjustRightInd w:val="0"/>
              <w:snapToGrid w:val="0"/>
              <w:spacing w:line="240" w:lineRule="auto"/>
              <w:ind w:firstLine="0" w:firstLineChars="0"/>
              <w:jc w:val="center"/>
              <w:rPr>
                <w:b/>
                <w:bCs/>
                <w:kern w:val="0"/>
                <w:szCs w:val="21"/>
              </w:rPr>
            </w:pPr>
            <w:r>
              <w:rPr>
                <w:rFonts w:hint="eastAsia"/>
                <w:b/>
                <w:bCs/>
                <w:kern w:val="0"/>
                <w:szCs w:val="21"/>
              </w:rPr>
              <w:t>保护级别</w:t>
            </w:r>
          </w:p>
        </w:tc>
      </w:tr>
      <w:tr w14:paraId="00312B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9" w:type="pct"/>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center"/>
          </w:tcPr>
          <w:p w14:paraId="3FF15CAC">
            <w:pPr>
              <w:widowControl/>
              <w:adjustRightInd w:val="0"/>
              <w:snapToGrid w:val="0"/>
              <w:spacing w:line="240" w:lineRule="auto"/>
              <w:ind w:firstLine="0" w:firstLineChars="0"/>
              <w:jc w:val="center"/>
              <w:rPr>
                <w:b/>
                <w:bCs/>
                <w:kern w:val="0"/>
                <w:szCs w:val="21"/>
              </w:rPr>
            </w:pPr>
            <w:r>
              <w:rPr>
                <w:rFonts w:hint="eastAsia"/>
                <w:b/>
                <w:bCs/>
                <w:kern w:val="0"/>
                <w:szCs w:val="21"/>
              </w:rPr>
              <w:t>纲</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297D091A">
            <w:pPr>
              <w:widowControl/>
              <w:adjustRightInd w:val="0"/>
              <w:snapToGrid w:val="0"/>
              <w:spacing w:line="240" w:lineRule="auto"/>
              <w:ind w:firstLine="0" w:firstLineChars="0"/>
              <w:jc w:val="center"/>
              <w:rPr>
                <w:b/>
                <w:bCs/>
                <w:kern w:val="0"/>
                <w:szCs w:val="21"/>
              </w:rPr>
            </w:pPr>
            <w:r>
              <w:rPr>
                <w:rFonts w:hint="eastAsia"/>
                <w:b/>
                <w:bCs/>
                <w:kern w:val="0"/>
                <w:szCs w:val="21"/>
              </w:rPr>
              <w:t>目</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3CD30363">
            <w:pPr>
              <w:widowControl/>
              <w:adjustRightInd w:val="0"/>
              <w:snapToGrid w:val="0"/>
              <w:spacing w:line="240" w:lineRule="auto"/>
              <w:ind w:firstLine="0" w:firstLineChars="0"/>
              <w:jc w:val="center"/>
              <w:rPr>
                <w:b/>
                <w:bCs/>
                <w:kern w:val="0"/>
                <w:szCs w:val="21"/>
              </w:rPr>
            </w:pPr>
            <w:r>
              <w:rPr>
                <w:rFonts w:hint="eastAsia"/>
                <w:b/>
                <w:bCs/>
                <w:kern w:val="0"/>
                <w:szCs w:val="21"/>
              </w:rPr>
              <w:t>科</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0635B7BF">
            <w:pPr>
              <w:widowControl/>
              <w:adjustRightInd w:val="0"/>
              <w:snapToGrid w:val="0"/>
              <w:spacing w:line="240" w:lineRule="auto"/>
              <w:ind w:firstLine="0" w:firstLineChars="0"/>
              <w:jc w:val="center"/>
              <w:rPr>
                <w:b/>
                <w:bCs/>
                <w:kern w:val="0"/>
                <w:szCs w:val="21"/>
              </w:rPr>
            </w:pPr>
            <w:r>
              <w:rPr>
                <w:rFonts w:hint="eastAsia"/>
                <w:b/>
                <w:bCs/>
                <w:kern w:val="0"/>
                <w:szCs w:val="21"/>
              </w:rPr>
              <w:t>种</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5D6D880">
            <w:pPr>
              <w:widowControl/>
              <w:adjustRightInd w:val="0"/>
              <w:snapToGrid w:val="0"/>
              <w:spacing w:line="240" w:lineRule="auto"/>
              <w:ind w:firstLine="0" w:firstLineChars="0"/>
              <w:jc w:val="center"/>
              <w:rPr>
                <w:b/>
                <w:bCs/>
                <w:kern w:val="0"/>
                <w:szCs w:val="21"/>
              </w:rPr>
            </w:pPr>
            <w:r>
              <w:rPr>
                <w:rFonts w:hint="eastAsia"/>
                <w:b/>
                <w:bCs/>
                <w:kern w:val="0"/>
                <w:szCs w:val="21"/>
              </w:rPr>
              <w:t>东洋种</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2E3C9698">
            <w:pPr>
              <w:widowControl/>
              <w:adjustRightInd w:val="0"/>
              <w:snapToGrid w:val="0"/>
              <w:spacing w:line="240" w:lineRule="auto"/>
              <w:ind w:firstLine="0" w:firstLineChars="0"/>
              <w:jc w:val="center"/>
              <w:rPr>
                <w:b/>
                <w:bCs/>
                <w:kern w:val="0"/>
                <w:szCs w:val="21"/>
              </w:rPr>
            </w:pPr>
            <w:r>
              <w:rPr>
                <w:rFonts w:hint="eastAsia"/>
                <w:b/>
                <w:bCs/>
                <w:kern w:val="0"/>
                <w:szCs w:val="21"/>
              </w:rPr>
              <w:t>古北种</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56A14DE">
            <w:pPr>
              <w:widowControl/>
              <w:adjustRightInd w:val="0"/>
              <w:snapToGrid w:val="0"/>
              <w:spacing w:line="240" w:lineRule="auto"/>
              <w:ind w:firstLine="0" w:firstLineChars="0"/>
              <w:jc w:val="center"/>
              <w:rPr>
                <w:b/>
                <w:bCs/>
                <w:kern w:val="0"/>
                <w:szCs w:val="21"/>
              </w:rPr>
            </w:pPr>
            <w:r>
              <w:rPr>
                <w:rFonts w:hint="eastAsia"/>
                <w:b/>
                <w:bCs/>
                <w:kern w:val="0"/>
                <w:szCs w:val="21"/>
              </w:rPr>
              <w:t>广布种</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31AF65B6">
            <w:pPr>
              <w:widowControl/>
              <w:adjustRightInd w:val="0"/>
              <w:snapToGrid w:val="0"/>
              <w:spacing w:line="240" w:lineRule="auto"/>
              <w:ind w:firstLine="0" w:firstLineChars="0"/>
              <w:jc w:val="center"/>
              <w:rPr>
                <w:b/>
                <w:bCs/>
                <w:kern w:val="0"/>
                <w:szCs w:val="21"/>
              </w:rPr>
            </w:pPr>
            <w:r>
              <w:rPr>
                <w:rFonts w:hint="eastAsia"/>
                <w:b/>
                <w:bCs/>
                <w:kern w:val="0"/>
                <w:szCs w:val="21"/>
              </w:rPr>
              <w:t>国家</w:t>
            </w:r>
          </w:p>
          <w:p w14:paraId="30DDC186">
            <w:pPr>
              <w:adjustRightInd w:val="0"/>
              <w:snapToGrid w:val="0"/>
              <w:spacing w:line="240" w:lineRule="auto"/>
              <w:ind w:firstLine="0" w:firstLineChars="0"/>
              <w:jc w:val="center"/>
              <w:rPr>
                <w:b/>
                <w:bCs/>
                <w:kern w:val="0"/>
                <w:szCs w:val="21"/>
              </w:rPr>
            </w:pPr>
            <w:r>
              <w:rPr>
                <w:b/>
                <w:bCs/>
                <w:kern w:val="0"/>
                <w:szCs w:val="21"/>
              </w:rPr>
              <w:t>I</w:t>
            </w:r>
            <w:r>
              <w:rPr>
                <w:rFonts w:hint="eastAsia"/>
                <w:b/>
                <w:bCs/>
                <w:kern w:val="0"/>
                <w:szCs w:val="21"/>
              </w:rPr>
              <w:t>级</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4655F351">
            <w:pPr>
              <w:widowControl/>
              <w:adjustRightInd w:val="0"/>
              <w:snapToGrid w:val="0"/>
              <w:spacing w:line="240" w:lineRule="auto"/>
              <w:ind w:firstLine="0" w:firstLineChars="0"/>
              <w:jc w:val="center"/>
              <w:rPr>
                <w:b/>
                <w:bCs/>
                <w:kern w:val="0"/>
                <w:szCs w:val="21"/>
              </w:rPr>
            </w:pPr>
            <w:r>
              <w:rPr>
                <w:rFonts w:hint="eastAsia"/>
                <w:b/>
                <w:bCs/>
                <w:kern w:val="0"/>
                <w:szCs w:val="21"/>
              </w:rPr>
              <w:t>国家</w:t>
            </w:r>
          </w:p>
          <w:p w14:paraId="6A6448C2">
            <w:pPr>
              <w:adjustRightInd w:val="0"/>
              <w:snapToGrid w:val="0"/>
              <w:spacing w:line="240" w:lineRule="auto"/>
              <w:ind w:firstLine="0" w:firstLineChars="0"/>
              <w:jc w:val="center"/>
              <w:rPr>
                <w:b/>
                <w:bCs/>
                <w:kern w:val="0"/>
                <w:szCs w:val="21"/>
              </w:rPr>
            </w:pPr>
            <w:r>
              <w:rPr>
                <w:b/>
                <w:bCs/>
                <w:kern w:val="0"/>
                <w:szCs w:val="21"/>
              </w:rPr>
              <w:t>Ⅱ</w:t>
            </w:r>
            <w:r>
              <w:rPr>
                <w:rFonts w:hint="eastAsia"/>
                <w:b/>
                <w:bCs/>
                <w:kern w:val="0"/>
                <w:szCs w:val="21"/>
              </w:rPr>
              <w:t>级</w:t>
            </w:r>
          </w:p>
        </w:tc>
        <w:tc>
          <w:tcPr>
            <w:tcW w:w="501" w:type="pct"/>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center"/>
          </w:tcPr>
          <w:p w14:paraId="24482E9E">
            <w:pPr>
              <w:widowControl/>
              <w:adjustRightInd w:val="0"/>
              <w:snapToGrid w:val="0"/>
              <w:spacing w:line="240" w:lineRule="auto"/>
              <w:ind w:firstLine="0" w:firstLineChars="0"/>
              <w:jc w:val="center"/>
              <w:rPr>
                <w:b/>
                <w:bCs/>
                <w:kern w:val="0"/>
                <w:szCs w:val="21"/>
              </w:rPr>
            </w:pPr>
            <w:r>
              <w:rPr>
                <w:rFonts w:hint="eastAsia"/>
                <w:b/>
                <w:bCs/>
                <w:kern w:val="0"/>
                <w:szCs w:val="21"/>
              </w:rPr>
              <w:t>湖南省级</w:t>
            </w:r>
          </w:p>
        </w:tc>
      </w:tr>
      <w:tr w14:paraId="434C7B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9" w:type="pct"/>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center"/>
          </w:tcPr>
          <w:p w14:paraId="79667D17">
            <w:pPr>
              <w:widowControl/>
              <w:adjustRightInd w:val="0"/>
              <w:snapToGrid w:val="0"/>
              <w:spacing w:line="240" w:lineRule="auto"/>
              <w:ind w:firstLine="0" w:firstLineChars="0"/>
              <w:jc w:val="center"/>
              <w:rPr>
                <w:kern w:val="0"/>
                <w:szCs w:val="21"/>
              </w:rPr>
            </w:pPr>
            <w:r>
              <w:rPr>
                <w:rFonts w:hint="eastAsia"/>
                <w:kern w:val="0"/>
                <w:szCs w:val="21"/>
              </w:rPr>
              <w:t>两栖纲</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BD9E05A">
            <w:pPr>
              <w:widowControl/>
              <w:adjustRightInd w:val="0"/>
              <w:snapToGrid w:val="0"/>
              <w:spacing w:line="240" w:lineRule="auto"/>
              <w:ind w:firstLine="0" w:firstLineChars="0"/>
              <w:jc w:val="center"/>
              <w:rPr>
                <w:kern w:val="0"/>
                <w:szCs w:val="21"/>
              </w:rPr>
            </w:pPr>
            <w:r>
              <w:rPr>
                <w:kern w:val="0"/>
                <w:szCs w:val="21"/>
              </w:rPr>
              <w:t>1</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2080D4CF">
            <w:pPr>
              <w:widowControl/>
              <w:adjustRightInd w:val="0"/>
              <w:snapToGrid w:val="0"/>
              <w:spacing w:line="240" w:lineRule="auto"/>
              <w:ind w:firstLine="0" w:firstLineChars="0"/>
              <w:jc w:val="center"/>
              <w:rPr>
                <w:kern w:val="0"/>
                <w:szCs w:val="21"/>
              </w:rPr>
            </w:pPr>
            <w:r>
              <w:rPr>
                <w:kern w:val="0"/>
                <w:szCs w:val="21"/>
              </w:rPr>
              <w:t>5</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0970C346">
            <w:pPr>
              <w:widowControl/>
              <w:adjustRightInd w:val="0"/>
              <w:snapToGrid w:val="0"/>
              <w:spacing w:line="240" w:lineRule="auto"/>
              <w:ind w:firstLine="0" w:firstLineChars="0"/>
              <w:jc w:val="center"/>
              <w:rPr>
                <w:kern w:val="0"/>
                <w:szCs w:val="21"/>
              </w:rPr>
            </w:pPr>
            <w:r>
              <w:rPr>
                <w:kern w:val="0"/>
                <w:szCs w:val="21"/>
              </w:rPr>
              <w:t>11</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45FFFF24">
            <w:pPr>
              <w:widowControl/>
              <w:adjustRightInd w:val="0"/>
              <w:snapToGrid w:val="0"/>
              <w:spacing w:line="240" w:lineRule="auto"/>
              <w:ind w:firstLine="0" w:firstLineChars="0"/>
              <w:jc w:val="center"/>
              <w:rPr>
                <w:kern w:val="0"/>
                <w:szCs w:val="21"/>
              </w:rPr>
            </w:pPr>
            <w:r>
              <w:rPr>
                <w:kern w:val="0"/>
                <w:szCs w:val="21"/>
              </w:rPr>
              <w:t>9</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08EBD017">
            <w:pPr>
              <w:widowControl/>
              <w:adjustRightInd w:val="0"/>
              <w:snapToGrid w:val="0"/>
              <w:spacing w:line="240" w:lineRule="auto"/>
              <w:ind w:firstLine="0" w:firstLineChars="0"/>
              <w:jc w:val="center"/>
              <w:rPr>
                <w:kern w:val="0"/>
                <w:szCs w:val="21"/>
              </w:rPr>
            </w:pPr>
            <w:r>
              <w:rPr>
                <w:kern w:val="0"/>
                <w:szCs w:val="21"/>
              </w:rPr>
              <w:t>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99AA4D2">
            <w:pPr>
              <w:widowControl/>
              <w:adjustRightInd w:val="0"/>
              <w:snapToGrid w:val="0"/>
              <w:spacing w:line="240" w:lineRule="auto"/>
              <w:ind w:firstLine="0" w:firstLineChars="0"/>
              <w:jc w:val="center"/>
              <w:rPr>
                <w:kern w:val="0"/>
                <w:szCs w:val="21"/>
              </w:rPr>
            </w:pPr>
            <w:r>
              <w:rPr>
                <w:kern w:val="0"/>
                <w:szCs w:val="21"/>
              </w:rPr>
              <w:t>2</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1CB1FB69">
            <w:pPr>
              <w:widowControl/>
              <w:adjustRightInd w:val="0"/>
              <w:snapToGrid w:val="0"/>
              <w:spacing w:line="240" w:lineRule="auto"/>
              <w:ind w:firstLine="0" w:firstLineChars="0"/>
              <w:jc w:val="center"/>
              <w:rPr>
                <w:kern w:val="0"/>
                <w:szCs w:val="21"/>
              </w:rPr>
            </w:pPr>
            <w:r>
              <w:rPr>
                <w:kern w:val="0"/>
                <w:szCs w:val="21"/>
              </w:rPr>
              <w:t>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7306ACEE">
            <w:pPr>
              <w:widowControl/>
              <w:adjustRightInd w:val="0"/>
              <w:snapToGrid w:val="0"/>
              <w:spacing w:line="240" w:lineRule="auto"/>
              <w:ind w:firstLine="0" w:firstLineChars="0"/>
              <w:jc w:val="center"/>
              <w:rPr>
                <w:kern w:val="0"/>
                <w:szCs w:val="21"/>
              </w:rPr>
            </w:pPr>
            <w:r>
              <w:rPr>
                <w:kern w:val="0"/>
                <w:szCs w:val="21"/>
              </w:rPr>
              <w:t>0</w:t>
            </w:r>
          </w:p>
        </w:tc>
        <w:tc>
          <w:tcPr>
            <w:tcW w:w="501" w:type="pct"/>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center"/>
          </w:tcPr>
          <w:p w14:paraId="622512BB">
            <w:pPr>
              <w:widowControl/>
              <w:adjustRightInd w:val="0"/>
              <w:snapToGrid w:val="0"/>
              <w:spacing w:line="240" w:lineRule="auto"/>
              <w:ind w:firstLine="0" w:firstLineChars="0"/>
              <w:jc w:val="center"/>
              <w:rPr>
                <w:kern w:val="0"/>
                <w:szCs w:val="21"/>
              </w:rPr>
            </w:pPr>
            <w:r>
              <w:rPr>
                <w:kern w:val="0"/>
                <w:szCs w:val="21"/>
              </w:rPr>
              <w:t>11</w:t>
            </w:r>
          </w:p>
        </w:tc>
      </w:tr>
      <w:tr w14:paraId="2F8461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9" w:type="pct"/>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center"/>
          </w:tcPr>
          <w:p w14:paraId="683A434D">
            <w:pPr>
              <w:widowControl/>
              <w:adjustRightInd w:val="0"/>
              <w:snapToGrid w:val="0"/>
              <w:spacing w:line="240" w:lineRule="auto"/>
              <w:ind w:firstLine="0" w:firstLineChars="0"/>
              <w:jc w:val="center"/>
              <w:rPr>
                <w:kern w:val="0"/>
                <w:szCs w:val="21"/>
              </w:rPr>
            </w:pPr>
            <w:r>
              <w:rPr>
                <w:rFonts w:hint="eastAsia"/>
                <w:kern w:val="0"/>
                <w:szCs w:val="21"/>
              </w:rPr>
              <w:t>爬行纲</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1E34E0E1">
            <w:pPr>
              <w:widowControl/>
              <w:adjustRightInd w:val="0"/>
              <w:snapToGrid w:val="0"/>
              <w:spacing w:line="240" w:lineRule="auto"/>
              <w:ind w:firstLine="0" w:firstLineChars="0"/>
              <w:jc w:val="center"/>
              <w:rPr>
                <w:kern w:val="0"/>
                <w:szCs w:val="21"/>
              </w:rPr>
            </w:pPr>
            <w:r>
              <w:rPr>
                <w:kern w:val="0"/>
                <w:szCs w:val="21"/>
              </w:rPr>
              <w:t>1</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DA3CD89">
            <w:pPr>
              <w:widowControl/>
              <w:adjustRightInd w:val="0"/>
              <w:snapToGrid w:val="0"/>
              <w:spacing w:line="240" w:lineRule="auto"/>
              <w:ind w:firstLine="0" w:firstLineChars="0"/>
              <w:jc w:val="center"/>
              <w:rPr>
                <w:kern w:val="0"/>
                <w:szCs w:val="21"/>
              </w:rPr>
            </w:pPr>
            <w:r>
              <w:rPr>
                <w:kern w:val="0"/>
                <w:szCs w:val="21"/>
              </w:rPr>
              <w:t>6</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4010EAA5">
            <w:pPr>
              <w:widowControl/>
              <w:adjustRightInd w:val="0"/>
              <w:snapToGrid w:val="0"/>
              <w:spacing w:line="240" w:lineRule="auto"/>
              <w:ind w:firstLine="0" w:firstLineChars="0"/>
              <w:jc w:val="center"/>
              <w:rPr>
                <w:kern w:val="0"/>
                <w:szCs w:val="21"/>
              </w:rPr>
            </w:pPr>
            <w:r>
              <w:rPr>
                <w:kern w:val="0"/>
                <w:szCs w:val="21"/>
              </w:rPr>
              <w:t>22</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40688BE">
            <w:pPr>
              <w:widowControl/>
              <w:adjustRightInd w:val="0"/>
              <w:snapToGrid w:val="0"/>
              <w:spacing w:line="240" w:lineRule="auto"/>
              <w:ind w:firstLine="0" w:firstLineChars="0"/>
              <w:jc w:val="center"/>
              <w:rPr>
                <w:kern w:val="0"/>
                <w:szCs w:val="21"/>
              </w:rPr>
            </w:pPr>
            <w:r>
              <w:rPr>
                <w:kern w:val="0"/>
                <w:szCs w:val="21"/>
              </w:rPr>
              <w:t>15</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9B8C1D4">
            <w:pPr>
              <w:widowControl/>
              <w:adjustRightInd w:val="0"/>
              <w:snapToGrid w:val="0"/>
              <w:spacing w:line="240" w:lineRule="auto"/>
              <w:ind w:firstLine="0" w:firstLineChars="0"/>
              <w:jc w:val="center"/>
              <w:rPr>
                <w:kern w:val="0"/>
                <w:szCs w:val="21"/>
              </w:rPr>
            </w:pPr>
            <w:r>
              <w:rPr>
                <w:kern w:val="0"/>
                <w:szCs w:val="21"/>
              </w:rPr>
              <w:t>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FF0D5ED">
            <w:pPr>
              <w:widowControl/>
              <w:adjustRightInd w:val="0"/>
              <w:snapToGrid w:val="0"/>
              <w:spacing w:line="240" w:lineRule="auto"/>
              <w:ind w:firstLine="0" w:firstLineChars="0"/>
              <w:jc w:val="center"/>
              <w:rPr>
                <w:kern w:val="0"/>
                <w:szCs w:val="21"/>
              </w:rPr>
            </w:pPr>
            <w:r>
              <w:rPr>
                <w:kern w:val="0"/>
                <w:szCs w:val="21"/>
              </w:rPr>
              <w:t>7</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054BE53B">
            <w:pPr>
              <w:widowControl/>
              <w:adjustRightInd w:val="0"/>
              <w:snapToGrid w:val="0"/>
              <w:spacing w:line="240" w:lineRule="auto"/>
              <w:ind w:firstLine="0" w:firstLineChars="0"/>
              <w:jc w:val="center"/>
              <w:rPr>
                <w:kern w:val="0"/>
                <w:szCs w:val="21"/>
              </w:rPr>
            </w:pPr>
            <w:r>
              <w:rPr>
                <w:kern w:val="0"/>
                <w:szCs w:val="21"/>
              </w:rPr>
              <w:t>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4BA5ACEC">
            <w:pPr>
              <w:widowControl/>
              <w:adjustRightInd w:val="0"/>
              <w:snapToGrid w:val="0"/>
              <w:spacing w:line="240" w:lineRule="auto"/>
              <w:ind w:firstLine="0" w:firstLineChars="0"/>
              <w:jc w:val="center"/>
              <w:rPr>
                <w:kern w:val="0"/>
                <w:szCs w:val="21"/>
              </w:rPr>
            </w:pPr>
            <w:r>
              <w:rPr>
                <w:kern w:val="0"/>
                <w:szCs w:val="21"/>
              </w:rPr>
              <w:t>0</w:t>
            </w:r>
          </w:p>
        </w:tc>
        <w:tc>
          <w:tcPr>
            <w:tcW w:w="501" w:type="pct"/>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center"/>
          </w:tcPr>
          <w:p w14:paraId="2DE7C52F">
            <w:pPr>
              <w:widowControl/>
              <w:adjustRightInd w:val="0"/>
              <w:snapToGrid w:val="0"/>
              <w:spacing w:line="240" w:lineRule="auto"/>
              <w:ind w:firstLine="0" w:firstLineChars="0"/>
              <w:jc w:val="center"/>
              <w:rPr>
                <w:kern w:val="0"/>
                <w:szCs w:val="21"/>
              </w:rPr>
            </w:pPr>
            <w:r>
              <w:rPr>
                <w:kern w:val="0"/>
                <w:szCs w:val="21"/>
              </w:rPr>
              <w:t>20</w:t>
            </w:r>
          </w:p>
        </w:tc>
      </w:tr>
      <w:tr w14:paraId="2D1B18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9" w:type="pct"/>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center"/>
          </w:tcPr>
          <w:p w14:paraId="04A4469A">
            <w:pPr>
              <w:widowControl/>
              <w:adjustRightInd w:val="0"/>
              <w:snapToGrid w:val="0"/>
              <w:spacing w:line="240" w:lineRule="auto"/>
              <w:ind w:firstLine="0" w:firstLineChars="0"/>
              <w:jc w:val="center"/>
              <w:rPr>
                <w:kern w:val="0"/>
                <w:szCs w:val="21"/>
              </w:rPr>
            </w:pPr>
            <w:r>
              <w:rPr>
                <w:rFonts w:hint="eastAsia"/>
                <w:kern w:val="0"/>
                <w:szCs w:val="21"/>
              </w:rPr>
              <w:t>鸟纲</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2D35351F">
            <w:pPr>
              <w:widowControl/>
              <w:adjustRightInd w:val="0"/>
              <w:snapToGrid w:val="0"/>
              <w:spacing w:line="240" w:lineRule="auto"/>
              <w:ind w:firstLine="0" w:firstLineChars="0"/>
              <w:jc w:val="center"/>
              <w:rPr>
                <w:kern w:val="0"/>
                <w:szCs w:val="21"/>
              </w:rPr>
            </w:pPr>
            <w:r>
              <w:rPr>
                <w:kern w:val="0"/>
                <w:szCs w:val="21"/>
              </w:rPr>
              <w:t>10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D43C26C">
            <w:pPr>
              <w:widowControl/>
              <w:adjustRightInd w:val="0"/>
              <w:snapToGrid w:val="0"/>
              <w:spacing w:line="240" w:lineRule="auto"/>
              <w:ind w:firstLine="0" w:firstLineChars="0"/>
              <w:jc w:val="center"/>
              <w:rPr>
                <w:kern w:val="0"/>
                <w:szCs w:val="21"/>
              </w:rPr>
            </w:pPr>
            <w:r>
              <w:rPr>
                <w:kern w:val="0"/>
                <w:szCs w:val="21"/>
              </w:rPr>
              <w:t>32</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B86931B">
            <w:pPr>
              <w:widowControl/>
              <w:adjustRightInd w:val="0"/>
              <w:snapToGrid w:val="0"/>
              <w:spacing w:line="240" w:lineRule="auto"/>
              <w:ind w:firstLine="0" w:firstLineChars="0"/>
              <w:jc w:val="center"/>
              <w:rPr>
                <w:kern w:val="0"/>
                <w:szCs w:val="21"/>
              </w:rPr>
            </w:pPr>
            <w:r>
              <w:rPr>
                <w:kern w:val="0"/>
                <w:szCs w:val="21"/>
              </w:rPr>
              <w:t>77</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4C665F9">
            <w:pPr>
              <w:widowControl/>
              <w:adjustRightInd w:val="0"/>
              <w:snapToGrid w:val="0"/>
              <w:spacing w:line="240" w:lineRule="auto"/>
              <w:ind w:firstLine="0" w:firstLineChars="0"/>
              <w:jc w:val="center"/>
              <w:rPr>
                <w:kern w:val="0"/>
                <w:szCs w:val="21"/>
              </w:rPr>
            </w:pPr>
            <w:r>
              <w:rPr>
                <w:kern w:val="0"/>
                <w:szCs w:val="21"/>
              </w:rPr>
              <w:t>39</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A42E243">
            <w:pPr>
              <w:widowControl/>
              <w:adjustRightInd w:val="0"/>
              <w:snapToGrid w:val="0"/>
              <w:spacing w:line="240" w:lineRule="auto"/>
              <w:ind w:firstLine="0" w:firstLineChars="0"/>
              <w:jc w:val="center"/>
              <w:rPr>
                <w:kern w:val="0"/>
                <w:szCs w:val="21"/>
              </w:rPr>
            </w:pPr>
            <w:r>
              <w:rPr>
                <w:kern w:val="0"/>
                <w:szCs w:val="21"/>
              </w:rPr>
              <w:t>19</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2EF1841">
            <w:pPr>
              <w:widowControl/>
              <w:adjustRightInd w:val="0"/>
              <w:snapToGrid w:val="0"/>
              <w:spacing w:line="240" w:lineRule="auto"/>
              <w:ind w:firstLine="0" w:firstLineChars="0"/>
              <w:jc w:val="center"/>
              <w:rPr>
                <w:kern w:val="0"/>
                <w:szCs w:val="21"/>
              </w:rPr>
            </w:pPr>
            <w:r>
              <w:rPr>
                <w:kern w:val="0"/>
                <w:szCs w:val="21"/>
              </w:rPr>
              <w:t>19</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39824F61">
            <w:pPr>
              <w:widowControl/>
              <w:adjustRightInd w:val="0"/>
              <w:snapToGrid w:val="0"/>
              <w:spacing w:line="240" w:lineRule="auto"/>
              <w:ind w:firstLine="0" w:firstLineChars="0"/>
              <w:jc w:val="center"/>
              <w:rPr>
                <w:kern w:val="0"/>
                <w:szCs w:val="21"/>
              </w:rPr>
            </w:pPr>
            <w:r>
              <w:rPr>
                <w:kern w:val="0"/>
                <w:szCs w:val="21"/>
              </w:rPr>
              <w:t>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72C06F1">
            <w:pPr>
              <w:widowControl/>
              <w:adjustRightInd w:val="0"/>
              <w:snapToGrid w:val="0"/>
              <w:spacing w:line="240" w:lineRule="auto"/>
              <w:ind w:firstLine="0" w:firstLineChars="0"/>
              <w:jc w:val="center"/>
              <w:rPr>
                <w:kern w:val="0"/>
                <w:szCs w:val="21"/>
              </w:rPr>
            </w:pPr>
            <w:r>
              <w:rPr>
                <w:kern w:val="0"/>
                <w:szCs w:val="21"/>
              </w:rPr>
              <w:t>5</w:t>
            </w:r>
          </w:p>
        </w:tc>
        <w:tc>
          <w:tcPr>
            <w:tcW w:w="501" w:type="pct"/>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center"/>
          </w:tcPr>
          <w:p w14:paraId="4F132910">
            <w:pPr>
              <w:widowControl/>
              <w:adjustRightInd w:val="0"/>
              <w:snapToGrid w:val="0"/>
              <w:spacing w:line="240" w:lineRule="auto"/>
              <w:ind w:firstLine="0" w:firstLineChars="0"/>
              <w:jc w:val="center"/>
              <w:rPr>
                <w:kern w:val="0"/>
                <w:szCs w:val="21"/>
              </w:rPr>
            </w:pPr>
            <w:r>
              <w:rPr>
                <w:kern w:val="0"/>
                <w:szCs w:val="21"/>
              </w:rPr>
              <w:t>40</w:t>
            </w:r>
          </w:p>
        </w:tc>
      </w:tr>
      <w:tr w14:paraId="517E01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9" w:type="pct"/>
            <w:tcBorders>
              <w:top w:val="single" w:color="000000" w:sz="4" w:space="0"/>
              <w:left w:val="single" w:color="000000" w:sz="12" w:space="0"/>
              <w:bottom w:val="single" w:color="000000" w:sz="4" w:space="0"/>
              <w:right w:val="single" w:color="000000" w:sz="4" w:space="0"/>
            </w:tcBorders>
            <w:tcMar>
              <w:top w:w="15" w:type="dxa"/>
              <w:left w:w="15" w:type="dxa"/>
              <w:bottom w:w="15" w:type="dxa"/>
              <w:right w:w="15" w:type="dxa"/>
            </w:tcMar>
            <w:vAlign w:val="center"/>
          </w:tcPr>
          <w:p w14:paraId="038E0109">
            <w:pPr>
              <w:widowControl/>
              <w:adjustRightInd w:val="0"/>
              <w:snapToGrid w:val="0"/>
              <w:spacing w:line="240" w:lineRule="auto"/>
              <w:ind w:firstLine="0" w:firstLineChars="0"/>
              <w:jc w:val="center"/>
              <w:rPr>
                <w:kern w:val="0"/>
                <w:szCs w:val="21"/>
              </w:rPr>
            </w:pPr>
            <w:r>
              <w:rPr>
                <w:rFonts w:hint="eastAsia"/>
                <w:kern w:val="0"/>
                <w:szCs w:val="21"/>
              </w:rPr>
              <w:t>哺乳纲</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79CA707C">
            <w:pPr>
              <w:widowControl/>
              <w:adjustRightInd w:val="0"/>
              <w:snapToGrid w:val="0"/>
              <w:spacing w:line="240" w:lineRule="auto"/>
              <w:ind w:firstLine="0" w:firstLineChars="0"/>
              <w:jc w:val="center"/>
              <w:rPr>
                <w:kern w:val="0"/>
                <w:szCs w:val="21"/>
              </w:rPr>
            </w:pPr>
            <w:r>
              <w:rPr>
                <w:kern w:val="0"/>
                <w:szCs w:val="21"/>
              </w:rPr>
              <w:t>6</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664A4A6B">
            <w:pPr>
              <w:widowControl/>
              <w:adjustRightInd w:val="0"/>
              <w:snapToGrid w:val="0"/>
              <w:spacing w:line="240" w:lineRule="auto"/>
              <w:ind w:firstLine="0" w:firstLineChars="0"/>
              <w:jc w:val="center"/>
              <w:rPr>
                <w:kern w:val="0"/>
                <w:szCs w:val="21"/>
              </w:rPr>
            </w:pPr>
            <w:r>
              <w:rPr>
                <w:kern w:val="0"/>
                <w:szCs w:val="21"/>
              </w:rPr>
              <w:t>12</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4B15D0FF">
            <w:pPr>
              <w:widowControl/>
              <w:adjustRightInd w:val="0"/>
              <w:snapToGrid w:val="0"/>
              <w:spacing w:line="240" w:lineRule="auto"/>
              <w:ind w:firstLine="0" w:firstLineChars="0"/>
              <w:jc w:val="center"/>
              <w:rPr>
                <w:kern w:val="0"/>
                <w:szCs w:val="21"/>
              </w:rPr>
            </w:pPr>
            <w:r>
              <w:rPr>
                <w:kern w:val="0"/>
                <w:szCs w:val="21"/>
              </w:rPr>
              <w:t>21</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1EFFB695">
            <w:pPr>
              <w:widowControl/>
              <w:adjustRightInd w:val="0"/>
              <w:snapToGrid w:val="0"/>
              <w:spacing w:line="240" w:lineRule="auto"/>
              <w:ind w:firstLine="0" w:firstLineChars="0"/>
              <w:jc w:val="center"/>
              <w:rPr>
                <w:kern w:val="0"/>
                <w:szCs w:val="21"/>
              </w:rPr>
            </w:pPr>
            <w:r>
              <w:rPr>
                <w:kern w:val="0"/>
                <w:szCs w:val="21"/>
              </w:rPr>
              <w:t>11</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530C33D7">
            <w:pPr>
              <w:widowControl/>
              <w:adjustRightInd w:val="0"/>
              <w:snapToGrid w:val="0"/>
              <w:spacing w:line="240" w:lineRule="auto"/>
              <w:ind w:firstLine="0" w:firstLineChars="0"/>
              <w:jc w:val="center"/>
              <w:rPr>
                <w:kern w:val="0"/>
                <w:szCs w:val="21"/>
              </w:rPr>
            </w:pPr>
            <w:r>
              <w:rPr>
                <w:kern w:val="0"/>
                <w:szCs w:val="21"/>
              </w:rPr>
              <w:t>1</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162DA469">
            <w:pPr>
              <w:widowControl/>
              <w:adjustRightInd w:val="0"/>
              <w:snapToGrid w:val="0"/>
              <w:spacing w:line="240" w:lineRule="auto"/>
              <w:ind w:firstLine="0" w:firstLineChars="0"/>
              <w:jc w:val="center"/>
              <w:rPr>
                <w:kern w:val="0"/>
                <w:szCs w:val="21"/>
              </w:rPr>
            </w:pPr>
            <w:r>
              <w:rPr>
                <w:kern w:val="0"/>
                <w:szCs w:val="21"/>
              </w:rPr>
              <w:t>9</w:t>
            </w:r>
          </w:p>
        </w:tc>
        <w:tc>
          <w:tcPr>
            <w:tcW w:w="503"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700919CC">
            <w:pPr>
              <w:widowControl/>
              <w:adjustRightInd w:val="0"/>
              <w:snapToGrid w:val="0"/>
              <w:spacing w:line="240" w:lineRule="auto"/>
              <w:ind w:firstLine="0" w:firstLineChars="0"/>
              <w:jc w:val="center"/>
              <w:rPr>
                <w:kern w:val="0"/>
                <w:szCs w:val="21"/>
              </w:rPr>
            </w:pPr>
            <w:r>
              <w:rPr>
                <w:kern w:val="0"/>
                <w:szCs w:val="21"/>
              </w:rPr>
              <w:t>0</w:t>
            </w:r>
          </w:p>
        </w:tc>
        <w:tc>
          <w:tcPr>
            <w:tcW w:w="504" w:type="pct"/>
            <w:tcBorders>
              <w:top w:val="single" w:color="000000" w:sz="4" w:space="0"/>
              <w:left w:val="single" w:color="000000" w:sz="4" w:space="0"/>
              <w:bottom w:val="single" w:color="000000" w:sz="4" w:space="0"/>
              <w:right w:val="single" w:color="000000" w:sz="4" w:space="0"/>
            </w:tcBorders>
            <w:tcMar>
              <w:top w:w="15" w:type="dxa"/>
              <w:left w:w="15" w:type="dxa"/>
              <w:bottom w:w="15" w:type="dxa"/>
              <w:right w:w="15" w:type="dxa"/>
            </w:tcMar>
            <w:vAlign w:val="center"/>
          </w:tcPr>
          <w:p w14:paraId="282F9628">
            <w:pPr>
              <w:widowControl/>
              <w:adjustRightInd w:val="0"/>
              <w:snapToGrid w:val="0"/>
              <w:spacing w:line="240" w:lineRule="auto"/>
              <w:ind w:firstLine="0" w:firstLineChars="0"/>
              <w:jc w:val="center"/>
              <w:rPr>
                <w:kern w:val="0"/>
                <w:szCs w:val="21"/>
              </w:rPr>
            </w:pPr>
            <w:r>
              <w:rPr>
                <w:kern w:val="0"/>
                <w:szCs w:val="21"/>
              </w:rPr>
              <w:t>0</w:t>
            </w:r>
          </w:p>
        </w:tc>
        <w:tc>
          <w:tcPr>
            <w:tcW w:w="501" w:type="pct"/>
            <w:tcBorders>
              <w:top w:val="single" w:color="000000" w:sz="4" w:space="0"/>
              <w:left w:val="single" w:color="000000" w:sz="4" w:space="0"/>
              <w:bottom w:val="single" w:color="000000" w:sz="4" w:space="0"/>
              <w:right w:val="single" w:color="000000" w:sz="12" w:space="0"/>
            </w:tcBorders>
            <w:tcMar>
              <w:top w:w="15" w:type="dxa"/>
              <w:left w:w="15" w:type="dxa"/>
              <w:bottom w:w="15" w:type="dxa"/>
              <w:right w:w="15" w:type="dxa"/>
            </w:tcMar>
            <w:vAlign w:val="center"/>
          </w:tcPr>
          <w:p w14:paraId="44A03780">
            <w:pPr>
              <w:widowControl/>
              <w:adjustRightInd w:val="0"/>
              <w:snapToGrid w:val="0"/>
              <w:spacing w:line="240" w:lineRule="auto"/>
              <w:ind w:firstLine="0" w:firstLineChars="0"/>
              <w:jc w:val="center"/>
              <w:rPr>
                <w:kern w:val="0"/>
                <w:szCs w:val="21"/>
              </w:rPr>
            </w:pPr>
            <w:r>
              <w:rPr>
                <w:kern w:val="0"/>
                <w:szCs w:val="21"/>
              </w:rPr>
              <w:t>14</w:t>
            </w:r>
          </w:p>
        </w:tc>
      </w:tr>
      <w:tr w14:paraId="73FC65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69" w:type="pct"/>
            <w:tcBorders>
              <w:top w:val="single" w:color="000000" w:sz="4" w:space="0"/>
              <w:left w:val="single" w:color="000000" w:sz="12" w:space="0"/>
              <w:bottom w:val="single" w:color="000000" w:sz="12" w:space="0"/>
              <w:right w:val="single" w:color="000000" w:sz="4" w:space="0"/>
            </w:tcBorders>
            <w:tcMar>
              <w:top w:w="15" w:type="dxa"/>
              <w:left w:w="15" w:type="dxa"/>
              <w:bottom w:w="15" w:type="dxa"/>
              <w:right w:w="15" w:type="dxa"/>
            </w:tcMar>
            <w:vAlign w:val="center"/>
          </w:tcPr>
          <w:p w14:paraId="6A0B1582">
            <w:pPr>
              <w:widowControl/>
              <w:adjustRightInd w:val="0"/>
              <w:snapToGrid w:val="0"/>
              <w:spacing w:line="240" w:lineRule="auto"/>
              <w:ind w:firstLine="0" w:firstLineChars="0"/>
              <w:jc w:val="center"/>
              <w:rPr>
                <w:kern w:val="0"/>
                <w:szCs w:val="21"/>
              </w:rPr>
            </w:pPr>
            <w:r>
              <w:rPr>
                <w:rFonts w:hint="eastAsia"/>
                <w:kern w:val="0"/>
                <w:szCs w:val="21"/>
              </w:rPr>
              <w:t>合计</w:t>
            </w:r>
          </w:p>
        </w:tc>
        <w:tc>
          <w:tcPr>
            <w:tcW w:w="503"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46450FEA">
            <w:pPr>
              <w:widowControl/>
              <w:adjustRightInd w:val="0"/>
              <w:snapToGrid w:val="0"/>
              <w:spacing w:line="240" w:lineRule="auto"/>
              <w:ind w:firstLine="0" w:firstLineChars="0"/>
              <w:jc w:val="center"/>
              <w:rPr>
                <w:kern w:val="0"/>
                <w:szCs w:val="21"/>
              </w:rPr>
            </w:pPr>
            <w:r>
              <w:rPr>
                <w:rFonts w:hint="eastAsia"/>
                <w:kern w:val="0"/>
                <w:szCs w:val="21"/>
              </w:rPr>
              <w:t>1</w:t>
            </w:r>
            <w:r>
              <w:rPr>
                <w:kern w:val="0"/>
                <w:szCs w:val="21"/>
              </w:rPr>
              <w:t>8</w:t>
            </w:r>
          </w:p>
        </w:tc>
        <w:tc>
          <w:tcPr>
            <w:tcW w:w="504"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62806F3A">
            <w:pPr>
              <w:widowControl/>
              <w:adjustRightInd w:val="0"/>
              <w:snapToGrid w:val="0"/>
              <w:spacing w:line="240" w:lineRule="auto"/>
              <w:ind w:firstLine="0" w:firstLineChars="0"/>
              <w:jc w:val="center"/>
              <w:rPr>
                <w:kern w:val="0"/>
                <w:szCs w:val="21"/>
              </w:rPr>
            </w:pPr>
            <w:r>
              <w:rPr>
                <w:rFonts w:hint="eastAsia"/>
                <w:kern w:val="0"/>
                <w:szCs w:val="21"/>
              </w:rPr>
              <w:t>5</w:t>
            </w:r>
            <w:r>
              <w:rPr>
                <w:kern w:val="0"/>
                <w:szCs w:val="21"/>
              </w:rPr>
              <w:t>5</w:t>
            </w:r>
          </w:p>
        </w:tc>
        <w:tc>
          <w:tcPr>
            <w:tcW w:w="504"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7438017F">
            <w:pPr>
              <w:widowControl/>
              <w:adjustRightInd w:val="0"/>
              <w:snapToGrid w:val="0"/>
              <w:spacing w:line="240" w:lineRule="auto"/>
              <w:ind w:firstLine="0" w:firstLineChars="0"/>
              <w:jc w:val="center"/>
              <w:rPr>
                <w:kern w:val="0"/>
                <w:szCs w:val="21"/>
              </w:rPr>
            </w:pPr>
            <w:r>
              <w:rPr>
                <w:rFonts w:hint="eastAsia"/>
                <w:kern w:val="0"/>
                <w:szCs w:val="21"/>
              </w:rPr>
              <w:t>1</w:t>
            </w:r>
            <w:r>
              <w:rPr>
                <w:kern w:val="0"/>
                <w:szCs w:val="21"/>
              </w:rPr>
              <w:t>31</w:t>
            </w:r>
          </w:p>
        </w:tc>
        <w:tc>
          <w:tcPr>
            <w:tcW w:w="504"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239E67E3">
            <w:pPr>
              <w:widowControl/>
              <w:adjustRightInd w:val="0"/>
              <w:snapToGrid w:val="0"/>
              <w:spacing w:line="240" w:lineRule="auto"/>
              <w:ind w:firstLine="0" w:firstLineChars="0"/>
              <w:jc w:val="center"/>
              <w:rPr>
                <w:kern w:val="0"/>
                <w:szCs w:val="21"/>
              </w:rPr>
            </w:pPr>
            <w:r>
              <w:rPr>
                <w:rFonts w:hint="eastAsia"/>
                <w:kern w:val="0"/>
                <w:szCs w:val="21"/>
              </w:rPr>
              <w:t>7</w:t>
            </w:r>
            <w:r>
              <w:rPr>
                <w:kern w:val="0"/>
                <w:szCs w:val="21"/>
              </w:rPr>
              <w:t>4</w:t>
            </w:r>
          </w:p>
        </w:tc>
        <w:tc>
          <w:tcPr>
            <w:tcW w:w="503"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0F0447F5">
            <w:pPr>
              <w:widowControl/>
              <w:adjustRightInd w:val="0"/>
              <w:snapToGrid w:val="0"/>
              <w:spacing w:line="240" w:lineRule="auto"/>
              <w:ind w:firstLine="0" w:firstLineChars="0"/>
              <w:jc w:val="center"/>
              <w:rPr>
                <w:kern w:val="0"/>
                <w:szCs w:val="21"/>
              </w:rPr>
            </w:pPr>
            <w:r>
              <w:rPr>
                <w:rFonts w:hint="eastAsia"/>
                <w:kern w:val="0"/>
                <w:szCs w:val="21"/>
              </w:rPr>
              <w:t>2</w:t>
            </w:r>
            <w:r>
              <w:rPr>
                <w:kern w:val="0"/>
                <w:szCs w:val="21"/>
              </w:rPr>
              <w:t>0</w:t>
            </w:r>
          </w:p>
        </w:tc>
        <w:tc>
          <w:tcPr>
            <w:tcW w:w="504"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32494956">
            <w:pPr>
              <w:widowControl/>
              <w:adjustRightInd w:val="0"/>
              <w:snapToGrid w:val="0"/>
              <w:spacing w:line="240" w:lineRule="auto"/>
              <w:ind w:firstLine="0" w:firstLineChars="0"/>
              <w:jc w:val="center"/>
              <w:rPr>
                <w:kern w:val="0"/>
                <w:szCs w:val="21"/>
              </w:rPr>
            </w:pPr>
            <w:r>
              <w:rPr>
                <w:rFonts w:hint="eastAsia"/>
                <w:kern w:val="0"/>
                <w:szCs w:val="21"/>
              </w:rPr>
              <w:t>3</w:t>
            </w:r>
            <w:r>
              <w:rPr>
                <w:kern w:val="0"/>
                <w:szCs w:val="21"/>
              </w:rPr>
              <w:t>7</w:t>
            </w:r>
          </w:p>
        </w:tc>
        <w:tc>
          <w:tcPr>
            <w:tcW w:w="503"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408F3F16">
            <w:pPr>
              <w:widowControl/>
              <w:adjustRightInd w:val="0"/>
              <w:snapToGrid w:val="0"/>
              <w:spacing w:line="240" w:lineRule="auto"/>
              <w:ind w:firstLine="0" w:firstLineChars="0"/>
              <w:jc w:val="center"/>
              <w:rPr>
                <w:kern w:val="0"/>
                <w:szCs w:val="21"/>
              </w:rPr>
            </w:pPr>
            <w:r>
              <w:rPr>
                <w:rFonts w:hint="eastAsia"/>
                <w:kern w:val="0"/>
                <w:szCs w:val="21"/>
              </w:rPr>
              <w:t>0</w:t>
            </w:r>
          </w:p>
        </w:tc>
        <w:tc>
          <w:tcPr>
            <w:tcW w:w="504" w:type="pct"/>
            <w:tcBorders>
              <w:top w:val="single" w:color="000000" w:sz="4" w:space="0"/>
              <w:left w:val="single" w:color="000000" w:sz="4" w:space="0"/>
              <w:bottom w:val="single" w:color="000000" w:sz="12" w:space="0"/>
              <w:right w:val="single" w:color="000000" w:sz="4" w:space="0"/>
            </w:tcBorders>
            <w:tcMar>
              <w:top w:w="15" w:type="dxa"/>
              <w:left w:w="15" w:type="dxa"/>
              <w:bottom w:w="15" w:type="dxa"/>
              <w:right w:w="15" w:type="dxa"/>
            </w:tcMar>
            <w:vAlign w:val="center"/>
          </w:tcPr>
          <w:p w14:paraId="5273F679">
            <w:pPr>
              <w:widowControl/>
              <w:adjustRightInd w:val="0"/>
              <w:snapToGrid w:val="0"/>
              <w:spacing w:line="240" w:lineRule="auto"/>
              <w:ind w:firstLine="0" w:firstLineChars="0"/>
              <w:jc w:val="center"/>
              <w:rPr>
                <w:kern w:val="0"/>
                <w:szCs w:val="21"/>
              </w:rPr>
            </w:pPr>
            <w:r>
              <w:rPr>
                <w:rFonts w:hint="eastAsia"/>
                <w:kern w:val="0"/>
                <w:szCs w:val="21"/>
              </w:rPr>
              <w:t>5</w:t>
            </w:r>
          </w:p>
        </w:tc>
        <w:tc>
          <w:tcPr>
            <w:tcW w:w="501" w:type="pct"/>
            <w:tcBorders>
              <w:top w:val="single" w:color="000000" w:sz="4" w:space="0"/>
              <w:left w:val="single" w:color="000000" w:sz="4" w:space="0"/>
              <w:bottom w:val="single" w:color="000000" w:sz="12" w:space="0"/>
              <w:right w:val="single" w:color="000000" w:sz="12" w:space="0"/>
            </w:tcBorders>
            <w:tcMar>
              <w:top w:w="15" w:type="dxa"/>
              <w:left w:w="15" w:type="dxa"/>
              <w:bottom w:w="15" w:type="dxa"/>
              <w:right w:w="15" w:type="dxa"/>
            </w:tcMar>
            <w:vAlign w:val="center"/>
          </w:tcPr>
          <w:p w14:paraId="45C364BC">
            <w:pPr>
              <w:widowControl/>
              <w:adjustRightInd w:val="0"/>
              <w:snapToGrid w:val="0"/>
              <w:spacing w:line="240" w:lineRule="auto"/>
              <w:ind w:firstLine="0" w:firstLineChars="0"/>
              <w:jc w:val="center"/>
              <w:rPr>
                <w:kern w:val="0"/>
                <w:szCs w:val="21"/>
              </w:rPr>
            </w:pPr>
            <w:r>
              <w:rPr>
                <w:rFonts w:hint="eastAsia"/>
                <w:kern w:val="0"/>
                <w:szCs w:val="21"/>
              </w:rPr>
              <w:t>8</w:t>
            </w:r>
            <w:r>
              <w:rPr>
                <w:kern w:val="0"/>
                <w:szCs w:val="21"/>
              </w:rPr>
              <w:t>5</w:t>
            </w:r>
          </w:p>
        </w:tc>
      </w:tr>
    </w:tbl>
    <w:p w14:paraId="34DE0E15">
      <w:pPr>
        <w:adjustRightInd w:val="0"/>
        <w:snapToGrid w:val="0"/>
        <w:ind w:firstLine="480"/>
      </w:pPr>
      <w:r>
        <w:rPr>
          <w:rFonts w:hint="eastAsia"/>
        </w:rPr>
        <w:t>从陆生动物区系成分分析，评价区陆生脊椎动物东洋种数量较多。其中东洋种</w:t>
      </w:r>
      <w:r>
        <w:t>74</w:t>
      </w:r>
      <w:r>
        <w:rPr>
          <w:rFonts w:hint="eastAsia"/>
        </w:rPr>
        <w:t>种，占评价区总种数的</w:t>
      </w:r>
      <w:r>
        <w:t>56.49%</w:t>
      </w:r>
      <w:r>
        <w:rPr>
          <w:rFonts w:hint="eastAsia"/>
        </w:rPr>
        <w:t>；古北种</w:t>
      </w:r>
      <w:r>
        <w:t>17</w:t>
      </w:r>
      <w:r>
        <w:rPr>
          <w:rFonts w:hint="eastAsia"/>
        </w:rPr>
        <w:t>种，占评价区总种数的</w:t>
      </w:r>
      <w:r>
        <w:t>15.27%</w:t>
      </w:r>
      <w:r>
        <w:rPr>
          <w:rFonts w:hint="eastAsia"/>
        </w:rPr>
        <w:t>；广布种</w:t>
      </w:r>
      <w:r>
        <w:t>40</w:t>
      </w:r>
      <w:r>
        <w:rPr>
          <w:rFonts w:hint="eastAsia"/>
        </w:rPr>
        <w:t>种，占评价区总种数的</w:t>
      </w:r>
      <w:r>
        <w:t>28.24%</w:t>
      </w:r>
      <w:r>
        <w:rPr>
          <w:rFonts w:hint="eastAsia"/>
        </w:rPr>
        <w:t>。可见，评价区陆生动物区系特征中，东洋种所占比例较大，这与评价区地处东洋界的地理位置是吻合的。</w:t>
      </w:r>
    </w:p>
    <w:p w14:paraId="45CF1A43">
      <w:pPr>
        <w:tabs>
          <w:tab w:val="clear" w:pos="480"/>
        </w:tabs>
        <w:adjustRightInd w:val="0"/>
        <w:snapToGrid w:val="0"/>
        <w:ind w:firstLine="0" w:firstLineChars="0"/>
        <w:outlineLvl w:val="3"/>
        <w:rPr>
          <w:b/>
          <w:kern w:val="0"/>
          <w:lang w:val="zh-CN"/>
        </w:rPr>
      </w:pPr>
      <w:r>
        <w:rPr>
          <w:b/>
          <w:kern w:val="0"/>
          <w:lang w:val="zh-CN"/>
        </w:rPr>
        <w:t>5.5.5.3</w:t>
      </w:r>
      <w:r>
        <w:rPr>
          <w:rFonts w:hint="eastAsia"/>
          <w:b/>
          <w:kern w:val="0"/>
          <w:lang w:val="zh-CN"/>
        </w:rPr>
        <w:t>动物多样性</w:t>
      </w:r>
    </w:p>
    <w:p w14:paraId="352F65FD">
      <w:pPr>
        <w:adjustRightInd w:val="0"/>
        <w:snapToGrid w:val="0"/>
        <w:ind w:firstLine="480"/>
      </w:pPr>
      <w:r>
        <w:rPr>
          <w:rFonts w:hint="eastAsia"/>
        </w:rPr>
        <w:t>为表示各类动物种类数量的丰富度，采用数量等级方法：对某动物种群在单位面积内其数量占所调查动物总数的</w:t>
      </w:r>
      <w:r>
        <w:t>10%</w:t>
      </w:r>
      <w:r>
        <w:rPr>
          <w:rFonts w:hint="eastAsia"/>
        </w:rPr>
        <w:t>以上，用</w:t>
      </w:r>
      <w:r>
        <w:t>“+++”</w:t>
      </w:r>
      <w:r>
        <w:rPr>
          <w:rFonts w:hint="eastAsia"/>
        </w:rPr>
        <w:t>表示，该种群为当地优势种；对某动物种群占调查总数的</w:t>
      </w:r>
      <w:r>
        <w:t>1~10%</w:t>
      </w:r>
      <w:r>
        <w:rPr>
          <w:rFonts w:hint="eastAsia"/>
        </w:rPr>
        <w:t>，用</w:t>
      </w:r>
      <w:r>
        <w:t>“++”</w:t>
      </w:r>
      <w:r>
        <w:rPr>
          <w:rFonts w:hint="eastAsia"/>
        </w:rPr>
        <w:t>表示，该动物种为当地普通种；对某动物种群占调查总数的</w:t>
      </w:r>
      <w:r>
        <w:t>1%</w:t>
      </w:r>
      <w:r>
        <w:rPr>
          <w:rFonts w:hint="eastAsia"/>
        </w:rPr>
        <w:t>以下，用</w:t>
      </w:r>
      <w:r>
        <w:t>“+”</w:t>
      </w:r>
      <w:r>
        <w:rPr>
          <w:rFonts w:hint="eastAsia"/>
        </w:rPr>
        <w:t>表示，该物种为当地稀有种。数量等级评价标准见下表。</w:t>
      </w:r>
    </w:p>
    <w:p w14:paraId="76687918">
      <w:pPr>
        <w:tabs>
          <w:tab w:val="clear" w:pos="480"/>
        </w:tabs>
        <w:adjustRightInd w:val="0"/>
        <w:snapToGrid w:val="0"/>
        <w:spacing w:line="240" w:lineRule="auto"/>
        <w:ind w:firstLine="0" w:firstLineChars="0"/>
        <w:jc w:val="center"/>
        <w:rPr>
          <w:b/>
          <w:bCs/>
        </w:rPr>
      </w:pPr>
      <w:r>
        <w:rPr>
          <w:rFonts w:hint="eastAsia"/>
          <w:b/>
          <w:bCs/>
        </w:rPr>
        <w:t>表</w:t>
      </w:r>
      <w:r>
        <w:rPr>
          <w:b/>
          <w:bCs/>
        </w:rPr>
        <w:t>5.5-14</w:t>
      </w:r>
      <w:r>
        <w:rPr>
          <w:rFonts w:hint="eastAsia"/>
          <w:b/>
          <w:bCs/>
        </w:rPr>
        <w:t>动物资源数量等级评价标准</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98"/>
        <w:gridCol w:w="1035"/>
        <w:gridCol w:w="6194"/>
      </w:tblGrid>
      <w:tr w14:paraId="4B05AA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61" w:type="pct"/>
            <w:tcBorders>
              <w:top w:val="single" w:color="000000" w:sz="12" w:space="0"/>
              <w:left w:val="single" w:color="000000" w:sz="12" w:space="0"/>
              <w:bottom w:val="single" w:color="000000" w:sz="4" w:space="0"/>
              <w:right w:val="single" w:color="000000" w:sz="4" w:space="0"/>
            </w:tcBorders>
            <w:vAlign w:val="center"/>
          </w:tcPr>
          <w:p w14:paraId="20FA73EC">
            <w:pPr>
              <w:tabs>
                <w:tab w:val="clear" w:pos="480"/>
              </w:tabs>
              <w:adjustRightInd w:val="0"/>
              <w:snapToGrid w:val="0"/>
              <w:spacing w:line="240" w:lineRule="auto"/>
              <w:ind w:firstLine="0" w:firstLineChars="0"/>
              <w:jc w:val="center"/>
              <w:rPr>
                <w:b/>
                <w:sz w:val="21"/>
                <w:szCs w:val="21"/>
              </w:rPr>
            </w:pPr>
            <w:r>
              <w:rPr>
                <w:rFonts w:hint="eastAsia"/>
                <w:b/>
                <w:sz w:val="21"/>
                <w:szCs w:val="21"/>
              </w:rPr>
              <w:t>种群状况</w:t>
            </w:r>
          </w:p>
        </w:tc>
        <w:tc>
          <w:tcPr>
            <w:tcW w:w="607" w:type="pct"/>
            <w:tcBorders>
              <w:top w:val="single" w:color="000000" w:sz="12" w:space="0"/>
              <w:left w:val="single" w:color="000000" w:sz="4" w:space="0"/>
              <w:bottom w:val="single" w:color="000000" w:sz="4" w:space="0"/>
              <w:right w:val="single" w:color="000000" w:sz="4" w:space="0"/>
            </w:tcBorders>
            <w:vAlign w:val="center"/>
          </w:tcPr>
          <w:p w14:paraId="433DF548">
            <w:pPr>
              <w:tabs>
                <w:tab w:val="clear" w:pos="480"/>
              </w:tabs>
              <w:adjustRightInd w:val="0"/>
              <w:snapToGrid w:val="0"/>
              <w:spacing w:line="240" w:lineRule="auto"/>
              <w:ind w:firstLine="0" w:firstLineChars="0"/>
              <w:jc w:val="center"/>
              <w:rPr>
                <w:b/>
                <w:sz w:val="21"/>
                <w:szCs w:val="21"/>
              </w:rPr>
            </w:pPr>
            <w:r>
              <w:rPr>
                <w:rFonts w:hint="eastAsia"/>
                <w:b/>
                <w:sz w:val="21"/>
                <w:szCs w:val="21"/>
              </w:rPr>
              <w:t>数量级</w:t>
            </w:r>
          </w:p>
        </w:tc>
        <w:tc>
          <w:tcPr>
            <w:tcW w:w="3632" w:type="pct"/>
            <w:tcBorders>
              <w:top w:val="single" w:color="000000" w:sz="12" w:space="0"/>
              <w:left w:val="single" w:color="000000" w:sz="4" w:space="0"/>
              <w:bottom w:val="single" w:color="000000" w:sz="4" w:space="0"/>
              <w:right w:val="single" w:color="000000" w:sz="12" w:space="0"/>
            </w:tcBorders>
            <w:vAlign w:val="center"/>
          </w:tcPr>
          <w:p w14:paraId="3AF7AF1C">
            <w:pPr>
              <w:tabs>
                <w:tab w:val="clear" w:pos="480"/>
              </w:tabs>
              <w:adjustRightInd w:val="0"/>
              <w:snapToGrid w:val="0"/>
              <w:spacing w:line="240" w:lineRule="auto"/>
              <w:ind w:firstLine="0" w:firstLineChars="0"/>
              <w:jc w:val="center"/>
              <w:rPr>
                <w:b/>
                <w:sz w:val="21"/>
                <w:szCs w:val="21"/>
              </w:rPr>
            </w:pPr>
            <w:r>
              <w:rPr>
                <w:rFonts w:hint="eastAsia"/>
                <w:b/>
                <w:sz w:val="21"/>
                <w:szCs w:val="21"/>
              </w:rPr>
              <w:t>标准</w:t>
            </w:r>
          </w:p>
        </w:tc>
      </w:tr>
      <w:tr w14:paraId="640A41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61" w:type="pct"/>
            <w:tcBorders>
              <w:top w:val="single" w:color="000000" w:sz="4" w:space="0"/>
              <w:left w:val="single" w:color="000000" w:sz="12" w:space="0"/>
              <w:bottom w:val="single" w:color="000000" w:sz="4" w:space="0"/>
              <w:right w:val="single" w:color="000000" w:sz="4" w:space="0"/>
            </w:tcBorders>
            <w:vAlign w:val="center"/>
          </w:tcPr>
          <w:p w14:paraId="33783354">
            <w:pPr>
              <w:tabs>
                <w:tab w:val="clear" w:pos="480"/>
              </w:tabs>
              <w:adjustRightInd w:val="0"/>
              <w:snapToGrid w:val="0"/>
              <w:spacing w:line="240" w:lineRule="auto"/>
              <w:ind w:firstLine="0" w:firstLineChars="0"/>
              <w:jc w:val="center"/>
              <w:rPr>
                <w:sz w:val="21"/>
                <w:szCs w:val="21"/>
              </w:rPr>
            </w:pPr>
            <w:r>
              <w:rPr>
                <w:rFonts w:hint="eastAsia"/>
                <w:sz w:val="21"/>
                <w:szCs w:val="21"/>
              </w:rPr>
              <w:t>优势种</w:t>
            </w:r>
          </w:p>
        </w:tc>
        <w:tc>
          <w:tcPr>
            <w:tcW w:w="607" w:type="pct"/>
            <w:tcBorders>
              <w:top w:val="single" w:color="000000" w:sz="4" w:space="0"/>
              <w:left w:val="single" w:color="000000" w:sz="4" w:space="0"/>
              <w:bottom w:val="single" w:color="000000" w:sz="4" w:space="0"/>
              <w:right w:val="single" w:color="000000" w:sz="4" w:space="0"/>
            </w:tcBorders>
            <w:vAlign w:val="center"/>
          </w:tcPr>
          <w:p w14:paraId="2555F7F5">
            <w:pPr>
              <w:tabs>
                <w:tab w:val="clear" w:pos="480"/>
              </w:tabs>
              <w:adjustRightInd w:val="0"/>
              <w:snapToGrid w:val="0"/>
              <w:spacing w:line="240" w:lineRule="auto"/>
              <w:ind w:firstLine="0" w:firstLineChars="0"/>
              <w:jc w:val="center"/>
              <w:rPr>
                <w:sz w:val="21"/>
                <w:szCs w:val="21"/>
              </w:rPr>
            </w:pPr>
            <w:r>
              <w:rPr>
                <w:sz w:val="21"/>
                <w:szCs w:val="21"/>
              </w:rPr>
              <w:t>+++</w:t>
            </w:r>
          </w:p>
        </w:tc>
        <w:tc>
          <w:tcPr>
            <w:tcW w:w="3632" w:type="pct"/>
            <w:tcBorders>
              <w:top w:val="single" w:color="000000" w:sz="4" w:space="0"/>
              <w:left w:val="single" w:color="000000" w:sz="4" w:space="0"/>
              <w:bottom w:val="single" w:color="000000" w:sz="4" w:space="0"/>
              <w:right w:val="single" w:color="000000" w:sz="12" w:space="0"/>
            </w:tcBorders>
            <w:vAlign w:val="center"/>
          </w:tcPr>
          <w:p w14:paraId="6E162EB1">
            <w:pPr>
              <w:tabs>
                <w:tab w:val="clear" w:pos="480"/>
              </w:tabs>
              <w:adjustRightInd w:val="0"/>
              <w:snapToGrid w:val="0"/>
              <w:spacing w:line="240" w:lineRule="auto"/>
              <w:ind w:firstLine="0" w:firstLineChars="0"/>
              <w:jc w:val="left"/>
              <w:rPr>
                <w:sz w:val="21"/>
                <w:szCs w:val="21"/>
              </w:rPr>
            </w:pPr>
            <w:r>
              <w:rPr>
                <w:rFonts w:hint="eastAsia"/>
                <w:sz w:val="21"/>
                <w:szCs w:val="21"/>
              </w:rPr>
              <w:t>单位面积内其数量占所调查动物总数的</w:t>
            </w:r>
            <w:r>
              <w:rPr>
                <w:sz w:val="21"/>
                <w:szCs w:val="21"/>
              </w:rPr>
              <w:t>10%</w:t>
            </w:r>
            <w:r>
              <w:rPr>
                <w:rFonts w:hint="eastAsia"/>
                <w:sz w:val="21"/>
                <w:szCs w:val="21"/>
              </w:rPr>
              <w:t>以上</w:t>
            </w:r>
          </w:p>
        </w:tc>
      </w:tr>
      <w:tr w14:paraId="0C6B71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61" w:type="pct"/>
            <w:tcBorders>
              <w:top w:val="single" w:color="000000" w:sz="4" w:space="0"/>
              <w:left w:val="single" w:color="000000" w:sz="12" w:space="0"/>
              <w:bottom w:val="single" w:color="000000" w:sz="4" w:space="0"/>
              <w:right w:val="single" w:color="000000" w:sz="4" w:space="0"/>
            </w:tcBorders>
            <w:vAlign w:val="center"/>
          </w:tcPr>
          <w:p w14:paraId="787DAA12">
            <w:pPr>
              <w:tabs>
                <w:tab w:val="clear" w:pos="480"/>
              </w:tabs>
              <w:adjustRightInd w:val="0"/>
              <w:snapToGrid w:val="0"/>
              <w:spacing w:line="240" w:lineRule="auto"/>
              <w:ind w:firstLine="0" w:firstLineChars="0"/>
              <w:jc w:val="center"/>
              <w:rPr>
                <w:sz w:val="21"/>
                <w:szCs w:val="21"/>
              </w:rPr>
            </w:pPr>
            <w:r>
              <w:rPr>
                <w:rFonts w:hint="eastAsia"/>
                <w:sz w:val="21"/>
                <w:szCs w:val="21"/>
              </w:rPr>
              <w:t>普通种</w:t>
            </w:r>
          </w:p>
        </w:tc>
        <w:tc>
          <w:tcPr>
            <w:tcW w:w="607" w:type="pct"/>
            <w:tcBorders>
              <w:top w:val="single" w:color="000000" w:sz="4" w:space="0"/>
              <w:left w:val="single" w:color="000000" w:sz="4" w:space="0"/>
              <w:bottom w:val="single" w:color="000000" w:sz="4" w:space="0"/>
              <w:right w:val="single" w:color="000000" w:sz="4" w:space="0"/>
            </w:tcBorders>
            <w:vAlign w:val="center"/>
          </w:tcPr>
          <w:p w14:paraId="07F277D1">
            <w:pPr>
              <w:tabs>
                <w:tab w:val="clear" w:pos="480"/>
              </w:tabs>
              <w:adjustRightInd w:val="0"/>
              <w:snapToGrid w:val="0"/>
              <w:spacing w:line="240" w:lineRule="auto"/>
              <w:ind w:firstLine="0" w:firstLineChars="0"/>
              <w:jc w:val="center"/>
              <w:rPr>
                <w:sz w:val="21"/>
                <w:szCs w:val="21"/>
              </w:rPr>
            </w:pPr>
            <w:r>
              <w:rPr>
                <w:sz w:val="21"/>
                <w:szCs w:val="21"/>
              </w:rPr>
              <w:t>++</w:t>
            </w:r>
          </w:p>
        </w:tc>
        <w:tc>
          <w:tcPr>
            <w:tcW w:w="3632" w:type="pct"/>
            <w:tcBorders>
              <w:top w:val="single" w:color="000000" w:sz="4" w:space="0"/>
              <w:left w:val="single" w:color="000000" w:sz="4" w:space="0"/>
              <w:bottom w:val="single" w:color="000000" w:sz="4" w:space="0"/>
              <w:right w:val="single" w:color="000000" w:sz="12" w:space="0"/>
            </w:tcBorders>
            <w:vAlign w:val="center"/>
          </w:tcPr>
          <w:p w14:paraId="7BEB4964">
            <w:pPr>
              <w:tabs>
                <w:tab w:val="clear" w:pos="480"/>
              </w:tabs>
              <w:adjustRightInd w:val="0"/>
              <w:snapToGrid w:val="0"/>
              <w:spacing w:line="240" w:lineRule="auto"/>
              <w:ind w:firstLine="0" w:firstLineChars="0"/>
              <w:jc w:val="left"/>
              <w:rPr>
                <w:sz w:val="21"/>
                <w:szCs w:val="21"/>
              </w:rPr>
            </w:pPr>
            <w:r>
              <w:rPr>
                <w:rFonts w:hint="eastAsia"/>
                <w:sz w:val="21"/>
                <w:szCs w:val="21"/>
              </w:rPr>
              <w:t>单位面积内其数量占所调查动物总数的</w:t>
            </w:r>
            <w:r>
              <w:rPr>
                <w:sz w:val="21"/>
                <w:szCs w:val="21"/>
              </w:rPr>
              <w:t>1~10%</w:t>
            </w:r>
          </w:p>
        </w:tc>
      </w:tr>
      <w:tr w14:paraId="3CFC35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61" w:type="pct"/>
            <w:tcBorders>
              <w:top w:val="single" w:color="000000" w:sz="4" w:space="0"/>
              <w:left w:val="single" w:color="000000" w:sz="12" w:space="0"/>
              <w:bottom w:val="single" w:color="000000" w:sz="12" w:space="0"/>
              <w:right w:val="single" w:color="000000" w:sz="4" w:space="0"/>
            </w:tcBorders>
            <w:vAlign w:val="center"/>
          </w:tcPr>
          <w:p w14:paraId="10F0CBC7">
            <w:pPr>
              <w:tabs>
                <w:tab w:val="clear" w:pos="480"/>
              </w:tabs>
              <w:adjustRightInd w:val="0"/>
              <w:snapToGrid w:val="0"/>
              <w:spacing w:line="240" w:lineRule="auto"/>
              <w:ind w:firstLine="0" w:firstLineChars="0"/>
              <w:jc w:val="center"/>
              <w:rPr>
                <w:sz w:val="21"/>
                <w:szCs w:val="21"/>
              </w:rPr>
            </w:pPr>
            <w:r>
              <w:rPr>
                <w:rFonts w:hint="eastAsia"/>
                <w:sz w:val="21"/>
                <w:szCs w:val="21"/>
              </w:rPr>
              <w:t>稀有种</w:t>
            </w:r>
          </w:p>
        </w:tc>
        <w:tc>
          <w:tcPr>
            <w:tcW w:w="607" w:type="pct"/>
            <w:tcBorders>
              <w:top w:val="single" w:color="000000" w:sz="4" w:space="0"/>
              <w:left w:val="single" w:color="000000" w:sz="4" w:space="0"/>
              <w:bottom w:val="single" w:color="000000" w:sz="12" w:space="0"/>
              <w:right w:val="single" w:color="000000" w:sz="4" w:space="0"/>
            </w:tcBorders>
            <w:vAlign w:val="center"/>
          </w:tcPr>
          <w:p w14:paraId="00C64DB0">
            <w:pPr>
              <w:tabs>
                <w:tab w:val="clear" w:pos="480"/>
              </w:tabs>
              <w:adjustRightInd w:val="0"/>
              <w:snapToGrid w:val="0"/>
              <w:spacing w:line="240" w:lineRule="auto"/>
              <w:ind w:firstLine="0" w:firstLineChars="0"/>
              <w:jc w:val="center"/>
              <w:rPr>
                <w:sz w:val="21"/>
                <w:szCs w:val="21"/>
              </w:rPr>
            </w:pPr>
            <w:r>
              <w:rPr>
                <w:sz w:val="21"/>
                <w:szCs w:val="21"/>
              </w:rPr>
              <w:t>+</w:t>
            </w:r>
          </w:p>
        </w:tc>
        <w:tc>
          <w:tcPr>
            <w:tcW w:w="3632" w:type="pct"/>
            <w:tcBorders>
              <w:top w:val="single" w:color="000000" w:sz="4" w:space="0"/>
              <w:left w:val="single" w:color="000000" w:sz="4" w:space="0"/>
              <w:bottom w:val="single" w:color="000000" w:sz="12" w:space="0"/>
              <w:right w:val="single" w:color="000000" w:sz="12" w:space="0"/>
            </w:tcBorders>
            <w:vAlign w:val="center"/>
          </w:tcPr>
          <w:p w14:paraId="529F1BD9">
            <w:pPr>
              <w:tabs>
                <w:tab w:val="clear" w:pos="480"/>
              </w:tabs>
              <w:adjustRightInd w:val="0"/>
              <w:snapToGrid w:val="0"/>
              <w:spacing w:line="240" w:lineRule="auto"/>
              <w:ind w:firstLine="0" w:firstLineChars="0"/>
              <w:jc w:val="left"/>
              <w:rPr>
                <w:sz w:val="21"/>
                <w:szCs w:val="21"/>
              </w:rPr>
            </w:pPr>
            <w:r>
              <w:rPr>
                <w:rFonts w:hint="eastAsia"/>
                <w:sz w:val="21"/>
                <w:szCs w:val="21"/>
              </w:rPr>
              <w:t>单位面积内其数量占所调查动物总数的</w:t>
            </w:r>
            <w:r>
              <w:rPr>
                <w:sz w:val="21"/>
                <w:szCs w:val="21"/>
              </w:rPr>
              <w:t>1%</w:t>
            </w:r>
            <w:r>
              <w:rPr>
                <w:rFonts w:hint="eastAsia"/>
                <w:sz w:val="21"/>
                <w:szCs w:val="21"/>
              </w:rPr>
              <w:t>以下</w:t>
            </w:r>
          </w:p>
        </w:tc>
      </w:tr>
    </w:tbl>
    <w:p w14:paraId="329ECF0B">
      <w:pPr>
        <w:adjustRightInd w:val="0"/>
        <w:snapToGrid w:val="0"/>
        <w:ind w:firstLine="480"/>
      </w:pPr>
      <w:r>
        <w:rPr>
          <w:rFonts w:hint="eastAsia"/>
        </w:rPr>
        <w:t>（1）两栖类</w:t>
      </w:r>
    </w:p>
    <w:p w14:paraId="11799FA8">
      <w:pPr>
        <w:adjustRightInd w:val="0"/>
        <w:snapToGrid w:val="0"/>
        <w:ind w:firstLine="480"/>
      </w:pPr>
      <w:r>
        <w:rPr>
          <w:rFonts w:hint="eastAsia"/>
        </w:rPr>
        <w:t>主要通过座谈访问和查阅已发表的评价区及其附近的相关文献资料，得出评价区野生两栖类种类、数量及分布现状如下：</w:t>
      </w:r>
    </w:p>
    <w:p w14:paraId="01EEAE87">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种类、数量及分布</w:t>
      </w:r>
    </w:p>
    <w:p w14:paraId="3CAA10E3">
      <w:pPr>
        <w:adjustRightInd w:val="0"/>
        <w:snapToGrid w:val="0"/>
        <w:ind w:firstLine="480"/>
      </w:pPr>
      <w:r>
        <w:rPr>
          <w:rFonts w:hint="eastAsia"/>
        </w:rPr>
        <w:t>评价区内野生两栖动物种类有</w:t>
      </w:r>
      <w:r>
        <w:t>1</w:t>
      </w:r>
      <w:r>
        <w:rPr>
          <w:rFonts w:hint="eastAsia"/>
        </w:rPr>
        <w:t>目</w:t>
      </w:r>
      <w:r>
        <w:t>5</w:t>
      </w:r>
      <w:r>
        <w:rPr>
          <w:rFonts w:hint="eastAsia"/>
        </w:rPr>
        <w:t>科</w:t>
      </w:r>
      <w:r>
        <w:t>11</w:t>
      </w:r>
      <w:r>
        <w:rPr>
          <w:rFonts w:hint="eastAsia"/>
        </w:rPr>
        <w:t>种。其中蛙科种类最多，有</w:t>
      </w:r>
      <w:r>
        <w:t>5</w:t>
      </w:r>
      <w:r>
        <w:rPr>
          <w:rFonts w:hint="eastAsia"/>
        </w:rPr>
        <w:t>种，占评价区野生两栖类总数的</w:t>
      </w:r>
      <w:r>
        <w:t>45.45%</w:t>
      </w:r>
      <w:r>
        <w:rPr>
          <w:rFonts w:hint="eastAsia"/>
        </w:rPr>
        <w:t>，评价区内未发现国家级重点保护野生两栖类分布，有湖南省级重点保护野生两栖类</w:t>
      </w:r>
      <w:r>
        <w:t>11</w:t>
      </w:r>
      <w:r>
        <w:rPr>
          <w:rFonts w:hint="eastAsia"/>
        </w:rPr>
        <w:t>种，包括中华蟾蜍（</w:t>
      </w:r>
      <w:r>
        <w:t>Bufogargarizans</w:t>
      </w:r>
      <w:r>
        <w:rPr>
          <w:rFonts w:hint="eastAsia"/>
        </w:rPr>
        <w:t>）、黑斑侧褶蛙（</w:t>
      </w:r>
      <w:r>
        <w:t>Pelophylaxnigromaculatus</w:t>
      </w:r>
      <w:r>
        <w:rPr>
          <w:rFonts w:hint="eastAsia"/>
        </w:rPr>
        <w:t>）、沼水蛙（</w:t>
      </w:r>
      <w:r>
        <w:t>Hylaranaguentheri</w:t>
      </w:r>
      <w:r>
        <w:rPr>
          <w:rFonts w:hint="eastAsia"/>
        </w:rPr>
        <w:t>）、绿臭蛙（</w:t>
      </w:r>
      <w:r>
        <w:t>Odorranamargaretae</w:t>
      </w:r>
      <w:r>
        <w:rPr>
          <w:rFonts w:hint="eastAsia"/>
        </w:rPr>
        <w:t>）、花臭蛙（</w:t>
      </w:r>
      <w:r>
        <w:t>Odorranaschmackeri</w:t>
      </w:r>
      <w:r>
        <w:rPr>
          <w:rFonts w:hint="eastAsia"/>
        </w:rPr>
        <w:t>）、华南湍蛙（</w:t>
      </w:r>
      <w:r>
        <w:t>Amolopsricketti</w:t>
      </w:r>
      <w:r>
        <w:rPr>
          <w:rFonts w:hint="eastAsia"/>
        </w:rPr>
        <w:t>）、泽陆蛙（</w:t>
      </w:r>
      <w:r>
        <w:t>Fejervaryamultistriata</w:t>
      </w:r>
      <w:r>
        <w:rPr>
          <w:rFonts w:hint="eastAsia"/>
        </w:rPr>
        <w:t>）、斑腿泛树蛙（</w:t>
      </w:r>
      <w:r>
        <w:t>Polypedatesmegacephalus</w:t>
      </w:r>
      <w:r>
        <w:rPr>
          <w:rFonts w:hint="eastAsia"/>
        </w:rPr>
        <w:t>）、大树蛙（</w:t>
      </w:r>
      <w:r>
        <w:t>Rhacophorusdennysi</w:t>
      </w:r>
      <w:r>
        <w:rPr>
          <w:rFonts w:hint="eastAsia"/>
        </w:rPr>
        <w:t>）、小弧斑姬蛙（</w:t>
      </w:r>
      <w:r>
        <w:t>Microhylaheymonsi</w:t>
      </w:r>
      <w:r>
        <w:rPr>
          <w:rFonts w:hint="eastAsia"/>
        </w:rPr>
        <w:t>）、饰纹姬蛙（</w:t>
      </w:r>
      <w:r>
        <w:t>Microhylaornate</w:t>
      </w:r>
      <w:r>
        <w:rPr>
          <w:rFonts w:hint="eastAsia"/>
        </w:rPr>
        <w:t>）。中华蟾蜍、泽陆蛙等适应能力强，分布广，为评价范围常见种。</w:t>
      </w:r>
    </w:p>
    <w:p w14:paraId="6356B5DF">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生态类型</w:t>
      </w:r>
    </w:p>
    <w:p w14:paraId="108C21F4">
      <w:pPr>
        <w:adjustRightInd w:val="0"/>
        <w:snapToGrid w:val="0"/>
        <w:ind w:firstLine="480"/>
      </w:pPr>
      <w:r>
        <w:rPr>
          <w:rFonts w:hint="eastAsia"/>
        </w:rPr>
        <w:t>根据两栖动物生活习性的不同，将评价区内的</w:t>
      </w:r>
      <w:r>
        <w:t>11</w:t>
      </w:r>
      <w:r>
        <w:rPr>
          <w:rFonts w:hint="eastAsia"/>
        </w:rPr>
        <w:t>种野生两栖动物分为以下</w:t>
      </w:r>
      <w:r>
        <w:t>4</w:t>
      </w:r>
      <w:r>
        <w:rPr>
          <w:rFonts w:hint="eastAsia"/>
        </w:rPr>
        <w:t>种生态类型：</w:t>
      </w:r>
    </w:p>
    <w:p w14:paraId="6AFF3D5E">
      <w:pPr>
        <w:adjustRightInd w:val="0"/>
        <w:snapToGrid w:val="0"/>
        <w:ind w:firstLine="480"/>
      </w:pPr>
      <w:r>
        <w:rPr>
          <w:rFonts w:hint="eastAsia"/>
        </w:rPr>
        <w:t>静水型（在静水或缓流中觅食）：有黑斑侧褶蛙和沼水蛙（</w:t>
      </w:r>
      <w:r>
        <w:t>Hylaranaguentheri</w:t>
      </w:r>
      <w:r>
        <w:rPr>
          <w:rFonts w:hint="eastAsia"/>
        </w:rPr>
        <w:t>）</w:t>
      </w:r>
      <w:r>
        <w:t>2</w:t>
      </w:r>
      <w:r>
        <w:rPr>
          <w:rFonts w:hint="eastAsia"/>
        </w:rPr>
        <w:t>种。主要在评价区内水流较缓的水域生活。</w:t>
      </w:r>
    </w:p>
    <w:p w14:paraId="5CE23409">
      <w:pPr>
        <w:adjustRightInd w:val="0"/>
        <w:snapToGrid w:val="0"/>
        <w:ind w:firstLine="480"/>
      </w:pPr>
      <w:r>
        <w:rPr>
          <w:rFonts w:hint="eastAsia"/>
        </w:rPr>
        <w:t>溪流型（在流水中活动觅食）：有绿臭蛙、花臭蛙（</w:t>
      </w:r>
      <w:r>
        <w:t>Odorranaschmackeri</w:t>
      </w:r>
      <w:r>
        <w:rPr>
          <w:rFonts w:hint="eastAsia"/>
        </w:rPr>
        <w:t>）和华南湍蛙</w:t>
      </w:r>
      <w:r>
        <w:t>3</w:t>
      </w:r>
      <w:r>
        <w:rPr>
          <w:rFonts w:hint="eastAsia"/>
        </w:rPr>
        <w:t>种。主要分布在评价范围内的山涧溪流内。</w:t>
      </w:r>
    </w:p>
    <w:p w14:paraId="6CF324E5">
      <w:pPr>
        <w:adjustRightInd w:val="0"/>
        <w:snapToGrid w:val="0"/>
        <w:ind w:firstLine="480"/>
      </w:pPr>
      <w:r>
        <w:rPr>
          <w:rFonts w:hint="eastAsia"/>
        </w:rPr>
        <w:t>陆栖型（在陆地上活动觅食）：有中华蟾蜍、泽陆蛙、小弧斑姬蛙和饰纹姬蛙共</w:t>
      </w:r>
      <w:r>
        <w:t>4</w:t>
      </w:r>
      <w:r>
        <w:rPr>
          <w:rFonts w:hint="eastAsia"/>
        </w:rPr>
        <w:t>种。它们主要是在评价区内离水源不远处或较潮湿的陆地上活动，分布较广泛。</w:t>
      </w:r>
    </w:p>
    <w:p w14:paraId="46DB470C">
      <w:pPr>
        <w:adjustRightInd w:val="0"/>
        <w:snapToGrid w:val="0"/>
        <w:ind w:firstLine="480"/>
      </w:pPr>
      <w:r>
        <w:rPr>
          <w:rFonts w:hint="eastAsia"/>
        </w:rPr>
        <w:t>树栖型（在树上活动觅食，离水源较近的林子）：包括斑腿泛树蛙和大树蛙</w:t>
      </w:r>
      <w:r>
        <w:t>2</w:t>
      </w:r>
      <w:r>
        <w:rPr>
          <w:rFonts w:hint="eastAsia"/>
        </w:rPr>
        <w:t>种，主要分布于评价范围内离水源不远的林地中。</w:t>
      </w:r>
    </w:p>
    <w:p w14:paraId="654179E3">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区系类型</w:t>
      </w:r>
    </w:p>
    <w:p w14:paraId="1BEDF433">
      <w:pPr>
        <w:adjustRightInd w:val="0"/>
        <w:snapToGrid w:val="0"/>
        <w:ind w:firstLine="480"/>
      </w:pPr>
      <w:r>
        <w:rPr>
          <w:rFonts w:hint="eastAsia"/>
        </w:rPr>
        <w:t>按照区系类型分，将评价区内的两栖类分为</w:t>
      </w:r>
      <w:r>
        <w:t>2</w:t>
      </w:r>
      <w:r>
        <w:rPr>
          <w:rFonts w:hint="eastAsia"/>
        </w:rPr>
        <w:t>种区系类型：东洋种</w:t>
      </w:r>
      <w:r>
        <w:t>9</w:t>
      </w:r>
      <w:r>
        <w:rPr>
          <w:rFonts w:hint="eastAsia"/>
        </w:rPr>
        <w:t>种，占评价区内野生爬行类总种数的</w:t>
      </w:r>
      <w:r>
        <w:t>81.82%</w:t>
      </w:r>
      <w:r>
        <w:rPr>
          <w:rFonts w:hint="eastAsia"/>
        </w:rPr>
        <w:t>；广布种</w:t>
      </w:r>
      <w:r>
        <w:t>2</w:t>
      </w:r>
      <w:r>
        <w:rPr>
          <w:rFonts w:hint="eastAsia"/>
        </w:rPr>
        <w:t>种，占评价区内野生爬行类总种数的</w:t>
      </w:r>
      <w:r>
        <w:t>18.18%</w:t>
      </w:r>
      <w:r>
        <w:rPr>
          <w:rFonts w:hint="eastAsia"/>
        </w:rPr>
        <w:t>。东洋界物种依然占绝对优势。</w:t>
      </w:r>
    </w:p>
    <w:p w14:paraId="12BE103D">
      <w:pPr>
        <w:adjustRightInd w:val="0"/>
        <w:snapToGrid w:val="0"/>
        <w:ind w:firstLine="480"/>
      </w:pPr>
      <w:r>
        <w:rPr>
          <w:rFonts w:hint="eastAsia"/>
        </w:rPr>
        <w:t>（2）爬行类</w:t>
      </w:r>
    </w:p>
    <w:p w14:paraId="2081A11F">
      <w:pPr>
        <w:adjustRightInd w:val="0"/>
        <w:snapToGrid w:val="0"/>
        <w:ind w:firstLine="480"/>
      </w:pPr>
      <w:r>
        <w:rPr>
          <w:rFonts w:hint="eastAsia"/>
        </w:rPr>
        <w:t>主要通过调查访问和查阅已发表的与在评价区及附近的相关的文献资料，得出评价区爬行类种类、数量及分布现状如下：</w:t>
      </w:r>
    </w:p>
    <w:p w14:paraId="280ED524">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种类、数量及分布</w:t>
      </w:r>
    </w:p>
    <w:p w14:paraId="5C13865D">
      <w:pPr>
        <w:adjustRightInd w:val="0"/>
        <w:snapToGrid w:val="0"/>
        <w:ind w:firstLine="480"/>
      </w:pPr>
      <w:r>
        <w:rPr>
          <w:rFonts w:hint="eastAsia"/>
        </w:rPr>
        <w:t>区域内野生爬行类共有</w:t>
      </w:r>
      <w:r>
        <w:t>1</w:t>
      </w:r>
      <w:r>
        <w:rPr>
          <w:rFonts w:hint="eastAsia"/>
        </w:rPr>
        <w:t>目</w:t>
      </w:r>
      <w:r>
        <w:t>6</w:t>
      </w:r>
      <w:r>
        <w:rPr>
          <w:rFonts w:hint="eastAsia"/>
        </w:rPr>
        <w:t>科</w:t>
      </w:r>
      <w:r>
        <w:t>22</w:t>
      </w:r>
      <w:r>
        <w:rPr>
          <w:rFonts w:hint="eastAsia"/>
        </w:rPr>
        <w:t>种。其中游蛇科的种类最多，有</w:t>
      </w:r>
      <w:r>
        <w:t>11</w:t>
      </w:r>
      <w:r>
        <w:rPr>
          <w:rFonts w:hint="eastAsia"/>
        </w:rPr>
        <w:t>种，占评价区内野生爬行类总数的</w:t>
      </w:r>
      <w:r>
        <w:t>50.00%</w:t>
      </w:r>
      <w:r>
        <w:rPr>
          <w:rFonts w:hint="eastAsia"/>
        </w:rPr>
        <w:t>。评价区内未发现国家级重点保护野生爬行类分布，除蓝尾石龙子（</w:t>
      </w:r>
      <w:r>
        <w:t>Plestiodonelegans</w:t>
      </w:r>
      <w:r>
        <w:rPr>
          <w:rFonts w:hint="eastAsia"/>
        </w:rPr>
        <w:t>）和广西后棱蛇（</w:t>
      </w:r>
      <w:r>
        <w:t>Opisthotropisguangxiensi</w:t>
      </w:r>
      <w:r>
        <w:rPr>
          <w:rFonts w:hint="eastAsia"/>
        </w:rPr>
        <w:t>）</w:t>
      </w:r>
      <w:r>
        <w:t>2</w:t>
      </w:r>
      <w:r>
        <w:rPr>
          <w:rFonts w:hint="eastAsia"/>
        </w:rPr>
        <w:t>种外，其余</w:t>
      </w:r>
      <w:r>
        <w:t>20</w:t>
      </w:r>
      <w:r>
        <w:rPr>
          <w:rFonts w:hint="eastAsia"/>
        </w:rPr>
        <w:t>种均为湖南省省级重点保护野生动物（爬行类）。中国石龙子、翠青蛇、乌梢蛇、赤链蛇（</w:t>
      </w:r>
      <w:r>
        <w:t>Lycodonrufozonatum</w:t>
      </w:r>
      <w:r>
        <w:rPr>
          <w:rFonts w:hint="eastAsia"/>
        </w:rPr>
        <w:t>）、王锦蛇（</w:t>
      </w:r>
      <w:r>
        <w:t>Elaphecarinata</w:t>
      </w:r>
      <w:r>
        <w:rPr>
          <w:rFonts w:hint="eastAsia"/>
        </w:rPr>
        <w:t>）和山溪后棱蛇（</w:t>
      </w:r>
      <w:r>
        <w:t>Opisthotropislatouchii</w:t>
      </w:r>
      <w:r>
        <w:rPr>
          <w:rFonts w:hint="eastAsia"/>
        </w:rPr>
        <w:t>）等种类在评价区内种群数量相对丰富。</w:t>
      </w:r>
    </w:p>
    <w:p w14:paraId="74169824">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生态类型</w:t>
      </w:r>
    </w:p>
    <w:p w14:paraId="21D78EAC">
      <w:pPr>
        <w:adjustRightInd w:val="0"/>
        <w:snapToGrid w:val="0"/>
        <w:ind w:firstLine="480"/>
      </w:pPr>
      <w:r>
        <w:rPr>
          <w:rFonts w:hint="eastAsia"/>
        </w:rPr>
        <w:t>根据爬行动物生活习性的不同，将评价区内的</w:t>
      </w:r>
      <w:r>
        <w:t>22</w:t>
      </w:r>
      <w:r>
        <w:rPr>
          <w:rFonts w:hint="eastAsia"/>
        </w:rPr>
        <w:t>种野生爬行动物分为以下</w:t>
      </w:r>
      <w:r>
        <w:t>2</w:t>
      </w:r>
      <w:r>
        <w:rPr>
          <w:rFonts w:hint="eastAsia"/>
        </w:rPr>
        <w:t>种生态类型：</w:t>
      </w:r>
    </w:p>
    <w:p w14:paraId="65891E0B">
      <w:pPr>
        <w:adjustRightInd w:val="0"/>
        <w:snapToGrid w:val="0"/>
        <w:ind w:firstLine="480"/>
      </w:pPr>
      <w:r>
        <w:rPr>
          <w:rFonts w:hint="eastAsia"/>
        </w:rPr>
        <w:t>根据爬行动物生活习性的不同，将评价区内的</w:t>
      </w:r>
      <w:r>
        <w:t>22</w:t>
      </w:r>
      <w:r>
        <w:rPr>
          <w:rFonts w:hint="eastAsia"/>
        </w:rPr>
        <w:t>种野生爬行动物分为以下</w:t>
      </w:r>
      <w:r>
        <w:t>2</w:t>
      </w:r>
      <w:r>
        <w:rPr>
          <w:rFonts w:hint="eastAsia"/>
        </w:rPr>
        <w:t>种生态类型：</w:t>
      </w:r>
    </w:p>
    <w:p w14:paraId="585289B9">
      <w:pPr>
        <w:adjustRightInd w:val="0"/>
        <w:snapToGrid w:val="0"/>
        <w:ind w:firstLine="480"/>
      </w:pPr>
      <w:r>
        <w:rPr>
          <w:rFonts w:hint="eastAsia"/>
        </w:rPr>
        <w:t>灌丛石隙型（经常活动在灌丛下面，路边石缝中的爬行类）：包括铜蜓蜥、蓝尾石龙子、中国石龙子、北草蜥、南草蜥（</w:t>
      </w:r>
      <w:r>
        <w:t>Takydromussexlineatus</w:t>
      </w:r>
      <w:r>
        <w:rPr>
          <w:rFonts w:hint="eastAsia"/>
        </w:rPr>
        <w:t>）、黑脊蛇（</w:t>
      </w:r>
      <w:r>
        <w:t>Achalinusspinalis</w:t>
      </w:r>
      <w:r>
        <w:rPr>
          <w:rFonts w:hint="eastAsia"/>
        </w:rPr>
        <w:t>）、原矛头蝮（</w:t>
      </w:r>
      <w:r>
        <w:t>Protobothropsmucrosquamatus</w:t>
      </w:r>
      <w:r>
        <w:rPr>
          <w:rFonts w:hint="eastAsia"/>
        </w:rPr>
        <w:t>）和短尾蝮（</w:t>
      </w:r>
      <w:r>
        <w:t>Gloydiusbrevicaudus</w:t>
      </w:r>
      <w:r>
        <w:rPr>
          <w:rFonts w:hint="eastAsia"/>
        </w:rPr>
        <w:t>），共</w:t>
      </w:r>
      <w:r>
        <w:t>8</w:t>
      </w:r>
      <w:r>
        <w:rPr>
          <w:rFonts w:hint="eastAsia"/>
        </w:rPr>
        <w:t>种，在评价范围内分布较为广泛，主要活动于评价区林地，灌丛和路旁边坡中。评价区中灌丛石隙型爬行类种类数量均最多，此种生态类型构成了评价区爬行类的主体主要分布在公路附近的林地、灌丛内。</w:t>
      </w:r>
    </w:p>
    <w:p w14:paraId="717A7677">
      <w:pPr>
        <w:adjustRightInd w:val="0"/>
        <w:snapToGrid w:val="0"/>
        <w:ind w:firstLine="480"/>
      </w:pPr>
      <w:r>
        <w:rPr>
          <w:rFonts w:hint="eastAsia"/>
        </w:rPr>
        <w:t>林栖傍水型（在山谷间有溪流的山坡上活动）：有白唇竹叶青蛇、舟山眼镜蛇（</w:t>
      </w:r>
      <w:r>
        <w:t>Najaatra</w:t>
      </w:r>
      <w:r>
        <w:rPr>
          <w:rFonts w:hint="eastAsia"/>
        </w:rPr>
        <w:t>）、银环蛇（</w:t>
      </w:r>
      <w:r>
        <w:t>Bungarusmulticinctus</w:t>
      </w:r>
      <w:r>
        <w:rPr>
          <w:rFonts w:hint="eastAsia"/>
        </w:rPr>
        <w:t>）、翠青蛇、灰鼠蛇、乌梢蛇、赤链蛇、黄链蛇（</w:t>
      </w:r>
      <w:r>
        <w:t>Lycodonflavozonatum</w:t>
      </w:r>
      <w:r>
        <w:rPr>
          <w:rFonts w:hint="eastAsia"/>
        </w:rPr>
        <w:t>）、黑眉晨蛇（</w:t>
      </w:r>
      <w:r>
        <w:t>Orthriophistaeniurus</w:t>
      </w:r>
      <w:r>
        <w:rPr>
          <w:rFonts w:hint="eastAsia"/>
        </w:rPr>
        <w:t>）、王锦蛇、草腹链蛇（</w:t>
      </w:r>
      <w:r>
        <w:t>Amphiesmastolatum</w:t>
      </w:r>
      <w:r>
        <w:rPr>
          <w:rFonts w:hint="eastAsia"/>
        </w:rPr>
        <w:t>）、虎斑颈槽蛇（</w:t>
      </w:r>
      <w:r>
        <w:t>Rhabdophistigrinus</w:t>
      </w:r>
      <w:r>
        <w:rPr>
          <w:rFonts w:hint="eastAsia"/>
        </w:rPr>
        <w:t>）和广西后棱蛇（</w:t>
      </w:r>
      <w:r>
        <w:t>Opisthotropisguangxiensi</w:t>
      </w:r>
      <w:r>
        <w:rPr>
          <w:rFonts w:hint="eastAsia"/>
        </w:rPr>
        <w:t>）、</w:t>
      </w:r>
      <w:r>
        <w:t>山溪后棱蛇</w:t>
      </w:r>
      <w:r>
        <w:rPr>
          <w:rFonts w:hint="eastAsia"/>
        </w:rPr>
        <w:t>（</w:t>
      </w:r>
      <w:r>
        <w:t>Opisthotropis latouchii</w:t>
      </w:r>
      <w:r>
        <w:rPr>
          <w:rFonts w:hint="eastAsia"/>
        </w:rPr>
        <w:t>）共</w:t>
      </w:r>
      <w:r>
        <w:t>14</w:t>
      </w:r>
      <w:r>
        <w:rPr>
          <w:rFonts w:hint="eastAsia"/>
        </w:rPr>
        <w:t>种蛇类，它们主要在评价区内水域附近的山间林地活动。</w:t>
      </w:r>
    </w:p>
    <w:p w14:paraId="021FA187">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区系类型</w:t>
      </w:r>
    </w:p>
    <w:p w14:paraId="128479E8">
      <w:pPr>
        <w:adjustRightInd w:val="0"/>
        <w:snapToGrid w:val="0"/>
        <w:ind w:firstLine="480"/>
      </w:pPr>
      <w:r>
        <w:rPr>
          <w:rFonts w:hint="eastAsia"/>
        </w:rPr>
        <w:t>按照区系类型分，将评价区内的野生爬行类分为</w:t>
      </w:r>
      <w:r>
        <w:t>2</w:t>
      </w:r>
      <w:r>
        <w:rPr>
          <w:rFonts w:hint="eastAsia"/>
        </w:rPr>
        <w:t>种区系类型：东洋种</w:t>
      </w:r>
      <w:r>
        <w:t>15</w:t>
      </w:r>
      <w:r>
        <w:rPr>
          <w:rFonts w:hint="eastAsia"/>
        </w:rPr>
        <w:t>种，占评价区内野生爬行类总种数的</w:t>
      </w:r>
      <w:r>
        <w:t>68.18%</w:t>
      </w:r>
      <w:r>
        <w:rPr>
          <w:rFonts w:hint="eastAsia"/>
        </w:rPr>
        <w:t>；广布种</w:t>
      </w:r>
      <w:r>
        <w:t>7</w:t>
      </w:r>
      <w:r>
        <w:rPr>
          <w:rFonts w:hint="eastAsia"/>
        </w:rPr>
        <w:t>种，占评价区内野生爬行类总种数的</w:t>
      </w:r>
      <w:r>
        <w:t>31.82%</w:t>
      </w:r>
      <w:r>
        <w:rPr>
          <w:rFonts w:hint="eastAsia"/>
        </w:rPr>
        <w:t>。与两栖类类似，东洋界物种依然占绝对优势，由于爬行类动物迁移能力也不强，因此古北界动物难以跨越地理阻障而向东洋界渗透。</w:t>
      </w:r>
    </w:p>
    <w:p w14:paraId="7F458628">
      <w:pPr>
        <w:adjustRightInd w:val="0"/>
        <w:snapToGrid w:val="0"/>
        <w:ind w:firstLine="480"/>
      </w:pPr>
      <w:r>
        <w:rPr>
          <w:rFonts w:hint="eastAsia"/>
        </w:rPr>
        <w:t>（3）鸟类</w:t>
      </w:r>
    </w:p>
    <w:p w14:paraId="2938AB50">
      <w:pPr>
        <w:adjustRightInd w:val="0"/>
        <w:snapToGrid w:val="0"/>
        <w:ind w:firstLine="480"/>
      </w:pPr>
      <w:r>
        <w:t>2023</w:t>
      </w:r>
      <w:r>
        <w:rPr>
          <w:rFonts w:hint="eastAsia"/>
        </w:rPr>
        <w:t>年</w:t>
      </w:r>
      <w:r>
        <w:t>5</w:t>
      </w:r>
      <w:r>
        <w:rPr>
          <w:rFonts w:hint="eastAsia"/>
        </w:rPr>
        <w:t>月，湖南天瑶环境技术有限公司专业技术人在评价范围内进行了实地调查，并通过查阅相关文献与访问，进行综合分析，得出评价区内野生鸟类种类、数量及分布现状如下：</w:t>
      </w:r>
    </w:p>
    <w:p w14:paraId="7E10DC6C">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种类、数量及分布</w:t>
      </w:r>
    </w:p>
    <w:p w14:paraId="67E51C8F">
      <w:pPr>
        <w:adjustRightInd w:val="0"/>
        <w:snapToGrid w:val="0"/>
        <w:ind w:firstLine="480"/>
      </w:pPr>
      <w:r>
        <w:rPr>
          <w:rFonts w:hint="eastAsia"/>
        </w:rPr>
        <w:t>评价区内共分布有野生鸟类</w:t>
      </w:r>
      <w:r>
        <w:t>77</w:t>
      </w:r>
      <w:r>
        <w:rPr>
          <w:rFonts w:hint="eastAsia"/>
        </w:rPr>
        <w:t>种，隶属于</w:t>
      </w:r>
      <w:r>
        <w:t>10</w:t>
      </w:r>
      <w:r>
        <w:rPr>
          <w:rFonts w:hint="eastAsia"/>
        </w:rPr>
        <w:t>目</w:t>
      </w:r>
      <w:r>
        <w:t>32</w:t>
      </w:r>
      <w:r>
        <w:rPr>
          <w:rFonts w:hint="eastAsia"/>
        </w:rPr>
        <w:t>科。其中，以雀形目鸟类最多，共</w:t>
      </w:r>
      <w:r>
        <w:t>59</w:t>
      </w:r>
      <w:r>
        <w:rPr>
          <w:rFonts w:hint="eastAsia"/>
        </w:rPr>
        <w:t>种，占评价区内野生鸟类总数的</w:t>
      </w:r>
      <w:r>
        <w:t>76.62%</w:t>
      </w:r>
      <w:r>
        <w:rPr>
          <w:rFonts w:hint="eastAsia"/>
        </w:rPr>
        <w:t>。评价区内未发现国家</w:t>
      </w:r>
      <w:r>
        <w:t>Ⅰ</w:t>
      </w:r>
      <w:r>
        <w:rPr>
          <w:rFonts w:hint="eastAsia"/>
        </w:rPr>
        <w:t>级重点保护野生鸟类分布，有国家</w:t>
      </w:r>
      <w:r>
        <w:t>Ⅱ</w:t>
      </w:r>
      <w:r>
        <w:rPr>
          <w:rFonts w:hint="eastAsia"/>
        </w:rPr>
        <w:t>级重点保护野生鸟类</w:t>
      </w:r>
      <w:r>
        <w:t>5</w:t>
      </w:r>
      <w:r>
        <w:rPr>
          <w:rFonts w:hint="eastAsia"/>
        </w:rPr>
        <w:t>种，为</w:t>
      </w:r>
      <w:bookmarkStart w:id="140" w:name="_Hlk144368963"/>
      <w:r>
        <w:rPr>
          <w:rFonts w:hint="eastAsia"/>
        </w:rPr>
        <w:t>雀鹰（</w:t>
      </w:r>
      <w:bookmarkStart w:id="141" w:name="_Hlk144368941"/>
      <w:r>
        <w:t>Accipiter nisus</w:t>
      </w:r>
      <w:bookmarkEnd w:id="141"/>
      <w:r>
        <w:rPr>
          <w:rFonts w:hint="eastAsia"/>
        </w:rPr>
        <w:t>）、</w:t>
      </w:r>
      <w:r>
        <w:t>黑鸢</w:t>
      </w:r>
      <w:r>
        <w:rPr>
          <w:rFonts w:hint="eastAsia"/>
        </w:rPr>
        <w:t>（</w:t>
      </w:r>
      <w:r>
        <w:t>Milvus migrans</w:t>
      </w:r>
      <w:r>
        <w:rPr>
          <w:rFonts w:hint="eastAsia"/>
        </w:rPr>
        <w:t>）、</w:t>
      </w:r>
      <w:r>
        <w:t>红隼</w:t>
      </w:r>
      <w:r>
        <w:rPr>
          <w:rFonts w:hint="eastAsia"/>
        </w:rPr>
        <w:t>（</w:t>
      </w:r>
      <w:r>
        <w:t>Falco tinnunculus</w:t>
      </w:r>
      <w:r>
        <w:rPr>
          <w:rFonts w:hint="eastAsia"/>
        </w:rPr>
        <w:t>）、</w:t>
      </w:r>
      <w:r>
        <w:t>东方草鸮</w:t>
      </w:r>
      <w:r>
        <w:rPr>
          <w:rFonts w:hint="eastAsia"/>
        </w:rPr>
        <w:t>（</w:t>
      </w:r>
      <w:r>
        <w:t>Tyto longimembris</w:t>
      </w:r>
      <w:r>
        <w:rPr>
          <w:rFonts w:hint="eastAsia"/>
        </w:rPr>
        <w:t>）和</w:t>
      </w:r>
      <w:r>
        <w:t>斑头鸺鹠</w:t>
      </w:r>
      <w:r>
        <w:rPr>
          <w:rFonts w:hint="eastAsia"/>
        </w:rPr>
        <w:t>（</w:t>
      </w:r>
      <w:r>
        <w:t>Glaucidium cuculoides</w:t>
      </w:r>
      <w:r>
        <w:rPr>
          <w:rFonts w:hint="eastAsia"/>
        </w:rPr>
        <w:t>）。</w:t>
      </w:r>
      <w:bookmarkEnd w:id="140"/>
      <w:r>
        <w:rPr>
          <w:rFonts w:hint="eastAsia"/>
        </w:rPr>
        <w:t>有湖南省级重点保护野生鸟类</w:t>
      </w:r>
      <w:r>
        <w:t>40</w:t>
      </w:r>
      <w:r>
        <w:rPr>
          <w:rFonts w:hint="eastAsia"/>
        </w:rPr>
        <w:t>种，包括</w:t>
      </w:r>
      <w:r>
        <w:t>灰胸竹鸡</w:t>
      </w:r>
      <w:r>
        <w:rPr>
          <w:rFonts w:hint="eastAsia"/>
        </w:rPr>
        <w:t>(</w:t>
      </w:r>
      <w:r>
        <w:t>Bambusicola thoracica)</w:t>
      </w:r>
      <w:r>
        <w:rPr>
          <w:rFonts w:hint="eastAsia"/>
        </w:rPr>
        <w:t>、</w:t>
      </w:r>
      <w:r>
        <w:t>环颈雉</w:t>
      </w:r>
      <w:r>
        <w:rPr>
          <w:rFonts w:hint="eastAsia"/>
        </w:rPr>
        <w:t>(</w:t>
      </w:r>
      <w:r>
        <w:t>Phasianus colchicus)</w:t>
      </w:r>
      <w:r>
        <w:rPr>
          <w:rFonts w:hint="eastAsia"/>
        </w:rPr>
        <w:t>、</w:t>
      </w:r>
      <w:r>
        <w:t>山斑鸠</w:t>
      </w:r>
      <w:r>
        <w:rPr>
          <w:rFonts w:hint="eastAsia"/>
        </w:rPr>
        <w:t>(</w:t>
      </w:r>
      <w:r>
        <w:t>Streptopelia orientalis)</w:t>
      </w:r>
      <w:r>
        <w:rPr>
          <w:rFonts w:hint="eastAsia"/>
        </w:rPr>
        <w:t>、</w:t>
      </w:r>
      <w:r>
        <w:t>珠颈斑鸠</w:t>
      </w:r>
      <w:r>
        <w:rPr>
          <w:rFonts w:hint="eastAsia"/>
        </w:rPr>
        <w:t>(</w:t>
      </w:r>
      <w:r>
        <w:t>Streptopelia chinensis)</w:t>
      </w:r>
      <w:r>
        <w:rPr>
          <w:rFonts w:hint="eastAsia"/>
        </w:rPr>
        <w:t>、</w:t>
      </w:r>
      <w:r>
        <w:t>鹰鹃</w:t>
      </w:r>
      <w:r>
        <w:rPr>
          <w:rFonts w:hint="eastAsia"/>
        </w:rPr>
        <w:t>(</w:t>
      </w:r>
      <w:r>
        <w:t>Hierococcyx sparverioides)</w:t>
      </w:r>
      <w:r>
        <w:rPr>
          <w:rFonts w:hint="eastAsia"/>
        </w:rPr>
        <w:t>、</w:t>
      </w:r>
      <w:r>
        <w:t>大杜鹃</w:t>
      </w:r>
      <w:r>
        <w:rPr>
          <w:rFonts w:hint="eastAsia"/>
        </w:rPr>
        <w:t>(</w:t>
      </w:r>
      <w:r>
        <w:t>Cuculus canorus)</w:t>
      </w:r>
      <w:r>
        <w:rPr>
          <w:rFonts w:hint="eastAsia"/>
        </w:rPr>
        <w:t>、</w:t>
      </w:r>
      <w:r>
        <w:t>小杜鹃</w:t>
      </w:r>
      <w:r>
        <w:rPr>
          <w:rFonts w:hint="eastAsia"/>
        </w:rPr>
        <w:t>(</w:t>
      </w:r>
      <w:r>
        <w:t>Cuculus poliocephalus)</w:t>
      </w:r>
      <w:r>
        <w:rPr>
          <w:rFonts w:hint="eastAsia"/>
        </w:rPr>
        <w:t>、</w:t>
      </w:r>
      <w:r>
        <w:t>四声杜鹃</w:t>
      </w:r>
      <w:r>
        <w:rPr>
          <w:rFonts w:hint="eastAsia"/>
        </w:rPr>
        <w:t>(</w:t>
      </w:r>
      <w:r>
        <w:t>Cucolus micropterus)</w:t>
      </w:r>
      <w:r>
        <w:rPr>
          <w:rFonts w:hint="eastAsia"/>
        </w:rPr>
        <w:t>、</w:t>
      </w:r>
      <w:r>
        <w:t>普通夜鹰</w:t>
      </w:r>
      <w:r>
        <w:rPr>
          <w:rFonts w:hint="eastAsia"/>
        </w:rPr>
        <w:t>(</w:t>
      </w:r>
      <w:r>
        <w:t>Caprimulgus indicus)</w:t>
      </w:r>
      <w:r>
        <w:rPr>
          <w:rFonts w:hint="eastAsia"/>
        </w:rPr>
        <w:t>、</w:t>
      </w:r>
      <w:r>
        <w:t>普通翠鸟</w:t>
      </w:r>
      <w:r>
        <w:rPr>
          <w:rFonts w:hint="eastAsia"/>
        </w:rPr>
        <w:t>(</w:t>
      </w:r>
      <w:r>
        <w:t>Alcedo atthis)</w:t>
      </w:r>
      <w:r>
        <w:rPr>
          <w:rFonts w:hint="eastAsia"/>
        </w:rPr>
        <w:t>、</w:t>
      </w:r>
      <w:r>
        <w:t>戴胜</w:t>
      </w:r>
      <w:r>
        <w:rPr>
          <w:rFonts w:hint="eastAsia"/>
        </w:rPr>
        <w:t>(</w:t>
      </w:r>
      <w:r>
        <w:t>Upupa epops)</w:t>
      </w:r>
      <w:r>
        <w:rPr>
          <w:rFonts w:hint="eastAsia"/>
        </w:rPr>
        <w:t>、</w:t>
      </w:r>
      <w:r>
        <w:t>灰头绿啄木鸟</w:t>
      </w:r>
      <w:r>
        <w:rPr>
          <w:rFonts w:hint="eastAsia"/>
        </w:rPr>
        <w:t>(</w:t>
      </w:r>
      <w:r>
        <w:t>Picus canus)</w:t>
      </w:r>
      <w:r>
        <w:rPr>
          <w:rFonts w:hint="eastAsia"/>
        </w:rPr>
        <w:t>、</w:t>
      </w:r>
      <w:r>
        <w:t>大斑啄木鸟</w:t>
      </w:r>
      <w:r>
        <w:rPr>
          <w:rFonts w:hint="eastAsia"/>
        </w:rPr>
        <w:t>(</w:t>
      </w:r>
      <w:r>
        <w:t>Picoides major)</w:t>
      </w:r>
      <w:r>
        <w:rPr>
          <w:rFonts w:hint="eastAsia"/>
        </w:rPr>
        <w:t>、</w:t>
      </w:r>
      <w:r>
        <w:t>家燕</w:t>
      </w:r>
      <w:r>
        <w:rPr>
          <w:rFonts w:hint="eastAsia"/>
        </w:rPr>
        <w:t>(</w:t>
      </w:r>
      <w:r>
        <w:t>Hirundo rustica)</w:t>
      </w:r>
      <w:r>
        <w:rPr>
          <w:rFonts w:hint="eastAsia"/>
        </w:rPr>
        <w:t>、</w:t>
      </w:r>
      <w:r>
        <w:t>金腰燕</w:t>
      </w:r>
      <w:r>
        <w:rPr>
          <w:rFonts w:hint="eastAsia"/>
        </w:rPr>
        <w:t>(</w:t>
      </w:r>
      <w:r>
        <w:t>Cecropis daurica)</w:t>
      </w:r>
      <w:r>
        <w:rPr>
          <w:rFonts w:hint="eastAsia"/>
        </w:rPr>
        <w:t>、</w:t>
      </w:r>
      <w:r>
        <w:t>灰喉山椒鸟</w:t>
      </w:r>
      <w:r>
        <w:rPr>
          <w:rFonts w:hint="eastAsia"/>
        </w:rPr>
        <w:t>(</w:t>
      </w:r>
      <w:r>
        <w:t>Pericrocotus cantonensis)</w:t>
      </w:r>
      <w:r>
        <w:rPr>
          <w:rFonts w:hint="eastAsia"/>
        </w:rPr>
        <w:t>、</w:t>
      </w:r>
      <w:r>
        <w:t>黄臀鹎</w:t>
      </w:r>
      <w:r>
        <w:rPr>
          <w:rFonts w:hint="eastAsia"/>
        </w:rPr>
        <w:t>(</w:t>
      </w:r>
      <w:r>
        <w:t>Pycnonotus aurigaster)</w:t>
      </w:r>
      <w:r>
        <w:rPr>
          <w:rFonts w:hint="eastAsia"/>
        </w:rPr>
        <w:t>、</w:t>
      </w:r>
      <w:r>
        <w:t>白头鹎</w:t>
      </w:r>
      <w:r>
        <w:rPr>
          <w:rFonts w:hint="eastAsia"/>
        </w:rPr>
        <w:t>(</w:t>
      </w:r>
      <w:r>
        <w:t>Pycnonotus sinensis)</w:t>
      </w:r>
      <w:r>
        <w:rPr>
          <w:rFonts w:hint="eastAsia"/>
        </w:rPr>
        <w:t>、</w:t>
      </w:r>
      <w:r>
        <w:t>棕背伯劳</w:t>
      </w:r>
      <w:r>
        <w:rPr>
          <w:rFonts w:hint="eastAsia"/>
        </w:rPr>
        <w:t>(</w:t>
      </w:r>
      <w:r>
        <w:t>Lanius schach)</w:t>
      </w:r>
      <w:r>
        <w:rPr>
          <w:rFonts w:hint="eastAsia"/>
        </w:rPr>
        <w:t>、</w:t>
      </w:r>
      <w:r>
        <w:t>红尾伯劳</w:t>
      </w:r>
      <w:r>
        <w:rPr>
          <w:rFonts w:hint="eastAsia"/>
        </w:rPr>
        <w:t>(</w:t>
      </w:r>
      <w:r>
        <w:t>Lanius cristatus)</w:t>
      </w:r>
      <w:r>
        <w:rPr>
          <w:rFonts w:hint="eastAsia"/>
        </w:rPr>
        <w:t>、</w:t>
      </w:r>
      <w:r>
        <w:t>黑卷尾</w:t>
      </w:r>
      <w:r>
        <w:rPr>
          <w:rFonts w:hint="eastAsia"/>
        </w:rPr>
        <w:t>(</w:t>
      </w:r>
      <w:r>
        <w:t>Dicrurus macrocercus)</w:t>
      </w:r>
      <w:r>
        <w:rPr>
          <w:rFonts w:hint="eastAsia"/>
        </w:rPr>
        <w:t>、</w:t>
      </w:r>
      <w:r>
        <w:t>发冠卷尾</w:t>
      </w:r>
      <w:r>
        <w:rPr>
          <w:rFonts w:hint="eastAsia"/>
        </w:rPr>
        <w:t>(</w:t>
      </w:r>
      <w:r>
        <w:t>Dicrurus hottentottus)</w:t>
      </w:r>
      <w:r>
        <w:rPr>
          <w:rFonts w:hint="eastAsia"/>
        </w:rPr>
        <w:t>、</w:t>
      </w:r>
      <w:r>
        <w:t>八哥</w:t>
      </w:r>
      <w:r>
        <w:rPr>
          <w:rFonts w:hint="eastAsia"/>
        </w:rPr>
        <w:t>(</w:t>
      </w:r>
      <w:r>
        <w:t>Acridotheres cristatellus)</w:t>
      </w:r>
      <w:r>
        <w:rPr>
          <w:rFonts w:hint="eastAsia"/>
        </w:rPr>
        <w:t>、</w:t>
      </w:r>
      <w:r>
        <w:t>红嘴蓝鹊</w:t>
      </w:r>
      <w:r>
        <w:rPr>
          <w:rFonts w:hint="eastAsia"/>
        </w:rPr>
        <w:t>(</w:t>
      </w:r>
      <w:r>
        <w:t>Urocissa erythrorhyncha)</w:t>
      </w:r>
      <w:r>
        <w:rPr>
          <w:rFonts w:hint="eastAsia"/>
        </w:rPr>
        <w:t>、</w:t>
      </w:r>
      <w:r>
        <w:t>喜鹊</w:t>
      </w:r>
      <w:r>
        <w:rPr>
          <w:rFonts w:hint="eastAsia"/>
        </w:rPr>
        <w:t>(</w:t>
      </w:r>
      <w:r>
        <w:t>Pica pica)</w:t>
      </w:r>
      <w:r>
        <w:rPr>
          <w:rFonts w:hint="eastAsia"/>
        </w:rPr>
        <w:t>、</w:t>
      </w:r>
      <w:r>
        <w:t>灰喜鹊</w:t>
      </w:r>
      <w:r>
        <w:rPr>
          <w:rFonts w:hint="eastAsia"/>
        </w:rPr>
        <w:t>(</w:t>
      </w:r>
      <w:r>
        <w:t>Cyanopica cyana)</w:t>
      </w:r>
      <w:r>
        <w:rPr>
          <w:rFonts w:hint="eastAsia"/>
        </w:rPr>
        <w:t>、</w:t>
      </w:r>
      <w:r>
        <w:t>大嘴乌鸦</w:t>
      </w:r>
      <w:r>
        <w:rPr>
          <w:rFonts w:hint="eastAsia"/>
        </w:rPr>
        <w:t>(</w:t>
      </w:r>
      <w:r>
        <w:t>Corvus macrorhynchos)</w:t>
      </w:r>
      <w:r>
        <w:rPr>
          <w:rFonts w:hint="eastAsia"/>
        </w:rPr>
        <w:t>、</w:t>
      </w:r>
      <w:r>
        <w:t>松鸦</w:t>
      </w:r>
      <w:r>
        <w:rPr>
          <w:rFonts w:hint="eastAsia"/>
        </w:rPr>
        <w:t>(</w:t>
      </w:r>
      <w:r>
        <w:t>Garrulus glandarius)</w:t>
      </w:r>
      <w:r>
        <w:rPr>
          <w:rFonts w:hint="eastAsia"/>
        </w:rPr>
        <w:t>、</w:t>
      </w:r>
      <w:r>
        <w:t>灰背燕尾</w:t>
      </w:r>
      <w:r>
        <w:rPr>
          <w:rFonts w:hint="eastAsia"/>
        </w:rPr>
        <w:t>(</w:t>
      </w:r>
      <w:r>
        <w:t>Enicurus schistaceus)</w:t>
      </w:r>
      <w:r>
        <w:rPr>
          <w:rFonts w:hint="eastAsia"/>
        </w:rPr>
        <w:t>、</w:t>
      </w:r>
      <w:r>
        <w:t>乌鸫</w:t>
      </w:r>
      <w:r>
        <w:rPr>
          <w:rFonts w:hint="eastAsia"/>
        </w:rPr>
        <w:t>(</w:t>
      </w:r>
      <w:r>
        <w:t>Turdus merula)</w:t>
      </w:r>
      <w:r>
        <w:rPr>
          <w:rFonts w:hint="eastAsia"/>
        </w:rPr>
        <w:t>、</w:t>
      </w:r>
      <w:r>
        <w:t>黑脸噪鹛</w:t>
      </w:r>
      <w:r>
        <w:rPr>
          <w:rFonts w:hint="eastAsia"/>
        </w:rPr>
        <w:t>(</w:t>
      </w:r>
      <w:r>
        <w:t>Garrulax perspicillatus)</w:t>
      </w:r>
      <w:r>
        <w:rPr>
          <w:rFonts w:hint="eastAsia"/>
        </w:rPr>
        <w:t>、</w:t>
      </w:r>
      <w:r>
        <w:t>画眉</w:t>
      </w:r>
      <w:r>
        <w:rPr>
          <w:rFonts w:hint="eastAsia"/>
        </w:rPr>
        <w:t>(</w:t>
      </w:r>
      <w:r>
        <w:t>Garrulax canorus)</w:t>
      </w:r>
      <w:r>
        <w:rPr>
          <w:rFonts w:hint="eastAsia"/>
        </w:rPr>
        <w:t>、</w:t>
      </w:r>
      <w:r>
        <w:t>棕颈钩嘴鹛</w:t>
      </w:r>
      <w:r>
        <w:rPr>
          <w:rFonts w:hint="eastAsia"/>
        </w:rPr>
        <w:t>(</w:t>
      </w:r>
      <w:r>
        <w:t>Pomatorhinus ruficollis</w:t>
      </w:r>
      <w:r>
        <w:rPr>
          <w:rFonts w:hint="eastAsia"/>
        </w:rPr>
        <w:t>)、</w:t>
      </w:r>
      <w:r>
        <w:t>棕头鸦雀</w:t>
      </w:r>
      <w:r>
        <w:rPr>
          <w:rFonts w:hint="eastAsia"/>
        </w:rPr>
        <w:t>（</w:t>
      </w:r>
      <w:r>
        <w:t>Paradoxornis webbianus</w:t>
      </w:r>
      <w:r>
        <w:rPr>
          <w:rFonts w:hint="eastAsia"/>
        </w:rPr>
        <w:t>）、</w:t>
      </w:r>
      <w:r>
        <w:t>暗绿绣眼鸟</w:t>
      </w:r>
      <w:r>
        <w:rPr>
          <w:rFonts w:hint="eastAsia"/>
        </w:rPr>
        <w:t>(</w:t>
      </w:r>
      <w:r>
        <w:t>Zosterops japonica)</w:t>
      </w:r>
      <w:r>
        <w:rPr>
          <w:rFonts w:hint="eastAsia"/>
        </w:rPr>
        <w:t>、</w:t>
      </w:r>
      <w:r>
        <w:t>红头长尾山雀</w:t>
      </w:r>
      <w:r>
        <w:rPr>
          <w:rFonts w:hint="eastAsia"/>
        </w:rPr>
        <w:t>(</w:t>
      </w:r>
      <w:r>
        <w:t>Aegithalos concinnus)</w:t>
      </w:r>
      <w:r>
        <w:rPr>
          <w:rFonts w:hint="eastAsia"/>
        </w:rPr>
        <w:t>、</w:t>
      </w:r>
      <w:r>
        <w:t>大山雀</w:t>
      </w:r>
      <w:r>
        <w:rPr>
          <w:rFonts w:hint="eastAsia"/>
        </w:rPr>
        <w:t>(</w:t>
      </w:r>
      <w:r>
        <w:t>Parus major)</w:t>
      </w:r>
      <w:r>
        <w:rPr>
          <w:rFonts w:hint="eastAsia"/>
        </w:rPr>
        <w:t>、</w:t>
      </w:r>
      <w:r>
        <w:t>黄腹山雀</w:t>
      </w:r>
      <w:r>
        <w:rPr>
          <w:rFonts w:hint="eastAsia"/>
        </w:rPr>
        <w:t>(</w:t>
      </w:r>
      <w:r>
        <w:t>Parus venustulus)</w:t>
      </w:r>
      <w:r>
        <w:rPr>
          <w:rFonts w:hint="eastAsia"/>
        </w:rPr>
        <w:t>、</w:t>
      </w:r>
      <w:r>
        <w:t>麻雀</w:t>
      </w:r>
      <w:r>
        <w:rPr>
          <w:rFonts w:hint="eastAsia"/>
        </w:rPr>
        <w:t>(</w:t>
      </w:r>
      <w:r>
        <w:t>Passer montanus)</w:t>
      </w:r>
      <w:r>
        <w:rPr>
          <w:rFonts w:hint="eastAsia"/>
        </w:rPr>
        <w:t>、</w:t>
      </w:r>
      <w:r>
        <w:t>金翅雀</w:t>
      </w:r>
      <w:r>
        <w:rPr>
          <w:rFonts w:hint="eastAsia"/>
        </w:rPr>
        <w:t>(</w:t>
      </w:r>
      <w:r>
        <w:t>Carduelis sinica)</w:t>
      </w:r>
      <w:r>
        <w:rPr>
          <w:rFonts w:hint="eastAsia"/>
        </w:rPr>
        <w:t>、</w:t>
      </w:r>
      <w:r>
        <w:t>黑尾蜡嘴雀</w:t>
      </w:r>
      <w:r>
        <w:rPr>
          <w:rFonts w:hint="eastAsia"/>
        </w:rPr>
        <w:t>(</w:t>
      </w:r>
      <w:r>
        <w:t>Eophona migratoria)</w:t>
      </w:r>
    </w:p>
    <w:p w14:paraId="5B858791">
      <w:pPr>
        <w:adjustRightInd w:val="0"/>
        <w:snapToGrid w:val="0"/>
        <w:ind w:firstLine="480"/>
      </w:pPr>
      <w:r>
        <w:rPr>
          <w:rFonts w:hint="eastAsia"/>
        </w:rPr>
        <w:t>等，以雀形目居多。野外实地考察中目击到</w:t>
      </w:r>
      <w:bookmarkStart w:id="142" w:name="_Hlk144369214"/>
      <w:r>
        <w:t>珠颈斑鸠</w:t>
      </w:r>
      <w:r>
        <w:rPr>
          <w:rFonts w:hint="eastAsia"/>
        </w:rPr>
        <w:t>(</w:t>
      </w:r>
      <w:r>
        <w:t>Streptopelia chinensis</w:t>
      </w:r>
      <w:bookmarkEnd w:id="142"/>
      <w:r>
        <w:t>)</w:t>
      </w:r>
      <w:r>
        <w:rPr>
          <w:rFonts w:hint="eastAsia"/>
        </w:rPr>
        <w:t>、</w:t>
      </w:r>
      <w:bookmarkStart w:id="143" w:name="_Hlk144369273"/>
      <w:r>
        <w:t>普通翠鸟</w:t>
      </w:r>
      <w:r>
        <w:rPr>
          <w:rFonts w:hint="eastAsia"/>
        </w:rPr>
        <w:t>(</w:t>
      </w:r>
      <w:r>
        <w:t>Alcedo atthis</w:t>
      </w:r>
      <w:bookmarkEnd w:id="143"/>
      <w:r>
        <w:t>)</w:t>
      </w:r>
      <w:r>
        <w:rPr>
          <w:rFonts w:hint="eastAsia"/>
        </w:rPr>
        <w:t>、</w:t>
      </w:r>
      <w:bookmarkStart w:id="144" w:name="_Hlk144369308"/>
      <w:r>
        <w:t>家燕</w:t>
      </w:r>
      <w:r>
        <w:rPr>
          <w:rFonts w:hint="eastAsia"/>
        </w:rPr>
        <w:t>(</w:t>
      </w:r>
      <w:r>
        <w:t>Hirundo rustica</w:t>
      </w:r>
      <w:bookmarkEnd w:id="144"/>
      <w:r>
        <w:t>)</w:t>
      </w:r>
      <w:r>
        <w:rPr>
          <w:rFonts w:hint="eastAsia"/>
        </w:rPr>
        <w:t>、</w:t>
      </w:r>
      <w:bookmarkStart w:id="145" w:name="_Hlk144369318"/>
      <w:r>
        <w:t>金腰燕</w:t>
      </w:r>
      <w:r>
        <w:rPr>
          <w:rFonts w:hint="eastAsia"/>
        </w:rPr>
        <w:t>(</w:t>
      </w:r>
      <w:r>
        <w:t>Cecropis daurica</w:t>
      </w:r>
      <w:bookmarkEnd w:id="145"/>
      <w:r>
        <w:t>)</w:t>
      </w:r>
      <w:r>
        <w:rPr>
          <w:rFonts w:hint="eastAsia"/>
        </w:rPr>
        <w:t>、</w:t>
      </w:r>
      <w:r>
        <w:t>白鹡鸰(Motacilla alba)</w:t>
      </w:r>
      <w:r>
        <w:rPr>
          <w:rFonts w:hint="eastAsia"/>
        </w:rPr>
        <w:t>、</w:t>
      </w:r>
      <w:r>
        <w:t>领雀嘴鹎</w:t>
      </w:r>
      <w:r>
        <w:rPr>
          <w:rFonts w:hint="eastAsia"/>
        </w:rPr>
        <w:t>(</w:t>
      </w:r>
      <w:r>
        <w:t>Spizixos semitorques</w:t>
      </w:r>
      <w:r>
        <w:rPr>
          <w:rFonts w:hint="eastAsia"/>
        </w:rPr>
        <w:t>)、</w:t>
      </w:r>
      <w:bookmarkStart w:id="146" w:name="_Hlk144369345"/>
      <w:r>
        <w:t>白头鹎</w:t>
      </w:r>
      <w:r>
        <w:rPr>
          <w:rFonts w:hint="eastAsia"/>
        </w:rPr>
        <w:t>（</w:t>
      </w:r>
      <w:r>
        <w:t>Pycnonotus sinensis</w:t>
      </w:r>
      <w:bookmarkEnd w:id="146"/>
      <w:r>
        <w:rPr>
          <w:rFonts w:hint="eastAsia"/>
        </w:rPr>
        <w:t>）、</w:t>
      </w:r>
      <w:bookmarkStart w:id="147" w:name="_Hlk144369355"/>
      <w:r>
        <w:t>棕背伯劳</w:t>
      </w:r>
      <w:r>
        <w:rPr>
          <w:rFonts w:hint="eastAsia"/>
        </w:rPr>
        <w:t>(</w:t>
      </w:r>
      <w:r>
        <w:t>Lanius schach</w:t>
      </w:r>
      <w:bookmarkEnd w:id="147"/>
      <w:r>
        <w:t>)</w:t>
      </w:r>
      <w:r>
        <w:rPr>
          <w:rFonts w:hint="eastAsia"/>
        </w:rPr>
        <w:t>、</w:t>
      </w:r>
      <w:bookmarkStart w:id="148" w:name="_Hlk144369400"/>
      <w:r>
        <w:t>八哥</w:t>
      </w:r>
      <w:r>
        <w:rPr>
          <w:rFonts w:hint="eastAsia"/>
        </w:rPr>
        <w:t>(</w:t>
      </w:r>
      <w:r>
        <w:t>Acridotheres cristatellus</w:t>
      </w:r>
      <w:bookmarkEnd w:id="148"/>
      <w:r>
        <w:t>)</w:t>
      </w:r>
      <w:r>
        <w:rPr>
          <w:rFonts w:hint="eastAsia"/>
        </w:rPr>
        <w:t>、</w:t>
      </w:r>
      <w:bookmarkStart w:id="149" w:name="_Hlk144369416"/>
      <w:r>
        <w:t>红嘴蓝鹊</w:t>
      </w:r>
      <w:r>
        <w:rPr>
          <w:rFonts w:hint="eastAsia"/>
        </w:rPr>
        <w:t>(</w:t>
      </w:r>
      <w:r>
        <w:t>Urocissa erythrorhyncha</w:t>
      </w:r>
      <w:bookmarkEnd w:id="149"/>
      <w:r>
        <w:t>)</w:t>
      </w:r>
      <w:r>
        <w:rPr>
          <w:rFonts w:hint="eastAsia"/>
        </w:rPr>
        <w:t>、</w:t>
      </w:r>
      <w:bookmarkStart w:id="150" w:name="_Hlk144369444"/>
      <w:r>
        <w:t>大嘴乌鸦</w:t>
      </w:r>
      <w:r>
        <w:rPr>
          <w:rFonts w:hint="eastAsia"/>
        </w:rPr>
        <w:t>(</w:t>
      </w:r>
      <w:r>
        <w:t>Corvus macrorhynchos</w:t>
      </w:r>
      <w:bookmarkEnd w:id="150"/>
      <w:r>
        <w:t>)</w:t>
      </w:r>
      <w:r>
        <w:rPr>
          <w:rFonts w:hint="eastAsia"/>
        </w:rPr>
        <w:t>、</w:t>
      </w:r>
      <w:r>
        <w:t>红尾水鸲</w:t>
      </w:r>
      <w:r>
        <w:rPr>
          <w:rFonts w:hint="eastAsia"/>
        </w:rPr>
        <w:t>(</w:t>
      </w:r>
      <w:r>
        <w:t>Rhyacornis fuliginosus)</w:t>
      </w:r>
      <w:r>
        <w:rPr>
          <w:rFonts w:hint="eastAsia"/>
        </w:rPr>
        <w:t>、</w:t>
      </w:r>
      <w:bookmarkStart w:id="151" w:name="_Hlk144369463"/>
      <w:r>
        <w:t>灰背燕尾</w:t>
      </w:r>
      <w:r>
        <w:rPr>
          <w:rFonts w:hint="eastAsia"/>
        </w:rPr>
        <w:t>(</w:t>
      </w:r>
      <w:r>
        <w:t>Enicurus schistaceus</w:t>
      </w:r>
      <w:bookmarkEnd w:id="151"/>
      <w:r>
        <w:t>)</w:t>
      </w:r>
      <w:r>
        <w:rPr>
          <w:rFonts w:hint="eastAsia"/>
        </w:rPr>
        <w:t>、</w:t>
      </w:r>
      <w:r>
        <w:t>白颊噪鹛</w:t>
      </w:r>
      <w:r>
        <w:rPr>
          <w:rFonts w:hint="eastAsia"/>
        </w:rPr>
        <w:t>(</w:t>
      </w:r>
      <w:r>
        <w:t>Garrulax sannio)</w:t>
      </w:r>
      <w:r>
        <w:rPr>
          <w:rFonts w:hint="eastAsia"/>
        </w:rPr>
        <w:t>、</w:t>
      </w:r>
      <w:r>
        <w:t>灰眶雀鹛</w:t>
      </w:r>
      <w:r>
        <w:rPr>
          <w:rFonts w:hint="eastAsia"/>
        </w:rPr>
        <w:t>(</w:t>
      </w:r>
      <w:r>
        <w:t>Alcippe morrisonia)</w:t>
      </w:r>
      <w:r>
        <w:rPr>
          <w:rFonts w:hint="eastAsia"/>
        </w:rPr>
        <w:t>、</w:t>
      </w:r>
      <w:bookmarkStart w:id="152" w:name="_Hlk144369509"/>
      <w:r>
        <w:t>棕头鸦雀</w:t>
      </w:r>
      <w:r>
        <w:rPr>
          <w:rFonts w:hint="eastAsia"/>
        </w:rPr>
        <w:t>(</w:t>
      </w:r>
      <w:r>
        <w:t>Paradoxornis webbianus</w:t>
      </w:r>
      <w:bookmarkEnd w:id="152"/>
      <w:r>
        <w:t>)</w:t>
      </w:r>
      <w:r>
        <w:rPr>
          <w:rFonts w:hint="eastAsia"/>
        </w:rPr>
        <w:t>、</w:t>
      </w:r>
      <w:bookmarkStart w:id="153" w:name="_Hlk144369533"/>
      <w:r>
        <w:t>大山雀</w:t>
      </w:r>
      <w:r>
        <w:rPr>
          <w:rFonts w:hint="eastAsia"/>
        </w:rPr>
        <w:t>(</w:t>
      </w:r>
      <w:r>
        <w:t>Parus major</w:t>
      </w:r>
      <w:bookmarkEnd w:id="153"/>
      <w:r>
        <w:t>)</w:t>
      </w:r>
      <w:r>
        <w:rPr>
          <w:rFonts w:hint="eastAsia"/>
        </w:rPr>
        <w:t>、</w:t>
      </w:r>
      <w:bookmarkStart w:id="154" w:name="_Hlk144369549"/>
      <w:r>
        <w:t>麻雀</w:t>
      </w:r>
      <w:r>
        <w:rPr>
          <w:rFonts w:hint="eastAsia"/>
        </w:rPr>
        <w:t>(</w:t>
      </w:r>
      <w:r>
        <w:t>Passer montanus</w:t>
      </w:r>
      <w:bookmarkEnd w:id="154"/>
      <w:r>
        <w:t>)</w:t>
      </w:r>
      <w:r>
        <w:rPr>
          <w:rFonts w:hint="eastAsia"/>
        </w:rPr>
        <w:t>、</w:t>
      </w:r>
      <w:bookmarkStart w:id="155" w:name="_Hlk144369561"/>
      <w:r>
        <w:t>金翅雀</w:t>
      </w:r>
      <w:r>
        <w:rPr>
          <w:rFonts w:hint="eastAsia"/>
        </w:rPr>
        <w:t>(</w:t>
      </w:r>
      <w:r>
        <w:t>Carduelis sinica</w:t>
      </w:r>
      <w:bookmarkEnd w:id="155"/>
      <w:r>
        <w:t>)</w:t>
      </w:r>
      <w:r>
        <w:rPr>
          <w:rFonts w:hint="eastAsia"/>
        </w:rPr>
        <w:t>等种类。</w:t>
      </w:r>
    </w:p>
    <w:p w14:paraId="2CAEBBEA">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生态类型</w:t>
      </w:r>
    </w:p>
    <w:p w14:paraId="466BCB9C">
      <w:pPr>
        <w:adjustRightInd w:val="0"/>
        <w:snapToGrid w:val="0"/>
        <w:ind w:firstLine="480"/>
      </w:pPr>
      <w:r>
        <w:rPr>
          <w:rFonts w:hint="eastAsia"/>
        </w:rPr>
        <w:t>根据鸟类生活习性的不同，将评价区内的</w:t>
      </w:r>
      <w:r>
        <w:t>77</w:t>
      </w:r>
      <w:r>
        <w:rPr>
          <w:rFonts w:hint="eastAsia"/>
        </w:rPr>
        <w:t>种野生鸟类分为以下</w:t>
      </w:r>
      <w:r>
        <w:t>5</w:t>
      </w:r>
      <w:r>
        <w:rPr>
          <w:rFonts w:hint="eastAsia"/>
        </w:rPr>
        <w:t>种生态类型：</w:t>
      </w:r>
    </w:p>
    <w:p w14:paraId="306F0414">
      <w:pPr>
        <w:adjustRightInd w:val="0"/>
        <w:snapToGrid w:val="0"/>
        <w:ind w:firstLine="480"/>
      </w:pPr>
      <w:r>
        <w:rPr>
          <w:rFonts w:hint="eastAsia"/>
        </w:rPr>
        <w:t>涉禽（嘴，颈和脚都比较长，脚趾也很长，适于涉水行进，不会游泳，常用长嘴插入水底或地面取食）：评价区包括</w:t>
      </w:r>
      <w:r>
        <w:t>戴胜目</w:t>
      </w:r>
      <w:r>
        <w:rPr>
          <w:rFonts w:hint="eastAsia"/>
        </w:rPr>
        <w:t>的</w:t>
      </w:r>
      <w:r>
        <w:t>戴胜</w:t>
      </w:r>
      <w:r>
        <w:rPr>
          <w:rFonts w:hint="eastAsia"/>
        </w:rPr>
        <w:t>，共1种，它们在评价区内主要分布于河流、水库岸边的滩涂，以及池塘，水田等处。</w:t>
      </w:r>
    </w:p>
    <w:p w14:paraId="2DFC3607">
      <w:pPr>
        <w:adjustRightInd w:val="0"/>
        <w:snapToGrid w:val="0"/>
        <w:ind w:firstLine="480"/>
      </w:pPr>
      <w:r>
        <w:rPr>
          <w:rFonts w:hint="eastAsia"/>
        </w:rPr>
        <w:t>陆禽（体格结实，嘴坚硬，脚强而有力，适于挖土，多在地面活动觅食）：评价区包括鸡形目、鸽形目的灰胸竹鸡、环颈雉、山斑鸠，和珠颈斑共</w:t>
      </w:r>
      <w:r>
        <w:t>4</w:t>
      </w:r>
      <w:r>
        <w:rPr>
          <w:rFonts w:hint="eastAsia"/>
        </w:rPr>
        <w:t>种，它们在评价区内主要分布于进场道路两侧的林地及林缘地带或农田及居民点区域。</w:t>
      </w:r>
    </w:p>
    <w:p w14:paraId="3FB17E50">
      <w:pPr>
        <w:adjustRightInd w:val="0"/>
        <w:snapToGrid w:val="0"/>
        <w:ind w:firstLine="480"/>
      </w:pPr>
      <w:r>
        <w:rPr>
          <w:rFonts w:hint="eastAsia"/>
        </w:rPr>
        <w:t>猛禽（具有弯曲如钩的锐利嘴和爪，翅膀强大有力，能在天空翱翔或滑翔，捕食空中或地下活的猎物）：评价区包括隼形目的</w:t>
      </w:r>
      <w:r>
        <w:t>雀鹰</w:t>
      </w:r>
      <w:r>
        <w:rPr>
          <w:rFonts w:hint="eastAsia"/>
        </w:rPr>
        <w:t>、</w:t>
      </w:r>
      <w:r>
        <w:t>黑鸢</w:t>
      </w:r>
      <w:r>
        <w:rPr>
          <w:rFonts w:hint="eastAsia"/>
        </w:rPr>
        <w:t>、</w:t>
      </w:r>
      <w:bookmarkStart w:id="156" w:name="_Hlk144369007"/>
      <w:r>
        <w:t>红隼</w:t>
      </w:r>
      <w:r>
        <w:rPr>
          <w:rFonts w:hint="eastAsia"/>
        </w:rPr>
        <w:t>，鸮形目的</w:t>
      </w:r>
      <w:bookmarkStart w:id="157" w:name="_Hlk144369026"/>
      <w:r>
        <w:t>东方草鸮</w:t>
      </w:r>
      <w:bookmarkEnd w:id="157"/>
      <w:r>
        <w:rPr>
          <w:rFonts w:hint="eastAsia"/>
        </w:rPr>
        <w:t>和斑头鸺鹠</w:t>
      </w:r>
      <w:bookmarkEnd w:id="156"/>
      <w:r>
        <w:rPr>
          <w:rFonts w:hint="eastAsia"/>
        </w:rPr>
        <w:t>，共</w:t>
      </w:r>
      <w:r>
        <w:t>5</w:t>
      </w:r>
      <w:r>
        <w:rPr>
          <w:rFonts w:hint="eastAsia"/>
        </w:rPr>
        <w:t>种，它们主要分布于针叶林或阔叶林。评价区内针叶林和阔叶林广茂，适合猛禽生存。猛禽处于食物链顶端，在生态系统中占有重要地位，它们在控制啮齿类动物的数量，维持环境健康和生态平衡方面具有不可替代的作用。由于猛禽数量稀少，我国将所有猛禽都列为国家重点保护鸟类。</w:t>
      </w:r>
    </w:p>
    <w:p w14:paraId="17479FC0">
      <w:pPr>
        <w:adjustRightInd w:val="0"/>
        <w:snapToGrid w:val="0"/>
        <w:ind w:firstLine="480"/>
      </w:pPr>
      <w:r>
        <w:rPr>
          <w:rFonts w:hint="eastAsia"/>
        </w:rPr>
        <w:t>攀禽（嘴、脚和尾的构造都很特殊，善于在树上攀缘）：评价区包括夜鹰目、鹃形目、佛法僧目和</w:t>
      </w:r>
      <w:r>
        <w:t>鴷形目</w:t>
      </w:r>
      <w:r>
        <w:rPr>
          <w:rFonts w:hint="eastAsia"/>
        </w:rPr>
        <w:t>的</w:t>
      </w:r>
      <w:r>
        <w:t>普通夜鹰</w:t>
      </w:r>
      <w:r>
        <w:rPr>
          <w:rFonts w:hint="eastAsia"/>
        </w:rPr>
        <w:t>、</w:t>
      </w:r>
      <w:r>
        <w:t>鹰鹃</w:t>
      </w:r>
      <w:r>
        <w:rPr>
          <w:rFonts w:hint="eastAsia"/>
        </w:rPr>
        <w:t>、</w:t>
      </w:r>
      <w:r>
        <w:t>大杜鹃</w:t>
      </w:r>
      <w:r>
        <w:rPr>
          <w:rFonts w:hint="eastAsia"/>
        </w:rPr>
        <w:t>、</w:t>
      </w:r>
      <w:r>
        <w:t>小杜鹃</w:t>
      </w:r>
      <w:r>
        <w:rPr>
          <w:rFonts w:hint="eastAsia"/>
        </w:rPr>
        <w:t>、</w:t>
      </w:r>
      <w:r>
        <w:t>四声杜鹃</w:t>
      </w:r>
      <w:r>
        <w:rPr>
          <w:rFonts w:hint="eastAsia"/>
        </w:rPr>
        <w:t>、</w:t>
      </w:r>
      <w:r>
        <w:t>普通翠鸟</w:t>
      </w:r>
      <w:r>
        <w:rPr>
          <w:rFonts w:hint="eastAsia"/>
        </w:rPr>
        <w:t>、</w:t>
      </w:r>
      <w:r>
        <w:t>灰头绿啄木鸟</w:t>
      </w:r>
      <w:r>
        <w:rPr>
          <w:rFonts w:hint="eastAsia"/>
        </w:rPr>
        <w:t>、</w:t>
      </w:r>
      <w:r>
        <w:t>大斑啄木鸟</w:t>
      </w:r>
      <w:r>
        <w:rPr>
          <w:rFonts w:hint="eastAsia"/>
        </w:rPr>
        <w:t>，共</w:t>
      </w:r>
      <w:r>
        <w:t>8</w:t>
      </w:r>
      <w:r>
        <w:rPr>
          <w:rFonts w:hint="eastAsia"/>
        </w:rPr>
        <w:t>种，在评价区内除了佛法僧目翠鸟科的种类主要分布于水域附近外，其他种类主要分布于各种树林中，有部分也在林缘村庄内活动。</w:t>
      </w:r>
    </w:p>
    <w:p w14:paraId="31C856AD">
      <w:pPr>
        <w:adjustRightInd w:val="0"/>
        <w:snapToGrid w:val="0"/>
        <w:ind w:firstLine="480"/>
      </w:pPr>
      <w:r>
        <w:rPr>
          <w:rFonts w:hint="eastAsia"/>
        </w:rPr>
        <w:t>鸣禽（鸣管和鸣肌特别发达。一般体形较小，体态轻捷，活泼灵巧，善于鸣叫和歌唱，且巧于筑巢）：雀形目的所有鸟类都为鸣禽，共</w:t>
      </w:r>
      <w:r>
        <w:t>59</w:t>
      </w:r>
      <w:r>
        <w:rPr>
          <w:rFonts w:hint="eastAsia"/>
        </w:rPr>
        <w:t>种，为典型的森林鸟类。它们在评价区内广泛分布，主要</w:t>
      </w:r>
      <w:r>
        <w:rPr>
          <w:rFonts w:hint="eastAsia"/>
          <w:lang w:eastAsia="zh-CN"/>
        </w:rPr>
        <w:t>环境</w:t>
      </w:r>
      <w:r>
        <w:rPr>
          <w:rFonts w:hint="eastAsia"/>
        </w:rPr>
        <w:t>为森林、灌丛、农田等，不论是种类还是数量，鸣禽都占绝对优势。野外实地调查中，目击到的种类中，大多数为雀形目种类，如黑卷尾、棕背伯劳、喜鹊、山麻雀、麻雀等。</w:t>
      </w:r>
    </w:p>
    <w:p w14:paraId="6DB20116">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居留型</w:t>
      </w:r>
    </w:p>
    <w:p w14:paraId="60E0ABD1">
      <w:pPr>
        <w:adjustRightInd w:val="0"/>
        <w:snapToGrid w:val="0"/>
        <w:ind w:firstLine="480"/>
      </w:pPr>
      <w:r>
        <w:rPr>
          <w:rFonts w:hint="eastAsia"/>
        </w:rPr>
        <w:t>鸟类迁徙是鸟类随着季节变化进行的，方向确定的，有规律的和长距离的迁居活动。根据鸟类迁徙的行为，可将评价区的鸟类分成以下</w:t>
      </w:r>
      <w:r>
        <w:t>4</w:t>
      </w:r>
      <w:r>
        <w:rPr>
          <w:rFonts w:hint="eastAsia"/>
        </w:rPr>
        <w:t>种居留型。</w:t>
      </w:r>
    </w:p>
    <w:p w14:paraId="262C5076">
      <w:pPr>
        <w:adjustRightInd w:val="0"/>
        <w:snapToGrid w:val="0"/>
        <w:ind w:firstLine="480"/>
      </w:pPr>
      <w:r>
        <w:rPr>
          <w:rFonts w:hint="eastAsia"/>
        </w:rPr>
        <w:t>留鸟（长期栖居在生殖地域，不作周期性迁徙的鸟类）：共</w:t>
      </w:r>
      <w:r>
        <w:t>52</w:t>
      </w:r>
      <w:r>
        <w:rPr>
          <w:rFonts w:hint="eastAsia"/>
        </w:rPr>
        <w:t>种，占评价区所有鸟类种数的</w:t>
      </w:r>
      <w:r>
        <w:t>67.53%</w:t>
      </w:r>
      <w:r>
        <w:rPr>
          <w:rFonts w:hint="eastAsia"/>
        </w:rPr>
        <w:t>，在评价区内占的比例最大，主要包括雉科、鸠鸽科、鹰科、啄木鸟科、鸦科、噪鹛科、雀科等鸟类，其中以鸦科种类鸟类居多。</w:t>
      </w:r>
    </w:p>
    <w:p w14:paraId="0D17890D">
      <w:pPr>
        <w:adjustRightInd w:val="0"/>
        <w:snapToGrid w:val="0"/>
        <w:ind w:firstLine="480"/>
      </w:pPr>
      <w:r>
        <w:rPr>
          <w:rFonts w:hint="eastAsia"/>
        </w:rPr>
        <w:t>冬候鸟（冬季在某个地区生活，春季飞到较远而且较冷的地区繁殖，秋季又飞回原地区的鸟）：共</w:t>
      </w:r>
      <w:r>
        <w:t>10</w:t>
      </w:r>
      <w:r>
        <w:rPr>
          <w:rFonts w:hint="eastAsia"/>
        </w:rPr>
        <w:t>种，占评价区所有鸟类的</w:t>
      </w:r>
      <w:r>
        <w:t>12.99%</w:t>
      </w:r>
      <w:r>
        <w:rPr>
          <w:rFonts w:hint="eastAsia"/>
        </w:rPr>
        <w:t>，种类较少，有</w:t>
      </w:r>
      <w:bookmarkStart w:id="158" w:name="_Hlk144370957"/>
      <w:r>
        <w:t>雀鹰</w:t>
      </w:r>
      <w:bookmarkEnd w:id="158"/>
      <w:r>
        <w:rPr>
          <w:rFonts w:hint="eastAsia"/>
        </w:rPr>
        <w:t>、</w:t>
      </w:r>
      <w:r>
        <w:t>灰鹡鸰</w:t>
      </w:r>
      <w:r>
        <w:rPr>
          <w:rFonts w:hint="eastAsia"/>
        </w:rPr>
        <w:t>、</w:t>
      </w:r>
      <w:r>
        <w:t>树鹨</w:t>
      </w:r>
      <w:r>
        <w:rPr>
          <w:rFonts w:hint="eastAsia"/>
        </w:rPr>
        <w:t>、</w:t>
      </w:r>
      <w:r>
        <w:t>灰椋鸟</w:t>
      </w:r>
      <w:r>
        <w:rPr>
          <w:rFonts w:hint="eastAsia"/>
        </w:rPr>
        <w:t>、</w:t>
      </w:r>
      <w:r>
        <w:t>北红尾鸲</w:t>
      </w:r>
      <w:r>
        <w:rPr>
          <w:rFonts w:hint="eastAsia"/>
        </w:rPr>
        <w:t>、</w:t>
      </w:r>
      <w:r>
        <w:t>黄腰柳莺</w:t>
      </w:r>
      <w:r>
        <w:rPr>
          <w:rFonts w:hint="eastAsia"/>
        </w:rPr>
        <w:t>、</w:t>
      </w:r>
      <w:r>
        <w:t>燕雀</w:t>
      </w:r>
      <w:r>
        <w:rPr>
          <w:rFonts w:hint="eastAsia"/>
        </w:rPr>
        <w:t>、</w:t>
      </w:r>
      <w:r>
        <w:t>黑尾蜡嘴雀</w:t>
      </w:r>
      <w:r>
        <w:rPr>
          <w:rFonts w:hint="eastAsia"/>
        </w:rPr>
        <w:t>、</w:t>
      </w:r>
      <w:r>
        <w:t>小鹀</w:t>
      </w:r>
      <w:r>
        <w:rPr>
          <w:rFonts w:hint="eastAsia"/>
        </w:rPr>
        <w:t>、</w:t>
      </w:r>
      <w:r>
        <w:t>灰头鹀</w:t>
      </w:r>
      <w:r>
        <w:rPr>
          <w:rFonts w:hint="eastAsia"/>
        </w:rPr>
        <w:t>。</w:t>
      </w:r>
    </w:p>
    <w:p w14:paraId="5AF16474">
      <w:pPr>
        <w:adjustRightInd w:val="0"/>
        <w:snapToGrid w:val="0"/>
        <w:ind w:firstLine="480"/>
      </w:pPr>
      <w:r>
        <w:rPr>
          <w:rFonts w:hint="eastAsia"/>
        </w:rPr>
        <w:t>夏候鸟（夏候鸟是指春季或夏季在某个地区繁殖、秋季飞到较暖的地区去过冬、第二年春季再飞回原地区的鸟）：共</w:t>
      </w:r>
      <w:r>
        <w:t>12</w:t>
      </w:r>
      <w:r>
        <w:rPr>
          <w:rFonts w:hint="eastAsia"/>
        </w:rPr>
        <w:t>种，占评价区所有鸟类的</w:t>
      </w:r>
      <w:r>
        <w:t>15.58%</w:t>
      </w:r>
      <w:r>
        <w:rPr>
          <w:rFonts w:hint="eastAsia"/>
        </w:rPr>
        <w:t>，包括</w:t>
      </w:r>
      <w:bookmarkStart w:id="159" w:name="_Hlk144371147"/>
      <w:r>
        <w:t>鹰鹃</w:t>
      </w:r>
      <w:bookmarkEnd w:id="159"/>
      <w:r>
        <w:rPr>
          <w:rFonts w:hint="eastAsia"/>
        </w:rPr>
        <w:t>、</w:t>
      </w:r>
      <w:bookmarkStart w:id="160" w:name="_Hlk144371162"/>
      <w:r>
        <w:t>大杜鹃</w:t>
      </w:r>
      <w:bookmarkEnd w:id="160"/>
      <w:r>
        <w:rPr>
          <w:rFonts w:hint="eastAsia"/>
        </w:rPr>
        <w:t>、</w:t>
      </w:r>
      <w:bookmarkStart w:id="161" w:name="_Hlk144371170"/>
      <w:r>
        <w:t>小杜鹃</w:t>
      </w:r>
      <w:bookmarkEnd w:id="161"/>
      <w:r>
        <w:rPr>
          <w:rFonts w:hint="eastAsia"/>
        </w:rPr>
        <w:t>、</w:t>
      </w:r>
      <w:bookmarkStart w:id="162" w:name="_Hlk144371178"/>
      <w:r>
        <w:t>四声杜鹃</w:t>
      </w:r>
      <w:bookmarkEnd w:id="162"/>
      <w:r>
        <w:rPr>
          <w:rFonts w:hint="eastAsia"/>
        </w:rPr>
        <w:t>、</w:t>
      </w:r>
      <w:bookmarkStart w:id="163" w:name="_Hlk144371121"/>
      <w:r>
        <w:t>普通夜鹰</w:t>
      </w:r>
      <w:bookmarkEnd w:id="163"/>
      <w:r>
        <w:rPr>
          <w:rFonts w:hint="eastAsia"/>
        </w:rPr>
        <w:t>、</w:t>
      </w:r>
      <w:r>
        <w:t>家燕</w:t>
      </w:r>
      <w:r>
        <w:rPr>
          <w:rFonts w:hint="eastAsia"/>
        </w:rPr>
        <w:t>、</w:t>
      </w:r>
      <w:r>
        <w:t>金腰燕</w:t>
      </w:r>
      <w:r>
        <w:rPr>
          <w:rFonts w:hint="eastAsia"/>
        </w:rPr>
        <w:t>、</w:t>
      </w:r>
      <w:r>
        <w:t>山鹡鸰</w:t>
      </w:r>
      <w:r>
        <w:rPr>
          <w:rFonts w:hint="eastAsia"/>
        </w:rPr>
        <w:t>、</w:t>
      </w:r>
      <w:r>
        <w:t>灰喉山椒鸟</w:t>
      </w:r>
      <w:r>
        <w:rPr>
          <w:rFonts w:hint="eastAsia"/>
        </w:rPr>
        <w:t>、</w:t>
      </w:r>
      <w:r>
        <w:t>红尾伯劳</w:t>
      </w:r>
      <w:r>
        <w:rPr>
          <w:rFonts w:hint="eastAsia"/>
        </w:rPr>
        <w:t>、</w:t>
      </w:r>
      <w:r>
        <w:t>黑卷尾</w:t>
      </w:r>
      <w:r>
        <w:rPr>
          <w:rFonts w:hint="eastAsia"/>
        </w:rPr>
        <w:t>、</w:t>
      </w:r>
      <w:r>
        <w:t>发冠卷尾</w:t>
      </w:r>
      <w:r>
        <w:rPr>
          <w:rFonts w:hint="eastAsia"/>
        </w:rPr>
        <w:t>。</w:t>
      </w:r>
    </w:p>
    <w:p w14:paraId="79A7A0D6">
      <w:pPr>
        <w:adjustRightInd w:val="0"/>
        <w:snapToGrid w:val="0"/>
        <w:ind w:firstLine="480"/>
      </w:pPr>
      <w:r>
        <w:rPr>
          <w:rFonts w:hint="eastAsia"/>
        </w:rPr>
        <w:t>旅鸟（指迁徙中途经某地区，而又不在该地区繁殖或越冬）：仅</w:t>
      </w:r>
      <w:r>
        <w:t>黑喉石鵖</w:t>
      </w:r>
      <w:r>
        <w:rPr>
          <w:rFonts w:hint="eastAsia"/>
        </w:rPr>
        <w:t>、</w:t>
      </w:r>
      <w:r>
        <w:t>黄眉柳莺</w:t>
      </w:r>
      <w:r>
        <w:rPr>
          <w:rFonts w:hint="eastAsia"/>
        </w:rPr>
        <w:t>、</w:t>
      </w:r>
      <w:r>
        <w:t>极北柳莺3</w:t>
      </w:r>
      <w:r>
        <w:rPr>
          <w:rFonts w:hint="eastAsia"/>
        </w:rPr>
        <w:t>种，占评价区所有鸟类的</w:t>
      </w:r>
      <w:r>
        <w:t>3.90%</w:t>
      </w:r>
      <w:r>
        <w:rPr>
          <w:rFonts w:hint="eastAsia"/>
        </w:rPr>
        <w:t>，旅鸟在评价区占的比例很小。</w:t>
      </w:r>
    </w:p>
    <w:p w14:paraId="2ED224C2">
      <w:pPr>
        <w:adjustRightInd w:val="0"/>
        <w:snapToGrid w:val="0"/>
        <w:ind w:firstLine="480"/>
      </w:pPr>
      <w:r>
        <w:rPr>
          <w:rFonts w:hint="eastAsia"/>
        </w:rPr>
        <w:t>综上所述，评价区迁徙鸟类（冬候鸟、夏候鸟和旅鸟）共</w:t>
      </w:r>
      <w:r>
        <w:t>25</w:t>
      </w:r>
      <w:r>
        <w:rPr>
          <w:rFonts w:hint="eastAsia"/>
        </w:rPr>
        <w:t>种，占评价区鸟类总数的</w:t>
      </w:r>
      <w:r>
        <w:t>32.47%</w:t>
      </w:r>
      <w:r>
        <w:rPr>
          <w:rFonts w:hint="eastAsia"/>
        </w:rPr>
        <w:t>，迁徙鸟类占的比重较小。迁徙鸟类中，以雀形目鸟类居多，可见评价区的迁徙鸟类是以森林鸟类为主，其中特别是鸣禽类占优势。评价区的鸟类中，繁殖鸟（包括留鸟和夏候鸟）占的比例很大，共</w:t>
      </w:r>
      <w:r>
        <w:t>64</w:t>
      </w:r>
      <w:r>
        <w:rPr>
          <w:rFonts w:hint="eastAsia"/>
        </w:rPr>
        <w:t>种，占评价区鸟类总数的</w:t>
      </w:r>
      <w:r>
        <w:t>83.12%</w:t>
      </w:r>
      <w:r>
        <w:rPr>
          <w:rFonts w:hint="eastAsia"/>
        </w:rPr>
        <w:t>。即评价区的鸟类中，多数种类在评价区内繁殖。</w:t>
      </w:r>
    </w:p>
    <w:p w14:paraId="4ED8F96C">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区系类型</w:t>
      </w:r>
    </w:p>
    <w:p w14:paraId="74E580FE">
      <w:pPr>
        <w:adjustRightInd w:val="0"/>
        <w:snapToGrid w:val="0"/>
        <w:ind w:firstLine="480"/>
      </w:pPr>
      <w:r>
        <w:rPr>
          <w:rFonts w:hint="eastAsia"/>
        </w:rPr>
        <w:t>按照区系类型分，将评价区内的鸟类分为</w:t>
      </w:r>
      <w:r>
        <w:t>3</w:t>
      </w:r>
      <w:r>
        <w:rPr>
          <w:rFonts w:hint="eastAsia"/>
        </w:rPr>
        <w:t>种区系类型：东洋种</w:t>
      </w:r>
      <w:r>
        <w:t>39</w:t>
      </w:r>
      <w:r>
        <w:rPr>
          <w:rFonts w:hint="eastAsia"/>
        </w:rPr>
        <w:t>种，占评价区鸟类总数的</w:t>
      </w:r>
      <w:r>
        <w:t>50.66%</w:t>
      </w:r>
      <w:r>
        <w:rPr>
          <w:rFonts w:hint="eastAsia"/>
        </w:rPr>
        <w:t>；广布种</w:t>
      </w:r>
      <w:r>
        <w:t>19</w:t>
      </w:r>
      <w:r>
        <w:rPr>
          <w:rFonts w:hint="eastAsia"/>
        </w:rPr>
        <w:t>种，占评价区鸟类总数的</w:t>
      </w:r>
      <w:r>
        <w:t>24.67%</w:t>
      </w:r>
      <w:r>
        <w:rPr>
          <w:rFonts w:hint="eastAsia"/>
        </w:rPr>
        <w:t>；古北种有</w:t>
      </w:r>
      <w:r>
        <w:t>19</w:t>
      </w:r>
      <w:r>
        <w:rPr>
          <w:rFonts w:hint="eastAsia"/>
        </w:rPr>
        <w:t>种，占评价区鸟类总数的</w:t>
      </w:r>
      <w:r>
        <w:t>24.67%</w:t>
      </w:r>
      <w:r>
        <w:rPr>
          <w:rFonts w:hint="eastAsia"/>
        </w:rPr>
        <w:t>。评价区内以东洋种为优势种，但也有古北种渗透。</w:t>
      </w:r>
    </w:p>
    <w:p w14:paraId="23928B88">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rPr>
          <w:rFonts w:hint="eastAsia"/>
        </w:rPr>
        <w:t>工程区域鸟类迁徙现状</w:t>
      </w:r>
    </w:p>
    <w:p w14:paraId="47FFB29A">
      <w:pPr>
        <w:adjustRightInd w:val="0"/>
        <w:snapToGrid w:val="0"/>
        <w:ind w:firstLine="480"/>
      </w:pPr>
      <w:r>
        <w:t>鸟类迁徙路线或称迁徙通道，是指鸟类在越冬地与营巢地之间的迁徙路径（常家全等，1992；郑光美，2012）。鸟类迁徙的方向通常是南北迁徙，在南北半球之间行季节性迁徙（也有些种类迁徙的距离较近，仅限于北半球，或有的种类可能做东西方向或东偏北、东偏南方向的迁徙）（张孚允&amp;杨若莉，1997）。</w:t>
      </w:r>
    </w:p>
    <w:p w14:paraId="3773A1C0">
      <w:pPr>
        <w:adjustRightInd w:val="0"/>
        <w:snapToGrid w:val="0"/>
        <w:ind w:firstLine="480"/>
      </w:pPr>
      <w:r>
        <w:t>对于全球候鸟迁徙通道的研究往往多集中于迁徙水鸟和大型猛禽，随着环志和跟踪技术的发展，学术界对全球候鸟迁徙通道的研究不断深入。目前，全球共有8条候鸟迁徙路线（图7.2-1），分别是大西洋迁徙线、黑海—地中海迁徙线、东非—西亚迁徙线、中亚迁徙线、东亚—澳大利亚迁徙线、美洲—太平洋迁徙线、美洲—密西西比迁徙线和美洲—大西洋迁徙线。其中3条候鸟迁徙路线途经我国境内，即东非—西亚迁徙线、中亚迁徙线、东亚—澳大利西亚迁徙线（郑光美，2012）。</w:t>
      </w:r>
    </w:p>
    <w:tbl>
      <w:tblPr>
        <w:tblStyle w:val="88"/>
        <w:tblW w:w="0" w:type="auto"/>
        <w:tblInd w:w="0" w:type="dxa"/>
        <w:tblLayout w:type="fixed"/>
        <w:tblCellMar>
          <w:top w:w="0" w:type="dxa"/>
          <w:left w:w="108" w:type="dxa"/>
          <w:bottom w:w="0" w:type="dxa"/>
          <w:right w:w="108" w:type="dxa"/>
        </w:tblCellMar>
      </w:tblPr>
      <w:tblGrid>
        <w:gridCol w:w="8552"/>
      </w:tblGrid>
      <w:tr w14:paraId="2D322226">
        <w:tblPrEx>
          <w:tblCellMar>
            <w:top w:w="0" w:type="dxa"/>
            <w:left w:w="108" w:type="dxa"/>
            <w:bottom w:w="0" w:type="dxa"/>
            <w:right w:w="108" w:type="dxa"/>
          </w:tblCellMar>
        </w:tblPrEx>
        <w:tc>
          <w:tcPr>
            <w:tcW w:w="8552" w:type="dxa"/>
          </w:tcPr>
          <w:p w14:paraId="6A111A7D">
            <w:pPr>
              <w:ind w:firstLine="0" w:firstLineChars="0"/>
            </w:pPr>
            <w:r>
              <w:drawing>
                <wp:inline distT="0" distB="0" distL="0" distR="0">
                  <wp:extent cx="5293360" cy="3441700"/>
                  <wp:effectExtent l="0" t="0" r="254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93360" cy="3441700"/>
                          </a:xfrm>
                          <a:prstGeom prst="rect">
                            <a:avLst/>
                          </a:prstGeom>
                          <a:noFill/>
                          <a:ln>
                            <a:noFill/>
                          </a:ln>
                        </pic:spPr>
                      </pic:pic>
                    </a:graphicData>
                  </a:graphic>
                </wp:inline>
              </w:drawing>
            </w:r>
          </w:p>
        </w:tc>
      </w:tr>
      <w:tr w14:paraId="0EF4FCE0">
        <w:tblPrEx>
          <w:tblCellMar>
            <w:top w:w="0" w:type="dxa"/>
            <w:left w:w="108" w:type="dxa"/>
            <w:bottom w:w="0" w:type="dxa"/>
            <w:right w:w="108" w:type="dxa"/>
          </w:tblCellMar>
        </w:tblPrEx>
        <w:tc>
          <w:tcPr>
            <w:tcW w:w="8552" w:type="dxa"/>
          </w:tcPr>
          <w:p w14:paraId="7754E57E">
            <w:pPr>
              <w:adjustRightInd w:val="0"/>
              <w:snapToGrid w:val="0"/>
              <w:ind w:firstLine="0" w:firstLineChars="0"/>
              <w:jc w:val="center"/>
              <w:rPr>
                <w:b/>
                <w:bCs/>
                <w:szCs w:val="21"/>
              </w:rPr>
            </w:pPr>
            <w:r>
              <w:rPr>
                <w:b/>
                <w:bCs/>
              </w:rPr>
              <w:t>图5.5</w:t>
            </w:r>
            <w:r>
              <w:rPr>
                <w:rFonts w:hint="eastAsia"/>
                <w:b/>
                <w:bCs/>
              </w:rPr>
              <w:t>-</w:t>
            </w:r>
            <w:r>
              <w:rPr>
                <w:b/>
                <w:bCs/>
              </w:rPr>
              <w:t>2  全球候鸟迁徙路线图</w:t>
            </w:r>
          </w:p>
        </w:tc>
      </w:tr>
    </w:tbl>
    <w:p w14:paraId="6795D8A4">
      <w:pPr>
        <w:adjustRightInd w:val="0"/>
        <w:snapToGrid w:val="0"/>
        <w:ind w:firstLine="480"/>
      </w:pPr>
      <w:r>
        <w:t>鸟类迁徙的基本形式有两种：窄面迁徙和宽面迁徙。栖居于广阔地区的鸟，其迁飞路线在很长一段距离中相互接近，同这个地区面积相比，好似一条道路，即称为窄面迁徙。相反，若迁飞路线在很长一段距离中彼此相距较远，同这个地区面积相比，不像一条道路，即称为宽面迁徙（常家全等，1992；郑光美，2012）。</w:t>
      </w:r>
    </w:p>
    <w:p w14:paraId="7AA4FF6A">
      <w:pPr>
        <w:adjustRightInd w:val="0"/>
        <w:snapToGrid w:val="0"/>
        <w:ind w:firstLine="480"/>
      </w:pPr>
      <w:r>
        <w:rPr>
          <w:rFonts w:hint="eastAsia"/>
        </w:rPr>
        <w:t>依据历史记载和邓学建教授等专家多年的研究成果，湖南主要有</w:t>
      </w:r>
      <w:r>
        <w:t>3</w:t>
      </w:r>
      <w:r>
        <w:rPr>
          <w:rFonts w:hint="eastAsia"/>
        </w:rPr>
        <w:t>条鸟类迁徙通道，主要涉及蓝山、桂东、炎陵、新邵、隆回、新宁、城步、道县、新化、通道</w:t>
      </w:r>
      <w:r>
        <w:t>10</w:t>
      </w:r>
      <w:r>
        <w:rPr>
          <w:rFonts w:hint="eastAsia"/>
        </w:rPr>
        <w:t>县。其中东部的罗霄山脉和西部的雪峰山脉迁徙通道属于窄幅通道，而中部的属于宽幅迁徙通道，即遍于整个湘中地区，只是在个别区域，像南北方向的山脉沟谷地带，形成局部的窄幅迁徙通道。经过窄迁徙通道的大多是水禽，如鹳形目鹭科鸟类、鹤形目秧鸡科鸟类，其他种类倾向于选择宽迁徙通道，从湘中地区向南飞去。</w:t>
      </w:r>
    </w:p>
    <w:p w14:paraId="26E77EAB">
      <w:pPr>
        <w:adjustRightInd w:val="0"/>
        <w:snapToGrid w:val="0"/>
        <w:ind w:firstLine="480"/>
      </w:pPr>
      <w:r>
        <w:rPr>
          <w:rFonts w:hint="eastAsia"/>
        </w:rPr>
        <w:t>千百年来，沿雪峰山脉，从隆回的屏风界、新化与新邵交界的观音山，至城步的三十六渡河一线，构成湖南境内候鸟迁徙的西线通道；而沿罗霄山脉，从炎陵的牛头坳，至桂东的铁山和寒口一线，则形成了湖南候鸟过境的东线通道。本项目位于湖南省衡阳市衡阳县渣江镇、岣嵝乡、集兵镇、界牌镇一带，项目所在区域不在湖南省主要候鸟迁徙通道上，距离东面鸟类通道最近距离约</w:t>
      </w:r>
      <w:r>
        <w:t>141.84km</w:t>
      </w:r>
      <w:r>
        <w:rPr>
          <w:rFonts w:hint="eastAsia"/>
        </w:rPr>
        <w:t>，风电场建设和运行不会对湖南省内候鸟的正常迁徙造成影响。</w:t>
      </w:r>
    </w:p>
    <w:p w14:paraId="19F33506">
      <w:pPr>
        <w:adjustRightInd w:val="0"/>
        <w:snapToGrid w:val="0"/>
        <w:ind w:firstLine="480"/>
      </w:pPr>
      <w:r>
        <w:rPr>
          <w:rFonts w:hint="eastAsia"/>
        </w:rPr>
        <w:t>根据调查结果，项目区未发现鸟类明显集中结群的迁徏通道，区域未见大规模候鸟停留或经过。对于项目区附近鸟类的迁飞情况，我们在现场调查的同时，也对衡阳县林业局、项目区周边附近的当地居民进行了走访。根据林业局相关人员及当地居民反映：项目区近年来基本没有见到有较大规模候鸟停留或经过，也未有村民灯打鸟的情况发生。</w:t>
      </w:r>
    </w:p>
    <w:p w14:paraId="2245E4EC">
      <w:pPr>
        <w:adjustRightInd w:val="0"/>
        <w:snapToGrid w:val="0"/>
        <w:ind w:firstLine="480"/>
      </w:pPr>
      <w:r>
        <w:rPr>
          <w:rFonts w:hint="eastAsia"/>
        </w:rPr>
        <w:t>总体来说，项目区迁徙鸟类的种类和数量相对较少，没有集群迁徙的候鸟，项目区不属于鸟类集中迁徙通道。</w:t>
      </w:r>
    </w:p>
    <w:p w14:paraId="6E6BFEFC">
      <w:pPr>
        <w:adjustRightInd w:val="0"/>
        <w:snapToGrid w:val="0"/>
        <w:ind w:firstLine="0" w:firstLineChars="0"/>
        <w:jc w:val="center"/>
      </w:pPr>
      <w:r>
        <w:rPr>
          <w:rFonts w:hint="eastAsia"/>
        </w:rPr>
        <w:drawing>
          <wp:inline distT="0" distB="0" distL="0" distR="0">
            <wp:extent cx="4261485" cy="4773295"/>
            <wp:effectExtent l="0" t="0" r="5715" b="8255"/>
            <wp:docPr id="122280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0103" name="图片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266175" cy="4778348"/>
                    </a:xfrm>
                    <a:prstGeom prst="rect">
                      <a:avLst/>
                    </a:prstGeom>
                    <a:noFill/>
                    <a:ln>
                      <a:noFill/>
                    </a:ln>
                  </pic:spPr>
                </pic:pic>
              </a:graphicData>
            </a:graphic>
          </wp:inline>
        </w:drawing>
      </w:r>
    </w:p>
    <w:p w14:paraId="4021EDCD">
      <w:pPr>
        <w:adjustRightInd w:val="0"/>
        <w:snapToGrid w:val="0"/>
        <w:ind w:firstLine="482"/>
        <w:jc w:val="center"/>
        <w:rPr>
          <w:b/>
          <w:bCs/>
        </w:rPr>
      </w:pPr>
      <w:r>
        <w:rPr>
          <w:rFonts w:hint="eastAsia"/>
          <w:b/>
          <w:bCs/>
        </w:rPr>
        <w:t>图</w:t>
      </w:r>
      <w:r>
        <w:rPr>
          <w:b/>
          <w:bCs/>
        </w:rPr>
        <w:t>5.5</w:t>
      </w:r>
      <w:r>
        <w:rPr>
          <w:rFonts w:hint="eastAsia"/>
          <w:b/>
          <w:bCs/>
        </w:rPr>
        <w:t>-</w:t>
      </w:r>
      <w:r>
        <w:rPr>
          <w:b/>
          <w:bCs/>
        </w:rPr>
        <w:t xml:space="preserve">3  </w:t>
      </w:r>
      <w:r>
        <w:rPr>
          <w:rFonts w:hint="eastAsia"/>
          <w:b/>
          <w:bCs/>
        </w:rPr>
        <w:t>本项目与湖南省鸟类迁徙通道的位置关系图</w:t>
      </w:r>
    </w:p>
    <w:p w14:paraId="70ACACCF">
      <w:pPr>
        <w:adjustRightInd w:val="0"/>
        <w:snapToGrid w:val="0"/>
        <w:ind w:firstLine="480"/>
      </w:pPr>
      <w:r>
        <w:rPr>
          <w:rFonts w:hint="eastAsia"/>
        </w:rPr>
        <w:t>（4）兽类</w:t>
      </w:r>
    </w:p>
    <w:p w14:paraId="2B6E6B26">
      <w:pPr>
        <w:adjustRightInd w:val="0"/>
        <w:snapToGrid w:val="0"/>
        <w:ind w:firstLine="480"/>
      </w:pPr>
      <w:r>
        <w:rPr>
          <w:rFonts w:hint="eastAsia"/>
        </w:rPr>
        <w:t>主要通过调查访问和评价区附近的相关文献，并结合实地调查中观察到的评价区的</w:t>
      </w:r>
      <w:r>
        <w:rPr>
          <w:rFonts w:hint="eastAsia"/>
          <w:lang w:eastAsia="zh-CN"/>
        </w:rPr>
        <w:t>环境</w:t>
      </w:r>
      <w:r>
        <w:rPr>
          <w:rFonts w:hint="eastAsia"/>
        </w:rPr>
        <w:t>状况，对评价区内的兽类种类、数量及分布现状进行了全面调查，得出如下结论：</w:t>
      </w:r>
    </w:p>
    <w:p w14:paraId="461164A6">
      <w:pPr>
        <w:adjustRightInd w:val="0"/>
        <w:snapToGrid w:val="0"/>
        <w:ind w:firstLine="480"/>
      </w:pPr>
      <w:r>
        <w:fldChar w:fldCharType="begin"/>
      </w:r>
      <w:r>
        <w:instrText xml:space="preserve"> = 1 \* GB3 </w:instrText>
      </w:r>
      <w:r>
        <w:fldChar w:fldCharType="separate"/>
      </w:r>
      <w:r>
        <w:rPr>
          <w:rFonts w:hint="eastAsia"/>
        </w:rPr>
        <w:t>①</w:t>
      </w:r>
      <w:r>
        <w:fldChar w:fldCharType="end"/>
      </w:r>
      <w:r>
        <w:rPr>
          <w:rFonts w:hint="eastAsia"/>
        </w:rPr>
        <w:t>种类、数量及分布</w:t>
      </w:r>
    </w:p>
    <w:p w14:paraId="244F17F6">
      <w:pPr>
        <w:adjustRightInd w:val="0"/>
        <w:snapToGrid w:val="0"/>
        <w:ind w:firstLine="480"/>
      </w:pPr>
      <w:r>
        <w:rPr>
          <w:rFonts w:hint="eastAsia"/>
        </w:rPr>
        <w:t>评价区内野生兽类共有</w:t>
      </w:r>
      <w:r>
        <w:t>6</w:t>
      </w:r>
      <w:r>
        <w:rPr>
          <w:rFonts w:hint="eastAsia"/>
        </w:rPr>
        <w:t>目</w:t>
      </w:r>
      <w:r>
        <w:t>12</w:t>
      </w:r>
      <w:r>
        <w:rPr>
          <w:rFonts w:hint="eastAsia"/>
        </w:rPr>
        <w:t>科</w:t>
      </w:r>
      <w:r>
        <w:t>21</w:t>
      </w:r>
      <w:r>
        <w:rPr>
          <w:rFonts w:hint="eastAsia"/>
        </w:rPr>
        <w:t>种。评价区内兽类以啮齿目最多，共有</w:t>
      </w:r>
      <w:r>
        <w:t>8</w:t>
      </w:r>
      <w:r>
        <w:rPr>
          <w:rFonts w:hint="eastAsia"/>
        </w:rPr>
        <w:t>种，占</w:t>
      </w:r>
      <w:r>
        <w:t>38.10%</w:t>
      </w:r>
      <w:r>
        <w:rPr>
          <w:rFonts w:hint="eastAsia"/>
        </w:rPr>
        <w:t>。评价区未发现国家重点保护野生兽类分布；有湖南省重点保护野生兽类有1</w:t>
      </w:r>
      <w:r>
        <w:t>4</w:t>
      </w:r>
      <w:r>
        <w:rPr>
          <w:rFonts w:hint="eastAsia"/>
        </w:rPr>
        <w:t>种，即东北刺猬、中菊头蝠、东方蝙蝠、黄腹鼬、黄鼬、鼬獾、亚洲狗獾、猪獾、果子狸、野猪、赤腹松鼠、隐纹花松鼠、银星竹鼠和华南兔。</w:t>
      </w:r>
    </w:p>
    <w:p w14:paraId="0957022D">
      <w:pPr>
        <w:adjustRightInd w:val="0"/>
        <w:snapToGrid w:val="0"/>
        <w:ind w:firstLine="480"/>
      </w:pPr>
      <w:r>
        <w:fldChar w:fldCharType="begin"/>
      </w:r>
      <w:r>
        <w:instrText xml:space="preserve"> = 2 \* GB3 </w:instrText>
      </w:r>
      <w:r>
        <w:fldChar w:fldCharType="separate"/>
      </w:r>
      <w:r>
        <w:rPr>
          <w:rFonts w:hint="eastAsia"/>
        </w:rPr>
        <w:t>②</w:t>
      </w:r>
      <w:r>
        <w:fldChar w:fldCharType="end"/>
      </w:r>
      <w:r>
        <w:rPr>
          <w:rFonts w:hint="eastAsia"/>
        </w:rPr>
        <w:t>生态类型</w:t>
      </w:r>
    </w:p>
    <w:p w14:paraId="69FB2899">
      <w:pPr>
        <w:adjustRightInd w:val="0"/>
        <w:snapToGrid w:val="0"/>
        <w:ind w:firstLine="480"/>
      </w:pPr>
      <w:r>
        <w:rPr>
          <w:rFonts w:hint="eastAsia"/>
        </w:rPr>
        <w:t>根据评价区内野生兽类生活习性的不同，将评价区内的</w:t>
      </w:r>
      <w:r>
        <w:t>21</w:t>
      </w:r>
      <w:r>
        <w:rPr>
          <w:rFonts w:hint="eastAsia"/>
        </w:rPr>
        <w:t>兽类分为以下</w:t>
      </w:r>
      <w:r>
        <w:t>4</w:t>
      </w:r>
      <w:r>
        <w:rPr>
          <w:rFonts w:hint="eastAsia"/>
        </w:rPr>
        <w:t>种生态类型：</w:t>
      </w:r>
    </w:p>
    <w:p w14:paraId="635174E2">
      <w:pPr>
        <w:adjustRightInd w:val="0"/>
        <w:snapToGrid w:val="0"/>
        <w:ind w:firstLine="480"/>
      </w:pPr>
      <w:r>
        <w:rPr>
          <w:rFonts w:hint="eastAsia"/>
        </w:rPr>
        <w:t>半地下生活型（主要在地面活动觅食、栖息、避敌于洞穴中，有的也在地下寻找食物）：此种类型的有东北刺猬、长吻鼩鼹（</w:t>
      </w:r>
      <w:r>
        <w:t>Uropsilusgracilis</w:t>
      </w:r>
      <w:r>
        <w:rPr>
          <w:rFonts w:hint="eastAsia"/>
        </w:rPr>
        <w:t>）、黄腹鼬、黄鼬、鼬獾、亚洲狗獾、猪獾、黑线姬鼠、大足鼠（</w:t>
      </w:r>
      <w:r>
        <w:t>Rattusnitidus</w:t>
      </w:r>
      <w:r>
        <w:rPr>
          <w:rFonts w:hint="eastAsia"/>
        </w:rPr>
        <w:t>）、针毛鼠、小家鼠（</w:t>
      </w:r>
      <w:r>
        <w:t>Musmusculus</w:t>
      </w:r>
      <w:r>
        <w:rPr>
          <w:rFonts w:hint="eastAsia"/>
        </w:rPr>
        <w:t>）、银星竹鼠和华南兔共</w:t>
      </w:r>
      <w:r>
        <w:t>13</w:t>
      </w:r>
      <w:r>
        <w:rPr>
          <w:rFonts w:hint="eastAsia"/>
        </w:rPr>
        <w:t>。它们在评价范围内主要分布在山林、灌草丛和田野中。</w:t>
      </w:r>
    </w:p>
    <w:p w14:paraId="46FDF33E">
      <w:pPr>
        <w:adjustRightInd w:val="0"/>
        <w:snapToGrid w:val="0"/>
        <w:ind w:firstLine="480"/>
      </w:pPr>
      <w:r>
        <w:rPr>
          <w:rFonts w:hint="eastAsia"/>
        </w:rPr>
        <w:t>地面生活型（主要在地面上活动、觅食）：仅野猪和小麂</w:t>
      </w:r>
      <w:r>
        <w:t>2</w:t>
      </w:r>
      <w:r>
        <w:rPr>
          <w:rFonts w:hint="eastAsia"/>
        </w:rPr>
        <w:t>种，它们主要栖息于评价区内的山林中。</w:t>
      </w:r>
    </w:p>
    <w:p w14:paraId="17697601">
      <w:pPr>
        <w:adjustRightInd w:val="0"/>
        <w:snapToGrid w:val="0"/>
        <w:ind w:firstLine="480"/>
      </w:pPr>
      <w:r>
        <w:rPr>
          <w:rFonts w:hint="eastAsia"/>
        </w:rPr>
        <w:t>岩洞栖息型（在岩洞中倒挂栖息的小型兽类）：有中菊头蝠、普通伏翼、东方蝙蝠</w:t>
      </w:r>
      <w:r>
        <w:t>3</w:t>
      </w:r>
      <w:r>
        <w:rPr>
          <w:rFonts w:hint="eastAsia"/>
        </w:rPr>
        <w:t>种。它们在评价区主要分布于山区的岩洞洞穴中。</w:t>
      </w:r>
    </w:p>
    <w:p w14:paraId="43E0CE18">
      <w:pPr>
        <w:adjustRightInd w:val="0"/>
        <w:snapToGrid w:val="0"/>
        <w:ind w:firstLine="480"/>
      </w:pPr>
      <w:r>
        <w:rPr>
          <w:rFonts w:hint="eastAsia"/>
        </w:rPr>
        <w:t>树栖型（主要在树上栖息、觅食）：该类型有果子狸、赤腹松鼠、隐纹花松鼠，共</w:t>
      </w:r>
      <w:r>
        <w:t>3</w:t>
      </w:r>
      <w:r>
        <w:rPr>
          <w:rFonts w:hint="eastAsia"/>
        </w:rPr>
        <w:t>种。主要在评价区山林内分布。</w:t>
      </w:r>
    </w:p>
    <w:p w14:paraId="224F3E5F">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区系类型</w:t>
      </w:r>
    </w:p>
    <w:p w14:paraId="55187935">
      <w:pPr>
        <w:adjustRightInd w:val="0"/>
        <w:snapToGrid w:val="0"/>
        <w:ind w:firstLine="480"/>
      </w:pPr>
      <w:r>
        <w:rPr>
          <w:rFonts w:hint="eastAsia"/>
        </w:rPr>
        <w:t>按区系类型划分，可将评价区内的兽类分为以下</w:t>
      </w:r>
      <w:r>
        <w:t>3</w:t>
      </w:r>
      <w:r>
        <w:rPr>
          <w:rFonts w:hint="eastAsia"/>
        </w:rPr>
        <w:t>类：东洋种</w:t>
      </w:r>
      <w:r>
        <w:t>11</w:t>
      </w:r>
      <w:r>
        <w:rPr>
          <w:rFonts w:hint="eastAsia"/>
        </w:rPr>
        <w:t>种，占评价区野生兽类总数的</w:t>
      </w:r>
      <w:r>
        <w:t>52.38%</w:t>
      </w:r>
      <w:r>
        <w:rPr>
          <w:rFonts w:hint="eastAsia"/>
        </w:rPr>
        <w:t>；古北种</w:t>
      </w:r>
      <w:r>
        <w:t>1</w:t>
      </w:r>
      <w:r>
        <w:rPr>
          <w:rFonts w:hint="eastAsia"/>
        </w:rPr>
        <w:t>种，占评价区野生兽类总数的</w:t>
      </w:r>
      <w:r>
        <w:t>4.76%</w:t>
      </w:r>
      <w:r>
        <w:rPr>
          <w:rFonts w:hint="eastAsia"/>
        </w:rPr>
        <w:t>；广布种</w:t>
      </w:r>
      <w:r>
        <w:t>9</w:t>
      </w:r>
      <w:r>
        <w:rPr>
          <w:rFonts w:hint="eastAsia"/>
        </w:rPr>
        <w:t>种，占评价区野生兽类总数的</w:t>
      </w:r>
      <w:r>
        <w:t>42.86%</w:t>
      </w:r>
      <w:r>
        <w:rPr>
          <w:rFonts w:hint="eastAsia"/>
        </w:rPr>
        <w:t>。评价区内的兽类主要是一些小型兽类，其迁移能力也不强，古北界物种很难跨越地理阻障向东洋界渗透，因而东洋界物种依然占绝对优势。</w:t>
      </w:r>
    </w:p>
    <w:p w14:paraId="26EED706">
      <w:pPr>
        <w:tabs>
          <w:tab w:val="clear" w:pos="480"/>
        </w:tabs>
        <w:adjustRightInd w:val="0"/>
        <w:snapToGrid w:val="0"/>
        <w:ind w:firstLine="0" w:firstLineChars="0"/>
        <w:outlineLvl w:val="3"/>
        <w:rPr>
          <w:b/>
          <w:kern w:val="0"/>
          <w:lang w:val="zh-CN"/>
        </w:rPr>
      </w:pPr>
      <w:r>
        <w:rPr>
          <w:b/>
          <w:kern w:val="0"/>
          <w:lang w:val="zh-CN"/>
        </w:rPr>
        <w:t>5.5.5.4</w:t>
      </w:r>
      <w:r>
        <w:rPr>
          <w:rFonts w:hint="eastAsia"/>
          <w:b/>
          <w:kern w:val="0"/>
          <w:lang w:val="zh-CN"/>
        </w:rPr>
        <w:t>重点保护野生动物</w:t>
      </w:r>
    </w:p>
    <w:p w14:paraId="33BBC2D1">
      <w:pPr>
        <w:adjustRightInd w:val="0"/>
        <w:snapToGrid w:val="0"/>
        <w:ind w:firstLine="480"/>
      </w:pPr>
      <w:r>
        <w:rPr>
          <w:rFonts w:hint="eastAsia"/>
        </w:rPr>
        <w:t>评价区范围内陆生野生脊椎动物中，未发现国家</w:t>
      </w:r>
      <w:r>
        <w:t>Ⅰ</w:t>
      </w:r>
      <w:r>
        <w:rPr>
          <w:rFonts w:hint="eastAsia"/>
        </w:rPr>
        <w:t>级重点保护野生动物分布，有国家</w:t>
      </w:r>
      <w:r>
        <w:t>Ⅱ</w:t>
      </w:r>
      <w:r>
        <w:rPr>
          <w:rFonts w:hint="eastAsia"/>
        </w:rPr>
        <w:t>级重点保护野生动</w:t>
      </w:r>
      <w:r>
        <w:t>5</w:t>
      </w:r>
      <w:r>
        <w:rPr>
          <w:rFonts w:hint="eastAsia"/>
        </w:rPr>
        <w:t>种，湖南省级保护野生动物</w:t>
      </w:r>
      <w:r>
        <w:t>85</w:t>
      </w:r>
      <w:r>
        <w:rPr>
          <w:rFonts w:hint="eastAsia"/>
        </w:rPr>
        <w:t>种。</w:t>
      </w:r>
    </w:p>
    <w:p w14:paraId="452DAA43">
      <w:pPr>
        <w:adjustRightInd w:val="0"/>
        <w:snapToGrid w:val="0"/>
        <w:ind w:firstLine="480"/>
      </w:pPr>
      <w:r>
        <w:rPr>
          <w:rFonts w:hint="eastAsia"/>
        </w:rPr>
        <w:t>（</w:t>
      </w:r>
      <w:r>
        <w:t>1</w:t>
      </w:r>
      <w:r>
        <w:rPr>
          <w:rFonts w:hint="eastAsia"/>
        </w:rPr>
        <w:t>）国家重点野生保护动物</w:t>
      </w:r>
    </w:p>
    <w:p w14:paraId="03E99A1F">
      <w:pPr>
        <w:adjustRightInd w:val="0"/>
        <w:snapToGrid w:val="0"/>
        <w:ind w:firstLine="480"/>
      </w:pPr>
      <w:r>
        <w:rPr>
          <w:rFonts w:hint="eastAsia"/>
        </w:rPr>
        <w:t>评价区范围内陆生脊椎野生动物中，未发现国家</w:t>
      </w:r>
      <w:r>
        <w:t>Ⅰ</w:t>
      </w:r>
      <w:r>
        <w:rPr>
          <w:rFonts w:hint="eastAsia"/>
        </w:rPr>
        <w:t>级重点保护野生动物分布，有国家</w:t>
      </w:r>
      <w:r>
        <w:t>Ⅱ</w:t>
      </w:r>
      <w:r>
        <w:rPr>
          <w:rFonts w:hint="eastAsia"/>
        </w:rPr>
        <w:t>级重点保护野生动物</w:t>
      </w:r>
      <w:r>
        <w:t>5</w:t>
      </w:r>
      <w:r>
        <w:rPr>
          <w:rFonts w:hint="eastAsia"/>
        </w:rPr>
        <w:t>种，全部为猛禽：包括为雀鹰、</w:t>
      </w:r>
      <w:r>
        <w:t>黑鸢</w:t>
      </w:r>
      <w:r>
        <w:rPr>
          <w:rFonts w:hint="eastAsia"/>
        </w:rPr>
        <w:t>、</w:t>
      </w:r>
      <w:r>
        <w:t>东方草鸮</w:t>
      </w:r>
      <w:r>
        <w:rPr>
          <w:rFonts w:hint="eastAsia"/>
        </w:rPr>
        <w:t>、斑头鸺鹠和红隼，它们主要分布于评价区的山林、林缘以及农田边缘，活动范围较广。</w:t>
      </w:r>
    </w:p>
    <w:p w14:paraId="33CA3935">
      <w:pPr>
        <w:adjustRightInd w:val="0"/>
        <w:snapToGrid w:val="0"/>
        <w:spacing w:line="240" w:lineRule="auto"/>
        <w:ind w:firstLine="0" w:firstLineChars="0"/>
        <w:jc w:val="center"/>
        <w:rPr>
          <w:b/>
          <w:bCs/>
        </w:rPr>
      </w:pPr>
      <w:r>
        <w:rPr>
          <w:rFonts w:hint="eastAsia"/>
          <w:b/>
          <w:bCs/>
        </w:rPr>
        <w:t>表</w:t>
      </w:r>
      <w:r>
        <w:rPr>
          <w:b/>
          <w:bCs/>
        </w:rPr>
        <w:t>5.5-15</w:t>
      </w:r>
      <w:r>
        <w:rPr>
          <w:rFonts w:hint="eastAsia"/>
          <w:b/>
          <w:bCs/>
        </w:rPr>
        <w:t>评价区国家重点保护野生动物名录</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3135"/>
        <w:gridCol w:w="849"/>
        <w:gridCol w:w="849"/>
        <w:gridCol w:w="709"/>
        <w:gridCol w:w="672"/>
      </w:tblGrid>
      <w:tr w14:paraId="560687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12"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70016497">
            <w:pPr>
              <w:widowControl/>
              <w:tabs>
                <w:tab w:val="clear" w:pos="480"/>
              </w:tabs>
              <w:adjustRightInd w:val="0"/>
              <w:snapToGrid w:val="0"/>
              <w:spacing w:line="240" w:lineRule="auto"/>
              <w:ind w:firstLine="0" w:firstLineChars="0"/>
              <w:jc w:val="center"/>
              <w:rPr>
                <w:b/>
                <w:bCs/>
                <w:kern w:val="0"/>
                <w:sz w:val="18"/>
                <w:szCs w:val="18"/>
              </w:rPr>
            </w:pPr>
            <w:bookmarkStart w:id="164" w:name="_Hlk144377472"/>
            <w:r>
              <w:rPr>
                <w:b/>
                <w:bCs/>
                <w:kern w:val="0"/>
                <w:sz w:val="18"/>
                <w:szCs w:val="18"/>
              </w:rPr>
              <w:t>中文名、拉丁名</w:t>
            </w:r>
          </w:p>
        </w:tc>
        <w:tc>
          <w:tcPr>
            <w:tcW w:w="1879"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07CF9DB">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分布</w:t>
            </w:r>
          </w:p>
        </w:tc>
        <w:tc>
          <w:tcPr>
            <w:tcW w:w="509"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58A09EB">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居留型</w:t>
            </w:r>
          </w:p>
        </w:tc>
        <w:tc>
          <w:tcPr>
            <w:tcW w:w="509"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BAB6187">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区系</w:t>
            </w:r>
          </w:p>
          <w:p w14:paraId="68C93F39">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类型</w:t>
            </w:r>
          </w:p>
        </w:tc>
        <w:tc>
          <w:tcPr>
            <w:tcW w:w="425"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B8B5CFB">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数量</w:t>
            </w:r>
          </w:p>
          <w:p w14:paraId="7C7AB28A">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等级</w:t>
            </w:r>
          </w:p>
        </w:tc>
        <w:tc>
          <w:tcPr>
            <w:tcW w:w="403" w:type="pct"/>
            <w:tcBorders>
              <w:top w:val="single" w:color="auto" w:sz="12"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0A206287">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保护</w:t>
            </w:r>
          </w:p>
          <w:p w14:paraId="17709B67">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等级</w:t>
            </w:r>
          </w:p>
        </w:tc>
      </w:tr>
      <w:tr w14:paraId="03E80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53852ABF">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1</w:t>
            </w:r>
            <w:r>
              <w:rPr>
                <w:sz w:val="18"/>
                <w:szCs w:val="18"/>
              </w:rPr>
              <w:t>.雀鹰</w:t>
            </w:r>
          </w:p>
          <w:p w14:paraId="36C5C14C">
            <w:pPr>
              <w:widowControl/>
              <w:tabs>
                <w:tab w:val="left" w:pos="173"/>
                <w:tab w:val="clear" w:pos="480"/>
              </w:tabs>
              <w:adjustRightInd w:val="0"/>
              <w:snapToGrid w:val="0"/>
              <w:spacing w:line="240" w:lineRule="auto"/>
              <w:ind w:firstLine="0" w:firstLineChars="0"/>
              <w:jc w:val="center"/>
              <w:rPr>
                <w:kern w:val="0"/>
                <w:sz w:val="18"/>
                <w:szCs w:val="18"/>
              </w:rPr>
            </w:pPr>
            <w:r>
              <w:rPr>
                <w:i/>
                <w:sz w:val="18"/>
                <w:szCs w:val="18"/>
              </w:rPr>
              <w:t>Accipiter nisus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B954744">
            <w:pPr>
              <w:widowControl/>
              <w:tabs>
                <w:tab w:val="clear" w:pos="480"/>
              </w:tabs>
              <w:adjustRightInd w:val="0"/>
              <w:snapToGrid w:val="0"/>
              <w:spacing w:line="240" w:lineRule="auto"/>
              <w:ind w:firstLine="0" w:firstLineChars="0"/>
              <w:rPr>
                <w:kern w:val="0"/>
                <w:sz w:val="18"/>
                <w:szCs w:val="18"/>
              </w:rPr>
            </w:pPr>
            <w:r>
              <w:rPr>
                <w:bCs/>
                <w:sz w:val="18"/>
                <w:szCs w:val="18"/>
              </w:rPr>
              <w:t>栖息于针叶林、混交林、阔叶林等山地森林和林缘地带。</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8DBE08F">
            <w:pPr>
              <w:widowControl/>
              <w:tabs>
                <w:tab w:val="clear" w:pos="480"/>
              </w:tabs>
              <w:adjustRightInd w:val="0"/>
              <w:snapToGrid w:val="0"/>
              <w:spacing w:line="240" w:lineRule="auto"/>
              <w:ind w:firstLine="0" w:firstLineChars="0"/>
              <w:jc w:val="center"/>
              <w:rPr>
                <w:bCs/>
                <w:kern w:val="0"/>
                <w:sz w:val="18"/>
                <w:szCs w:val="18"/>
              </w:rPr>
            </w:pPr>
            <w:r>
              <w:rPr>
                <w:sz w:val="18"/>
                <w:szCs w:val="18"/>
              </w:rPr>
              <w:t>冬候鸟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6429427">
            <w:pPr>
              <w:widowControl/>
              <w:tabs>
                <w:tab w:val="clear" w:pos="480"/>
              </w:tabs>
              <w:adjustRightInd w:val="0"/>
              <w:snapToGrid w:val="0"/>
              <w:spacing w:line="240" w:lineRule="auto"/>
              <w:ind w:firstLine="0" w:firstLineChars="0"/>
              <w:jc w:val="center"/>
              <w:rPr>
                <w:bCs/>
                <w:kern w:val="0"/>
                <w:sz w:val="18"/>
                <w:szCs w:val="18"/>
              </w:rPr>
            </w:pPr>
            <w:r>
              <w:rPr>
                <w:sz w:val="18"/>
                <w:szCs w:val="18"/>
              </w:rPr>
              <w:t>古北种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33AA3EF">
            <w:pPr>
              <w:widowControl/>
              <w:tabs>
                <w:tab w:val="clear" w:pos="480"/>
              </w:tabs>
              <w:adjustRightInd w:val="0"/>
              <w:snapToGrid w:val="0"/>
              <w:spacing w:line="240" w:lineRule="auto"/>
              <w:ind w:firstLine="0" w:firstLineChars="0"/>
              <w:jc w:val="center"/>
              <w:rPr>
                <w:kern w:val="0"/>
                <w:sz w:val="18"/>
                <w:szCs w:val="18"/>
              </w:rPr>
            </w:pPr>
            <w:r>
              <w:rPr>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2BB00D20">
            <w:pPr>
              <w:adjustRightInd w:val="0"/>
              <w:snapToGrid w:val="0"/>
              <w:spacing w:line="240" w:lineRule="auto"/>
              <w:ind w:firstLine="0" w:firstLineChars="0"/>
              <w:jc w:val="center"/>
              <w:rPr>
                <w:sz w:val="18"/>
                <w:szCs w:val="18"/>
              </w:rPr>
            </w:pPr>
            <w:r>
              <w:rPr>
                <w:sz w:val="18"/>
                <w:szCs w:val="18"/>
              </w:rPr>
              <w:t>国家</w:t>
            </w:r>
          </w:p>
          <w:p w14:paraId="1BF43D80">
            <w:pPr>
              <w:widowControl/>
              <w:tabs>
                <w:tab w:val="clear" w:pos="480"/>
              </w:tabs>
              <w:adjustRightInd w:val="0"/>
              <w:snapToGrid w:val="0"/>
              <w:spacing w:line="240" w:lineRule="auto"/>
              <w:ind w:firstLine="0" w:firstLineChars="0"/>
              <w:jc w:val="center"/>
              <w:rPr>
                <w:kern w:val="0"/>
                <w:sz w:val="18"/>
                <w:szCs w:val="18"/>
              </w:rPr>
            </w:pPr>
            <w:r>
              <w:rPr>
                <w:sz w:val="18"/>
                <w:szCs w:val="18"/>
              </w:rPr>
              <w:t>Ⅱ级</w:t>
            </w:r>
          </w:p>
        </w:tc>
      </w:tr>
      <w:tr w14:paraId="10F003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7733936A">
            <w:pPr>
              <w:tabs>
                <w:tab w:val="clear" w:pos="480"/>
              </w:tabs>
              <w:autoSpaceDN w:val="0"/>
              <w:adjustRightInd w:val="0"/>
              <w:snapToGrid w:val="0"/>
              <w:spacing w:line="240" w:lineRule="auto"/>
              <w:ind w:firstLine="0" w:firstLineChars="0"/>
              <w:jc w:val="center"/>
              <w:textAlignment w:val="center"/>
              <w:rPr>
                <w:kern w:val="0"/>
                <w:sz w:val="18"/>
                <w:szCs w:val="18"/>
              </w:rPr>
            </w:pPr>
            <w:bookmarkStart w:id="165" w:name="_Hlk144368677"/>
            <w:r>
              <w:rPr>
                <w:rFonts w:hint="eastAsia"/>
                <w:sz w:val="18"/>
                <w:szCs w:val="18"/>
              </w:rPr>
              <w:t>2</w:t>
            </w:r>
            <w:r>
              <w:rPr>
                <w:sz w:val="18"/>
                <w:szCs w:val="18"/>
              </w:rPr>
              <w:t>.黑鸢</w:t>
            </w:r>
          </w:p>
          <w:bookmarkEnd w:id="165"/>
          <w:p w14:paraId="10AB32B6">
            <w:pPr>
              <w:widowControl/>
              <w:tabs>
                <w:tab w:val="left" w:pos="173"/>
                <w:tab w:val="clear" w:pos="480"/>
              </w:tabs>
              <w:adjustRightInd w:val="0"/>
              <w:snapToGrid w:val="0"/>
              <w:spacing w:line="240" w:lineRule="auto"/>
              <w:ind w:firstLine="0" w:firstLineChars="0"/>
              <w:jc w:val="center"/>
              <w:rPr>
                <w:kern w:val="0"/>
                <w:sz w:val="18"/>
                <w:szCs w:val="18"/>
              </w:rPr>
            </w:pPr>
            <w:r>
              <w:rPr>
                <w:i/>
                <w:sz w:val="18"/>
                <w:szCs w:val="18"/>
              </w:rPr>
              <w:t>Milvus migrans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2C5247F">
            <w:pPr>
              <w:widowControl/>
              <w:tabs>
                <w:tab w:val="clear" w:pos="480"/>
              </w:tabs>
              <w:adjustRightInd w:val="0"/>
              <w:snapToGrid w:val="0"/>
              <w:spacing w:line="240" w:lineRule="auto"/>
              <w:ind w:firstLine="0" w:firstLineChars="0"/>
              <w:rPr>
                <w:bCs/>
                <w:kern w:val="0"/>
                <w:sz w:val="18"/>
                <w:szCs w:val="18"/>
              </w:rPr>
            </w:pPr>
            <w:r>
              <w:rPr>
                <w:bCs/>
                <w:sz w:val="18"/>
                <w:szCs w:val="18"/>
              </w:rPr>
              <w:t>栖息于开阔平原、草地、荒原和低山丘陵地带。</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015CE57">
            <w:pPr>
              <w:widowControl/>
              <w:tabs>
                <w:tab w:val="clear" w:pos="480"/>
              </w:tabs>
              <w:adjustRightInd w:val="0"/>
              <w:snapToGrid w:val="0"/>
              <w:spacing w:line="240" w:lineRule="auto"/>
              <w:ind w:firstLine="0" w:firstLineChars="0"/>
              <w:jc w:val="center"/>
              <w:rPr>
                <w:bCs/>
                <w:kern w:val="0"/>
                <w:sz w:val="18"/>
                <w:szCs w:val="18"/>
              </w:rPr>
            </w:pPr>
            <w:r>
              <w:rPr>
                <w:bCs/>
                <w:sz w:val="18"/>
                <w:szCs w:val="18"/>
              </w:rPr>
              <w:t>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F99ADE8">
            <w:pPr>
              <w:widowControl/>
              <w:tabs>
                <w:tab w:val="clear" w:pos="480"/>
              </w:tabs>
              <w:adjustRightInd w:val="0"/>
              <w:snapToGrid w:val="0"/>
              <w:spacing w:line="240" w:lineRule="auto"/>
              <w:ind w:firstLine="0" w:firstLineChars="0"/>
              <w:jc w:val="center"/>
              <w:rPr>
                <w:bCs/>
                <w:kern w:val="0"/>
                <w:sz w:val="18"/>
                <w:szCs w:val="18"/>
              </w:rPr>
            </w:pPr>
            <w:r>
              <w:rPr>
                <w:bCs/>
                <w:sz w:val="18"/>
                <w:szCs w:val="18"/>
              </w:rPr>
              <w:t>古北种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5B17000">
            <w:pPr>
              <w:widowControl/>
              <w:tabs>
                <w:tab w:val="clear" w:pos="480"/>
              </w:tabs>
              <w:adjustRightInd w:val="0"/>
              <w:snapToGrid w:val="0"/>
              <w:spacing w:line="240" w:lineRule="auto"/>
              <w:ind w:firstLine="0" w:firstLineChars="0"/>
              <w:jc w:val="center"/>
              <w:rPr>
                <w:kern w:val="0"/>
                <w:sz w:val="18"/>
                <w:szCs w:val="18"/>
              </w:rPr>
            </w:pPr>
            <w:r>
              <w:rPr>
                <w:bCs/>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13229E39">
            <w:pPr>
              <w:autoSpaceDN w:val="0"/>
              <w:adjustRightInd w:val="0"/>
              <w:snapToGrid w:val="0"/>
              <w:spacing w:line="240" w:lineRule="auto"/>
              <w:ind w:firstLine="0" w:firstLineChars="0"/>
              <w:jc w:val="center"/>
              <w:textAlignment w:val="center"/>
              <w:rPr>
                <w:bCs/>
                <w:sz w:val="18"/>
                <w:szCs w:val="18"/>
              </w:rPr>
            </w:pPr>
            <w:r>
              <w:rPr>
                <w:bCs/>
                <w:sz w:val="18"/>
                <w:szCs w:val="18"/>
              </w:rPr>
              <w:t>国家</w:t>
            </w:r>
          </w:p>
          <w:p w14:paraId="321CAB9A">
            <w:pPr>
              <w:widowControl/>
              <w:tabs>
                <w:tab w:val="clear" w:pos="480"/>
              </w:tabs>
              <w:adjustRightInd w:val="0"/>
              <w:snapToGrid w:val="0"/>
              <w:spacing w:line="240" w:lineRule="auto"/>
              <w:ind w:firstLine="0" w:firstLineChars="0"/>
              <w:jc w:val="center"/>
              <w:rPr>
                <w:kern w:val="0"/>
                <w:sz w:val="18"/>
                <w:szCs w:val="18"/>
              </w:rPr>
            </w:pPr>
            <w:r>
              <w:rPr>
                <w:bCs/>
                <w:sz w:val="18"/>
                <w:szCs w:val="18"/>
              </w:rPr>
              <w:t>Ⅱ级</w:t>
            </w:r>
          </w:p>
        </w:tc>
      </w:tr>
      <w:tr w14:paraId="68CB30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62D41BF3">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3</w:t>
            </w:r>
            <w:r>
              <w:rPr>
                <w:sz w:val="18"/>
                <w:szCs w:val="18"/>
              </w:rPr>
              <w:t>.红隼</w:t>
            </w:r>
          </w:p>
          <w:p w14:paraId="7E412C97">
            <w:pPr>
              <w:widowControl/>
              <w:tabs>
                <w:tab w:val="left" w:pos="173"/>
                <w:tab w:val="clear" w:pos="480"/>
              </w:tabs>
              <w:adjustRightInd w:val="0"/>
              <w:snapToGrid w:val="0"/>
              <w:spacing w:line="240" w:lineRule="auto"/>
              <w:ind w:firstLine="0" w:firstLineChars="0"/>
              <w:jc w:val="center"/>
              <w:rPr>
                <w:i/>
                <w:kern w:val="0"/>
                <w:sz w:val="18"/>
                <w:szCs w:val="18"/>
              </w:rPr>
            </w:pPr>
            <w:r>
              <w:rPr>
                <w:i/>
                <w:iCs/>
                <w:sz w:val="18"/>
                <w:szCs w:val="18"/>
              </w:rPr>
              <w:t>Falco tinnunculus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5588B9A">
            <w:pPr>
              <w:widowControl/>
              <w:tabs>
                <w:tab w:val="clear" w:pos="480"/>
              </w:tabs>
              <w:adjustRightInd w:val="0"/>
              <w:snapToGrid w:val="0"/>
              <w:spacing w:line="240" w:lineRule="auto"/>
              <w:ind w:firstLine="0" w:firstLineChars="0"/>
              <w:rPr>
                <w:kern w:val="0"/>
                <w:sz w:val="18"/>
                <w:szCs w:val="18"/>
              </w:rPr>
            </w:pPr>
            <w:r>
              <w:rPr>
                <w:sz w:val="18"/>
                <w:szCs w:val="18"/>
              </w:rPr>
              <w:t>栖息在山区植物稀疏的混合林、开垦耕地及旷野灌丛草地。</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0F05867">
            <w:pPr>
              <w:widowControl/>
              <w:tabs>
                <w:tab w:val="clear" w:pos="480"/>
              </w:tabs>
              <w:adjustRightInd w:val="0"/>
              <w:snapToGrid w:val="0"/>
              <w:spacing w:line="240" w:lineRule="auto"/>
              <w:ind w:firstLine="0" w:firstLineChars="0"/>
              <w:jc w:val="center"/>
              <w:rPr>
                <w:kern w:val="0"/>
                <w:sz w:val="18"/>
                <w:szCs w:val="18"/>
              </w:rPr>
            </w:pPr>
            <w:r>
              <w:rPr>
                <w:sz w:val="18"/>
                <w:szCs w:val="18"/>
              </w:rPr>
              <w:t>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F7C4FDF">
            <w:pPr>
              <w:widowControl/>
              <w:tabs>
                <w:tab w:val="clear" w:pos="480"/>
              </w:tabs>
              <w:adjustRightInd w:val="0"/>
              <w:snapToGrid w:val="0"/>
              <w:spacing w:line="240" w:lineRule="auto"/>
              <w:ind w:firstLine="0" w:firstLineChars="0"/>
              <w:jc w:val="center"/>
              <w:rPr>
                <w:kern w:val="0"/>
                <w:sz w:val="18"/>
                <w:szCs w:val="18"/>
              </w:rPr>
            </w:pPr>
            <w:r>
              <w:rPr>
                <w:sz w:val="18"/>
                <w:szCs w:val="18"/>
              </w:rPr>
              <w:t>广布种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F10D96E">
            <w:pPr>
              <w:widowControl/>
              <w:tabs>
                <w:tab w:val="clear" w:pos="480"/>
              </w:tabs>
              <w:adjustRightInd w:val="0"/>
              <w:snapToGrid w:val="0"/>
              <w:spacing w:line="240" w:lineRule="auto"/>
              <w:ind w:firstLine="0" w:firstLineChars="0"/>
              <w:jc w:val="center"/>
              <w:rPr>
                <w:kern w:val="0"/>
                <w:sz w:val="18"/>
                <w:szCs w:val="18"/>
              </w:rPr>
            </w:pPr>
            <w:r>
              <w:rPr>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54722C5F">
            <w:pPr>
              <w:adjustRightInd w:val="0"/>
              <w:snapToGrid w:val="0"/>
              <w:spacing w:line="240" w:lineRule="auto"/>
              <w:ind w:firstLine="0" w:firstLineChars="0"/>
              <w:jc w:val="center"/>
              <w:rPr>
                <w:sz w:val="18"/>
                <w:szCs w:val="18"/>
              </w:rPr>
            </w:pPr>
            <w:r>
              <w:rPr>
                <w:sz w:val="18"/>
                <w:szCs w:val="18"/>
              </w:rPr>
              <w:t>国家</w:t>
            </w:r>
          </w:p>
          <w:p w14:paraId="3B1D296E">
            <w:pPr>
              <w:widowControl/>
              <w:tabs>
                <w:tab w:val="clear" w:pos="480"/>
              </w:tabs>
              <w:adjustRightInd w:val="0"/>
              <w:snapToGrid w:val="0"/>
              <w:spacing w:line="240" w:lineRule="auto"/>
              <w:ind w:firstLine="0" w:firstLineChars="0"/>
              <w:jc w:val="center"/>
              <w:rPr>
                <w:kern w:val="0"/>
                <w:sz w:val="18"/>
                <w:szCs w:val="18"/>
              </w:rPr>
            </w:pPr>
            <w:r>
              <w:rPr>
                <w:sz w:val="18"/>
                <w:szCs w:val="18"/>
              </w:rPr>
              <w:t>Ⅱ级</w:t>
            </w:r>
          </w:p>
        </w:tc>
      </w:tr>
      <w:tr w14:paraId="26740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5611CDDC">
            <w:pPr>
              <w:tabs>
                <w:tab w:val="clear" w:pos="480"/>
              </w:tabs>
              <w:autoSpaceDN w:val="0"/>
              <w:adjustRightInd w:val="0"/>
              <w:snapToGrid w:val="0"/>
              <w:spacing w:line="240" w:lineRule="auto"/>
              <w:ind w:firstLine="0" w:firstLineChars="0"/>
              <w:jc w:val="center"/>
              <w:textAlignment w:val="center"/>
              <w:rPr>
                <w:kern w:val="0"/>
                <w:sz w:val="18"/>
                <w:szCs w:val="18"/>
              </w:rPr>
            </w:pPr>
            <w:bookmarkStart w:id="166" w:name="_Hlk144368697"/>
            <w:r>
              <w:rPr>
                <w:rFonts w:hint="eastAsia"/>
                <w:sz w:val="18"/>
                <w:szCs w:val="18"/>
              </w:rPr>
              <w:t>4</w:t>
            </w:r>
            <w:r>
              <w:rPr>
                <w:sz w:val="18"/>
                <w:szCs w:val="18"/>
              </w:rPr>
              <w:t>.东方草鸮</w:t>
            </w:r>
            <w:bookmarkEnd w:id="166"/>
          </w:p>
          <w:p w14:paraId="041365D0">
            <w:pPr>
              <w:widowControl/>
              <w:tabs>
                <w:tab w:val="clear" w:pos="480"/>
              </w:tabs>
              <w:adjustRightInd w:val="0"/>
              <w:snapToGrid w:val="0"/>
              <w:spacing w:line="240" w:lineRule="auto"/>
              <w:ind w:firstLine="0" w:firstLineChars="0"/>
              <w:jc w:val="center"/>
              <w:rPr>
                <w:bCs/>
                <w:kern w:val="0"/>
                <w:sz w:val="18"/>
                <w:szCs w:val="18"/>
              </w:rPr>
            </w:pPr>
            <w:r>
              <w:rPr>
                <w:i/>
                <w:sz w:val="18"/>
                <w:szCs w:val="18"/>
              </w:rPr>
              <w:t>Tyto longimembris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7359DD2">
            <w:pPr>
              <w:widowControl/>
              <w:tabs>
                <w:tab w:val="clear" w:pos="480"/>
              </w:tabs>
              <w:adjustRightInd w:val="0"/>
              <w:snapToGrid w:val="0"/>
              <w:spacing w:line="240" w:lineRule="auto"/>
              <w:ind w:firstLine="0" w:firstLineChars="0"/>
              <w:rPr>
                <w:bCs/>
                <w:kern w:val="0"/>
                <w:sz w:val="18"/>
                <w:szCs w:val="18"/>
              </w:rPr>
            </w:pPr>
            <w:r>
              <w:rPr>
                <w:sz w:val="18"/>
                <w:szCs w:val="18"/>
              </w:rPr>
              <w:t>栖息于山麓草灌丛中，经常活动于茂密的热带草原，沼泽地，特别是芦苇荡边的蔗田，隐藏在地面上的高草中。</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EF48982">
            <w:pPr>
              <w:widowControl/>
              <w:tabs>
                <w:tab w:val="clear" w:pos="480"/>
              </w:tabs>
              <w:adjustRightInd w:val="0"/>
              <w:snapToGrid w:val="0"/>
              <w:spacing w:line="240" w:lineRule="auto"/>
              <w:ind w:firstLine="0" w:firstLineChars="0"/>
              <w:jc w:val="center"/>
              <w:rPr>
                <w:bCs/>
                <w:kern w:val="0"/>
                <w:sz w:val="18"/>
                <w:szCs w:val="18"/>
              </w:rPr>
            </w:pPr>
            <w:r>
              <w:rPr>
                <w:sz w:val="18"/>
                <w:szCs w:val="18"/>
              </w:rPr>
              <w:t>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64C22C1">
            <w:pPr>
              <w:widowControl/>
              <w:tabs>
                <w:tab w:val="clear" w:pos="480"/>
              </w:tabs>
              <w:adjustRightInd w:val="0"/>
              <w:snapToGrid w:val="0"/>
              <w:spacing w:line="240" w:lineRule="auto"/>
              <w:ind w:firstLine="0" w:firstLineChars="0"/>
              <w:jc w:val="center"/>
              <w:rPr>
                <w:bCs/>
                <w:kern w:val="0"/>
                <w:sz w:val="18"/>
                <w:szCs w:val="18"/>
              </w:rPr>
            </w:pPr>
            <w:r>
              <w:rPr>
                <w:sz w:val="18"/>
                <w:szCs w:val="18"/>
              </w:rPr>
              <w:t>东洋种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1DE40D9">
            <w:pPr>
              <w:widowControl/>
              <w:tabs>
                <w:tab w:val="clear" w:pos="480"/>
              </w:tabs>
              <w:adjustRightInd w:val="0"/>
              <w:snapToGrid w:val="0"/>
              <w:spacing w:line="240" w:lineRule="auto"/>
              <w:ind w:firstLine="0" w:firstLineChars="0"/>
              <w:jc w:val="center"/>
              <w:rPr>
                <w:bCs/>
                <w:kern w:val="0"/>
                <w:sz w:val="18"/>
                <w:szCs w:val="18"/>
              </w:rPr>
            </w:pPr>
            <w:r>
              <w:rPr>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166A8C8B">
            <w:pPr>
              <w:autoSpaceDN w:val="0"/>
              <w:adjustRightInd w:val="0"/>
              <w:snapToGrid w:val="0"/>
              <w:spacing w:line="240" w:lineRule="auto"/>
              <w:ind w:firstLine="0" w:firstLineChars="0"/>
              <w:jc w:val="center"/>
              <w:textAlignment w:val="center"/>
              <w:rPr>
                <w:sz w:val="18"/>
                <w:szCs w:val="18"/>
              </w:rPr>
            </w:pPr>
            <w:r>
              <w:rPr>
                <w:sz w:val="18"/>
                <w:szCs w:val="18"/>
              </w:rPr>
              <w:t>国家</w:t>
            </w:r>
          </w:p>
          <w:p w14:paraId="109E5D75">
            <w:pPr>
              <w:widowControl/>
              <w:tabs>
                <w:tab w:val="clear" w:pos="480"/>
              </w:tabs>
              <w:adjustRightInd w:val="0"/>
              <w:snapToGrid w:val="0"/>
              <w:spacing w:line="240" w:lineRule="auto"/>
              <w:ind w:firstLine="0" w:firstLineChars="0"/>
              <w:jc w:val="center"/>
              <w:rPr>
                <w:bCs/>
                <w:kern w:val="0"/>
                <w:sz w:val="18"/>
                <w:szCs w:val="18"/>
              </w:rPr>
            </w:pPr>
            <w:r>
              <w:rPr>
                <w:sz w:val="18"/>
                <w:szCs w:val="18"/>
              </w:rPr>
              <w:t>Ⅱ级</w:t>
            </w:r>
          </w:p>
        </w:tc>
      </w:tr>
      <w:tr w14:paraId="15881E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12" w:space="0"/>
              <w:right w:val="single" w:color="auto" w:sz="4" w:space="0"/>
            </w:tcBorders>
            <w:tcMar>
              <w:top w:w="15" w:type="dxa"/>
              <w:left w:w="15" w:type="dxa"/>
              <w:bottom w:w="15" w:type="dxa"/>
              <w:right w:w="15" w:type="dxa"/>
            </w:tcMar>
            <w:vAlign w:val="center"/>
          </w:tcPr>
          <w:p w14:paraId="4BD8E3E4">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5</w:t>
            </w:r>
            <w:r>
              <w:rPr>
                <w:sz w:val="18"/>
                <w:szCs w:val="18"/>
              </w:rPr>
              <w:t>.斑头鸺鹠</w:t>
            </w:r>
          </w:p>
          <w:p w14:paraId="5AAB75D2">
            <w:pPr>
              <w:widowControl/>
              <w:tabs>
                <w:tab w:val="clear" w:pos="480"/>
              </w:tabs>
              <w:adjustRightInd w:val="0"/>
              <w:snapToGrid w:val="0"/>
              <w:spacing w:line="240" w:lineRule="auto"/>
              <w:ind w:firstLine="0" w:firstLineChars="0"/>
              <w:jc w:val="center"/>
              <w:rPr>
                <w:kern w:val="0"/>
                <w:sz w:val="18"/>
                <w:szCs w:val="18"/>
              </w:rPr>
            </w:pPr>
            <w:r>
              <w:rPr>
                <w:i/>
                <w:iCs/>
                <w:kern w:val="0"/>
                <w:sz w:val="18"/>
                <w:szCs w:val="18"/>
              </w:rPr>
              <w:t>Glaucidium cuculoides</w:t>
            </w:r>
          </w:p>
        </w:tc>
        <w:tc>
          <w:tcPr>
            <w:tcW w:w="1879"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7ED3EAE0">
            <w:pPr>
              <w:widowControl/>
              <w:tabs>
                <w:tab w:val="clear" w:pos="480"/>
              </w:tabs>
              <w:adjustRightInd w:val="0"/>
              <w:snapToGrid w:val="0"/>
              <w:spacing w:line="240" w:lineRule="auto"/>
              <w:ind w:firstLine="0" w:firstLineChars="0"/>
              <w:rPr>
                <w:kern w:val="0"/>
                <w:sz w:val="18"/>
                <w:szCs w:val="18"/>
              </w:rPr>
            </w:pPr>
            <w:r>
              <w:rPr>
                <w:sz w:val="18"/>
                <w:szCs w:val="18"/>
              </w:rPr>
              <w:t>栖息于从平原、低山丘陵到海拔2000m左右的中山地带的阔叶林、混交林、次生林和林缘灌丛。</w:t>
            </w:r>
          </w:p>
        </w:tc>
        <w:tc>
          <w:tcPr>
            <w:tcW w:w="509"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22E6A1AA">
            <w:pPr>
              <w:widowControl/>
              <w:tabs>
                <w:tab w:val="clear" w:pos="480"/>
              </w:tabs>
              <w:adjustRightInd w:val="0"/>
              <w:snapToGrid w:val="0"/>
              <w:spacing w:line="240" w:lineRule="auto"/>
              <w:ind w:firstLine="0" w:firstLineChars="0"/>
              <w:jc w:val="center"/>
              <w:rPr>
                <w:kern w:val="0"/>
                <w:sz w:val="18"/>
                <w:szCs w:val="18"/>
              </w:rPr>
            </w:pPr>
            <w:r>
              <w:rPr>
                <w:sz w:val="18"/>
                <w:szCs w:val="18"/>
              </w:rPr>
              <w:t>留鸟</w:t>
            </w:r>
          </w:p>
        </w:tc>
        <w:tc>
          <w:tcPr>
            <w:tcW w:w="509"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04D4CE34">
            <w:pPr>
              <w:widowControl/>
              <w:tabs>
                <w:tab w:val="clear" w:pos="480"/>
              </w:tabs>
              <w:adjustRightInd w:val="0"/>
              <w:snapToGrid w:val="0"/>
              <w:spacing w:line="240" w:lineRule="auto"/>
              <w:ind w:firstLine="0" w:firstLineChars="0"/>
              <w:jc w:val="center"/>
              <w:rPr>
                <w:kern w:val="0"/>
                <w:sz w:val="18"/>
                <w:szCs w:val="18"/>
              </w:rPr>
            </w:pPr>
            <w:r>
              <w:rPr>
                <w:sz w:val="18"/>
                <w:szCs w:val="18"/>
              </w:rPr>
              <w:t>东洋种</w:t>
            </w:r>
          </w:p>
        </w:tc>
        <w:tc>
          <w:tcPr>
            <w:tcW w:w="425"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72F75364">
            <w:pPr>
              <w:widowControl/>
              <w:tabs>
                <w:tab w:val="clear" w:pos="480"/>
              </w:tabs>
              <w:adjustRightInd w:val="0"/>
              <w:snapToGrid w:val="0"/>
              <w:spacing w:line="240" w:lineRule="auto"/>
              <w:ind w:firstLine="0" w:firstLineChars="0"/>
              <w:jc w:val="center"/>
              <w:rPr>
                <w:kern w:val="0"/>
                <w:sz w:val="18"/>
                <w:szCs w:val="18"/>
              </w:rPr>
            </w:pPr>
            <w:r>
              <w:rPr>
                <w:sz w:val="18"/>
                <w:szCs w:val="18"/>
              </w:rPr>
              <w:t>+</w:t>
            </w:r>
          </w:p>
        </w:tc>
        <w:tc>
          <w:tcPr>
            <w:tcW w:w="403" w:type="pct"/>
            <w:tcBorders>
              <w:top w:val="single" w:color="auto" w:sz="4" w:space="0"/>
              <w:left w:val="single" w:color="auto" w:sz="4" w:space="0"/>
              <w:bottom w:val="single" w:color="auto" w:sz="12" w:space="0"/>
              <w:right w:val="single" w:color="auto" w:sz="12" w:space="0"/>
            </w:tcBorders>
            <w:tcMar>
              <w:top w:w="15" w:type="dxa"/>
              <w:left w:w="15" w:type="dxa"/>
              <w:bottom w:w="15" w:type="dxa"/>
              <w:right w:w="15" w:type="dxa"/>
            </w:tcMar>
            <w:vAlign w:val="center"/>
          </w:tcPr>
          <w:p w14:paraId="15470D81">
            <w:pPr>
              <w:autoSpaceDN w:val="0"/>
              <w:adjustRightInd w:val="0"/>
              <w:snapToGrid w:val="0"/>
              <w:spacing w:line="240" w:lineRule="auto"/>
              <w:ind w:firstLine="0" w:firstLineChars="0"/>
              <w:jc w:val="center"/>
              <w:textAlignment w:val="center"/>
              <w:rPr>
                <w:sz w:val="18"/>
                <w:szCs w:val="18"/>
              </w:rPr>
            </w:pPr>
            <w:r>
              <w:rPr>
                <w:sz w:val="18"/>
                <w:szCs w:val="18"/>
              </w:rPr>
              <w:t>国家</w:t>
            </w:r>
          </w:p>
          <w:p w14:paraId="61DDD02C">
            <w:pPr>
              <w:widowControl/>
              <w:tabs>
                <w:tab w:val="clear" w:pos="480"/>
              </w:tabs>
              <w:adjustRightInd w:val="0"/>
              <w:snapToGrid w:val="0"/>
              <w:spacing w:line="240" w:lineRule="auto"/>
              <w:ind w:firstLine="0" w:firstLineChars="0"/>
              <w:jc w:val="center"/>
              <w:rPr>
                <w:kern w:val="0"/>
                <w:sz w:val="18"/>
                <w:szCs w:val="18"/>
              </w:rPr>
            </w:pPr>
            <w:r>
              <w:rPr>
                <w:sz w:val="18"/>
                <w:szCs w:val="18"/>
              </w:rPr>
              <w:t>Ⅱ级</w:t>
            </w:r>
          </w:p>
        </w:tc>
      </w:tr>
      <w:bookmarkEnd w:id="164"/>
    </w:tbl>
    <w:p w14:paraId="220D7B89">
      <w:pPr>
        <w:adjustRightInd w:val="0"/>
        <w:snapToGrid w:val="0"/>
        <w:ind w:firstLine="480"/>
      </w:pPr>
      <w:r>
        <w:rPr>
          <w:rFonts w:hint="eastAsia"/>
        </w:rPr>
        <w:t>（2）湖南省重点保护野生动物</w:t>
      </w:r>
    </w:p>
    <w:p w14:paraId="7A490272">
      <w:pPr>
        <w:adjustRightInd w:val="0"/>
        <w:snapToGrid w:val="0"/>
        <w:ind w:firstLine="480"/>
      </w:pPr>
      <w:r>
        <w:rPr>
          <w:rFonts w:hint="eastAsia"/>
        </w:rPr>
        <w:t>评价区范围内有湖南省级重点保护野生动物</w:t>
      </w:r>
      <w:r>
        <w:t>85</w:t>
      </w:r>
      <w:r>
        <w:rPr>
          <w:rFonts w:hint="eastAsia"/>
        </w:rPr>
        <w:t>种，其中两栖类主要分布在海拔较低的山沟、溪流、坑塘附近的草甸等区域。爬行类主要分布在影响范围内水源附近的林地、灌丛、灌草丛中。鸟类中的环颈雉、珠颈斑鸠等主要分布在评价区的林缘、农田等区域；大杜鹃、画眉和大山雀等在评价区高大的乔木林中有分布，小白腰雨燕、大斑啄木鸟、红尾伯劳、大山雀等主要分布在评价区的阔叶林、针叶林、灌丛和灌草丛中。兽类中黄鼬、鼬獾等主要分布在评价区荒地、灌丛、灌草丛等区域；果子狸、野猪、赤腹松鼠等主要分布于评价区植被生长良好的林地和林缘地区，黄鼬、华南兔在评价区较常见。</w:t>
      </w:r>
    </w:p>
    <w:p w14:paraId="5DEFBAC9">
      <w:pPr>
        <w:keepNext/>
        <w:keepLines/>
        <w:tabs>
          <w:tab w:val="left" w:pos="425"/>
          <w:tab w:val="clear" w:pos="480"/>
        </w:tabs>
        <w:adjustRightInd w:val="0"/>
        <w:snapToGrid w:val="0"/>
        <w:ind w:firstLine="0" w:firstLineChars="0"/>
        <w:outlineLvl w:val="2"/>
        <w:rPr>
          <w:b/>
          <w:kern w:val="24"/>
          <w:sz w:val="28"/>
          <w:szCs w:val="28"/>
          <w:lang w:val="zh-CN"/>
        </w:rPr>
      </w:pPr>
      <w:bookmarkStart w:id="167" w:name="_Toc116978000"/>
      <w:r>
        <w:rPr>
          <w:b/>
          <w:kern w:val="24"/>
          <w:sz w:val="28"/>
          <w:szCs w:val="28"/>
          <w:lang w:val="zh-CN"/>
        </w:rPr>
        <w:t>5.5.6</w:t>
      </w:r>
      <w:r>
        <w:rPr>
          <w:rFonts w:hint="eastAsia"/>
          <w:b/>
          <w:kern w:val="24"/>
          <w:sz w:val="28"/>
          <w:szCs w:val="28"/>
          <w:lang w:val="zh-CN"/>
        </w:rPr>
        <w:t>生态功能区划</w:t>
      </w:r>
    </w:p>
    <w:p w14:paraId="50DD9619">
      <w:pPr>
        <w:tabs>
          <w:tab w:val="clear" w:pos="480"/>
        </w:tabs>
        <w:adjustRightInd w:val="0"/>
        <w:snapToGrid w:val="0"/>
        <w:ind w:firstLine="0" w:firstLineChars="0"/>
        <w:outlineLvl w:val="3"/>
        <w:rPr>
          <w:b/>
          <w:kern w:val="0"/>
          <w:lang w:val="zh-CN"/>
        </w:rPr>
      </w:pPr>
      <w:r>
        <w:rPr>
          <w:b/>
          <w:kern w:val="0"/>
          <w:lang w:val="zh-CN"/>
        </w:rPr>
        <w:t>5.5.6.1</w:t>
      </w:r>
      <w:r>
        <w:rPr>
          <w:rFonts w:hint="eastAsia"/>
          <w:b/>
          <w:kern w:val="0"/>
          <w:lang w:val="zh-CN"/>
        </w:rPr>
        <w:t>项目所在区域生态功能区划</w:t>
      </w:r>
    </w:p>
    <w:p w14:paraId="5FD41831">
      <w:pPr>
        <w:adjustRightInd w:val="0"/>
        <w:snapToGrid w:val="0"/>
        <w:ind w:firstLine="480"/>
      </w:pPr>
      <w:r>
        <w:t>根据《湖南省生态功能区划研究报告》（湖南省环境保护厅等，2005），评价区属于</w:t>
      </w:r>
      <w:r>
        <w:rPr>
          <w:rFonts w:hint="eastAsia"/>
        </w:rPr>
        <w:t>湘中南丘岗农业带</w:t>
      </w:r>
      <w:r>
        <w:t>。本区</w:t>
      </w:r>
      <w:r>
        <w:rPr>
          <w:rFonts w:hint="eastAsia"/>
        </w:rPr>
        <w:t>属于国家级农产品主产区</w:t>
      </w:r>
      <w:r>
        <w:t>。</w:t>
      </w:r>
    </w:p>
    <w:p w14:paraId="66B10B35">
      <w:pPr>
        <w:tabs>
          <w:tab w:val="clear" w:pos="480"/>
        </w:tabs>
        <w:adjustRightInd w:val="0"/>
        <w:snapToGrid w:val="0"/>
        <w:ind w:firstLine="0" w:firstLineChars="0"/>
        <w:outlineLvl w:val="3"/>
        <w:rPr>
          <w:b/>
          <w:kern w:val="0"/>
          <w:lang w:val="zh-CN"/>
        </w:rPr>
      </w:pPr>
      <w:r>
        <w:rPr>
          <w:b/>
          <w:kern w:val="0"/>
          <w:lang w:val="zh-CN"/>
        </w:rPr>
        <w:t>5.5.6.2</w:t>
      </w:r>
      <w:r>
        <w:rPr>
          <w:rFonts w:hint="eastAsia"/>
          <w:b/>
          <w:kern w:val="0"/>
          <w:lang w:val="zh-CN"/>
        </w:rPr>
        <w:t>主要环境问题</w:t>
      </w:r>
    </w:p>
    <w:p w14:paraId="3107D050">
      <w:pPr>
        <w:adjustRightInd w:val="0"/>
        <w:snapToGrid w:val="0"/>
        <w:ind w:firstLine="480"/>
      </w:pPr>
      <w:r>
        <w:rPr>
          <w:rFonts w:hint="eastAsia"/>
        </w:rPr>
        <w:t>该区的主要生态问题有，乡镇污水管网建设不完善，养殖废水治理设施不完善，农村垃圾收集处理系统有待完善；部分自然森林遭到破坏，次生林和人工林面积大，水源涵养和土壤保持功能较弱，以崩塌、滑坡和山洪为主的环境灾害时有发生，自然灾害风险大，矿产资源开发无序，局部地区工业污染蔓延速度加快。</w:t>
      </w:r>
    </w:p>
    <w:p w14:paraId="13CF61A9">
      <w:pPr>
        <w:tabs>
          <w:tab w:val="clear" w:pos="480"/>
        </w:tabs>
        <w:adjustRightInd w:val="0"/>
        <w:snapToGrid w:val="0"/>
        <w:ind w:firstLine="0" w:firstLineChars="0"/>
        <w:outlineLvl w:val="3"/>
        <w:rPr>
          <w:b/>
          <w:kern w:val="0"/>
          <w:lang w:val="zh-CN"/>
        </w:rPr>
      </w:pPr>
      <w:r>
        <w:rPr>
          <w:b/>
          <w:kern w:val="0"/>
          <w:lang w:val="zh-CN"/>
        </w:rPr>
        <w:t>5.5.6.3</w:t>
      </w:r>
      <w:r>
        <w:rPr>
          <w:rFonts w:hint="eastAsia"/>
          <w:b/>
          <w:kern w:val="0"/>
          <w:lang w:val="zh-CN"/>
        </w:rPr>
        <w:t>有关环保政策和措施</w:t>
      </w:r>
    </w:p>
    <w:p w14:paraId="15E246A5">
      <w:pPr>
        <w:adjustRightInd w:val="0"/>
        <w:snapToGrid w:val="0"/>
        <w:ind w:firstLine="480"/>
      </w:pPr>
      <w:r>
        <w:rPr>
          <w:rFonts w:hint="eastAsia"/>
        </w:rPr>
        <w:t>以地带性典型生态系统、生物物种等生物多样性保护为主导，适度利用良好的生态环境开展生态旅游。停止导致生态功能继续退化的资源开发活动和其他人为破坏活动；大力发展中小城镇，引导重要生态功能区人口向城镇、集镇适当聚集；改变粗放经营方式，发展生态旅游和特色产业，走生态经济型发展道路；禁止污染工业向水源涵养地区转移；加强退化生态系统的恢复并加大重建力度，提高森林植被水源涵养功能。</w:t>
      </w:r>
    </w:p>
    <w:p w14:paraId="24BCEEE7">
      <w:pPr>
        <w:pStyle w:val="4"/>
        <w:tabs>
          <w:tab w:val="clear" w:pos="480"/>
          <w:tab w:val="clear" w:pos="630"/>
        </w:tabs>
        <w:spacing w:before="0" w:after="0"/>
        <w:rPr>
          <w:sz w:val="30"/>
          <w:szCs w:val="30"/>
          <w:lang w:val="en-US"/>
        </w:rPr>
      </w:pPr>
      <w:bookmarkStart w:id="168" w:name="_Toc143799384"/>
      <w:r>
        <w:rPr>
          <w:sz w:val="30"/>
          <w:szCs w:val="30"/>
          <w:lang w:val="en-US"/>
        </w:rPr>
        <w:t>5.7</w:t>
      </w:r>
      <w:r>
        <w:rPr>
          <w:rFonts w:hint="eastAsia"/>
          <w:sz w:val="30"/>
          <w:szCs w:val="30"/>
          <w:lang w:val="en-US"/>
        </w:rPr>
        <w:t>区域污染源调查</w:t>
      </w:r>
      <w:bookmarkEnd w:id="167"/>
      <w:bookmarkEnd w:id="168"/>
    </w:p>
    <w:p w14:paraId="7F25C7EA">
      <w:pPr>
        <w:adjustRightInd w:val="0"/>
        <w:snapToGrid w:val="0"/>
        <w:ind w:firstLine="480"/>
      </w:pPr>
      <w:r>
        <w:t>拟建项目评价区域内无大中型工业企业，水环境主要污染源为区域内农业面源污染及农村排放的生活污水。评价区域</w:t>
      </w:r>
      <w:r>
        <w:rPr>
          <w:rFonts w:hint="eastAsia"/>
        </w:rPr>
        <w:t>有</w:t>
      </w:r>
      <w:r>
        <w:t>分散式畜禽养殖污染源。</w:t>
      </w:r>
    </w:p>
    <w:p w14:paraId="67735E75">
      <w:pPr>
        <w:adjustRightInd w:val="0"/>
        <w:snapToGrid w:val="0"/>
        <w:ind w:firstLine="480"/>
      </w:pPr>
    </w:p>
    <w:p w14:paraId="129605C8">
      <w:pPr>
        <w:ind w:firstLine="480"/>
        <w:sectPr>
          <w:pgSz w:w="11905" w:h="16838"/>
          <w:pgMar w:top="1440" w:right="1797" w:bottom="1440" w:left="1797" w:header="851" w:footer="992" w:gutter="0"/>
          <w:cols w:space="0" w:num="1"/>
          <w:docGrid w:type="lines" w:linePitch="333" w:charSpace="0"/>
        </w:sectPr>
      </w:pPr>
    </w:p>
    <w:p w14:paraId="010919DE">
      <w:pPr>
        <w:pStyle w:val="3"/>
        <w:tabs>
          <w:tab w:val="clear" w:pos="480"/>
        </w:tabs>
        <w:spacing w:before="0" w:after="0"/>
        <w:jc w:val="center"/>
        <w:rPr>
          <w:rFonts w:ascii="Times New Roman" w:eastAsia="宋体"/>
          <w:bCs w:val="0"/>
          <w:sz w:val="32"/>
          <w:szCs w:val="32"/>
          <w:lang w:val="en-US"/>
        </w:rPr>
      </w:pPr>
      <w:r>
        <w:rPr>
          <w:rFonts w:hint="eastAsia" w:ascii="Times New Roman" w:eastAsia="宋体"/>
          <w:bCs w:val="0"/>
          <w:sz w:val="32"/>
          <w:szCs w:val="32"/>
          <w:lang w:val="en-US"/>
        </w:rPr>
        <w:t xml:space="preserve">  </w:t>
      </w:r>
      <w:bookmarkStart w:id="169" w:name="_Toc116978001"/>
      <w:bookmarkStart w:id="170" w:name="_Toc143799385"/>
      <w:r>
        <w:rPr>
          <w:rFonts w:ascii="Times New Roman" w:eastAsia="宋体"/>
          <w:bCs w:val="0"/>
          <w:sz w:val="32"/>
          <w:szCs w:val="32"/>
          <w:lang w:val="en-US"/>
        </w:rPr>
        <w:t>6</w:t>
      </w:r>
      <w:r>
        <w:rPr>
          <w:rFonts w:hint="eastAsia" w:ascii="Times New Roman" w:eastAsia="宋体"/>
          <w:bCs w:val="0"/>
          <w:sz w:val="32"/>
          <w:szCs w:val="32"/>
          <w:lang w:val="en-US"/>
        </w:rPr>
        <w:t>环境影响预测与评价</w:t>
      </w:r>
      <w:bookmarkEnd w:id="169"/>
      <w:bookmarkEnd w:id="170"/>
    </w:p>
    <w:p w14:paraId="553208A1">
      <w:pPr>
        <w:pStyle w:val="4"/>
        <w:tabs>
          <w:tab w:val="clear" w:pos="480"/>
          <w:tab w:val="clear" w:pos="630"/>
        </w:tabs>
        <w:spacing w:before="0" w:after="0"/>
        <w:rPr>
          <w:sz w:val="30"/>
          <w:szCs w:val="30"/>
          <w:lang w:val="en-US"/>
        </w:rPr>
      </w:pPr>
      <w:bookmarkStart w:id="171" w:name="_Toc143799386"/>
      <w:bookmarkStart w:id="172" w:name="_Toc116978002"/>
      <w:r>
        <w:rPr>
          <w:sz w:val="30"/>
          <w:szCs w:val="30"/>
          <w:lang w:val="en-US"/>
        </w:rPr>
        <w:t>6.1</w:t>
      </w:r>
      <w:r>
        <w:rPr>
          <w:rFonts w:hint="eastAsia"/>
          <w:sz w:val="30"/>
          <w:szCs w:val="30"/>
          <w:lang w:val="en-US"/>
        </w:rPr>
        <w:t>施工期环境影响预测与评价</w:t>
      </w:r>
      <w:bookmarkEnd w:id="171"/>
      <w:bookmarkEnd w:id="172"/>
    </w:p>
    <w:p w14:paraId="7B81DE0E">
      <w:pPr>
        <w:adjustRightInd w:val="0"/>
        <w:snapToGrid w:val="0"/>
        <w:ind w:firstLine="480"/>
      </w:pPr>
      <w:r>
        <w:rPr>
          <w:rFonts w:hint="eastAsia"/>
        </w:rPr>
        <w:t>本建设项目施工过程排放的污染物会对周围的水、大气、声环境产生一定的污染。施工期向周围环境排放的主要污染物质是施工人员产生的生活污水、施工废水、作业粉尘、固体废弃物以及施工机械排放的烟尘和噪声等。</w:t>
      </w:r>
    </w:p>
    <w:p w14:paraId="4030B50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6.1.1</w:t>
      </w:r>
      <w:r>
        <w:rPr>
          <w:rFonts w:hint="eastAsia" w:ascii="Times New Roman" w:eastAsia="宋体"/>
          <w:sz w:val="28"/>
          <w:szCs w:val="28"/>
          <w:lang w:val="en-US"/>
        </w:rPr>
        <w:t>施工期大气环境影响分析</w:t>
      </w:r>
    </w:p>
    <w:p w14:paraId="279D7D6D">
      <w:pPr>
        <w:adjustRightInd w:val="0"/>
        <w:snapToGrid w:val="0"/>
        <w:ind w:firstLine="480"/>
      </w:pPr>
      <w:r>
        <w:rPr>
          <w:rFonts w:hint="eastAsia"/>
        </w:rPr>
        <w:t>本项目施工期产生的大气污染源为施工机械和车辆燃油排放的废气、柴油发动机废气、汽车运输产生的道路扬尘、砂石及材料临时堆场扬尘、土石方作业时的粉尘、钻爆粉尘等。</w:t>
      </w:r>
    </w:p>
    <w:p w14:paraId="5FE174B2">
      <w:pPr>
        <w:adjustRightInd w:val="0"/>
        <w:snapToGrid w:val="0"/>
        <w:ind w:firstLine="480"/>
      </w:pPr>
      <w:r>
        <w:rPr>
          <w:rFonts w:hint="eastAsia"/>
        </w:rPr>
        <w:t>（</w:t>
      </w:r>
      <w:r>
        <w:t>1</w:t>
      </w:r>
      <w:r>
        <w:rPr>
          <w:rFonts w:hint="eastAsia"/>
        </w:rPr>
        <w:t>）施工机械和车辆燃油排放的废气</w:t>
      </w:r>
    </w:p>
    <w:p w14:paraId="6746B00C">
      <w:pPr>
        <w:adjustRightInd w:val="0"/>
        <w:snapToGrid w:val="0"/>
        <w:ind w:firstLine="480"/>
      </w:pPr>
      <w:r>
        <w:t>项目施工期车辆运输将产生车辆废气，主要污染物为CxHy、CO、NOx。</w:t>
      </w:r>
      <w:r>
        <w:rPr>
          <w:rFonts w:hint="eastAsia"/>
        </w:rPr>
        <w:t>本工程使用的多为大型运输车辆，尾气排放量与污染物含量均较轻型车辆高，因此，按照国家的有关规定，施工运输车辆必须执行《在用汽车报废标准》，推行强制更新报废制度，对于发动机耗油多、效率低、排放尾气严重超标的老、旧车辆，要及时更新；燃油机械设备应选用符合国家有关卫生标准的施工机械，使其排放的废气符合国家有关标准。</w:t>
      </w:r>
      <w:r>
        <w:t xml:space="preserve"> </w:t>
      </w:r>
    </w:p>
    <w:p w14:paraId="1DDC9EF8">
      <w:pPr>
        <w:adjustRightInd w:val="0"/>
        <w:snapToGrid w:val="0"/>
        <w:ind w:firstLine="480"/>
      </w:pPr>
      <w:r>
        <w:rPr>
          <w:rFonts w:hint="eastAsia"/>
        </w:rPr>
        <w:t>按《汽车排污监管办法》和《汽车排放监测制度》要求，对施工区运输车辆进行监督管理，定期和不定期的对运输车辆排放的尾气进行监测，对未达标的车辆实施严厉的处罚措施或禁止其在施工区的使用。加之本</w:t>
      </w:r>
      <w:r>
        <w:t>项目施工车辆废气产生令较小，影响范围有限，故可认为其对环境的影响较小。</w:t>
      </w:r>
    </w:p>
    <w:p w14:paraId="33CB4512">
      <w:pPr>
        <w:adjustRightInd w:val="0"/>
        <w:snapToGrid w:val="0"/>
        <w:ind w:firstLine="480"/>
      </w:pPr>
      <w:r>
        <w:rPr>
          <w:rFonts w:hint="eastAsia"/>
        </w:rPr>
        <w:t>（</w:t>
      </w:r>
      <w:r>
        <w:t>2</w:t>
      </w:r>
      <w:r>
        <w:rPr>
          <w:rFonts w:hint="eastAsia"/>
        </w:rPr>
        <w:t>）道路扬尘</w:t>
      </w:r>
    </w:p>
    <w:p w14:paraId="18258721">
      <w:pPr>
        <w:adjustRightInd w:val="0"/>
        <w:snapToGrid w:val="0"/>
        <w:ind w:firstLine="480"/>
      </w:pPr>
      <w:r>
        <w:rPr>
          <w:rFonts w:hint="eastAsia"/>
        </w:rPr>
        <w:t>施工期间交通运输将产生扬尘，汽车产生的道路扬尘量与车速、车型、车流量、风速、道路表面积尘量、尘土湿度等因素有关。根据交通运输部公路研究所对施工现场车辆扬尘监测结果，下风向</w:t>
      </w:r>
      <w:r>
        <w:t>150m</w:t>
      </w:r>
      <w:r>
        <w:rPr>
          <w:rFonts w:hint="eastAsia"/>
        </w:rPr>
        <w:t>处的扬尘瞬时浓度可达到</w:t>
      </w:r>
      <w:r>
        <w:t>3.49mg/m</w:t>
      </w:r>
      <w:r>
        <w:rPr>
          <w:vertAlign w:val="superscript"/>
        </w:rPr>
        <w:t>3</w:t>
      </w:r>
      <w:r>
        <w:rPr>
          <w:rFonts w:hint="eastAsia"/>
        </w:rPr>
        <w:t>。此外物料拉运或堆放过程中，因遮盖不严密而产生粉尘污染。</w:t>
      </w:r>
    </w:p>
    <w:p w14:paraId="72BDAA51">
      <w:pPr>
        <w:adjustRightInd w:val="0"/>
        <w:snapToGrid w:val="0"/>
        <w:ind w:firstLine="480"/>
      </w:pPr>
      <w:r>
        <w:rPr>
          <w:rFonts w:hint="eastAsia"/>
        </w:rPr>
        <w:t>施工期扬尘影响是暂时的，随着施工的完成，水土保持和生态恢复工程的实施，这些影响也将消失，不会对周围环境产生较大的影响。</w:t>
      </w:r>
    </w:p>
    <w:p w14:paraId="713BE181">
      <w:pPr>
        <w:adjustRightInd w:val="0"/>
        <w:snapToGrid w:val="0"/>
        <w:ind w:firstLine="480"/>
      </w:pPr>
      <w:r>
        <w:rPr>
          <w:rFonts w:hint="eastAsia"/>
        </w:rPr>
        <w:t>根据同类工程类比资料，施工场地、施工道路在自然风作用下产生的扬尘所影响的范围在</w:t>
      </w:r>
      <w:r>
        <w:t xml:space="preserve"> 100m </w:t>
      </w:r>
      <w:r>
        <w:rPr>
          <w:rFonts w:hint="eastAsia"/>
        </w:rPr>
        <w:t>以内，如果在施工期间对车辆行驶的路面实施洒水抑尘，每天洒水</w:t>
      </w:r>
      <w:r>
        <w:t>4</w:t>
      </w:r>
      <w:r>
        <w:rPr>
          <w:rFonts w:hint="eastAsia"/>
        </w:rPr>
        <w:t>～</w:t>
      </w:r>
      <w:r>
        <w:t>5</w:t>
      </w:r>
      <w:r>
        <w:rPr>
          <w:rFonts w:hint="eastAsia"/>
        </w:rPr>
        <w:t>次，可使扬尘减少</w:t>
      </w:r>
      <w:r>
        <w:t xml:space="preserve"> 70%</w:t>
      </w:r>
      <w:r>
        <w:rPr>
          <w:rFonts w:hint="eastAsia"/>
        </w:rPr>
        <w:t>左右。施工场地洒水抑尘的试验结果见下表。</w:t>
      </w:r>
    </w:p>
    <w:p w14:paraId="21470A46">
      <w:pPr>
        <w:tabs>
          <w:tab w:val="clear" w:pos="480"/>
        </w:tabs>
        <w:adjustRightInd w:val="0"/>
        <w:snapToGrid w:val="0"/>
        <w:spacing w:line="240" w:lineRule="auto"/>
        <w:ind w:firstLineChars="83"/>
        <w:jc w:val="center"/>
        <w:rPr>
          <w:b/>
          <w:bCs/>
        </w:rPr>
      </w:pPr>
      <w:r>
        <w:rPr>
          <w:rFonts w:hint="eastAsia"/>
          <w:b/>
          <w:bCs/>
        </w:rPr>
        <w:t>表</w:t>
      </w:r>
      <w:r>
        <w:rPr>
          <w:b/>
          <w:bCs/>
        </w:rPr>
        <w:t>6.1</w:t>
      </w:r>
      <w:r>
        <w:rPr>
          <w:rFonts w:hint="eastAsia"/>
          <w:b/>
          <w:bCs/>
        </w:rPr>
        <w:t>-</w:t>
      </w:r>
      <w:r>
        <w:rPr>
          <w:b/>
          <w:bCs/>
        </w:rPr>
        <w:t xml:space="preserve">1 </w:t>
      </w:r>
      <w:r>
        <w:rPr>
          <w:rFonts w:hint="eastAsia"/>
          <w:b/>
          <w:bCs/>
        </w:rPr>
        <w:t>施工场地洒水抑尘试验结果表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669"/>
        <w:gridCol w:w="1014"/>
        <w:gridCol w:w="825"/>
        <w:gridCol w:w="699"/>
        <w:gridCol w:w="699"/>
        <w:gridCol w:w="1074"/>
      </w:tblGrid>
      <w:tr w14:paraId="4F8538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3" w:type="dxa"/>
            <w:gridSpan w:val="2"/>
            <w:tcBorders>
              <w:top w:val="single" w:color="auto" w:sz="12" w:space="0"/>
              <w:left w:val="single" w:color="auto" w:sz="12" w:space="0"/>
              <w:bottom w:val="single" w:color="auto" w:sz="4" w:space="0"/>
              <w:right w:val="single" w:color="auto" w:sz="4" w:space="0"/>
            </w:tcBorders>
            <w:vAlign w:val="center"/>
          </w:tcPr>
          <w:p w14:paraId="3D61F55F">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距离（</w:t>
            </w:r>
            <w:r>
              <w:rPr>
                <w:kern w:val="0"/>
                <w:sz w:val="21"/>
                <w:szCs w:val="21"/>
              </w:rPr>
              <w:t>m</w:t>
            </w:r>
            <w:r>
              <w:rPr>
                <w:rFonts w:hint="eastAsia"/>
                <w:kern w:val="0"/>
                <w:sz w:val="21"/>
                <w:szCs w:val="21"/>
              </w:rPr>
              <w:t>）</w:t>
            </w:r>
          </w:p>
        </w:tc>
        <w:tc>
          <w:tcPr>
            <w:tcW w:w="825" w:type="dxa"/>
            <w:tcBorders>
              <w:top w:val="single" w:color="auto" w:sz="12" w:space="0"/>
              <w:left w:val="single" w:color="auto" w:sz="4" w:space="0"/>
              <w:bottom w:val="single" w:color="auto" w:sz="4" w:space="0"/>
              <w:right w:val="single" w:color="auto" w:sz="4" w:space="0"/>
            </w:tcBorders>
            <w:vAlign w:val="center"/>
          </w:tcPr>
          <w:p w14:paraId="720F2476">
            <w:pPr>
              <w:tabs>
                <w:tab w:val="clear" w:pos="480"/>
              </w:tabs>
              <w:adjustRightInd w:val="0"/>
              <w:snapToGrid w:val="0"/>
              <w:spacing w:line="240" w:lineRule="auto"/>
              <w:ind w:firstLine="0" w:firstLineChars="0"/>
              <w:jc w:val="center"/>
              <w:rPr>
                <w:kern w:val="0"/>
                <w:sz w:val="21"/>
                <w:szCs w:val="21"/>
              </w:rPr>
            </w:pPr>
            <w:r>
              <w:rPr>
                <w:kern w:val="0"/>
                <w:sz w:val="21"/>
                <w:szCs w:val="21"/>
              </w:rPr>
              <w:t>5</w:t>
            </w:r>
          </w:p>
        </w:tc>
        <w:tc>
          <w:tcPr>
            <w:tcW w:w="699" w:type="dxa"/>
            <w:tcBorders>
              <w:top w:val="single" w:color="auto" w:sz="12" w:space="0"/>
              <w:left w:val="single" w:color="auto" w:sz="4" w:space="0"/>
              <w:bottom w:val="single" w:color="auto" w:sz="4" w:space="0"/>
              <w:right w:val="single" w:color="auto" w:sz="4" w:space="0"/>
            </w:tcBorders>
            <w:vAlign w:val="center"/>
          </w:tcPr>
          <w:p w14:paraId="49F6B2BC">
            <w:pPr>
              <w:tabs>
                <w:tab w:val="clear" w:pos="480"/>
              </w:tabs>
              <w:adjustRightInd w:val="0"/>
              <w:snapToGrid w:val="0"/>
              <w:spacing w:line="240" w:lineRule="auto"/>
              <w:ind w:firstLine="0" w:firstLineChars="0"/>
              <w:jc w:val="center"/>
              <w:rPr>
                <w:kern w:val="0"/>
                <w:sz w:val="21"/>
                <w:szCs w:val="21"/>
              </w:rPr>
            </w:pPr>
            <w:r>
              <w:rPr>
                <w:kern w:val="0"/>
                <w:sz w:val="21"/>
                <w:szCs w:val="21"/>
              </w:rPr>
              <w:t>20</w:t>
            </w:r>
          </w:p>
        </w:tc>
        <w:tc>
          <w:tcPr>
            <w:tcW w:w="699" w:type="dxa"/>
            <w:tcBorders>
              <w:top w:val="single" w:color="auto" w:sz="12" w:space="0"/>
              <w:left w:val="single" w:color="auto" w:sz="4" w:space="0"/>
              <w:bottom w:val="single" w:color="auto" w:sz="4" w:space="0"/>
              <w:right w:val="single" w:color="auto" w:sz="4" w:space="0"/>
            </w:tcBorders>
            <w:vAlign w:val="center"/>
          </w:tcPr>
          <w:p w14:paraId="1833B77B">
            <w:pPr>
              <w:tabs>
                <w:tab w:val="clear" w:pos="480"/>
              </w:tabs>
              <w:adjustRightInd w:val="0"/>
              <w:snapToGrid w:val="0"/>
              <w:spacing w:line="240" w:lineRule="auto"/>
              <w:ind w:firstLine="0" w:firstLineChars="0"/>
              <w:jc w:val="center"/>
              <w:rPr>
                <w:kern w:val="0"/>
                <w:sz w:val="21"/>
                <w:szCs w:val="21"/>
              </w:rPr>
            </w:pPr>
            <w:r>
              <w:rPr>
                <w:kern w:val="0"/>
                <w:sz w:val="21"/>
                <w:szCs w:val="21"/>
              </w:rPr>
              <w:t>50</w:t>
            </w:r>
          </w:p>
        </w:tc>
        <w:tc>
          <w:tcPr>
            <w:tcW w:w="1074" w:type="dxa"/>
            <w:tcBorders>
              <w:top w:val="single" w:color="auto" w:sz="12" w:space="0"/>
              <w:left w:val="single" w:color="auto" w:sz="4" w:space="0"/>
              <w:bottom w:val="single" w:color="auto" w:sz="4" w:space="0"/>
              <w:right w:val="single" w:color="auto" w:sz="12" w:space="0"/>
            </w:tcBorders>
            <w:vAlign w:val="center"/>
          </w:tcPr>
          <w:p w14:paraId="1312B3B7">
            <w:pPr>
              <w:tabs>
                <w:tab w:val="clear" w:pos="480"/>
              </w:tabs>
              <w:adjustRightInd w:val="0"/>
              <w:snapToGrid w:val="0"/>
              <w:spacing w:line="240" w:lineRule="auto"/>
              <w:ind w:firstLine="0" w:firstLineChars="0"/>
              <w:jc w:val="center"/>
              <w:rPr>
                <w:kern w:val="0"/>
                <w:sz w:val="21"/>
                <w:szCs w:val="21"/>
              </w:rPr>
            </w:pPr>
            <w:r>
              <w:rPr>
                <w:kern w:val="0"/>
                <w:sz w:val="21"/>
                <w:szCs w:val="21"/>
              </w:rPr>
              <w:t>100</w:t>
            </w:r>
          </w:p>
        </w:tc>
      </w:tr>
      <w:tr w14:paraId="60D56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69" w:type="dxa"/>
            <w:vMerge w:val="restart"/>
            <w:tcBorders>
              <w:top w:val="single" w:color="auto" w:sz="4" w:space="0"/>
              <w:left w:val="single" w:color="auto" w:sz="12" w:space="0"/>
              <w:bottom w:val="single" w:color="auto" w:sz="12" w:space="0"/>
              <w:right w:val="single" w:color="auto" w:sz="4" w:space="0"/>
            </w:tcBorders>
            <w:vAlign w:val="center"/>
          </w:tcPr>
          <w:p w14:paraId="44DAB828">
            <w:pPr>
              <w:tabs>
                <w:tab w:val="clear" w:pos="480"/>
              </w:tabs>
              <w:adjustRightInd w:val="0"/>
              <w:snapToGrid w:val="0"/>
              <w:spacing w:line="240" w:lineRule="auto"/>
              <w:ind w:firstLine="0" w:firstLineChars="0"/>
              <w:jc w:val="center"/>
              <w:rPr>
                <w:kern w:val="0"/>
                <w:sz w:val="21"/>
                <w:szCs w:val="21"/>
              </w:rPr>
            </w:pPr>
            <w:r>
              <w:rPr>
                <w:kern w:val="0"/>
                <w:sz w:val="21"/>
                <w:szCs w:val="21"/>
              </w:rPr>
              <w:t xml:space="preserve">TSP </w:t>
            </w:r>
            <w:r>
              <w:rPr>
                <w:rFonts w:hint="eastAsia"/>
                <w:kern w:val="0"/>
                <w:sz w:val="21"/>
                <w:szCs w:val="21"/>
              </w:rPr>
              <w:t>小时平均浓度（</w:t>
            </w:r>
            <w:r>
              <w:rPr>
                <w:kern w:val="0"/>
                <w:sz w:val="21"/>
                <w:szCs w:val="21"/>
              </w:rPr>
              <w:t>mg/Nm</w:t>
            </w:r>
            <w:r>
              <w:rPr>
                <w:kern w:val="0"/>
                <w:sz w:val="21"/>
                <w:szCs w:val="21"/>
                <w:vertAlign w:val="superscript"/>
              </w:rPr>
              <w:t>3</w:t>
            </w:r>
            <w:r>
              <w:rPr>
                <w:rFonts w:hint="eastAsia"/>
                <w:kern w:val="0"/>
                <w:sz w:val="21"/>
                <w:szCs w:val="21"/>
              </w:rPr>
              <w:t>）</w:t>
            </w:r>
          </w:p>
        </w:tc>
        <w:tc>
          <w:tcPr>
            <w:tcW w:w="1014" w:type="dxa"/>
            <w:tcBorders>
              <w:top w:val="single" w:color="auto" w:sz="4" w:space="0"/>
              <w:left w:val="single" w:color="auto" w:sz="4" w:space="0"/>
              <w:bottom w:val="single" w:color="auto" w:sz="4" w:space="0"/>
              <w:right w:val="single" w:color="auto" w:sz="4" w:space="0"/>
            </w:tcBorders>
            <w:vAlign w:val="center"/>
          </w:tcPr>
          <w:p w14:paraId="15D7A270">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不洒水</w:t>
            </w:r>
          </w:p>
        </w:tc>
        <w:tc>
          <w:tcPr>
            <w:tcW w:w="825" w:type="dxa"/>
            <w:tcBorders>
              <w:top w:val="single" w:color="auto" w:sz="4" w:space="0"/>
              <w:left w:val="single" w:color="auto" w:sz="4" w:space="0"/>
              <w:bottom w:val="single" w:color="auto" w:sz="4" w:space="0"/>
              <w:right w:val="single" w:color="auto" w:sz="4" w:space="0"/>
            </w:tcBorders>
            <w:vAlign w:val="center"/>
          </w:tcPr>
          <w:p w14:paraId="0C7F563E">
            <w:pPr>
              <w:tabs>
                <w:tab w:val="clear" w:pos="480"/>
              </w:tabs>
              <w:adjustRightInd w:val="0"/>
              <w:snapToGrid w:val="0"/>
              <w:spacing w:line="240" w:lineRule="auto"/>
              <w:ind w:firstLine="0" w:firstLineChars="0"/>
              <w:jc w:val="center"/>
              <w:rPr>
                <w:kern w:val="0"/>
                <w:sz w:val="21"/>
                <w:szCs w:val="21"/>
              </w:rPr>
            </w:pPr>
            <w:r>
              <w:rPr>
                <w:kern w:val="0"/>
                <w:sz w:val="21"/>
                <w:szCs w:val="21"/>
              </w:rPr>
              <w:t>10.14</w:t>
            </w:r>
          </w:p>
        </w:tc>
        <w:tc>
          <w:tcPr>
            <w:tcW w:w="699" w:type="dxa"/>
            <w:tcBorders>
              <w:top w:val="single" w:color="auto" w:sz="4" w:space="0"/>
              <w:left w:val="single" w:color="auto" w:sz="4" w:space="0"/>
              <w:bottom w:val="single" w:color="auto" w:sz="4" w:space="0"/>
              <w:right w:val="single" w:color="auto" w:sz="4" w:space="0"/>
            </w:tcBorders>
            <w:vAlign w:val="center"/>
          </w:tcPr>
          <w:p w14:paraId="0C1C3ACE">
            <w:pPr>
              <w:tabs>
                <w:tab w:val="clear" w:pos="480"/>
              </w:tabs>
              <w:adjustRightInd w:val="0"/>
              <w:snapToGrid w:val="0"/>
              <w:spacing w:line="240" w:lineRule="auto"/>
              <w:ind w:firstLine="0" w:firstLineChars="0"/>
              <w:jc w:val="center"/>
              <w:rPr>
                <w:kern w:val="0"/>
                <w:sz w:val="21"/>
                <w:szCs w:val="21"/>
              </w:rPr>
            </w:pPr>
            <w:r>
              <w:rPr>
                <w:kern w:val="0"/>
                <w:sz w:val="21"/>
                <w:szCs w:val="21"/>
              </w:rPr>
              <w:t>2.89</w:t>
            </w:r>
          </w:p>
        </w:tc>
        <w:tc>
          <w:tcPr>
            <w:tcW w:w="699" w:type="dxa"/>
            <w:tcBorders>
              <w:top w:val="single" w:color="auto" w:sz="4" w:space="0"/>
              <w:left w:val="single" w:color="auto" w:sz="4" w:space="0"/>
              <w:bottom w:val="single" w:color="auto" w:sz="4" w:space="0"/>
              <w:right w:val="single" w:color="auto" w:sz="4" w:space="0"/>
            </w:tcBorders>
            <w:vAlign w:val="center"/>
          </w:tcPr>
          <w:p w14:paraId="32089FBE">
            <w:pPr>
              <w:tabs>
                <w:tab w:val="clear" w:pos="480"/>
              </w:tabs>
              <w:adjustRightInd w:val="0"/>
              <w:snapToGrid w:val="0"/>
              <w:spacing w:line="240" w:lineRule="auto"/>
              <w:ind w:firstLine="0" w:firstLineChars="0"/>
              <w:jc w:val="center"/>
              <w:rPr>
                <w:kern w:val="0"/>
                <w:sz w:val="21"/>
                <w:szCs w:val="21"/>
              </w:rPr>
            </w:pPr>
            <w:r>
              <w:rPr>
                <w:kern w:val="0"/>
                <w:sz w:val="21"/>
                <w:szCs w:val="21"/>
              </w:rPr>
              <w:t>1.15</w:t>
            </w:r>
          </w:p>
        </w:tc>
        <w:tc>
          <w:tcPr>
            <w:tcW w:w="1074" w:type="dxa"/>
            <w:tcBorders>
              <w:top w:val="single" w:color="auto" w:sz="4" w:space="0"/>
              <w:left w:val="single" w:color="auto" w:sz="4" w:space="0"/>
              <w:bottom w:val="single" w:color="auto" w:sz="4" w:space="0"/>
              <w:right w:val="single" w:color="auto" w:sz="12" w:space="0"/>
            </w:tcBorders>
            <w:vAlign w:val="center"/>
          </w:tcPr>
          <w:p w14:paraId="0FE50AA0">
            <w:pPr>
              <w:tabs>
                <w:tab w:val="clear" w:pos="480"/>
              </w:tabs>
              <w:adjustRightInd w:val="0"/>
              <w:snapToGrid w:val="0"/>
              <w:spacing w:line="240" w:lineRule="auto"/>
              <w:ind w:firstLine="0" w:firstLineChars="0"/>
              <w:jc w:val="center"/>
              <w:rPr>
                <w:kern w:val="0"/>
                <w:sz w:val="21"/>
                <w:szCs w:val="21"/>
              </w:rPr>
            </w:pPr>
            <w:r>
              <w:rPr>
                <w:kern w:val="0"/>
                <w:sz w:val="21"/>
                <w:szCs w:val="21"/>
              </w:rPr>
              <w:t>0.86</w:t>
            </w:r>
          </w:p>
        </w:tc>
      </w:tr>
      <w:tr w14:paraId="5B380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3" w:type="dxa"/>
            <w:vMerge w:val="continue"/>
            <w:tcBorders>
              <w:top w:val="single" w:color="auto" w:sz="4" w:space="0"/>
              <w:left w:val="single" w:color="auto" w:sz="12" w:space="0"/>
              <w:bottom w:val="single" w:color="auto" w:sz="12" w:space="0"/>
              <w:right w:val="single" w:color="auto" w:sz="4" w:space="0"/>
            </w:tcBorders>
            <w:vAlign w:val="center"/>
          </w:tcPr>
          <w:p w14:paraId="7577D4CA">
            <w:pPr>
              <w:widowControl/>
              <w:tabs>
                <w:tab w:val="clear" w:pos="480"/>
              </w:tabs>
              <w:adjustRightInd w:val="0"/>
              <w:snapToGrid w:val="0"/>
              <w:spacing w:line="240" w:lineRule="auto"/>
              <w:ind w:firstLine="0" w:firstLineChars="0"/>
              <w:jc w:val="left"/>
              <w:rPr>
                <w:kern w:val="0"/>
                <w:sz w:val="21"/>
                <w:szCs w:val="21"/>
              </w:rPr>
            </w:pPr>
          </w:p>
        </w:tc>
        <w:tc>
          <w:tcPr>
            <w:tcW w:w="1014" w:type="dxa"/>
            <w:tcBorders>
              <w:top w:val="single" w:color="auto" w:sz="4" w:space="0"/>
              <w:left w:val="single" w:color="auto" w:sz="4" w:space="0"/>
              <w:bottom w:val="single" w:color="auto" w:sz="12" w:space="0"/>
              <w:right w:val="single" w:color="auto" w:sz="4" w:space="0"/>
            </w:tcBorders>
            <w:vAlign w:val="center"/>
          </w:tcPr>
          <w:p w14:paraId="112B5281">
            <w:pPr>
              <w:tabs>
                <w:tab w:val="clear" w:pos="480"/>
              </w:tabs>
              <w:adjustRightInd w:val="0"/>
              <w:snapToGrid w:val="0"/>
              <w:spacing w:line="240" w:lineRule="auto"/>
              <w:ind w:firstLine="0" w:firstLineChars="0"/>
              <w:jc w:val="center"/>
              <w:rPr>
                <w:kern w:val="0"/>
                <w:sz w:val="21"/>
                <w:szCs w:val="21"/>
              </w:rPr>
            </w:pPr>
            <w:r>
              <w:rPr>
                <w:rFonts w:hint="eastAsia"/>
                <w:kern w:val="0"/>
                <w:sz w:val="21"/>
                <w:szCs w:val="21"/>
              </w:rPr>
              <w:t>洒水</w:t>
            </w:r>
          </w:p>
        </w:tc>
        <w:tc>
          <w:tcPr>
            <w:tcW w:w="825" w:type="dxa"/>
            <w:tcBorders>
              <w:top w:val="single" w:color="auto" w:sz="4" w:space="0"/>
              <w:left w:val="single" w:color="auto" w:sz="4" w:space="0"/>
              <w:bottom w:val="single" w:color="auto" w:sz="12" w:space="0"/>
              <w:right w:val="single" w:color="auto" w:sz="4" w:space="0"/>
            </w:tcBorders>
            <w:vAlign w:val="center"/>
          </w:tcPr>
          <w:p w14:paraId="4608E1ED">
            <w:pPr>
              <w:tabs>
                <w:tab w:val="clear" w:pos="480"/>
              </w:tabs>
              <w:adjustRightInd w:val="0"/>
              <w:snapToGrid w:val="0"/>
              <w:spacing w:line="240" w:lineRule="auto"/>
              <w:ind w:firstLine="0" w:firstLineChars="0"/>
              <w:jc w:val="center"/>
              <w:rPr>
                <w:kern w:val="0"/>
                <w:sz w:val="21"/>
                <w:szCs w:val="21"/>
              </w:rPr>
            </w:pPr>
            <w:r>
              <w:rPr>
                <w:kern w:val="0"/>
                <w:sz w:val="21"/>
                <w:szCs w:val="21"/>
              </w:rPr>
              <w:t>2.01</w:t>
            </w:r>
          </w:p>
        </w:tc>
        <w:tc>
          <w:tcPr>
            <w:tcW w:w="699" w:type="dxa"/>
            <w:tcBorders>
              <w:top w:val="single" w:color="auto" w:sz="4" w:space="0"/>
              <w:left w:val="single" w:color="auto" w:sz="4" w:space="0"/>
              <w:bottom w:val="single" w:color="auto" w:sz="12" w:space="0"/>
              <w:right w:val="single" w:color="auto" w:sz="4" w:space="0"/>
            </w:tcBorders>
            <w:vAlign w:val="center"/>
          </w:tcPr>
          <w:p w14:paraId="5DD00A60">
            <w:pPr>
              <w:tabs>
                <w:tab w:val="clear" w:pos="480"/>
              </w:tabs>
              <w:adjustRightInd w:val="0"/>
              <w:snapToGrid w:val="0"/>
              <w:spacing w:line="240" w:lineRule="auto"/>
              <w:ind w:firstLine="0" w:firstLineChars="0"/>
              <w:jc w:val="center"/>
              <w:rPr>
                <w:kern w:val="0"/>
                <w:sz w:val="21"/>
                <w:szCs w:val="21"/>
              </w:rPr>
            </w:pPr>
            <w:r>
              <w:rPr>
                <w:kern w:val="0"/>
                <w:sz w:val="21"/>
                <w:szCs w:val="21"/>
              </w:rPr>
              <w:t>1.40</w:t>
            </w:r>
          </w:p>
        </w:tc>
        <w:tc>
          <w:tcPr>
            <w:tcW w:w="699" w:type="dxa"/>
            <w:tcBorders>
              <w:top w:val="single" w:color="auto" w:sz="4" w:space="0"/>
              <w:left w:val="single" w:color="auto" w:sz="4" w:space="0"/>
              <w:bottom w:val="single" w:color="auto" w:sz="12" w:space="0"/>
              <w:right w:val="single" w:color="auto" w:sz="4" w:space="0"/>
            </w:tcBorders>
            <w:vAlign w:val="center"/>
          </w:tcPr>
          <w:p w14:paraId="112AF772">
            <w:pPr>
              <w:tabs>
                <w:tab w:val="clear" w:pos="480"/>
              </w:tabs>
              <w:adjustRightInd w:val="0"/>
              <w:snapToGrid w:val="0"/>
              <w:spacing w:line="240" w:lineRule="auto"/>
              <w:ind w:firstLine="0" w:firstLineChars="0"/>
              <w:jc w:val="center"/>
              <w:rPr>
                <w:kern w:val="0"/>
                <w:sz w:val="21"/>
                <w:szCs w:val="21"/>
              </w:rPr>
            </w:pPr>
            <w:r>
              <w:rPr>
                <w:kern w:val="0"/>
                <w:sz w:val="21"/>
                <w:szCs w:val="21"/>
              </w:rPr>
              <w:t>0.67</w:t>
            </w:r>
          </w:p>
        </w:tc>
        <w:tc>
          <w:tcPr>
            <w:tcW w:w="1074" w:type="dxa"/>
            <w:tcBorders>
              <w:top w:val="single" w:color="auto" w:sz="4" w:space="0"/>
              <w:left w:val="single" w:color="auto" w:sz="4" w:space="0"/>
              <w:bottom w:val="single" w:color="auto" w:sz="12" w:space="0"/>
              <w:right w:val="single" w:color="auto" w:sz="12" w:space="0"/>
            </w:tcBorders>
            <w:vAlign w:val="center"/>
          </w:tcPr>
          <w:p w14:paraId="3863797A">
            <w:pPr>
              <w:tabs>
                <w:tab w:val="clear" w:pos="480"/>
              </w:tabs>
              <w:adjustRightInd w:val="0"/>
              <w:snapToGrid w:val="0"/>
              <w:spacing w:line="240" w:lineRule="auto"/>
              <w:ind w:firstLine="0" w:firstLineChars="0"/>
              <w:jc w:val="center"/>
              <w:rPr>
                <w:kern w:val="0"/>
                <w:sz w:val="21"/>
                <w:szCs w:val="21"/>
              </w:rPr>
            </w:pPr>
            <w:r>
              <w:rPr>
                <w:kern w:val="0"/>
                <w:sz w:val="21"/>
                <w:szCs w:val="21"/>
              </w:rPr>
              <w:t>0.60</w:t>
            </w:r>
          </w:p>
        </w:tc>
      </w:tr>
    </w:tbl>
    <w:p w14:paraId="0F36F017">
      <w:pPr>
        <w:adjustRightInd w:val="0"/>
        <w:snapToGrid w:val="0"/>
        <w:ind w:firstLine="480"/>
      </w:pPr>
      <w:r>
        <w:rPr>
          <w:rFonts w:hint="eastAsia"/>
        </w:rPr>
        <w:t>结果表明实施每天洒水</w:t>
      </w:r>
      <w:r>
        <w:t>4</w:t>
      </w:r>
      <w:r>
        <w:rPr>
          <w:rFonts w:hint="eastAsia"/>
        </w:rPr>
        <w:t>～</w:t>
      </w:r>
      <w:r>
        <w:t>5</w:t>
      </w:r>
      <w:r>
        <w:rPr>
          <w:rFonts w:hint="eastAsia"/>
        </w:rPr>
        <w:t>次进行抑尘，可有效控制施工扬尘，将</w:t>
      </w:r>
      <w:r>
        <w:t>TSP</w:t>
      </w:r>
      <w:r>
        <w:rPr>
          <w:rFonts w:hint="eastAsia"/>
        </w:rPr>
        <w:t>污染距离缩小到</w:t>
      </w:r>
      <w:r>
        <w:t>20</w:t>
      </w:r>
      <w:r>
        <w:rPr>
          <w:rFonts w:hint="eastAsia"/>
        </w:rPr>
        <w:t>～</w:t>
      </w:r>
      <w:r>
        <w:t>50m</w:t>
      </w:r>
      <w:r>
        <w:rPr>
          <w:rFonts w:hint="eastAsia"/>
        </w:rPr>
        <w:t>范围。施工扬尘的另一种情况是建材的露天堆放和搅拌作业，因此，禁止在大风天气进行此类作业及减少建材的露天堆放是抑制这类扬尘的有效手段。此外，在建材运输、装卸、使用等过程中做好文明施工、文明管理，尽量避免或减少扬尘的产生，防止区域环境空气中粉尘污染。</w:t>
      </w:r>
    </w:p>
    <w:p w14:paraId="49A562DE">
      <w:pPr>
        <w:adjustRightInd w:val="0"/>
        <w:snapToGrid w:val="0"/>
        <w:ind w:firstLine="480"/>
      </w:pPr>
      <w:r>
        <w:rPr>
          <w:rFonts w:hint="eastAsia"/>
        </w:rPr>
        <w:t>根据施工布置和现场调查，本项目进场道路两侧分布有居民，交通运输扬尘将对其产生不利影响，施工过程对运输车辆进行限速，运输、装卸建筑材料时，尤其针对沙土运输车辆，须采用封闭运输，同时定期洒水降尘，降低车速，采取上述措施后，可有效控制道路扬尘的影响。</w:t>
      </w:r>
    </w:p>
    <w:p w14:paraId="68CEC78C">
      <w:pPr>
        <w:adjustRightInd w:val="0"/>
        <w:snapToGrid w:val="0"/>
        <w:ind w:firstLine="480"/>
      </w:pPr>
      <w:r>
        <w:rPr>
          <w:rFonts w:hint="eastAsia"/>
        </w:rPr>
        <w:t>（</w:t>
      </w:r>
      <w:r>
        <w:t>3</w:t>
      </w:r>
      <w:r>
        <w:rPr>
          <w:rFonts w:hint="eastAsia"/>
        </w:rPr>
        <w:t>）钢筋和木材加工废气</w:t>
      </w:r>
    </w:p>
    <w:p w14:paraId="5FCA2B16">
      <w:pPr>
        <w:adjustRightInd w:val="0"/>
        <w:snapToGrid w:val="0"/>
        <w:ind w:firstLine="480"/>
      </w:pPr>
      <w:r>
        <w:rPr>
          <w:rFonts w:hint="eastAsia"/>
        </w:rPr>
        <w:t>本项目钢筋加工会产生少量的焊接烟尘、木材加工会产生少量的粉尘。本项目钢材和木材加工量较少，其加工过程中废气的产生量很少。由于本项目钢筋和木材加工在施工生产区进行，施工生产区位于升压站旁，其周边较为开阔，且生产区周边</w:t>
      </w:r>
      <w:r>
        <w:t>200</w:t>
      </w:r>
      <w:r>
        <w:rPr>
          <w:rFonts w:hint="eastAsia"/>
        </w:rPr>
        <w:t>m范围内无居民。因此项目钢筋和木材加工废气对周围环境影响很小。</w:t>
      </w:r>
    </w:p>
    <w:p w14:paraId="69E3D40A">
      <w:pPr>
        <w:adjustRightInd w:val="0"/>
        <w:snapToGrid w:val="0"/>
        <w:ind w:firstLine="480"/>
      </w:pPr>
      <w:r>
        <w:rPr>
          <w:rFonts w:hint="eastAsia"/>
        </w:rPr>
        <w:t>（</w:t>
      </w:r>
      <w:r>
        <w:t>4</w:t>
      </w:r>
      <w:r>
        <w:rPr>
          <w:rFonts w:hint="eastAsia"/>
        </w:rPr>
        <w:t>）混凝土搅拌站粉尘影响</w:t>
      </w:r>
    </w:p>
    <w:p w14:paraId="644A76CC">
      <w:pPr>
        <w:adjustRightInd w:val="0"/>
        <w:snapToGrid w:val="0"/>
        <w:ind w:firstLine="480"/>
      </w:pPr>
      <w:r>
        <w:rPr>
          <w:rFonts w:hint="eastAsia"/>
        </w:rPr>
        <w:t>本项目采用商品混凝土，因此无混凝土搅拌粉尘产生。</w:t>
      </w:r>
    </w:p>
    <w:p w14:paraId="17BC50EB">
      <w:pPr>
        <w:adjustRightInd w:val="0"/>
        <w:snapToGrid w:val="0"/>
        <w:ind w:firstLine="480"/>
      </w:pPr>
      <w:r>
        <w:rPr>
          <w:rFonts w:hint="eastAsia"/>
        </w:rPr>
        <w:t>（</w:t>
      </w:r>
      <w:r>
        <w:t>5</w:t>
      </w:r>
      <w:r>
        <w:rPr>
          <w:rFonts w:hint="eastAsia"/>
        </w:rPr>
        <w:t>）钻爆粉尘</w:t>
      </w:r>
    </w:p>
    <w:p w14:paraId="2E7914EC">
      <w:pPr>
        <w:adjustRightInd w:val="0"/>
        <w:snapToGrid w:val="0"/>
        <w:ind w:firstLine="480"/>
      </w:pPr>
      <w:r>
        <w:rPr>
          <w:rFonts w:hint="eastAsia"/>
        </w:rPr>
        <w:t>钻爆粉尘来源于风电基础钻孔、爆破产生的粉尘，钻孔时需要水冷，产生的粉尘量较少；爆破在短时间内可产生较大的粉尘污染。</w:t>
      </w:r>
    </w:p>
    <w:p w14:paraId="76247B7F">
      <w:pPr>
        <w:adjustRightInd w:val="0"/>
        <w:snapToGrid w:val="0"/>
        <w:ind w:firstLine="480"/>
      </w:pPr>
      <w:r>
        <w:rPr>
          <w:rFonts w:hint="eastAsia"/>
        </w:rPr>
        <w:t>为减少施工期扬尘的产生，必须对施工区道路进行管理、养护、定时进行洒水，使路面保持平坦、无损、清洁，处于良好运行状况；运输车辆进入场区范围内后降低车速，同时可适当采取洒水降尘措施。对回填土、废弃物和临时堆料应在指定的堆放点规范堆存，场地周围采取围挡措施，防止大风引起的扬尘而造成污染。</w:t>
      </w:r>
    </w:p>
    <w:p w14:paraId="70A2A833">
      <w:pPr>
        <w:adjustRightInd w:val="0"/>
        <w:snapToGrid w:val="0"/>
        <w:ind w:firstLine="480"/>
      </w:pPr>
      <w:r>
        <w:rPr>
          <w:rFonts w:hint="eastAsia"/>
        </w:rPr>
        <w:t>钻爆粉尘来源于风电基础钻孔、爆破产生的粉尘。钻孔时需要水冷，产生的粉尘量较少；爆破在短时间内可产生较大的粉尘污染，环评建议在爆破之后通过洒水作业，可有效减少粉尘产生量，同时爆破为间断施工，且位于山地环境，环境空气稀释能力较强，植被较高，爆破粉尘不会对区域环境空气产生明显影响。</w:t>
      </w:r>
    </w:p>
    <w:p w14:paraId="2B1BB07A">
      <w:pPr>
        <w:adjustRightInd w:val="0"/>
        <w:snapToGrid w:val="0"/>
        <w:ind w:firstLine="480"/>
      </w:pPr>
      <w:r>
        <w:rPr>
          <w:rFonts w:hint="eastAsia"/>
        </w:rPr>
        <w:t>（</w:t>
      </w:r>
      <w:r>
        <w:t>6</w:t>
      </w:r>
      <w:r>
        <w:rPr>
          <w:rFonts w:hint="eastAsia"/>
        </w:rPr>
        <w:t>）装修废气</w:t>
      </w:r>
    </w:p>
    <w:p w14:paraId="604E0D36">
      <w:pPr>
        <w:adjustRightInd w:val="0"/>
        <w:snapToGrid w:val="0"/>
        <w:ind w:firstLine="480"/>
      </w:pPr>
      <w:r>
        <w:rPr>
          <w:rFonts w:hint="eastAsia"/>
        </w:rPr>
        <w:t>升压站</w:t>
      </w:r>
      <w:r>
        <w:t>室内装修阶段对环境产生污染的材料主要是人造板、饰面人造板以及油漆等有机溶剂(主要有溶剂型涂料、溶剂型胶粘剂，水性阻燃剂、防水剂、防腐剂、防虫剂等)。其主要污染因子为甲苯和二甲苯，此外还有极少量的汽油、丁醇和丙醇等。</w:t>
      </w:r>
    </w:p>
    <w:p w14:paraId="2D5DC91A">
      <w:pPr>
        <w:adjustRightInd w:val="0"/>
        <w:snapToGrid w:val="0"/>
        <w:ind w:firstLine="480"/>
      </w:pPr>
      <w:r>
        <w:rPr>
          <w:rFonts w:hint="eastAsia"/>
        </w:rPr>
        <w:t>升压站</w:t>
      </w:r>
      <w:r>
        <w:t>装修阶段向周围环境空气排放的甲苯和二甲苯排放时间和部位不能十分明确。因此，在装修期间，应加强室内的通风换气，装修完成以后，也应每天进行通风换气一至二个月后才能</w:t>
      </w:r>
      <w:r>
        <w:rPr>
          <w:rFonts w:hint="eastAsia"/>
        </w:rPr>
        <w:t>投入使用</w:t>
      </w:r>
      <w:r>
        <w:t>。由于装修时采用的三合板和油漆中含有的甲醛、甲苯、二甲苯等有毒有害物质的挥发时间长，所以</w:t>
      </w:r>
      <w:r>
        <w:rPr>
          <w:rFonts w:hint="eastAsia"/>
        </w:rPr>
        <w:t>投入使用后</w:t>
      </w:r>
      <w:r>
        <w:t>也要注意室内空气的流畅。油漆废气对大气的影响主要表现在施工后期，主要影响为现场施工人员，对项目周边环境空气的影响小。</w:t>
      </w:r>
    </w:p>
    <w:p w14:paraId="01F8C749">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6.1.2</w:t>
      </w:r>
      <w:r>
        <w:rPr>
          <w:rFonts w:hint="eastAsia" w:ascii="Times New Roman" w:eastAsia="宋体"/>
          <w:sz w:val="28"/>
          <w:szCs w:val="28"/>
          <w:lang w:val="en-US"/>
        </w:rPr>
        <w:t>施工期地表水环境影响分析</w:t>
      </w:r>
    </w:p>
    <w:p w14:paraId="4001F105">
      <w:pPr>
        <w:adjustRightInd w:val="0"/>
        <w:snapToGrid w:val="0"/>
        <w:ind w:firstLine="480"/>
      </w:pPr>
      <w:r>
        <w:t>（1）施工废水</w:t>
      </w:r>
    </w:p>
    <w:p w14:paraId="25881AD2">
      <w:pPr>
        <w:adjustRightInd w:val="0"/>
        <w:snapToGrid w:val="0"/>
        <w:ind w:firstLine="480"/>
      </w:pPr>
      <w:r>
        <w:t>施工期的生产废水主要为施工生产区(含项目部)机械设备、运输车辆的清洗废水，施工期废水均为间歇排放，废水中的主要污染物为SS和石油类。施工期生产废水总产生量约25m</w:t>
      </w:r>
      <w:r>
        <w:rPr>
          <w:vertAlign w:val="superscript"/>
        </w:rPr>
        <w:t>3</w:t>
      </w:r>
      <w:r>
        <w:t>/d。施工废水经沉淀处理后用于道路区洒水抑尘，不外排地表水体，施工期施工废水对地表水环境影响较小。</w:t>
      </w:r>
    </w:p>
    <w:p w14:paraId="7179B823">
      <w:pPr>
        <w:adjustRightInd w:val="0"/>
        <w:snapToGrid w:val="0"/>
        <w:ind w:firstLine="480"/>
      </w:pPr>
      <w:r>
        <w:t>（2）生活污水</w:t>
      </w:r>
    </w:p>
    <w:p w14:paraId="659A0C5A">
      <w:pPr>
        <w:adjustRightInd w:val="0"/>
        <w:snapToGrid w:val="0"/>
        <w:ind w:firstLine="480"/>
      </w:pPr>
      <w:r>
        <w:t>本项目期高峰人数为160人，施工期最大生活用水量约16m</w:t>
      </w:r>
      <w:r>
        <w:rPr>
          <w:vertAlign w:val="superscript"/>
        </w:rPr>
        <w:t>3</w:t>
      </w:r>
      <w:r>
        <w:t>/d，生活污水最大产生量约12.8m</w:t>
      </w:r>
      <w:r>
        <w:rPr>
          <w:vertAlign w:val="superscript"/>
        </w:rPr>
        <w:t>3</w:t>
      </w:r>
      <w:r>
        <w:t>/d，施工人员生活污水与一般城镇居民生活污水比较，所含污染物质浓度较低，收集后经化粪池处理后，定期清掏，用于周边林地浇灌，不外排地表水体，对周边地表水环境影响较小。</w:t>
      </w:r>
    </w:p>
    <w:p w14:paraId="61D8B96D">
      <w:pPr>
        <w:adjustRightInd w:val="0"/>
        <w:snapToGrid w:val="0"/>
        <w:ind w:firstLine="480"/>
      </w:pPr>
      <w:r>
        <w:t>（3）地下水环境影响分析</w:t>
      </w:r>
    </w:p>
    <w:p w14:paraId="524E778B">
      <w:pPr>
        <w:adjustRightInd w:val="0"/>
        <w:snapToGrid w:val="0"/>
        <w:ind w:firstLine="480"/>
      </w:pPr>
      <w:r>
        <w:t>工程区地下水以第四纪松散堆积物孔隙潜水和基岩裂隙水为主，地下水埋深较大，项目区内也无地下水出露。本项目对地下水的影响主要是废污水通过地表渗入地下，从而污染地下水环境。</w:t>
      </w:r>
    </w:p>
    <w:p w14:paraId="274CED62">
      <w:pPr>
        <w:adjustRightInd w:val="0"/>
        <w:snapToGrid w:val="0"/>
        <w:ind w:firstLine="480"/>
      </w:pPr>
      <w:r>
        <w:t>本项目施工期间拟将施工废水收集处理后全部回用于施工场地洒水抑尘或施工生产用水，生活污水化粪池内处理后用于周边林地浇灌，避免了废污水的无组织排放，因此不会对地下水造成污染。</w:t>
      </w:r>
    </w:p>
    <w:p w14:paraId="4D3B92EE">
      <w:pPr>
        <w:adjustRightInd w:val="0"/>
        <w:snapToGrid w:val="0"/>
        <w:ind w:firstLine="480"/>
      </w:pPr>
      <w:r>
        <w:rPr>
          <w:rFonts w:hint="eastAsia"/>
        </w:rPr>
        <w:t>（4）对风电场周边水环境影响分析</w:t>
      </w:r>
    </w:p>
    <w:p w14:paraId="0180957F">
      <w:pPr>
        <w:adjustRightInd w:val="0"/>
        <w:snapToGrid w:val="0"/>
        <w:ind w:firstLine="480"/>
      </w:pPr>
      <w:r>
        <w:rPr>
          <w:rFonts w:hint="eastAsia"/>
        </w:rPr>
        <w:t>本项目风电场周边分布有河流和水库等地表水体。环评要求建设单位在临近地表水体的道路和风机机位施工时，设置围挡，防止开挖土石方进入周边地表水体，对地表水体造成污染；同时，项目施工期废水经处理后全部回用，不外排，对周边地表水体的水环境质量影响较小。</w:t>
      </w:r>
    </w:p>
    <w:p w14:paraId="3CF3E53B">
      <w:pPr>
        <w:adjustRightInd w:val="0"/>
        <w:snapToGrid w:val="0"/>
        <w:ind w:firstLine="480"/>
      </w:pPr>
      <w:r>
        <w:rPr>
          <w:rFonts w:hint="eastAsia"/>
        </w:rPr>
        <w:t>（</w:t>
      </w:r>
      <w:r>
        <w:t>5</w:t>
      </w:r>
      <w:r>
        <w:rPr>
          <w:rFonts w:hint="eastAsia"/>
        </w:rPr>
        <w:t>）对衡阳县岣嵝乡环洞村山溪水饮用水水源保护区的影响分析</w:t>
      </w:r>
    </w:p>
    <w:p w14:paraId="73ADD5D5">
      <w:pPr>
        <w:adjustRightInd w:val="0"/>
        <w:snapToGrid w:val="0"/>
        <w:ind w:firstLine="480"/>
      </w:pPr>
      <w:r>
        <w:rPr>
          <w:rFonts w:hint="eastAsia"/>
        </w:rPr>
        <w:t>根据前述分析可知，本项目所有工程均不在衡阳县岣嵝乡环洞村山溪水饮用水水源保护区。本项目3</w:t>
      </w:r>
      <w:r>
        <w:t>#</w:t>
      </w:r>
      <w:r>
        <w:rPr>
          <w:rFonts w:hint="eastAsia"/>
        </w:rPr>
        <w:t>风机机位与衡阳县岣嵝乡环洞村山溪水饮用水水源保护区最近平面直线距离约为</w:t>
      </w:r>
      <w:r>
        <w:t>45.50</w:t>
      </w:r>
      <w:r>
        <w:rPr>
          <w:rFonts w:hint="eastAsia"/>
        </w:rPr>
        <w:t>m，其中与一级保护区陆域边界最近约</w:t>
      </w:r>
      <w:r>
        <w:t>401.08</w:t>
      </w:r>
      <w:r>
        <w:rPr>
          <w:rFonts w:hint="eastAsia"/>
        </w:rPr>
        <w:t>m；</w:t>
      </w:r>
      <w:r>
        <w:t>2#~3#</w:t>
      </w:r>
      <w:r>
        <w:rPr>
          <w:rFonts w:hint="eastAsia"/>
        </w:rPr>
        <w:t>风机场内道路与衡阳县岣嵝乡环洞村山溪水饮用水水源保护区最近距离为</w:t>
      </w:r>
      <w:r>
        <w:t>7.35</w:t>
      </w:r>
      <w:r>
        <w:rPr>
          <w:rFonts w:hint="eastAsia"/>
        </w:rPr>
        <w:t>m，其中与一级保护区陆域边界最近约</w:t>
      </w:r>
      <w:r>
        <w:t>448.38</w:t>
      </w:r>
      <w:r>
        <w:rPr>
          <w:rFonts w:hint="eastAsia"/>
        </w:rPr>
        <w:t>m，</w:t>
      </w:r>
      <w:r>
        <w:t>3#~4#</w:t>
      </w:r>
      <w:r>
        <w:rPr>
          <w:rFonts w:hint="eastAsia"/>
        </w:rPr>
        <w:t>风机场内道路与衡阳县岣嵝乡环洞村山溪水饮用水水源保护区最近距离为</w:t>
      </w:r>
      <w:r>
        <w:t>23.73</w:t>
      </w:r>
      <w:r>
        <w:rPr>
          <w:rFonts w:hint="eastAsia"/>
        </w:rPr>
        <w:t>m，其中与一级保护区陆域边界最近约</w:t>
      </w:r>
      <w:r>
        <w:t>250.44</w:t>
      </w:r>
      <w:r>
        <w:rPr>
          <w:rFonts w:hint="eastAsia"/>
        </w:rPr>
        <w:t>m（项目与衡阳县岣嵝乡环洞村山溪水饮用水水源保护区的具体位置关系见表3</w:t>
      </w:r>
      <w:r>
        <w:t>.6-5</w:t>
      </w:r>
      <w:r>
        <w:rPr>
          <w:rFonts w:hint="eastAsia"/>
        </w:rPr>
        <w:t>）。根据前述分析可知，3</w:t>
      </w:r>
      <w:r>
        <w:t>#</w:t>
      </w:r>
      <w:r>
        <w:rPr>
          <w:rFonts w:hint="eastAsia"/>
        </w:rPr>
        <w:t>风机机位、</w:t>
      </w:r>
      <w:r>
        <w:t>3#~4#</w:t>
      </w:r>
      <w:r>
        <w:rPr>
          <w:rFonts w:hint="eastAsia"/>
        </w:rPr>
        <w:t>风机部分场内道路位于该饮用水水源保护区的汇水范围内，2</w:t>
      </w:r>
      <w:r>
        <w:t>#~3#</w:t>
      </w:r>
      <w:r>
        <w:rPr>
          <w:rFonts w:hint="eastAsia"/>
        </w:rPr>
        <w:t>风机场内道路不在该饮用水水源保护区的汇水范围内，2</w:t>
      </w:r>
      <w:r>
        <w:t>#~3#</w:t>
      </w:r>
      <w:r>
        <w:rPr>
          <w:rFonts w:hint="eastAsia"/>
        </w:rPr>
        <w:t>风机场内道路施工不会对该饮用水水源保护区产生影响。</w:t>
      </w:r>
    </w:p>
    <w:p w14:paraId="6EF14A08">
      <w:pPr>
        <w:adjustRightInd w:val="0"/>
        <w:snapToGrid w:val="0"/>
        <w:ind w:firstLine="480"/>
      </w:pPr>
      <w:r>
        <w:t>根据图5.2-1</w:t>
      </w:r>
      <w:r>
        <w:rPr>
          <w:rFonts w:hint="eastAsia"/>
        </w:rPr>
        <w:t>和图</w:t>
      </w:r>
      <w:r>
        <w:t>5.2-2</w:t>
      </w:r>
      <w:r>
        <w:rPr>
          <w:rFonts w:hint="eastAsia"/>
        </w:rPr>
        <w:t>可知，</w:t>
      </w:r>
      <w:r>
        <w:t>3#</w:t>
      </w:r>
      <w:r>
        <w:rPr>
          <w:rFonts w:hint="eastAsia"/>
        </w:rPr>
        <w:t>风机和3</w:t>
      </w:r>
      <w:r>
        <w:t>#~4#</w:t>
      </w:r>
      <w:r>
        <w:rPr>
          <w:rFonts w:hint="eastAsia"/>
        </w:rPr>
        <w:t>风机场内道路施工过程中</w:t>
      </w:r>
      <w:r>
        <w:t>若发生水土流失现象，流失的土石先沿着山坡进入水源保护区二级保护区陆域范围。从现场地形看，</w:t>
      </w:r>
      <w:r>
        <w:rPr>
          <w:rFonts w:hint="eastAsia"/>
        </w:rPr>
        <w:t>本项目</w:t>
      </w:r>
      <w:r>
        <w:t>3#</w:t>
      </w:r>
      <w:r>
        <w:rPr>
          <w:rFonts w:hint="eastAsia"/>
        </w:rPr>
        <w:t>风机和3</w:t>
      </w:r>
      <w:r>
        <w:t>#~4#</w:t>
      </w:r>
      <w:r>
        <w:rPr>
          <w:rFonts w:hint="eastAsia"/>
        </w:rPr>
        <w:t>风机场内道路与衡阳县岣嵝乡环洞村山溪水饮用水水源保护区之间有植被阻隔，</w:t>
      </w:r>
      <w:r>
        <w:t>3#</w:t>
      </w:r>
      <w:r>
        <w:rPr>
          <w:rFonts w:hint="eastAsia"/>
        </w:rPr>
        <w:t>风机和3</w:t>
      </w:r>
      <w:r>
        <w:t>#~4#</w:t>
      </w:r>
      <w:r>
        <w:rPr>
          <w:rFonts w:hint="eastAsia"/>
        </w:rPr>
        <w:t>风机场内道路</w:t>
      </w:r>
      <w:r>
        <w:t>所在山体植被主要以竹林、乔木林为主，植被覆盖度很高，对下泄土石具有很强的阻滞作用。</w:t>
      </w:r>
    </w:p>
    <w:p w14:paraId="39B20646">
      <w:pPr>
        <w:adjustRightInd w:val="0"/>
        <w:snapToGrid w:val="0"/>
        <w:ind w:firstLine="480"/>
      </w:pPr>
      <w:r>
        <w:t>因此，正常情况下，</w:t>
      </w:r>
      <w:r>
        <w:rPr>
          <w:rFonts w:hint="eastAsia"/>
        </w:rPr>
        <w:t>本项目风机和场内道路施工过程中采取设置围挡、雨季不施工、临时沉砂池和弃渣场严禁设置在饮用水水源保护区汇水范围内等措施后，本项目施工过程中对衡阳县岣嵝乡环洞村山溪水饮用水水源保护区的影响很小。</w:t>
      </w:r>
    </w:p>
    <w:p w14:paraId="7DA77E8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6.1.3</w:t>
      </w:r>
      <w:r>
        <w:rPr>
          <w:rFonts w:hint="eastAsia" w:ascii="Times New Roman" w:eastAsia="宋体"/>
          <w:sz w:val="28"/>
          <w:szCs w:val="28"/>
          <w:lang w:val="en-US"/>
        </w:rPr>
        <w:t>施工期声环境影响分析</w:t>
      </w:r>
    </w:p>
    <w:p w14:paraId="1DADC561">
      <w:pPr>
        <w:adjustRightInd w:val="0"/>
        <w:snapToGrid w:val="0"/>
        <w:ind w:firstLine="480"/>
      </w:pPr>
      <w:r>
        <w:t>施工期噪声主要来自车辆运输、施工机械设备运行。</w:t>
      </w:r>
    </w:p>
    <w:p w14:paraId="2E79E6E4">
      <w:pPr>
        <w:adjustRightInd w:val="0"/>
        <w:snapToGrid w:val="0"/>
        <w:ind w:firstLine="480"/>
      </w:pPr>
      <w:r>
        <w:t>（1）施工运输噪声</w:t>
      </w:r>
    </w:p>
    <w:p w14:paraId="159B8BB4">
      <w:pPr>
        <w:adjustRightInd w:val="0"/>
        <w:snapToGrid w:val="0"/>
        <w:ind w:firstLine="480"/>
      </w:pPr>
      <w:r>
        <w:t>风电场场区风机布置较为分散，根据风场的道路实际情况及设备厂家的设备参数。进场道路考虑风机从经G0421许广高速至石市收费站出口→创业大道→X045县道→</w:t>
      </w:r>
      <w:r>
        <w:rPr>
          <w:rFonts w:hint="eastAsia"/>
        </w:rPr>
        <w:t>村村通道路至桃圫→</w:t>
      </w:r>
      <w:r>
        <w:t>改建村村通道路至白石坳</w:t>
      </w:r>
      <w:r>
        <w:rPr>
          <w:rFonts w:hint="eastAsia"/>
        </w:rPr>
        <w:t>→</w:t>
      </w:r>
      <w:r>
        <w:t>风机点位施工区。本项目本项目风电场改建进场道路总长约10km。</w:t>
      </w:r>
      <w:r>
        <w:rPr>
          <w:rFonts w:hint="eastAsia"/>
        </w:rPr>
        <w:t>新建场内道路1</w:t>
      </w:r>
      <w:r>
        <w:t>6.4</w:t>
      </w:r>
      <w:r>
        <w:rPr>
          <w:rFonts w:hint="eastAsia"/>
        </w:rPr>
        <w:t>km，改造场内道路4</w:t>
      </w:r>
      <w:r>
        <w:t>.1</w:t>
      </w:r>
      <w:r>
        <w:rPr>
          <w:rFonts w:hint="eastAsia"/>
        </w:rPr>
        <w:t>km</w:t>
      </w:r>
      <w:r>
        <w:t>。</w:t>
      </w:r>
    </w:p>
    <w:p w14:paraId="0B4B27D3">
      <w:pPr>
        <w:adjustRightInd w:val="0"/>
        <w:snapToGrid w:val="0"/>
        <w:ind w:firstLine="480"/>
      </w:pPr>
      <w:r>
        <w:t>场内和进场运输主要利用场内临时和永久公路，道路规划时尽量避开居民点，风机设备运输经过沿线居民点时会对这些路段沿线的居民正常生产生活产生一定的噪声影响。加上少量施工人员进出车辆，故施工运输车辆噪声会对当地居民有一定的干扰。由于本项目施工在白天进行，因此交通噪声干扰为白天间歇性扰民。</w:t>
      </w:r>
    </w:p>
    <w:p w14:paraId="5D437C4D">
      <w:pPr>
        <w:adjustRightInd w:val="0"/>
        <w:snapToGrid w:val="0"/>
        <w:ind w:firstLine="480"/>
      </w:pPr>
      <w:r>
        <w:t>项目施工材料、风机运输等过程会产生交通运输噪声。施工期车流量增加不大，每天约增加8台车次，主要是设备和材料运输车辆，运输作业均安排在昼间进行。车辆一般载重较重，在居民聚集区行驶时速度一般低于20km/h。由于行驶速度低，可将运输车辆视为点声源，预测大型载重车运输过程中，不同距离下对声环境的影响。</w:t>
      </w:r>
    </w:p>
    <w:p w14:paraId="01048E16">
      <w:pPr>
        <w:widowControl/>
        <w:tabs>
          <w:tab w:val="clear" w:pos="480"/>
        </w:tabs>
        <w:spacing w:line="240" w:lineRule="auto"/>
        <w:ind w:firstLine="0" w:firstLineChars="0"/>
        <w:jc w:val="center"/>
        <w:rPr>
          <w:b/>
          <w:sz w:val="21"/>
          <w:szCs w:val="21"/>
        </w:rPr>
      </w:pPr>
      <w:r>
        <w:rPr>
          <w:b/>
        </w:rPr>
        <w:t xml:space="preserve">表6.1-2  施工交通噪声衰减计算结果    </w:t>
      </w:r>
      <w:r>
        <w:rPr>
          <w:b/>
          <w:sz w:val="21"/>
          <w:szCs w:val="21"/>
        </w:rPr>
        <w:t>单位：dB（A）</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1028"/>
        <w:gridCol w:w="938"/>
        <w:gridCol w:w="935"/>
        <w:gridCol w:w="938"/>
        <w:gridCol w:w="935"/>
        <w:gridCol w:w="935"/>
        <w:gridCol w:w="940"/>
        <w:gridCol w:w="933"/>
      </w:tblGrid>
      <w:tr w14:paraId="6F7C88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5" w:type="pct"/>
            <w:vMerge w:val="restart"/>
            <w:vAlign w:val="center"/>
          </w:tcPr>
          <w:p w14:paraId="26CB9BFD">
            <w:pPr>
              <w:widowControl/>
              <w:tabs>
                <w:tab w:val="clear" w:pos="480"/>
              </w:tabs>
              <w:spacing w:line="240" w:lineRule="auto"/>
              <w:ind w:firstLine="0" w:firstLineChars="0"/>
              <w:jc w:val="center"/>
              <w:rPr>
                <w:sz w:val="18"/>
                <w:szCs w:val="18"/>
              </w:rPr>
            </w:pPr>
            <w:r>
              <w:rPr>
                <w:sz w:val="18"/>
                <w:szCs w:val="18"/>
              </w:rPr>
              <w:t>交通噪声</w:t>
            </w:r>
          </w:p>
        </w:tc>
        <w:tc>
          <w:tcPr>
            <w:tcW w:w="4445" w:type="pct"/>
            <w:gridSpan w:val="8"/>
          </w:tcPr>
          <w:p w14:paraId="6C2C0303">
            <w:pPr>
              <w:widowControl/>
              <w:tabs>
                <w:tab w:val="clear" w:pos="480"/>
              </w:tabs>
              <w:spacing w:line="240" w:lineRule="auto"/>
              <w:ind w:firstLine="0" w:firstLineChars="0"/>
              <w:jc w:val="center"/>
              <w:rPr>
                <w:sz w:val="18"/>
                <w:szCs w:val="18"/>
              </w:rPr>
            </w:pPr>
            <w:r>
              <w:rPr>
                <w:sz w:val="18"/>
                <w:szCs w:val="18"/>
              </w:rPr>
              <w:t>距声源距离</w:t>
            </w:r>
            <w:r>
              <w:rPr>
                <w:sz w:val="18"/>
                <w:szCs w:val="18"/>
              </w:rPr>
              <w:cr/>
            </w:r>
            <w:r>
              <w:rPr>
                <w:sz w:val="18"/>
                <w:szCs w:val="18"/>
              </w:rPr>
              <w:cr/>
            </w:r>
            <w:r>
              <w:rPr>
                <w:sz w:val="18"/>
                <w:szCs w:val="18"/>
              </w:rPr>
              <w:t>m）</w:t>
            </w:r>
          </w:p>
        </w:tc>
      </w:tr>
      <w:tr w14:paraId="6D653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5" w:type="pct"/>
            <w:vMerge w:val="continue"/>
            <w:vAlign w:val="center"/>
          </w:tcPr>
          <w:p w14:paraId="177D64C6">
            <w:pPr>
              <w:widowControl/>
              <w:tabs>
                <w:tab w:val="clear" w:pos="480"/>
              </w:tabs>
              <w:spacing w:line="240" w:lineRule="auto"/>
              <w:ind w:firstLine="0" w:firstLineChars="0"/>
              <w:jc w:val="center"/>
              <w:rPr>
                <w:sz w:val="18"/>
                <w:szCs w:val="18"/>
              </w:rPr>
            </w:pPr>
          </w:p>
        </w:tc>
        <w:tc>
          <w:tcPr>
            <w:tcW w:w="603" w:type="pct"/>
            <w:vAlign w:val="center"/>
          </w:tcPr>
          <w:p w14:paraId="408FBCFF">
            <w:pPr>
              <w:widowControl/>
              <w:tabs>
                <w:tab w:val="clear" w:pos="480"/>
              </w:tabs>
              <w:spacing w:line="240" w:lineRule="auto"/>
              <w:ind w:firstLine="0" w:firstLineChars="0"/>
              <w:jc w:val="center"/>
              <w:rPr>
                <w:sz w:val="18"/>
                <w:szCs w:val="18"/>
              </w:rPr>
            </w:pPr>
            <w:r>
              <w:rPr>
                <w:sz w:val="18"/>
                <w:szCs w:val="18"/>
              </w:rPr>
              <w:t>2.5</w:t>
            </w:r>
          </w:p>
        </w:tc>
        <w:tc>
          <w:tcPr>
            <w:tcW w:w="550" w:type="pct"/>
            <w:vAlign w:val="center"/>
          </w:tcPr>
          <w:p w14:paraId="65525DE6">
            <w:pPr>
              <w:widowControl/>
              <w:tabs>
                <w:tab w:val="clear" w:pos="480"/>
              </w:tabs>
              <w:spacing w:line="240" w:lineRule="auto"/>
              <w:ind w:firstLine="0" w:firstLineChars="0"/>
              <w:jc w:val="center"/>
              <w:rPr>
                <w:sz w:val="18"/>
                <w:szCs w:val="18"/>
              </w:rPr>
            </w:pPr>
            <w:r>
              <w:rPr>
                <w:sz w:val="18"/>
                <w:szCs w:val="18"/>
              </w:rPr>
              <w:t>7.5</w:t>
            </w:r>
          </w:p>
        </w:tc>
        <w:tc>
          <w:tcPr>
            <w:tcW w:w="548" w:type="pct"/>
          </w:tcPr>
          <w:p w14:paraId="23E92389">
            <w:pPr>
              <w:widowControl/>
              <w:tabs>
                <w:tab w:val="clear" w:pos="480"/>
              </w:tabs>
              <w:spacing w:line="240" w:lineRule="auto"/>
              <w:ind w:firstLine="0" w:firstLineChars="0"/>
              <w:jc w:val="center"/>
              <w:rPr>
                <w:sz w:val="18"/>
                <w:szCs w:val="18"/>
              </w:rPr>
            </w:pPr>
            <w:r>
              <w:rPr>
                <w:sz w:val="18"/>
                <w:szCs w:val="18"/>
              </w:rPr>
              <w:t>10</w:t>
            </w:r>
          </w:p>
        </w:tc>
        <w:tc>
          <w:tcPr>
            <w:tcW w:w="550" w:type="pct"/>
            <w:vAlign w:val="center"/>
          </w:tcPr>
          <w:p w14:paraId="42051696">
            <w:pPr>
              <w:widowControl/>
              <w:tabs>
                <w:tab w:val="clear" w:pos="480"/>
              </w:tabs>
              <w:spacing w:line="240" w:lineRule="auto"/>
              <w:ind w:firstLine="0" w:firstLineChars="0"/>
              <w:jc w:val="center"/>
              <w:rPr>
                <w:sz w:val="18"/>
                <w:szCs w:val="18"/>
              </w:rPr>
            </w:pPr>
            <w:r>
              <w:rPr>
                <w:sz w:val="18"/>
                <w:szCs w:val="18"/>
              </w:rPr>
              <w:t>20</w:t>
            </w:r>
          </w:p>
        </w:tc>
        <w:tc>
          <w:tcPr>
            <w:tcW w:w="548" w:type="pct"/>
          </w:tcPr>
          <w:p w14:paraId="58404DD6">
            <w:pPr>
              <w:widowControl/>
              <w:tabs>
                <w:tab w:val="clear" w:pos="480"/>
              </w:tabs>
              <w:spacing w:line="240" w:lineRule="auto"/>
              <w:ind w:firstLine="0" w:firstLineChars="0"/>
              <w:jc w:val="center"/>
              <w:rPr>
                <w:sz w:val="18"/>
                <w:szCs w:val="18"/>
              </w:rPr>
            </w:pPr>
            <w:r>
              <w:rPr>
                <w:sz w:val="18"/>
                <w:szCs w:val="18"/>
              </w:rPr>
              <w:t>30</w:t>
            </w:r>
          </w:p>
        </w:tc>
        <w:tc>
          <w:tcPr>
            <w:tcW w:w="548" w:type="pct"/>
          </w:tcPr>
          <w:p w14:paraId="35F6E050">
            <w:pPr>
              <w:widowControl/>
              <w:tabs>
                <w:tab w:val="clear" w:pos="480"/>
              </w:tabs>
              <w:spacing w:line="240" w:lineRule="auto"/>
              <w:ind w:firstLine="0" w:firstLineChars="0"/>
              <w:jc w:val="center"/>
              <w:rPr>
                <w:sz w:val="18"/>
                <w:szCs w:val="18"/>
              </w:rPr>
            </w:pPr>
            <w:r>
              <w:rPr>
                <w:sz w:val="18"/>
                <w:szCs w:val="18"/>
              </w:rPr>
              <w:t>40</w:t>
            </w:r>
          </w:p>
        </w:tc>
        <w:tc>
          <w:tcPr>
            <w:tcW w:w="551" w:type="pct"/>
            <w:vAlign w:val="center"/>
          </w:tcPr>
          <w:p w14:paraId="5B08212C">
            <w:pPr>
              <w:widowControl/>
              <w:tabs>
                <w:tab w:val="clear" w:pos="480"/>
              </w:tabs>
              <w:spacing w:line="240" w:lineRule="auto"/>
              <w:ind w:firstLine="0" w:firstLineChars="0"/>
              <w:jc w:val="center"/>
              <w:rPr>
                <w:sz w:val="18"/>
                <w:szCs w:val="18"/>
              </w:rPr>
            </w:pPr>
            <w:r>
              <w:rPr>
                <w:sz w:val="18"/>
                <w:szCs w:val="18"/>
              </w:rPr>
              <w:t>50</w:t>
            </w:r>
          </w:p>
        </w:tc>
        <w:tc>
          <w:tcPr>
            <w:tcW w:w="546" w:type="pct"/>
            <w:vAlign w:val="center"/>
          </w:tcPr>
          <w:p w14:paraId="61ED7318">
            <w:pPr>
              <w:widowControl/>
              <w:tabs>
                <w:tab w:val="clear" w:pos="480"/>
              </w:tabs>
              <w:spacing w:line="240" w:lineRule="auto"/>
              <w:ind w:firstLine="0" w:firstLineChars="0"/>
              <w:jc w:val="center"/>
              <w:rPr>
                <w:sz w:val="18"/>
                <w:szCs w:val="18"/>
              </w:rPr>
            </w:pPr>
            <w:r>
              <w:rPr>
                <w:sz w:val="18"/>
                <w:szCs w:val="18"/>
              </w:rPr>
              <w:t>75</w:t>
            </w:r>
          </w:p>
        </w:tc>
      </w:tr>
      <w:tr w14:paraId="6DE057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5" w:type="pct"/>
            <w:vAlign w:val="center"/>
          </w:tcPr>
          <w:p w14:paraId="602CEB4F">
            <w:pPr>
              <w:widowControl/>
              <w:tabs>
                <w:tab w:val="clear" w:pos="480"/>
              </w:tabs>
              <w:spacing w:line="240" w:lineRule="auto"/>
              <w:ind w:firstLine="0" w:firstLineChars="0"/>
              <w:jc w:val="center"/>
              <w:rPr>
                <w:sz w:val="18"/>
                <w:szCs w:val="18"/>
              </w:rPr>
            </w:pPr>
            <w:r>
              <w:rPr>
                <w:sz w:val="18"/>
                <w:szCs w:val="18"/>
              </w:rPr>
              <w:t>车辆</w:t>
            </w:r>
          </w:p>
        </w:tc>
        <w:tc>
          <w:tcPr>
            <w:tcW w:w="603" w:type="pct"/>
            <w:vAlign w:val="center"/>
          </w:tcPr>
          <w:p w14:paraId="364C196E">
            <w:pPr>
              <w:widowControl/>
              <w:tabs>
                <w:tab w:val="clear" w:pos="480"/>
              </w:tabs>
              <w:spacing w:line="240" w:lineRule="auto"/>
              <w:ind w:firstLine="0" w:firstLineChars="0"/>
              <w:jc w:val="center"/>
              <w:rPr>
                <w:sz w:val="18"/>
                <w:szCs w:val="18"/>
              </w:rPr>
            </w:pPr>
            <w:r>
              <w:rPr>
                <w:sz w:val="18"/>
                <w:szCs w:val="18"/>
              </w:rPr>
              <w:t>89.54</w:t>
            </w:r>
          </w:p>
        </w:tc>
        <w:tc>
          <w:tcPr>
            <w:tcW w:w="550" w:type="pct"/>
            <w:vAlign w:val="center"/>
          </w:tcPr>
          <w:p w14:paraId="207861BC">
            <w:pPr>
              <w:widowControl/>
              <w:tabs>
                <w:tab w:val="clear" w:pos="480"/>
              </w:tabs>
              <w:spacing w:line="240" w:lineRule="auto"/>
              <w:ind w:firstLine="0" w:firstLineChars="0"/>
              <w:jc w:val="center"/>
              <w:rPr>
                <w:sz w:val="18"/>
                <w:szCs w:val="18"/>
              </w:rPr>
            </w:pPr>
            <w:r>
              <w:rPr>
                <w:sz w:val="18"/>
                <w:szCs w:val="18"/>
              </w:rPr>
              <w:t>80.0</w:t>
            </w:r>
          </w:p>
        </w:tc>
        <w:tc>
          <w:tcPr>
            <w:tcW w:w="548" w:type="pct"/>
          </w:tcPr>
          <w:p w14:paraId="454A3BCB">
            <w:pPr>
              <w:widowControl/>
              <w:tabs>
                <w:tab w:val="clear" w:pos="480"/>
              </w:tabs>
              <w:spacing w:line="240" w:lineRule="auto"/>
              <w:ind w:firstLine="0" w:firstLineChars="0"/>
              <w:jc w:val="center"/>
              <w:rPr>
                <w:sz w:val="18"/>
                <w:szCs w:val="18"/>
              </w:rPr>
            </w:pPr>
            <w:r>
              <w:rPr>
                <w:sz w:val="18"/>
                <w:szCs w:val="18"/>
              </w:rPr>
              <w:t>77.50</w:t>
            </w:r>
          </w:p>
        </w:tc>
        <w:tc>
          <w:tcPr>
            <w:tcW w:w="550" w:type="pct"/>
            <w:vAlign w:val="center"/>
          </w:tcPr>
          <w:p w14:paraId="4BE4B40F">
            <w:pPr>
              <w:widowControl/>
              <w:tabs>
                <w:tab w:val="clear" w:pos="480"/>
              </w:tabs>
              <w:spacing w:line="240" w:lineRule="auto"/>
              <w:ind w:firstLine="0" w:firstLineChars="0"/>
              <w:jc w:val="center"/>
              <w:rPr>
                <w:sz w:val="18"/>
                <w:szCs w:val="18"/>
              </w:rPr>
            </w:pPr>
            <w:r>
              <w:rPr>
                <w:sz w:val="18"/>
                <w:szCs w:val="18"/>
              </w:rPr>
              <w:t>71.48</w:t>
            </w:r>
          </w:p>
        </w:tc>
        <w:tc>
          <w:tcPr>
            <w:tcW w:w="548" w:type="pct"/>
          </w:tcPr>
          <w:p w14:paraId="1FDC9112">
            <w:pPr>
              <w:widowControl/>
              <w:tabs>
                <w:tab w:val="clear" w:pos="480"/>
              </w:tabs>
              <w:spacing w:line="240" w:lineRule="auto"/>
              <w:ind w:firstLine="0" w:firstLineChars="0"/>
              <w:jc w:val="center"/>
              <w:rPr>
                <w:sz w:val="18"/>
                <w:szCs w:val="18"/>
              </w:rPr>
            </w:pPr>
            <w:r>
              <w:rPr>
                <w:sz w:val="18"/>
                <w:szCs w:val="18"/>
              </w:rPr>
              <w:t>67.96</w:t>
            </w:r>
          </w:p>
        </w:tc>
        <w:tc>
          <w:tcPr>
            <w:tcW w:w="548" w:type="pct"/>
          </w:tcPr>
          <w:p w14:paraId="6BB62F69">
            <w:pPr>
              <w:widowControl/>
              <w:tabs>
                <w:tab w:val="clear" w:pos="480"/>
              </w:tabs>
              <w:spacing w:line="240" w:lineRule="auto"/>
              <w:ind w:firstLine="0" w:firstLineChars="0"/>
              <w:jc w:val="center"/>
              <w:rPr>
                <w:sz w:val="18"/>
                <w:szCs w:val="18"/>
              </w:rPr>
            </w:pPr>
            <w:r>
              <w:rPr>
                <w:sz w:val="18"/>
                <w:szCs w:val="18"/>
              </w:rPr>
              <w:t>65.46</w:t>
            </w:r>
          </w:p>
        </w:tc>
        <w:tc>
          <w:tcPr>
            <w:tcW w:w="551" w:type="pct"/>
            <w:vAlign w:val="center"/>
          </w:tcPr>
          <w:p w14:paraId="4745C11C">
            <w:pPr>
              <w:widowControl/>
              <w:tabs>
                <w:tab w:val="clear" w:pos="480"/>
              </w:tabs>
              <w:spacing w:line="240" w:lineRule="auto"/>
              <w:ind w:firstLine="0" w:firstLineChars="0"/>
              <w:jc w:val="center"/>
              <w:rPr>
                <w:sz w:val="18"/>
                <w:szCs w:val="18"/>
              </w:rPr>
            </w:pPr>
            <w:r>
              <w:rPr>
                <w:sz w:val="18"/>
                <w:szCs w:val="18"/>
              </w:rPr>
              <w:t>63.53</w:t>
            </w:r>
          </w:p>
        </w:tc>
        <w:tc>
          <w:tcPr>
            <w:tcW w:w="546" w:type="pct"/>
            <w:vAlign w:val="center"/>
          </w:tcPr>
          <w:p w14:paraId="5A0E33A6">
            <w:pPr>
              <w:widowControl/>
              <w:tabs>
                <w:tab w:val="clear" w:pos="480"/>
              </w:tabs>
              <w:spacing w:line="240" w:lineRule="auto"/>
              <w:ind w:firstLine="0" w:firstLineChars="0"/>
              <w:jc w:val="center"/>
              <w:rPr>
                <w:sz w:val="18"/>
                <w:szCs w:val="18"/>
              </w:rPr>
            </w:pPr>
            <w:r>
              <w:rPr>
                <w:sz w:val="18"/>
                <w:szCs w:val="18"/>
              </w:rPr>
              <w:t>60.00</w:t>
            </w:r>
          </w:p>
        </w:tc>
      </w:tr>
    </w:tbl>
    <w:p w14:paraId="5285B3B4">
      <w:pPr>
        <w:adjustRightInd w:val="0"/>
        <w:snapToGrid w:val="0"/>
        <w:ind w:firstLine="480"/>
      </w:pPr>
      <w:r>
        <w:rPr>
          <w:rFonts w:hint="eastAsia"/>
        </w:rPr>
        <w:t>本项目敏感点距风电场运输道路的最近距离约1</w:t>
      </w:r>
      <w:r>
        <w:t>0</w:t>
      </w:r>
      <w:r>
        <w:rPr>
          <w:rFonts w:hint="eastAsia"/>
        </w:rPr>
        <w:t>m。</w:t>
      </w:r>
      <w:r>
        <w:t>由上表预测结果可知，大型载重车辆昼间运输过程中，运输道路沿中心线两侧75m范围内的首排居民处，噪声贡献值60dB（A）~77.50dB（A）均超出《声环境质量标准》（GB3096-2008）2类标准。因此，车辆运输瞬时噪声对沿线距离较近的居民影响较大。</w:t>
      </w:r>
      <w:r>
        <w:rPr>
          <w:rFonts w:hint="eastAsia"/>
        </w:rPr>
        <w:t>但本项目道路运输</w:t>
      </w:r>
      <w:r>
        <w:t>作业均安排在昼间，</w:t>
      </w:r>
      <w:r>
        <w:rPr>
          <w:rFonts w:hint="eastAsia"/>
        </w:rPr>
        <w:t>项目施工期间运输车辆较少且车速低，施工期交通运输噪声具有偶发性，</w:t>
      </w:r>
      <w:r>
        <w:t>施工期的噪声影响只是暂时性的</w:t>
      </w:r>
      <w:r>
        <w:rPr>
          <w:rFonts w:hint="eastAsia"/>
        </w:rPr>
        <w:t>，</w:t>
      </w:r>
      <w:r>
        <w:t>本建设项目建设结束后施工噪声影响即可消失</w:t>
      </w:r>
      <w:r>
        <w:rPr>
          <w:rFonts w:hint="eastAsia"/>
        </w:rPr>
        <w:t>。</w:t>
      </w:r>
    </w:p>
    <w:p w14:paraId="6E4BDD86">
      <w:pPr>
        <w:adjustRightInd w:val="0"/>
        <w:snapToGrid w:val="0"/>
        <w:ind w:firstLine="480"/>
      </w:pPr>
      <w:r>
        <w:t>为确保施工期间厂界噪声能够达标排放，本环评要求将高噪声设备远离施工场界和居民点布置；噪声敏感点采取设置临时围挡措施；合理安排施工进度和时间，尽量缩短环境敏感点附近施工作业时间；噪声敏感点附近禁止夜间施工。减少施工交通噪声：对运输车辆定期维修、养护，减少或杜绝鸣笛，合理安排运输路线，运输车辆在通过居民点时应减速行驶慢行、禁鸣、夜间禁止运输。</w:t>
      </w:r>
    </w:p>
    <w:p w14:paraId="6F7E556A">
      <w:pPr>
        <w:adjustRightInd w:val="0"/>
        <w:snapToGrid w:val="0"/>
        <w:ind w:firstLine="480"/>
      </w:pPr>
      <w:r>
        <w:t>（2）施工机械噪声</w:t>
      </w:r>
    </w:p>
    <w:p w14:paraId="5C9FA789">
      <w:pPr>
        <w:adjustRightInd w:val="0"/>
        <w:snapToGrid w:val="0"/>
        <w:ind w:firstLine="480"/>
      </w:pPr>
      <w:r>
        <w:fldChar w:fldCharType="begin"/>
      </w:r>
      <w:r>
        <w:instrText xml:space="preserve"> = 1 \* GB3 </w:instrText>
      </w:r>
      <w:r>
        <w:fldChar w:fldCharType="separate"/>
      </w:r>
      <w:r>
        <w:rPr>
          <w:rFonts w:hint="eastAsia"/>
        </w:rPr>
        <w:t>①</w:t>
      </w:r>
      <w:r>
        <w:fldChar w:fldCharType="end"/>
      </w:r>
      <w:r>
        <w:t>风机基础及安装对周边声环境的影响</w:t>
      </w:r>
    </w:p>
    <w:p w14:paraId="73EB1F7D">
      <w:pPr>
        <w:adjustRightInd w:val="0"/>
        <w:snapToGrid w:val="0"/>
        <w:ind w:firstLine="480"/>
      </w:pPr>
      <w:r>
        <w:t>本项目施工作业均安排在昼间，工程施工使用的机械设备在作业过程中，由于碰撞、磨擦及振动而产生噪声，其声级约在85～100dB(A)范围内。以噪声源强较大的手风钻为例，手风钻在露天作业时为噪声级约90～105dB(A)。施工噪声的衰减计算采用无指向性点声源的几何发散衰减的基本公式：</w:t>
      </w:r>
    </w:p>
    <w:p w14:paraId="1E23EDC2">
      <w:pPr>
        <w:widowControl/>
        <w:tabs>
          <w:tab w:val="clear" w:pos="480"/>
        </w:tabs>
        <w:ind w:firstLine="480"/>
        <w:jc w:val="center"/>
      </w:pPr>
      <w:r>
        <w:t>L(r)=L(r</w:t>
      </w:r>
      <w:r>
        <w:rPr>
          <w:vertAlign w:val="subscript"/>
        </w:rPr>
        <w:t>0</w:t>
      </w:r>
      <w:r>
        <w:t>)-20lg(r/r</w:t>
      </w:r>
      <w:r>
        <w:rPr>
          <w:vertAlign w:val="subscript"/>
        </w:rPr>
        <w:t>0</w:t>
      </w:r>
      <w:r>
        <w:t>)</w:t>
      </w:r>
    </w:p>
    <w:p w14:paraId="6364DBF4">
      <w:pPr>
        <w:widowControl/>
        <w:tabs>
          <w:tab w:val="clear" w:pos="480"/>
        </w:tabs>
        <w:ind w:firstLine="480"/>
      </w:pPr>
      <w:r>
        <w:t>式中：L(r)：距声源r(m)处的噪声值，dB(A)；</w:t>
      </w:r>
    </w:p>
    <w:p w14:paraId="2F570D7D">
      <w:pPr>
        <w:widowControl/>
        <w:tabs>
          <w:tab w:val="clear" w:pos="480"/>
        </w:tabs>
        <w:ind w:firstLine="1080" w:firstLineChars="450"/>
      </w:pPr>
      <w:r>
        <w:t>L(r</w:t>
      </w:r>
      <w:r>
        <w:rPr>
          <w:vertAlign w:val="subscript"/>
        </w:rPr>
        <w:t>0</w:t>
      </w:r>
      <w:r>
        <w:t>)：距声源r</w:t>
      </w:r>
      <w:r>
        <w:rPr>
          <w:vertAlign w:val="subscript"/>
        </w:rPr>
        <w:t>0</w:t>
      </w:r>
      <w:r>
        <w:t>(m)处的噪声值，dB(A)。</w:t>
      </w:r>
    </w:p>
    <w:p w14:paraId="39AD32D3">
      <w:pPr>
        <w:widowControl/>
        <w:tabs>
          <w:tab w:val="clear" w:pos="480"/>
        </w:tabs>
        <w:ind w:firstLine="480"/>
      </w:pPr>
      <w:r>
        <w:t>根据上述公式对施工设备噪声经公式计算，预测结果见下表。</w:t>
      </w:r>
    </w:p>
    <w:p w14:paraId="4483AE41">
      <w:pPr>
        <w:widowControl/>
        <w:tabs>
          <w:tab w:val="clear" w:pos="480"/>
        </w:tabs>
        <w:snapToGrid w:val="0"/>
        <w:spacing w:line="240" w:lineRule="auto"/>
        <w:ind w:firstLine="482"/>
        <w:jc w:val="center"/>
        <w:rPr>
          <w:b/>
          <w:bCs/>
          <w:sz w:val="21"/>
          <w:szCs w:val="21"/>
        </w:rPr>
      </w:pPr>
      <w:r>
        <w:rPr>
          <w:b/>
          <w:bCs/>
          <w:szCs w:val="20"/>
        </w:rPr>
        <w:t xml:space="preserve">表6.1-3  施工机械噪声衰减计算结果       </w:t>
      </w:r>
      <w:r>
        <w:rPr>
          <w:b/>
          <w:bCs/>
          <w:sz w:val="21"/>
          <w:szCs w:val="21"/>
        </w:rPr>
        <w:t xml:space="preserve">  单位：dB(A)</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658"/>
        <w:gridCol w:w="854"/>
        <w:gridCol w:w="904"/>
        <w:gridCol w:w="730"/>
        <w:gridCol w:w="757"/>
        <w:gridCol w:w="686"/>
        <w:gridCol w:w="740"/>
        <w:gridCol w:w="735"/>
        <w:gridCol w:w="744"/>
        <w:gridCol w:w="650"/>
      </w:tblGrid>
      <w:tr w14:paraId="4CE8F3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restart"/>
            <w:vAlign w:val="center"/>
          </w:tcPr>
          <w:p w14:paraId="0AC0D925">
            <w:pPr>
              <w:widowControl/>
              <w:tabs>
                <w:tab w:val="clear" w:pos="480"/>
              </w:tabs>
              <w:spacing w:line="240" w:lineRule="auto"/>
              <w:ind w:right="-122" w:rightChars="-51" w:firstLine="0" w:firstLineChars="0"/>
              <w:jc w:val="center"/>
              <w:rPr>
                <w:sz w:val="18"/>
                <w:szCs w:val="18"/>
              </w:rPr>
            </w:pPr>
            <w:r>
              <w:rPr>
                <w:sz w:val="18"/>
                <w:szCs w:val="18"/>
              </w:rPr>
              <w:t>施工</w:t>
            </w:r>
          </w:p>
          <w:p w14:paraId="235718A4">
            <w:pPr>
              <w:widowControl/>
              <w:tabs>
                <w:tab w:val="clear" w:pos="480"/>
              </w:tabs>
              <w:spacing w:line="240" w:lineRule="auto"/>
              <w:ind w:right="-122" w:rightChars="-51" w:firstLine="0" w:firstLineChars="0"/>
              <w:jc w:val="center"/>
              <w:rPr>
                <w:sz w:val="18"/>
                <w:szCs w:val="18"/>
              </w:rPr>
            </w:pPr>
            <w:r>
              <w:rPr>
                <w:sz w:val="18"/>
                <w:szCs w:val="18"/>
              </w:rPr>
              <w:t>机械</w:t>
            </w:r>
          </w:p>
        </w:tc>
        <w:tc>
          <w:tcPr>
            <w:tcW w:w="386" w:type="pct"/>
            <w:vMerge w:val="restart"/>
            <w:vAlign w:val="center"/>
          </w:tcPr>
          <w:p w14:paraId="5F5907E5">
            <w:pPr>
              <w:widowControl/>
              <w:tabs>
                <w:tab w:val="clear" w:pos="480"/>
              </w:tabs>
              <w:spacing w:line="240" w:lineRule="auto"/>
              <w:ind w:firstLine="0" w:firstLineChars="0"/>
              <w:jc w:val="center"/>
              <w:rPr>
                <w:sz w:val="18"/>
                <w:szCs w:val="18"/>
              </w:rPr>
            </w:pPr>
            <w:r>
              <w:rPr>
                <w:sz w:val="18"/>
                <w:szCs w:val="18"/>
              </w:rPr>
              <w:t>源强</w:t>
            </w:r>
          </w:p>
        </w:tc>
        <w:tc>
          <w:tcPr>
            <w:tcW w:w="3987" w:type="pct"/>
            <w:gridSpan w:val="9"/>
            <w:vAlign w:val="center"/>
          </w:tcPr>
          <w:p w14:paraId="7590BE7F">
            <w:pPr>
              <w:widowControl/>
              <w:tabs>
                <w:tab w:val="clear" w:pos="480"/>
              </w:tabs>
              <w:spacing w:line="240" w:lineRule="auto"/>
              <w:ind w:firstLine="0" w:firstLineChars="0"/>
              <w:jc w:val="center"/>
              <w:rPr>
                <w:sz w:val="18"/>
                <w:szCs w:val="18"/>
              </w:rPr>
            </w:pPr>
            <w:r>
              <w:rPr>
                <w:sz w:val="18"/>
                <w:szCs w:val="18"/>
              </w:rPr>
              <w:t>距声源距离r（m）</w:t>
            </w:r>
          </w:p>
        </w:tc>
      </w:tr>
      <w:tr w14:paraId="4F9EAE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Merge w:val="continue"/>
            <w:vAlign w:val="center"/>
          </w:tcPr>
          <w:p w14:paraId="1FE41EE1">
            <w:pPr>
              <w:widowControl/>
              <w:tabs>
                <w:tab w:val="clear" w:pos="480"/>
              </w:tabs>
              <w:spacing w:line="240" w:lineRule="auto"/>
              <w:ind w:firstLine="0" w:firstLineChars="0"/>
              <w:jc w:val="center"/>
              <w:rPr>
                <w:sz w:val="18"/>
                <w:szCs w:val="18"/>
              </w:rPr>
            </w:pPr>
          </w:p>
        </w:tc>
        <w:tc>
          <w:tcPr>
            <w:tcW w:w="386" w:type="pct"/>
            <w:vMerge w:val="continue"/>
            <w:vAlign w:val="center"/>
          </w:tcPr>
          <w:p w14:paraId="0D81508B">
            <w:pPr>
              <w:widowControl/>
              <w:tabs>
                <w:tab w:val="clear" w:pos="480"/>
              </w:tabs>
              <w:spacing w:line="240" w:lineRule="auto"/>
              <w:ind w:firstLine="0" w:firstLineChars="0"/>
              <w:jc w:val="center"/>
              <w:rPr>
                <w:sz w:val="18"/>
                <w:szCs w:val="18"/>
              </w:rPr>
            </w:pPr>
          </w:p>
        </w:tc>
        <w:tc>
          <w:tcPr>
            <w:tcW w:w="501" w:type="pct"/>
            <w:vAlign w:val="center"/>
          </w:tcPr>
          <w:p w14:paraId="34FB9DD1">
            <w:pPr>
              <w:widowControl/>
              <w:tabs>
                <w:tab w:val="clear" w:pos="480"/>
              </w:tabs>
              <w:spacing w:line="240" w:lineRule="auto"/>
              <w:ind w:firstLine="0" w:firstLineChars="0"/>
              <w:jc w:val="center"/>
              <w:rPr>
                <w:sz w:val="18"/>
                <w:szCs w:val="18"/>
              </w:rPr>
            </w:pPr>
            <w:r>
              <w:rPr>
                <w:sz w:val="18"/>
                <w:szCs w:val="18"/>
              </w:rPr>
              <w:t>10</w:t>
            </w:r>
          </w:p>
        </w:tc>
        <w:tc>
          <w:tcPr>
            <w:tcW w:w="530" w:type="pct"/>
            <w:vAlign w:val="center"/>
          </w:tcPr>
          <w:p w14:paraId="33E2330B">
            <w:pPr>
              <w:widowControl/>
              <w:tabs>
                <w:tab w:val="clear" w:pos="480"/>
              </w:tabs>
              <w:spacing w:line="240" w:lineRule="auto"/>
              <w:ind w:firstLine="0" w:firstLineChars="0"/>
              <w:jc w:val="center"/>
              <w:rPr>
                <w:sz w:val="18"/>
                <w:szCs w:val="18"/>
              </w:rPr>
            </w:pPr>
            <w:r>
              <w:rPr>
                <w:sz w:val="18"/>
                <w:szCs w:val="18"/>
              </w:rPr>
              <w:t>20</w:t>
            </w:r>
          </w:p>
        </w:tc>
        <w:tc>
          <w:tcPr>
            <w:tcW w:w="428" w:type="pct"/>
            <w:vAlign w:val="center"/>
          </w:tcPr>
          <w:p w14:paraId="07CCF7DA">
            <w:pPr>
              <w:widowControl/>
              <w:tabs>
                <w:tab w:val="clear" w:pos="480"/>
              </w:tabs>
              <w:spacing w:line="240" w:lineRule="auto"/>
              <w:ind w:firstLine="0" w:firstLineChars="0"/>
              <w:jc w:val="center"/>
              <w:rPr>
                <w:sz w:val="18"/>
                <w:szCs w:val="18"/>
              </w:rPr>
            </w:pPr>
            <w:r>
              <w:rPr>
                <w:sz w:val="18"/>
                <w:szCs w:val="18"/>
              </w:rPr>
              <w:t>40</w:t>
            </w:r>
          </w:p>
        </w:tc>
        <w:tc>
          <w:tcPr>
            <w:tcW w:w="444" w:type="pct"/>
            <w:vAlign w:val="center"/>
          </w:tcPr>
          <w:p w14:paraId="5D4D2B47">
            <w:pPr>
              <w:widowControl/>
              <w:tabs>
                <w:tab w:val="clear" w:pos="480"/>
              </w:tabs>
              <w:spacing w:line="240" w:lineRule="auto"/>
              <w:ind w:firstLine="0" w:firstLineChars="0"/>
              <w:jc w:val="center"/>
              <w:rPr>
                <w:sz w:val="18"/>
                <w:szCs w:val="18"/>
              </w:rPr>
            </w:pPr>
            <w:r>
              <w:rPr>
                <w:sz w:val="18"/>
                <w:szCs w:val="18"/>
              </w:rPr>
              <w:t>57</w:t>
            </w:r>
          </w:p>
        </w:tc>
        <w:tc>
          <w:tcPr>
            <w:tcW w:w="402" w:type="pct"/>
            <w:vAlign w:val="center"/>
          </w:tcPr>
          <w:p w14:paraId="74822EC3">
            <w:pPr>
              <w:widowControl/>
              <w:tabs>
                <w:tab w:val="clear" w:pos="480"/>
              </w:tabs>
              <w:spacing w:line="240" w:lineRule="auto"/>
              <w:ind w:firstLine="0" w:firstLineChars="0"/>
              <w:jc w:val="center"/>
              <w:rPr>
                <w:sz w:val="18"/>
                <w:szCs w:val="18"/>
              </w:rPr>
            </w:pPr>
            <w:r>
              <w:rPr>
                <w:sz w:val="18"/>
                <w:szCs w:val="18"/>
              </w:rPr>
              <w:t>80</w:t>
            </w:r>
          </w:p>
        </w:tc>
        <w:tc>
          <w:tcPr>
            <w:tcW w:w="434" w:type="pct"/>
            <w:vAlign w:val="center"/>
          </w:tcPr>
          <w:p w14:paraId="4148E53A">
            <w:pPr>
              <w:widowControl/>
              <w:tabs>
                <w:tab w:val="clear" w:pos="480"/>
              </w:tabs>
              <w:spacing w:line="240" w:lineRule="auto"/>
              <w:ind w:firstLine="0" w:firstLineChars="0"/>
              <w:jc w:val="center"/>
              <w:rPr>
                <w:sz w:val="18"/>
                <w:szCs w:val="18"/>
              </w:rPr>
            </w:pPr>
            <w:r>
              <w:rPr>
                <w:sz w:val="18"/>
                <w:szCs w:val="18"/>
              </w:rPr>
              <w:t>100</w:t>
            </w:r>
          </w:p>
        </w:tc>
        <w:tc>
          <w:tcPr>
            <w:tcW w:w="431" w:type="pct"/>
            <w:vAlign w:val="center"/>
          </w:tcPr>
          <w:p w14:paraId="248EBB9D">
            <w:pPr>
              <w:widowControl/>
              <w:tabs>
                <w:tab w:val="clear" w:pos="480"/>
              </w:tabs>
              <w:spacing w:line="240" w:lineRule="auto"/>
              <w:ind w:firstLine="0" w:firstLineChars="0"/>
              <w:jc w:val="center"/>
              <w:rPr>
                <w:sz w:val="18"/>
                <w:szCs w:val="18"/>
              </w:rPr>
            </w:pPr>
            <w:r>
              <w:rPr>
                <w:sz w:val="18"/>
                <w:szCs w:val="18"/>
              </w:rPr>
              <w:t>150</w:t>
            </w:r>
          </w:p>
        </w:tc>
        <w:tc>
          <w:tcPr>
            <w:tcW w:w="436" w:type="pct"/>
            <w:vAlign w:val="center"/>
          </w:tcPr>
          <w:p w14:paraId="12C02BD6">
            <w:pPr>
              <w:widowControl/>
              <w:tabs>
                <w:tab w:val="clear" w:pos="480"/>
              </w:tabs>
              <w:spacing w:line="240" w:lineRule="auto"/>
              <w:ind w:firstLine="0" w:firstLineChars="0"/>
              <w:jc w:val="center"/>
              <w:rPr>
                <w:sz w:val="18"/>
                <w:szCs w:val="18"/>
              </w:rPr>
            </w:pPr>
            <w:r>
              <w:rPr>
                <w:sz w:val="18"/>
                <w:szCs w:val="18"/>
              </w:rPr>
              <w:t>200</w:t>
            </w:r>
          </w:p>
        </w:tc>
        <w:tc>
          <w:tcPr>
            <w:tcW w:w="380" w:type="pct"/>
            <w:vAlign w:val="center"/>
          </w:tcPr>
          <w:p w14:paraId="715E7440">
            <w:pPr>
              <w:widowControl/>
              <w:tabs>
                <w:tab w:val="clear" w:pos="480"/>
              </w:tabs>
              <w:spacing w:line="240" w:lineRule="auto"/>
              <w:ind w:firstLine="0" w:firstLineChars="0"/>
              <w:jc w:val="center"/>
              <w:rPr>
                <w:sz w:val="18"/>
                <w:szCs w:val="18"/>
              </w:rPr>
            </w:pPr>
            <w:r>
              <w:rPr>
                <w:sz w:val="18"/>
                <w:szCs w:val="18"/>
              </w:rPr>
              <w:t>300</w:t>
            </w:r>
          </w:p>
        </w:tc>
      </w:tr>
      <w:tr w14:paraId="6F629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vAlign w:val="center"/>
          </w:tcPr>
          <w:p w14:paraId="15931973">
            <w:pPr>
              <w:widowControl/>
              <w:tabs>
                <w:tab w:val="clear" w:pos="480"/>
              </w:tabs>
              <w:spacing w:line="240" w:lineRule="auto"/>
              <w:ind w:firstLine="0" w:firstLineChars="0"/>
              <w:jc w:val="center"/>
              <w:rPr>
                <w:sz w:val="18"/>
                <w:szCs w:val="18"/>
              </w:rPr>
            </w:pPr>
            <w:r>
              <w:rPr>
                <w:sz w:val="18"/>
                <w:szCs w:val="18"/>
              </w:rPr>
              <w:t>手风机钻dB（A）</w:t>
            </w:r>
          </w:p>
        </w:tc>
        <w:tc>
          <w:tcPr>
            <w:tcW w:w="386" w:type="pct"/>
            <w:vAlign w:val="center"/>
          </w:tcPr>
          <w:p w14:paraId="4743FC16">
            <w:pPr>
              <w:widowControl/>
              <w:tabs>
                <w:tab w:val="clear" w:pos="480"/>
              </w:tabs>
              <w:spacing w:line="240" w:lineRule="auto"/>
              <w:ind w:firstLine="0" w:firstLineChars="0"/>
              <w:jc w:val="center"/>
              <w:rPr>
                <w:sz w:val="18"/>
                <w:szCs w:val="18"/>
              </w:rPr>
            </w:pPr>
            <w:r>
              <w:rPr>
                <w:sz w:val="18"/>
                <w:szCs w:val="18"/>
              </w:rPr>
              <w:t>105</w:t>
            </w:r>
          </w:p>
        </w:tc>
        <w:tc>
          <w:tcPr>
            <w:tcW w:w="501" w:type="pct"/>
            <w:vAlign w:val="center"/>
          </w:tcPr>
          <w:p w14:paraId="162AB162">
            <w:pPr>
              <w:widowControl/>
              <w:tabs>
                <w:tab w:val="clear" w:pos="480"/>
              </w:tabs>
              <w:spacing w:line="240" w:lineRule="auto"/>
              <w:ind w:firstLine="0" w:firstLineChars="0"/>
              <w:jc w:val="center"/>
              <w:rPr>
                <w:sz w:val="18"/>
                <w:szCs w:val="18"/>
              </w:rPr>
            </w:pPr>
            <w:r>
              <w:rPr>
                <w:sz w:val="18"/>
                <w:szCs w:val="18"/>
              </w:rPr>
              <w:t>85.0</w:t>
            </w:r>
          </w:p>
        </w:tc>
        <w:tc>
          <w:tcPr>
            <w:tcW w:w="530" w:type="pct"/>
            <w:vAlign w:val="center"/>
          </w:tcPr>
          <w:p w14:paraId="7EE3CAD3">
            <w:pPr>
              <w:widowControl/>
              <w:tabs>
                <w:tab w:val="clear" w:pos="480"/>
              </w:tabs>
              <w:spacing w:line="240" w:lineRule="auto"/>
              <w:ind w:firstLine="0" w:firstLineChars="0"/>
              <w:jc w:val="center"/>
              <w:rPr>
                <w:sz w:val="18"/>
                <w:szCs w:val="18"/>
              </w:rPr>
            </w:pPr>
            <w:r>
              <w:rPr>
                <w:sz w:val="18"/>
                <w:szCs w:val="18"/>
              </w:rPr>
              <w:t>79.0</w:t>
            </w:r>
          </w:p>
        </w:tc>
        <w:tc>
          <w:tcPr>
            <w:tcW w:w="428" w:type="pct"/>
            <w:vAlign w:val="center"/>
          </w:tcPr>
          <w:p w14:paraId="03E8F2C6">
            <w:pPr>
              <w:widowControl/>
              <w:tabs>
                <w:tab w:val="clear" w:pos="480"/>
              </w:tabs>
              <w:spacing w:line="240" w:lineRule="auto"/>
              <w:ind w:firstLine="0" w:firstLineChars="0"/>
              <w:jc w:val="center"/>
              <w:rPr>
                <w:sz w:val="18"/>
                <w:szCs w:val="18"/>
              </w:rPr>
            </w:pPr>
            <w:r>
              <w:rPr>
                <w:sz w:val="18"/>
                <w:szCs w:val="18"/>
              </w:rPr>
              <w:t>73.0</w:t>
            </w:r>
          </w:p>
        </w:tc>
        <w:tc>
          <w:tcPr>
            <w:tcW w:w="444" w:type="pct"/>
            <w:vAlign w:val="center"/>
          </w:tcPr>
          <w:p w14:paraId="1AB63B9F">
            <w:pPr>
              <w:widowControl/>
              <w:tabs>
                <w:tab w:val="clear" w:pos="480"/>
              </w:tabs>
              <w:spacing w:line="240" w:lineRule="auto"/>
              <w:ind w:firstLine="0" w:firstLineChars="0"/>
              <w:jc w:val="center"/>
              <w:rPr>
                <w:sz w:val="18"/>
                <w:szCs w:val="18"/>
              </w:rPr>
            </w:pPr>
            <w:r>
              <w:rPr>
                <w:sz w:val="18"/>
                <w:szCs w:val="18"/>
              </w:rPr>
              <w:t>69.99</w:t>
            </w:r>
          </w:p>
        </w:tc>
        <w:tc>
          <w:tcPr>
            <w:tcW w:w="402" w:type="pct"/>
            <w:vAlign w:val="center"/>
          </w:tcPr>
          <w:p w14:paraId="5C1A043F">
            <w:pPr>
              <w:widowControl/>
              <w:tabs>
                <w:tab w:val="clear" w:pos="480"/>
              </w:tabs>
              <w:spacing w:line="240" w:lineRule="auto"/>
              <w:ind w:firstLine="0" w:firstLineChars="0"/>
              <w:jc w:val="center"/>
              <w:rPr>
                <w:sz w:val="18"/>
                <w:szCs w:val="18"/>
              </w:rPr>
            </w:pPr>
            <w:r>
              <w:rPr>
                <w:sz w:val="18"/>
                <w:szCs w:val="18"/>
              </w:rPr>
              <w:t>66.9</w:t>
            </w:r>
          </w:p>
        </w:tc>
        <w:tc>
          <w:tcPr>
            <w:tcW w:w="434" w:type="pct"/>
            <w:vAlign w:val="center"/>
          </w:tcPr>
          <w:p w14:paraId="6D21DBA5">
            <w:pPr>
              <w:widowControl/>
              <w:tabs>
                <w:tab w:val="clear" w:pos="480"/>
              </w:tabs>
              <w:spacing w:line="240" w:lineRule="auto"/>
              <w:ind w:firstLine="0" w:firstLineChars="0"/>
              <w:jc w:val="center"/>
              <w:rPr>
                <w:sz w:val="18"/>
                <w:szCs w:val="18"/>
              </w:rPr>
            </w:pPr>
            <w:r>
              <w:rPr>
                <w:sz w:val="18"/>
                <w:szCs w:val="18"/>
              </w:rPr>
              <w:t>65.0</w:t>
            </w:r>
          </w:p>
        </w:tc>
        <w:tc>
          <w:tcPr>
            <w:tcW w:w="431" w:type="pct"/>
            <w:vAlign w:val="center"/>
          </w:tcPr>
          <w:p w14:paraId="46F44553">
            <w:pPr>
              <w:widowControl/>
              <w:tabs>
                <w:tab w:val="clear" w:pos="480"/>
              </w:tabs>
              <w:spacing w:line="240" w:lineRule="auto"/>
              <w:ind w:firstLine="0" w:firstLineChars="0"/>
              <w:jc w:val="center"/>
              <w:rPr>
                <w:sz w:val="18"/>
                <w:szCs w:val="18"/>
              </w:rPr>
            </w:pPr>
            <w:r>
              <w:rPr>
                <w:sz w:val="18"/>
                <w:szCs w:val="18"/>
              </w:rPr>
              <w:t>61.5</w:t>
            </w:r>
          </w:p>
        </w:tc>
        <w:tc>
          <w:tcPr>
            <w:tcW w:w="436" w:type="pct"/>
            <w:vAlign w:val="center"/>
          </w:tcPr>
          <w:p w14:paraId="241448B6">
            <w:pPr>
              <w:widowControl/>
              <w:tabs>
                <w:tab w:val="clear" w:pos="480"/>
              </w:tabs>
              <w:spacing w:line="240" w:lineRule="auto"/>
              <w:ind w:firstLine="0" w:firstLineChars="0"/>
              <w:jc w:val="center"/>
              <w:rPr>
                <w:sz w:val="18"/>
                <w:szCs w:val="18"/>
              </w:rPr>
            </w:pPr>
            <w:r>
              <w:rPr>
                <w:sz w:val="18"/>
                <w:szCs w:val="18"/>
              </w:rPr>
              <w:t>59.0</w:t>
            </w:r>
          </w:p>
        </w:tc>
        <w:tc>
          <w:tcPr>
            <w:tcW w:w="380" w:type="pct"/>
            <w:vAlign w:val="center"/>
          </w:tcPr>
          <w:p w14:paraId="39363380">
            <w:pPr>
              <w:widowControl/>
              <w:tabs>
                <w:tab w:val="clear" w:pos="480"/>
              </w:tabs>
              <w:spacing w:line="240" w:lineRule="auto"/>
              <w:ind w:firstLine="0" w:firstLineChars="0"/>
              <w:jc w:val="center"/>
              <w:rPr>
                <w:sz w:val="18"/>
                <w:szCs w:val="18"/>
              </w:rPr>
            </w:pPr>
            <w:r>
              <w:rPr>
                <w:sz w:val="18"/>
                <w:szCs w:val="18"/>
              </w:rPr>
              <w:t>55.5</w:t>
            </w:r>
          </w:p>
        </w:tc>
      </w:tr>
    </w:tbl>
    <w:p w14:paraId="34470116">
      <w:pPr>
        <w:adjustRightInd w:val="0"/>
        <w:snapToGrid w:val="0"/>
        <w:ind w:firstLine="480"/>
      </w:pPr>
      <w:r>
        <w:t>经计算得知，距声源57m处，噪声即降到70dB(A)以下，施工场界的噪声可以满足《建筑施工场界环境噪声排放标准》(GB12523-2011)昼间70dB(A)的要求；距声源150m处，噪声即降到60dB(A)以下，即可满足(GB3096-2008)《声环境质量标准》2类标准昼间60dB(A)的要求。</w:t>
      </w:r>
    </w:p>
    <w:p w14:paraId="23018408">
      <w:pPr>
        <w:adjustRightInd w:val="0"/>
        <w:snapToGrid w:val="0"/>
        <w:ind w:firstLine="480"/>
      </w:pPr>
      <w:r>
        <w:t>根据现场调查，各机位距居民点最近距离为250m，风机施工设备噪声经过距离衰减</w:t>
      </w:r>
      <w:r>
        <w:rPr>
          <w:rFonts w:hint="eastAsia"/>
        </w:rPr>
        <w:t>后</w:t>
      </w:r>
      <w:r>
        <w:t>，各居民点声环境能满足《声环境质量标准》（GB3096-2008）2类标准。此外，施工期的噪声影响只是暂时性的，同时夜间</w:t>
      </w:r>
      <w:r>
        <w:rPr>
          <w:rFonts w:hint="eastAsia"/>
        </w:rPr>
        <w:t>除混凝土基础浇筑外，不进行开挖等机械施工</w:t>
      </w:r>
      <w:r>
        <w:t>，因此在本项目建设结束后，施工噪声影响即可消失。</w:t>
      </w:r>
    </w:p>
    <w:p w14:paraId="0C32F4FC">
      <w:pPr>
        <w:adjustRightInd w:val="0"/>
        <w:snapToGrid w:val="0"/>
        <w:ind w:firstLine="480"/>
      </w:pPr>
      <w:r>
        <w:fldChar w:fldCharType="begin"/>
      </w:r>
      <w:r>
        <w:instrText xml:space="preserve"> = 2 \* GB3 </w:instrText>
      </w:r>
      <w:r>
        <w:fldChar w:fldCharType="separate"/>
      </w:r>
      <w:r>
        <w:rPr>
          <w:rFonts w:hint="eastAsia"/>
        </w:rPr>
        <w:t>②</w:t>
      </w:r>
      <w:r>
        <w:fldChar w:fldCharType="end"/>
      </w:r>
      <w:r>
        <w:t>道路施工对周边居民声环境的影响</w:t>
      </w:r>
    </w:p>
    <w:p w14:paraId="19ED255E">
      <w:pPr>
        <w:adjustRightInd w:val="0"/>
        <w:snapToGrid w:val="0"/>
        <w:ind w:firstLine="480"/>
      </w:pPr>
      <w:r>
        <w:rPr>
          <w:rFonts w:hint="eastAsia"/>
        </w:rPr>
        <w:t>本项目</w:t>
      </w:r>
      <w:r>
        <w:t>改建进场道路总长约10km。</w:t>
      </w:r>
      <w:r>
        <w:rPr>
          <w:rFonts w:hint="eastAsia"/>
        </w:rPr>
        <w:t>新建场内道路1</w:t>
      </w:r>
      <w:r>
        <w:t>6.4</w:t>
      </w:r>
      <w:r>
        <w:rPr>
          <w:rFonts w:hint="eastAsia"/>
        </w:rPr>
        <w:t>km，改造场内道路4</w:t>
      </w:r>
      <w:r>
        <w:t>.1</w:t>
      </w:r>
      <w:r>
        <w:rPr>
          <w:rFonts w:hint="eastAsia"/>
        </w:rPr>
        <w:t>km</w:t>
      </w:r>
      <w:r>
        <w:t>。</w:t>
      </w:r>
      <w:r>
        <w:rPr>
          <w:rFonts w:hint="eastAsia"/>
        </w:rPr>
        <w:t>项目新建场内道路两侧2</w:t>
      </w:r>
      <w:r>
        <w:t>00</w:t>
      </w:r>
      <w:r>
        <w:rPr>
          <w:rFonts w:hint="eastAsia"/>
        </w:rPr>
        <w:t>m范围内无居民点分布，改建进场道路和场内道路两侧居民点分布如下。</w:t>
      </w:r>
    </w:p>
    <w:p w14:paraId="39BF3501">
      <w:pPr>
        <w:adjustRightInd w:val="0"/>
        <w:snapToGrid w:val="0"/>
        <w:ind w:firstLine="480"/>
      </w:pPr>
      <w:r>
        <w:rPr>
          <w:rFonts w:hint="eastAsia"/>
        </w:rPr>
        <w:t>改建</w:t>
      </w:r>
      <w:r>
        <w:t>场内道路居民点：</w:t>
      </w:r>
      <w:r>
        <w:rPr>
          <w:rFonts w:hint="eastAsia"/>
        </w:rPr>
        <w:t>元冲居民点（</w:t>
      </w:r>
      <w:r>
        <w:t>约12户，最近约10m</w:t>
      </w:r>
      <w:r>
        <w:rPr>
          <w:rFonts w:hint="eastAsia"/>
        </w:rPr>
        <w:t>，分散居住</w:t>
      </w:r>
      <w:r>
        <w:t>）、</w:t>
      </w:r>
      <w:r>
        <w:rPr>
          <w:rFonts w:hint="eastAsia"/>
        </w:rPr>
        <w:t>大湾居民点（</w:t>
      </w:r>
      <w:r>
        <w:t>约10户，最近约10m</w:t>
      </w:r>
      <w:r>
        <w:rPr>
          <w:rFonts w:hint="eastAsia"/>
        </w:rPr>
        <w:t>，集中居住</w:t>
      </w:r>
      <w:r>
        <w:t>）</w:t>
      </w:r>
      <w:r>
        <w:rPr>
          <w:rFonts w:hint="eastAsia"/>
        </w:rPr>
        <w:t>。</w:t>
      </w:r>
    </w:p>
    <w:p w14:paraId="7761477E">
      <w:pPr>
        <w:adjustRightInd w:val="0"/>
        <w:snapToGrid w:val="0"/>
        <w:ind w:firstLine="480"/>
      </w:pPr>
      <w:r>
        <w:rPr>
          <w:rFonts w:hint="eastAsia"/>
        </w:rPr>
        <w:t>改建进场</w:t>
      </w:r>
      <w:r>
        <w:t>道路居民点：</w:t>
      </w:r>
      <w:r>
        <w:rPr>
          <w:rFonts w:hint="eastAsia"/>
        </w:rPr>
        <w:t>羊角冲居民点（</w:t>
      </w:r>
      <w:r>
        <w:t>约15户，最近约10m</w:t>
      </w:r>
      <w:r>
        <w:rPr>
          <w:rFonts w:hint="eastAsia"/>
        </w:rPr>
        <w:t>，分散居住</w:t>
      </w:r>
      <w:r>
        <w:t>）</w:t>
      </w:r>
      <w:r>
        <w:rPr>
          <w:rFonts w:hint="eastAsia"/>
        </w:rPr>
        <w:t>。</w:t>
      </w:r>
    </w:p>
    <w:p w14:paraId="6A00AEB2">
      <w:pPr>
        <w:adjustRightInd w:val="0"/>
        <w:snapToGrid w:val="0"/>
        <w:ind w:firstLine="480"/>
      </w:pPr>
      <w:r>
        <w:t>项目新改建道路距居民点最近距离约10m。道路施工过程中挖掘机、推土机、手风钻机和自卸汽车的运行产生噪声对两侧居民声环境存在一定不利影响。经预测，居民点附近道路改造施工时，附近居民点的环境噪声最大预测值为85dB（A）。但工程施工作业均安排在昼间，居民点附近的道路施工时间比较短，施工期的噪声影响随工程建设结束而消失。因此，本项目道路施工过程中产生的影响较小。</w:t>
      </w:r>
    </w:p>
    <w:p w14:paraId="373AE1AB">
      <w:pPr>
        <w:adjustRightInd w:val="0"/>
        <w:snapToGrid w:val="0"/>
        <w:ind w:firstLine="480"/>
      </w:pPr>
      <w:r>
        <w:t>为确保施工期间厂界噪声能够达标排放，本环评要求将高噪声设备远离施工场界布置；合理安排施工进度和时间，尽量缩短环境敏感点附近施工作业时间；同时依法限制夜间产生噪声污染的施工和加工作业；设置施工围挡等措施降低施工噪声对道路周边居民的影响。</w:t>
      </w:r>
    </w:p>
    <w:p w14:paraId="68F03263">
      <w:pPr>
        <w:adjustRightInd w:val="0"/>
        <w:snapToGrid w:val="0"/>
        <w:ind w:firstLine="480"/>
      </w:pPr>
      <w:r>
        <w:t>（3）升压站施工对周边声环境的影响</w:t>
      </w:r>
    </w:p>
    <w:p w14:paraId="61C9F4ED">
      <w:pPr>
        <w:adjustRightInd w:val="0"/>
        <w:snapToGrid w:val="0"/>
        <w:ind w:firstLine="480"/>
      </w:pPr>
      <w:r>
        <w:t>本项目升压站 200m 范围内无居民点，升压站施工对周边居民</w:t>
      </w:r>
      <w:r>
        <w:rPr>
          <w:rFonts w:hint="eastAsia"/>
        </w:rPr>
        <w:t>影响很小</w:t>
      </w:r>
      <w:r>
        <w:t>。本项目升压站土建施工</w:t>
      </w:r>
      <w:r>
        <w:rPr>
          <w:rFonts w:hint="eastAsia"/>
        </w:rPr>
        <w:t>约</w:t>
      </w:r>
      <w:r>
        <w:t xml:space="preserve"> 2 个月左右，随着土建施工完成，升压站噪声排放大幅减少。因此，升压站施工对周边声环境保护目标影响较小。</w:t>
      </w:r>
    </w:p>
    <w:p w14:paraId="1BC616B2">
      <w:pPr>
        <w:adjustRightInd w:val="0"/>
        <w:snapToGrid w:val="0"/>
        <w:ind w:firstLine="480"/>
      </w:pPr>
      <w:r>
        <w:t>（4）施工场地噪声影响分析</w:t>
      </w:r>
    </w:p>
    <w:p w14:paraId="1961620A">
      <w:pPr>
        <w:adjustRightInd w:val="0"/>
        <w:snapToGrid w:val="0"/>
        <w:ind w:firstLine="480"/>
      </w:pPr>
      <w:r>
        <w:t>本风电场的施工场地布置在升压站附近，场区内主要布置辅助加工厂、材料设备仓库、临时房屋等。项目施工场地的噪声主要来自机械修配及综合加工厂的机械设备。加工厂仅负责本项目的钢筋和木材加工、施工机械的小修及简单零件和金属构件的加工。加工厂加工量和检修量不大，产生噪声的时间较短。根据现场调查，项目施工场地附近200m范围内无居民点分布，因此项目施工场地加工厂和检修机械噪声对当地居民影响较小。</w:t>
      </w:r>
    </w:p>
    <w:p w14:paraId="47FAD606">
      <w:pPr>
        <w:adjustRightInd w:val="0"/>
        <w:snapToGrid w:val="0"/>
        <w:ind w:firstLine="480"/>
      </w:pPr>
      <w:r>
        <w:t>（5）施工爆破噪声</w:t>
      </w:r>
    </w:p>
    <w:p w14:paraId="7CF18D73">
      <w:pPr>
        <w:adjustRightInd w:val="0"/>
        <w:snapToGrid w:val="0"/>
        <w:ind w:firstLine="480"/>
      </w:pPr>
      <w:r>
        <w:t>道路修建时石方爆破产生的噪声为瞬时性强声源，噪声影响范围较大，但爆破时段很短，爆炸完后，噪声即消失，居民点受其影响程度有限。爆破均在昼间进行，对周围居民夜间休息无影响。居民点附近改造道路爆破施工时，应优化施工工艺，减小施工爆破噪声；爆破作业须在上午8:30~11:30、下午2:30~6:30进行；并尽量知会受影响的居民，做好防范措施，采取上述措施后，施工爆破噪声影响较小。</w:t>
      </w:r>
    </w:p>
    <w:p w14:paraId="59CC7CD9">
      <w:pPr>
        <w:adjustRightInd w:val="0"/>
        <w:snapToGrid w:val="0"/>
        <w:ind w:firstLine="480"/>
      </w:pPr>
      <w:r>
        <w:t>综上，风机施工作业时，各声环境敏感点的声环境质量可满足环境标准要求，风机施工作业产生的噪声对周围居民生产生活</w:t>
      </w:r>
      <w:r>
        <w:rPr>
          <w:rFonts w:hint="eastAsia"/>
        </w:rPr>
        <w:t>影响很小</w:t>
      </w:r>
      <w:r>
        <w:t>；风电场项目部距居民点较远，其产生的机械检修和机械加工噪声对当地居民影响较小；道路新改造施工时，离改造道路的较近居民将受到施工噪声的影响，但施工均在昼间进行，且施工期很短，因此施工噪声的影响是暂时的，将随道路施工结束而消失。施工单位应合理安排施工时间，对离居民点较近的路段进行改造时，尽量在上午8:30～11:30、下午2:30～6:30进行施工；并尽量知会受影响的居民，做好防范措施。如因工艺特殊要求，需在夜间施工而产生环境噪声影响时，应按《</w:t>
      </w:r>
      <w:r>
        <w:rPr>
          <w:rFonts w:hint="eastAsia"/>
          <w:lang w:eastAsia="zh-CN"/>
        </w:rPr>
        <w:t>中华人民共和国噪声污染防治法##2022年6月</w:t>
      </w:r>
      <w:r>
        <w:t>》的规定，取得县级以上有关主管部门的证明，并公告附近居民。</w:t>
      </w:r>
    </w:p>
    <w:p w14:paraId="14DE6547">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6.1.4</w:t>
      </w:r>
      <w:r>
        <w:rPr>
          <w:rFonts w:hint="eastAsia" w:ascii="Times New Roman" w:eastAsia="宋体"/>
          <w:sz w:val="28"/>
          <w:szCs w:val="28"/>
          <w:lang w:val="en-US"/>
        </w:rPr>
        <w:t>施工期固体废物环境影响分析</w:t>
      </w:r>
    </w:p>
    <w:p w14:paraId="32E02378">
      <w:pPr>
        <w:adjustRightInd w:val="0"/>
        <w:snapToGrid w:val="0"/>
        <w:ind w:firstLine="480"/>
      </w:pPr>
      <w:r>
        <w:t>本项目施工期固体废物包括施工弃渣、施工人员生活垃圾及施工废水沉淀池产生的少量沉渣。风电施工废渣来自于土石方开挖，基本上属无毒害的天然风化物，其影响主要是占压土地、影响自然景观、改变土地的使用功能等。</w:t>
      </w:r>
    </w:p>
    <w:p w14:paraId="5BBD81CB">
      <w:pPr>
        <w:adjustRightInd w:val="0"/>
        <w:snapToGrid w:val="0"/>
        <w:ind w:firstLine="480"/>
      </w:pPr>
      <w:r>
        <w:t>（1）施工弃渣</w:t>
      </w:r>
    </w:p>
    <w:p w14:paraId="1029225D">
      <w:pPr>
        <w:adjustRightInd w:val="0"/>
        <w:snapToGrid w:val="0"/>
        <w:ind w:firstLine="480"/>
      </w:pPr>
      <w:r>
        <w:t>本项目土石方开挖量主要是道路施工、风机基础开挖及升压站开挖等。为尽量减少弃渣，施工道路的布置采用尽量少挖方案，开挖后的土料回填主要用于风机基础、变电站及安装场地平整的回填。本项目土石方开挖总量约</w:t>
      </w:r>
      <w:r>
        <w:rPr>
          <w:rFonts w:hint="eastAsia"/>
        </w:rPr>
        <w:t>87.68</w:t>
      </w:r>
      <w:r>
        <w:t>万m</w:t>
      </w:r>
      <w:r>
        <w:rPr>
          <w:vertAlign w:val="superscript"/>
        </w:rPr>
        <w:t>3</w:t>
      </w:r>
      <w:r>
        <w:t>，土石方回填总量约</w:t>
      </w:r>
      <w:r>
        <w:rPr>
          <w:rFonts w:hint="eastAsia"/>
        </w:rPr>
        <w:t>71.23</w:t>
      </w:r>
      <w:r>
        <w:t>万m</w:t>
      </w:r>
      <w:r>
        <w:rPr>
          <w:vertAlign w:val="superscript"/>
        </w:rPr>
        <w:t>3</w:t>
      </w:r>
      <w:r>
        <w:t>，经土石方平衡后，需弃方</w:t>
      </w:r>
      <w:r>
        <w:rPr>
          <w:rFonts w:hint="eastAsia"/>
        </w:rPr>
        <w:t>16.45</w:t>
      </w:r>
      <w:r>
        <w:t>万m</w:t>
      </w:r>
      <w:r>
        <w:rPr>
          <w:vertAlign w:val="superscript"/>
        </w:rPr>
        <w:t>3</w:t>
      </w:r>
      <w:r>
        <w:t>。施工弃渣全部规范堆存于附近弃渣场。本项目施工期拟设置</w:t>
      </w:r>
      <w:r>
        <w:rPr>
          <w:rFonts w:hint="eastAsia"/>
        </w:rPr>
        <w:t>8个</w:t>
      </w:r>
      <w:r>
        <w:t>弃渣场，环评要求各弃渣场均按要求设置截、排水沟、挡土墙、护坡等水土保持设施，最后进行覆土绿化，经植物措施可恢复原土地使用功能，采取上述措施后，施工弃渣得到合理处置。</w:t>
      </w:r>
    </w:p>
    <w:p w14:paraId="1518068E">
      <w:pPr>
        <w:adjustRightInd w:val="0"/>
        <w:snapToGrid w:val="0"/>
        <w:ind w:firstLine="480"/>
      </w:pPr>
      <w:r>
        <w:t>（2）施工期生活垃圾</w:t>
      </w:r>
    </w:p>
    <w:p w14:paraId="55C034F9">
      <w:pPr>
        <w:adjustRightInd w:val="0"/>
        <w:snapToGrid w:val="0"/>
        <w:ind w:firstLine="480"/>
      </w:pPr>
      <w:r>
        <w:t>本项目期高峰人数为160人，施工期生活垃圾最大产生量约80kg/d。本项目施工期建设方在施工区设立垃圾桶(箱)和垃圾收集站等，施工生活垃圾收集后定期交由环卫部门处理，对环境影响较小。</w:t>
      </w:r>
    </w:p>
    <w:p w14:paraId="49BD27EC">
      <w:pPr>
        <w:adjustRightInd w:val="0"/>
        <w:snapToGrid w:val="0"/>
        <w:ind w:firstLine="480"/>
      </w:pPr>
      <w:r>
        <w:t>（3）沉淀池沉渣</w:t>
      </w:r>
    </w:p>
    <w:p w14:paraId="78B15F0C">
      <w:pPr>
        <w:adjustRightInd w:val="0"/>
        <w:snapToGrid w:val="0"/>
        <w:ind w:firstLine="480"/>
      </w:pPr>
      <w:r>
        <w:t>施工场地、机械设备及运输车辆冲洗废水均使用沉淀池进行处理，沉淀池沉渣定期清理，产生量较少。沉淀池沉渣经收集后运往项目弃渣场处置。</w:t>
      </w:r>
    </w:p>
    <w:p w14:paraId="47985927">
      <w:pPr>
        <w:adjustRightInd w:val="0"/>
        <w:snapToGrid w:val="0"/>
        <w:ind w:firstLine="480"/>
      </w:pPr>
      <w:r>
        <w:rPr>
          <w:rFonts w:hint="eastAsia"/>
        </w:rPr>
        <w:t>（4）施工期危险废物</w:t>
      </w:r>
    </w:p>
    <w:p w14:paraId="3AA10882">
      <w:pPr>
        <w:adjustRightInd w:val="0"/>
        <w:snapToGrid w:val="0"/>
        <w:ind w:firstLine="480"/>
      </w:pPr>
      <w:r>
        <w:rPr>
          <w:rFonts w:hint="eastAsia"/>
        </w:rPr>
        <w:t>本项目机械修配场主要承担施工机械的小修及简单零件和金属构件的加工任务，施工期产生的危险废物主要为废机油、含油抹布，由于施工期维修量很少，故废机油和含油抹布产生量极少。本项目施工期若产生废机油和含油抹布，环评要求，建设单位将产生的废机油和含油抹布委托有资质的单位处理。</w:t>
      </w:r>
    </w:p>
    <w:p w14:paraId="4ED026D0">
      <w:pPr>
        <w:adjustRightInd w:val="0"/>
        <w:snapToGrid w:val="0"/>
        <w:ind w:firstLine="480"/>
      </w:pPr>
      <w:r>
        <w:t>采取上述措施后，施工期产生的固体废物均能得到合理处置</w:t>
      </w:r>
      <w:r>
        <w:rPr>
          <w:rFonts w:hint="eastAsia"/>
        </w:rPr>
        <w:t>，对周围环境影响较小</w:t>
      </w:r>
      <w:r>
        <w:t>。</w:t>
      </w:r>
    </w:p>
    <w:p w14:paraId="226DCD4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6.1.5</w:t>
      </w:r>
      <w:r>
        <w:rPr>
          <w:rFonts w:hint="eastAsia" w:ascii="Times New Roman" w:eastAsia="宋体"/>
          <w:sz w:val="28"/>
          <w:szCs w:val="28"/>
          <w:lang w:val="en-US"/>
        </w:rPr>
        <w:t>施工期生态环境影响分析</w:t>
      </w:r>
    </w:p>
    <w:p w14:paraId="696832B1">
      <w:pPr>
        <w:tabs>
          <w:tab w:val="clear" w:pos="480"/>
        </w:tabs>
        <w:adjustRightInd w:val="0"/>
        <w:snapToGrid w:val="0"/>
        <w:ind w:firstLine="0" w:firstLineChars="0"/>
        <w:outlineLvl w:val="3"/>
        <w:rPr>
          <w:b/>
          <w:kern w:val="0"/>
          <w:lang w:val="zh-CN"/>
        </w:rPr>
      </w:pPr>
      <w:r>
        <w:rPr>
          <w:b/>
          <w:kern w:val="0"/>
        </w:rPr>
        <w:t>6</w:t>
      </w:r>
      <w:r>
        <w:rPr>
          <w:b/>
          <w:kern w:val="0"/>
          <w:lang w:val="zh-CN"/>
        </w:rPr>
        <w:t>.1.5.1土地利用变化</w:t>
      </w:r>
    </w:p>
    <w:p w14:paraId="5D6DA8B6">
      <w:pPr>
        <w:adjustRightInd w:val="0"/>
        <w:snapToGrid w:val="0"/>
        <w:ind w:firstLine="480"/>
      </w:pPr>
      <w:r>
        <w:rPr>
          <w:rFonts w:hint="eastAsia"/>
        </w:rPr>
        <w:t>本风电场工程永久占地为</w:t>
      </w:r>
      <w:r>
        <w:t>1.163hm</w:t>
      </w:r>
      <w:r>
        <w:rPr>
          <w:vertAlign w:val="superscript"/>
        </w:rPr>
        <w:t>2</w:t>
      </w:r>
      <w:r>
        <w:rPr>
          <w:rFonts w:hint="eastAsia"/>
        </w:rPr>
        <w:t>，占地类型主要为林地、灌草地。永久占地改变了原有土地利用性质，对土地利用的影响是不可逆的。工程建设前后，评价区土地利用格局发生了变化，由于本工程永久占地面积较小，因此，工程建设对评价区土地利用变化的影响较小。</w:t>
      </w:r>
    </w:p>
    <w:p w14:paraId="52EE23FC">
      <w:pPr>
        <w:tabs>
          <w:tab w:val="clear" w:pos="480"/>
        </w:tabs>
        <w:adjustRightInd w:val="0"/>
        <w:snapToGrid w:val="0"/>
        <w:ind w:firstLineChars="0"/>
        <w:outlineLvl w:val="3"/>
        <w:rPr>
          <w:b/>
          <w:kern w:val="0"/>
          <w:lang w:val="zh-CN"/>
        </w:rPr>
      </w:pPr>
      <w:r>
        <w:rPr>
          <w:b/>
          <w:kern w:val="0"/>
          <w:lang w:val="zh-CN"/>
        </w:rPr>
        <w:t>6.1.5.2</w:t>
      </w:r>
      <w:r>
        <w:rPr>
          <w:rFonts w:hint="eastAsia"/>
          <w:b/>
          <w:kern w:val="0"/>
          <w:lang w:val="zh-CN"/>
        </w:rPr>
        <w:t>对生态系统的影响</w:t>
      </w:r>
    </w:p>
    <w:p w14:paraId="14E75A88">
      <w:pPr>
        <w:adjustRightInd w:val="0"/>
        <w:snapToGrid w:val="0"/>
        <w:ind w:firstLine="480"/>
      </w:pPr>
      <w:r>
        <w:rPr>
          <w:rFonts w:hint="eastAsia"/>
        </w:rPr>
        <w:t>评价区生态系统主要有森林生态系统、灌丛生态系统、农业生态系统及</w:t>
      </w:r>
      <w:r>
        <w:t>城镇</w:t>
      </w:r>
      <w:r>
        <w:rPr>
          <w:rFonts w:hint="eastAsia"/>
        </w:rPr>
        <w:t>/村落</w:t>
      </w:r>
      <w:r>
        <w:t>生态系统</w:t>
      </w:r>
      <w:r>
        <w:rPr>
          <w:rFonts w:hint="eastAsia"/>
        </w:rPr>
        <w:t>，它们具有</w:t>
      </w:r>
      <w:r>
        <w:rPr>
          <w:rFonts w:hint="eastAsia"/>
          <w:lang w:eastAsia="zh-CN"/>
        </w:rPr>
        <w:t>环境</w:t>
      </w:r>
      <w:r>
        <w:rPr>
          <w:rFonts w:hint="eastAsia"/>
        </w:rPr>
        <w:t>支持、生物多样性维持、美化环境等多种功能。本工程建设会对区域原有生态系统产生不利影响，主要影响因素有工程占地及施工活动等。</w:t>
      </w:r>
    </w:p>
    <w:p w14:paraId="0A88E109">
      <w:pPr>
        <w:adjustRightInd w:val="0"/>
        <w:snapToGrid w:val="0"/>
        <w:ind w:firstLine="480"/>
      </w:pPr>
      <w:r>
        <w:t>本工程施工占地对评价区</w:t>
      </w:r>
      <w:r>
        <w:rPr>
          <w:rFonts w:hint="eastAsia"/>
        </w:rPr>
        <w:t>森林</w:t>
      </w:r>
      <w:r>
        <w:t>生态系统影响最大，其次为</w:t>
      </w:r>
      <w:r>
        <w:rPr>
          <w:rFonts w:hint="eastAsia"/>
        </w:rPr>
        <w:t>灌丛/灌草丛</w:t>
      </w:r>
      <w:r>
        <w:t>生态系统</w:t>
      </w:r>
      <w:r>
        <w:rPr>
          <w:rFonts w:hint="eastAsia"/>
        </w:rPr>
        <w:t>，</w:t>
      </w:r>
      <w:r>
        <w:t>对农业生态系统和城镇</w:t>
      </w:r>
      <w:r>
        <w:rPr>
          <w:rFonts w:hint="eastAsia"/>
        </w:rPr>
        <w:t>/</w:t>
      </w:r>
      <w:r>
        <w:t>村落生态系统影响较小</w:t>
      </w:r>
      <w:r>
        <w:rPr>
          <w:rFonts w:hint="eastAsia"/>
        </w:rPr>
        <w:t>，</w:t>
      </w:r>
      <w:r>
        <w:t>对湿地生态系统</w:t>
      </w:r>
      <w:r>
        <w:rPr>
          <w:rFonts w:hint="eastAsia"/>
        </w:rPr>
        <w:t>影响较小</w:t>
      </w:r>
      <w:r>
        <w:t>。</w:t>
      </w:r>
    </w:p>
    <w:p w14:paraId="402DD0A4">
      <w:pPr>
        <w:adjustRightInd w:val="0"/>
        <w:snapToGrid w:val="0"/>
        <w:ind w:firstLine="480"/>
      </w:pPr>
      <w:r>
        <w:rPr>
          <w:rFonts w:hint="eastAsia"/>
        </w:rPr>
        <w:t>通过现场实地调查，评价区内各生态系统中动植物物种及主要植被均在评价区广泛分布，由于生态对环境的选择适应性等特点及后期植被的恢复措施的实施，项目建设对评价区生态系统的稳定性和结构完整性产生的不利影响较小。</w:t>
      </w:r>
    </w:p>
    <w:p w14:paraId="38A9EA29">
      <w:pPr>
        <w:adjustRightInd w:val="0"/>
        <w:snapToGrid w:val="0"/>
        <w:ind w:firstLine="480"/>
      </w:pPr>
      <w:r>
        <w:rPr>
          <w:rFonts w:hint="eastAsia"/>
        </w:rPr>
        <w:t>（1）对森林生态系统的影响</w:t>
      </w:r>
    </w:p>
    <w:p w14:paraId="698904C7">
      <w:pPr>
        <w:adjustRightInd w:val="0"/>
        <w:snapToGrid w:val="0"/>
        <w:ind w:firstLine="480"/>
      </w:pPr>
      <w:r>
        <w:rPr>
          <w:rFonts w:hint="eastAsia"/>
        </w:rPr>
        <w:t>风电场对森林生态系统的影响主要是由于施工占地对植物的破坏和对动物</w:t>
      </w:r>
      <w:r>
        <w:rPr>
          <w:rFonts w:hint="eastAsia"/>
          <w:lang w:eastAsia="zh-CN"/>
        </w:rPr>
        <w:t>环境</w:t>
      </w:r>
      <w:r>
        <w:rPr>
          <w:rFonts w:hint="eastAsia"/>
        </w:rPr>
        <w:t>的占用，及噪声、震动对动物的惊扰。主要表现为风机及箱变基础、升压站、进站道</w:t>
      </w:r>
      <w:bookmarkStart w:id="173" w:name="_Toc448490634"/>
      <w:bookmarkStart w:id="174" w:name="_Toc478148599"/>
      <w:bookmarkStart w:id="175" w:name="_Toc445709597"/>
      <w:r>
        <w:rPr>
          <w:rFonts w:hint="eastAsia"/>
        </w:rPr>
        <w:t>路等永久占地对林地、</w:t>
      </w:r>
      <w:bookmarkEnd w:id="173"/>
      <w:bookmarkEnd w:id="174"/>
      <w:bookmarkEnd w:id="175"/>
      <w:r>
        <w:rPr>
          <w:rFonts w:hint="eastAsia"/>
        </w:rPr>
        <w:t>灌草地和农业植被的占用，场内施工道路、风机安装场地、对外交通道路、直埋电缆、临时施工用地产生的临时占地以及施工干扰。同时，运营期的风电机组的内部噪声和风机叶片转动的噪声也会影响到野生动物的栖息、觅食、繁衍等活动。</w:t>
      </w:r>
    </w:p>
    <w:p w14:paraId="488936FC">
      <w:pPr>
        <w:adjustRightInd w:val="0"/>
        <w:snapToGrid w:val="0"/>
        <w:ind w:firstLine="480"/>
      </w:pPr>
      <w:r>
        <w:rPr>
          <w:rFonts w:hint="eastAsia"/>
        </w:rPr>
        <w:t>本项目总占地面积共计</w:t>
      </w:r>
      <w:r>
        <w:t>43.163hm</w:t>
      </w:r>
      <w:r>
        <w:rPr>
          <w:vertAlign w:val="superscript"/>
        </w:rPr>
        <w:t>2</w:t>
      </w:r>
      <w:r>
        <w:rPr>
          <w:rFonts w:hint="eastAsia"/>
        </w:rPr>
        <w:t>，其中林地</w:t>
      </w:r>
      <w:r>
        <w:t>28.9hm</w:t>
      </w:r>
      <w:r>
        <w:rPr>
          <w:vertAlign w:val="superscript"/>
        </w:rPr>
        <w:t>2</w:t>
      </w:r>
      <w:r>
        <w:rPr>
          <w:rFonts w:hint="eastAsia"/>
        </w:rPr>
        <w:t>，占评价区森林生态系统面积（</w:t>
      </w:r>
      <w:r>
        <w:t>476.68hm</w:t>
      </w:r>
      <w:r>
        <w:rPr>
          <w:vertAlign w:val="superscript"/>
        </w:rPr>
        <w:t>2</w:t>
      </w:r>
      <w:r>
        <w:rPr>
          <w:rFonts w:hint="eastAsia"/>
        </w:rPr>
        <w:t>）的</w:t>
      </w:r>
      <w:r>
        <w:t>6.06%</w:t>
      </w:r>
      <w:r>
        <w:rPr>
          <w:rFonts w:hint="eastAsia"/>
        </w:rPr>
        <w:t>。随着施工期的结束，占地面积减少，生物量恢复，占地对森林生态系统的影响较小。</w:t>
      </w:r>
    </w:p>
    <w:p w14:paraId="530F4294">
      <w:pPr>
        <w:adjustRightInd w:val="0"/>
        <w:snapToGrid w:val="0"/>
        <w:ind w:firstLine="480"/>
      </w:pPr>
      <w:r>
        <w:rPr>
          <w:rFonts w:hint="eastAsia"/>
        </w:rPr>
        <w:t>根据现场调查，工程占用林地主要以针叶林、阔叶林为主，工程占用森林生态系统的植物物种及植被在评价区内均具有广泛分布，本工程占地对森林生态系统中植物及植被的影响较小。工程临时占地在施工结束后将采取一定的植被恢复措施，且临时占地种主要的建设、检修道路是采用泥结碎石路面，使得该区域内的植被自然恢复率高。永久占地破坏的植被将采取异地植草的方式进行生态补偿。因此，在采取各种相关措施后，本工程占地对森林生态系统中植被和植物多样性影响较小。</w:t>
      </w:r>
    </w:p>
    <w:p w14:paraId="0B7A0A3A">
      <w:pPr>
        <w:adjustRightInd w:val="0"/>
        <w:snapToGrid w:val="0"/>
        <w:ind w:firstLine="480"/>
      </w:pPr>
      <w:r>
        <w:rPr>
          <w:rFonts w:hint="eastAsia"/>
        </w:rPr>
        <w:t>风电场的建设会使该区域内的动物栖息地缩减，由于该区域内生态环境良好，植被覆盖率高，可替代</w:t>
      </w:r>
      <w:r>
        <w:rPr>
          <w:rFonts w:hint="eastAsia"/>
          <w:lang w:eastAsia="zh-CN"/>
        </w:rPr>
        <w:t>环境</w:t>
      </w:r>
      <w:r>
        <w:rPr>
          <w:rFonts w:hint="eastAsia"/>
        </w:rPr>
        <w:t>多，从而可以满足动物栖息需求。施工干扰以及运行期风机噪声等会驱使动物向其它地区迁移，导致短时间内施工区域附近动物分布的变化。但动物会对长期无害的声音刺激产生一定的适应，随着时间的推移，该区域内的动物格局将会恢复，且工程不会造成动物个体死亡，造成动物种群数量降低，更不会使评价区森林生态系统中动物的种类组成和区系发生改变。</w:t>
      </w:r>
    </w:p>
    <w:p w14:paraId="63E6FA1B">
      <w:pPr>
        <w:adjustRightInd w:val="0"/>
        <w:snapToGrid w:val="0"/>
        <w:ind w:firstLine="480"/>
      </w:pPr>
      <w:r>
        <w:rPr>
          <w:rFonts w:hint="eastAsia"/>
        </w:rPr>
        <w:t>由上可知，风电场的建设并不会导致项目所在区域森林生态系统中主要植被类型的变化，对本区域森林生态系统起控制作用的组分未变动，生态环境的异质性不会发生大的改变。因此，项目建设不会对项目区整个森林生态系统的稳定性和结构完整性产生影响，工程建设对森林生态系统孕育和保存生物多样性的功能影响较小。</w:t>
      </w:r>
    </w:p>
    <w:p w14:paraId="2F15D000">
      <w:pPr>
        <w:adjustRightInd w:val="0"/>
        <w:snapToGrid w:val="0"/>
        <w:ind w:firstLine="480"/>
      </w:pPr>
      <w:r>
        <w:rPr>
          <w:rFonts w:hint="eastAsia"/>
        </w:rPr>
        <w:t>（2）对灌丛生态系统的影响</w:t>
      </w:r>
    </w:p>
    <w:p w14:paraId="72D962F1">
      <w:pPr>
        <w:adjustRightInd w:val="0"/>
        <w:snapToGrid w:val="0"/>
        <w:ind w:firstLine="480"/>
      </w:pPr>
      <w:r>
        <w:rPr>
          <w:rFonts w:hint="eastAsia"/>
        </w:rPr>
        <w:t>本</w:t>
      </w:r>
      <w:r>
        <w:t>工程</w:t>
      </w:r>
      <w:r>
        <w:rPr>
          <w:rFonts w:hint="eastAsia"/>
        </w:rPr>
        <w:t>建设</w:t>
      </w:r>
      <w:r>
        <w:t>对评价区灌丛和草地生态系统的</w:t>
      </w:r>
      <w:r>
        <w:rPr>
          <w:rFonts w:hint="eastAsia"/>
        </w:rPr>
        <w:t>不利</w:t>
      </w:r>
      <w:r>
        <w:t>影响主要</w:t>
      </w:r>
      <w:r>
        <w:rPr>
          <w:rFonts w:hint="eastAsia"/>
        </w:rPr>
        <w:t>有：</w:t>
      </w:r>
      <w:r>
        <w:fldChar w:fldCharType="begin"/>
      </w:r>
      <w:r>
        <w:rPr>
          <w:rFonts w:hint="eastAsia"/>
        </w:rPr>
        <w:instrText xml:space="preserve">= 1 \* GB3</w:instrText>
      </w:r>
      <w:r>
        <w:fldChar w:fldCharType="separate"/>
      </w:r>
      <w:r>
        <w:rPr>
          <w:rFonts w:hint="eastAsia"/>
        </w:rPr>
        <w:t>①</w:t>
      </w:r>
      <w:r>
        <w:fldChar w:fldCharType="end"/>
      </w:r>
      <w:r>
        <w:rPr>
          <w:rFonts w:hint="eastAsia"/>
        </w:rPr>
        <w:t>施工占地：</w:t>
      </w:r>
      <w:r>
        <w:t>施工</w:t>
      </w:r>
      <w:r>
        <w:rPr>
          <w:rFonts w:hint="eastAsia"/>
        </w:rPr>
        <w:t>占地将</w:t>
      </w:r>
      <w:r>
        <w:t>对</w:t>
      </w:r>
      <w:r>
        <w:rPr>
          <w:rFonts w:hint="eastAsia"/>
        </w:rPr>
        <w:t>评价区</w:t>
      </w:r>
      <w:r>
        <w:t>灌丛和草地生态系统</w:t>
      </w:r>
      <w:r>
        <w:rPr>
          <w:rFonts w:hint="eastAsia"/>
        </w:rPr>
        <w:t>产生直接</w:t>
      </w:r>
      <w:r>
        <w:t>的</w:t>
      </w:r>
      <w:r>
        <w:rPr>
          <w:rFonts w:hint="eastAsia"/>
        </w:rPr>
        <w:t>破坏；</w:t>
      </w:r>
      <w:r>
        <w:fldChar w:fldCharType="begin"/>
      </w:r>
      <w:r>
        <w:rPr>
          <w:rFonts w:hint="eastAsia"/>
        </w:rPr>
        <w:instrText xml:space="preserve">= 2 \* GB3</w:instrText>
      </w:r>
      <w:r>
        <w:fldChar w:fldCharType="separate"/>
      </w:r>
      <w:r>
        <w:rPr>
          <w:rFonts w:hint="eastAsia"/>
        </w:rPr>
        <w:t>②</w:t>
      </w:r>
      <w:r>
        <w:fldChar w:fldCharType="end"/>
      </w:r>
      <w:r>
        <w:rPr>
          <w:rFonts w:hint="eastAsia"/>
        </w:rPr>
        <w:t>施工活动：施工活动中机</w:t>
      </w:r>
      <w:r>
        <w:t>械施工碾压</w:t>
      </w:r>
      <w:r>
        <w:rPr>
          <w:rFonts w:hint="eastAsia"/>
        </w:rPr>
        <w:t>、施工人员踩踏、施工活动产生的扬尘、废水、废气、生活垃圾等，会</w:t>
      </w:r>
      <w:r>
        <w:t>影响灌丛和草地生态系统内动植物生命活动</w:t>
      </w:r>
      <w:r>
        <w:rPr>
          <w:rFonts w:hint="eastAsia"/>
        </w:rPr>
        <w:t>；</w:t>
      </w:r>
      <w:r>
        <w:fldChar w:fldCharType="begin"/>
      </w:r>
      <w:r>
        <w:rPr>
          <w:rFonts w:hint="eastAsia"/>
        </w:rPr>
        <w:instrText xml:space="preserve">= 3 \* GB3</w:instrText>
      </w:r>
      <w:r>
        <w:fldChar w:fldCharType="separate"/>
      </w:r>
      <w:r>
        <w:rPr>
          <w:rFonts w:hint="eastAsia"/>
        </w:rPr>
        <w:t>③</w:t>
      </w:r>
      <w:r>
        <w:fldChar w:fldCharType="end"/>
      </w:r>
      <w:r>
        <w:t>水土流失</w:t>
      </w:r>
      <w:r>
        <w:rPr>
          <w:rFonts w:hint="eastAsia"/>
        </w:rPr>
        <w:t>：</w:t>
      </w:r>
      <w:r>
        <w:t>水土流失</w:t>
      </w:r>
      <w:r>
        <w:rPr>
          <w:rFonts w:hint="eastAsia"/>
        </w:rPr>
        <w:t>亦会对评价区</w:t>
      </w:r>
      <w:r>
        <w:t>灌丛和草地生态系统</w:t>
      </w:r>
      <w:r>
        <w:rPr>
          <w:rFonts w:hint="eastAsia"/>
        </w:rPr>
        <w:t>产生</w:t>
      </w:r>
      <w:r>
        <w:t>影响。</w:t>
      </w:r>
    </w:p>
    <w:p w14:paraId="18B5BAAE">
      <w:pPr>
        <w:adjustRightInd w:val="0"/>
        <w:snapToGrid w:val="0"/>
        <w:ind w:firstLine="480"/>
      </w:pPr>
      <w:bookmarkStart w:id="176" w:name="_Hlk144967159"/>
      <w:r>
        <w:t>本项目总占地面积共计43.163hm</w:t>
      </w:r>
      <w:r>
        <w:rPr>
          <w:vertAlign w:val="superscript"/>
        </w:rPr>
        <w:t>2</w:t>
      </w:r>
      <w:r>
        <w:t>，其中灌草地13.003hm</w:t>
      </w:r>
      <w:r>
        <w:rPr>
          <w:vertAlign w:val="superscript"/>
        </w:rPr>
        <w:t>2</w:t>
      </w:r>
      <w:r>
        <w:t>，损失生物量约为331.32t，占评价区灌丛/草地生态系统面积（667.85hm</w:t>
      </w:r>
      <w:r>
        <w:rPr>
          <w:vertAlign w:val="superscript"/>
        </w:rPr>
        <w:t>2</w:t>
      </w:r>
      <w:r>
        <w:t>）的1.95%，占评价区总生物量（17016.82t）的1.95%，所占面积和损失生物量较小。随着施工期的结束，占地面积减少，生物量恢复，因此占地对灌丛/草地生态系统的影响较小。</w:t>
      </w:r>
    </w:p>
    <w:p w14:paraId="0EC753E5">
      <w:pPr>
        <w:adjustRightInd w:val="0"/>
        <w:snapToGrid w:val="0"/>
        <w:ind w:firstLine="480"/>
      </w:pPr>
      <w:r>
        <w:t>评价区内草本植物多以生命力强、生长速度快、适应性范围广、竞争力强的草本植物为主，其适应力强。通过对植被恢复等措施的实施，本工程建设对评价区草地生态系统的影响较小</w:t>
      </w:r>
      <w:r>
        <w:rPr>
          <w:rFonts w:hint="eastAsia"/>
        </w:rPr>
        <w:t>。</w:t>
      </w:r>
    </w:p>
    <w:bookmarkEnd w:id="176"/>
    <w:p w14:paraId="0FEA31E4">
      <w:pPr>
        <w:adjustRightInd w:val="0"/>
        <w:snapToGrid w:val="0"/>
        <w:ind w:firstLine="480"/>
      </w:pPr>
      <w:r>
        <w:rPr>
          <w:rFonts w:hint="eastAsia"/>
        </w:rPr>
        <w:t>（3）对农业生态系统的影响</w:t>
      </w:r>
    </w:p>
    <w:p w14:paraId="2688A610">
      <w:pPr>
        <w:adjustRightInd w:val="0"/>
        <w:snapToGrid w:val="0"/>
        <w:ind w:firstLine="480"/>
      </w:pPr>
      <w:r>
        <w:rPr>
          <w:rFonts w:hint="eastAsia"/>
        </w:rPr>
        <w:t>本</w:t>
      </w:r>
      <w:r>
        <w:t>工程</w:t>
      </w:r>
      <w:r>
        <w:rPr>
          <w:rFonts w:hint="eastAsia"/>
        </w:rPr>
        <w:t>建设</w:t>
      </w:r>
      <w:r>
        <w:t>对评价区</w:t>
      </w:r>
      <w:r>
        <w:rPr>
          <w:rFonts w:hint="eastAsia"/>
        </w:rPr>
        <w:t>农业</w:t>
      </w:r>
      <w:r>
        <w:t>生态系统的影响主要</w:t>
      </w:r>
      <w:r>
        <w:rPr>
          <w:rFonts w:hint="eastAsia"/>
        </w:rPr>
        <w:t>有：</w:t>
      </w:r>
      <w:r>
        <w:fldChar w:fldCharType="begin"/>
      </w:r>
      <w:r>
        <w:rPr>
          <w:rFonts w:hint="eastAsia"/>
        </w:rPr>
        <w:instrText xml:space="preserve">= 1 \* GB3</w:instrText>
      </w:r>
      <w:r>
        <w:fldChar w:fldCharType="separate"/>
      </w:r>
      <w:r>
        <w:rPr>
          <w:rFonts w:hint="eastAsia"/>
        </w:rPr>
        <w:t>①</w:t>
      </w:r>
      <w:r>
        <w:fldChar w:fldCharType="end"/>
      </w:r>
      <w:r>
        <w:rPr>
          <w:rFonts w:hint="eastAsia"/>
        </w:rPr>
        <w:t>施工占地：施工占地会使评价区农业生态系统面积减少</w:t>
      </w:r>
      <w:r>
        <w:t>，农作物</w:t>
      </w:r>
      <w:r>
        <w:rPr>
          <w:rFonts w:hint="eastAsia"/>
        </w:rPr>
        <w:t>种植</w:t>
      </w:r>
      <w:r>
        <w:t>面积减少，农作物产量降低，对其中生存的动物也会有所影响</w:t>
      </w:r>
      <w:r>
        <w:rPr>
          <w:rFonts w:hint="eastAsia"/>
        </w:rPr>
        <w:t>；</w:t>
      </w:r>
      <w:r>
        <w:fldChar w:fldCharType="begin"/>
      </w:r>
      <w:r>
        <w:rPr>
          <w:rFonts w:hint="eastAsia"/>
        </w:rPr>
        <w:instrText xml:space="preserve">= 2 \* GB3</w:instrText>
      </w:r>
      <w:r>
        <w:fldChar w:fldCharType="separate"/>
      </w:r>
      <w:r>
        <w:rPr>
          <w:rFonts w:hint="eastAsia"/>
        </w:rPr>
        <w:t>②</w:t>
      </w:r>
      <w:r>
        <w:fldChar w:fldCharType="end"/>
      </w:r>
      <w:r>
        <w:rPr>
          <w:rFonts w:hint="eastAsia"/>
        </w:rPr>
        <w:t>土壤结构破坏：本工程施工会破坏土壤结构，改变土壤理化性质，进而会对农作物产量产生影响；</w:t>
      </w:r>
      <w:r>
        <w:fldChar w:fldCharType="begin"/>
      </w:r>
      <w:r>
        <w:rPr>
          <w:rFonts w:hint="eastAsia"/>
        </w:rPr>
        <w:instrText xml:space="preserve">= 3 \* GB3</w:instrText>
      </w:r>
      <w:r>
        <w:fldChar w:fldCharType="separate"/>
      </w:r>
      <w:r>
        <w:rPr>
          <w:rFonts w:hint="eastAsia"/>
        </w:rPr>
        <w:t>③</w:t>
      </w:r>
      <w:r>
        <w:fldChar w:fldCharType="end"/>
      </w:r>
      <w:r>
        <w:rPr>
          <w:rFonts w:hint="eastAsia"/>
        </w:rPr>
        <w:t>施工活动：施工活动中机械、人员碾压，施工活动产生的弃渣、废水、固废物等会对评价区农业生态系统产生不利影响。</w:t>
      </w:r>
    </w:p>
    <w:p w14:paraId="63576A0F">
      <w:pPr>
        <w:adjustRightInd w:val="0"/>
        <w:snapToGrid w:val="0"/>
        <w:ind w:firstLine="480"/>
      </w:pPr>
      <w:r>
        <w:rPr>
          <w:rFonts w:hint="eastAsia"/>
        </w:rPr>
        <w:t>评价区内农业生态系统面积为</w:t>
      </w:r>
      <w:r>
        <w:t>4.42hm</w:t>
      </w:r>
      <w:r>
        <w:rPr>
          <w:vertAlign w:val="superscript"/>
        </w:rPr>
        <w:t>2</w:t>
      </w:r>
      <w:r>
        <w:rPr>
          <w:rFonts w:hint="eastAsia"/>
        </w:rPr>
        <w:t>，占评价区总面积的</w:t>
      </w:r>
      <w:r>
        <w:t>0.38%</w:t>
      </w:r>
      <w:r>
        <w:rPr>
          <w:rFonts w:hint="eastAsia"/>
        </w:rPr>
        <w:t>，在评价区内零星分布，面积较小。农业生态系统内栖息着部分两栖类和鸟类动物，以两栖类动物为主，其中两栖类动物对风机营运时的噪音不敏感，鸟类会对长期无害的噪音产生适应，且本工程建设不占用农业生态系统。因此，本工程对农业生态系统的影响较小。</w:t>
      </w:r>
    </w:p>
    <w:p w14:paraId="2B8CAEC5">
      <w:pPr>
        <w:adjustRightInd w:val="0"/>
        <w:snapToGrid w:val="0"/>
        <w:ind w:firstLine="480"/>
      </w:pPr>
      <w:r>
        <w:rPr>
          <w:rFonts w:hint="eastAsia"/>
        </w:rPr>
        <w:t>（4）对城镇/村落生态系统的影响</w:t>
      </w:r>
    </w:p>
    <w:p w14:paraId="4F1995EE">
      <w:pPr>
        <w:adjustRightInd w:val="0"/>
        <w:snapToGrid w:val="0"/>
        <w:ind w:firstLine="480"/>
      </w:pPr>
      <w:r>
        <w:rPr>
          <w:rFonts w:hint="eastAsia"/>
        </w:rPr>
        <w:t>评价区内的城镇/村落生态系统比较零散，</w:t>
      </w:r>
      <w:r>
        <w:t>面积</w:t>
      </w:r>
      <w:r>
        <w:rPr>
          <w:rFonts w:hint="eastAsia"/>
        </w:rPr>
        <w:t>较小。根据</w:t>
      </w:r>
      <w:r>
        <w:t>工程布置，本工程建设将占用评价区</w:t>
      </w:r>
      <w:r>
        <w:rPr>
          <w:rFonts w:hint="eastAsia"/>
        </w:rPr>
        <w:t>城镇/村落</w:t>
      </w:r>
      <w:r>
        <w:t>生态系统，</w:t>
      </w:r>
      <w:r>
        <w:rPr>
          <w:rFonts w:hint="eastAsia"/>
        </w:rPr>
        <w:t>全部</w:t>
      </w:r>
      <w:r>
        <w:t>为临时占用，</w:t>
      </w:r>
      <w:r>
        <w:rPr>
          <w:rFonts w:hint="eastAsia"/>
        </w:rPr>
        <w:t>，城镇/村落生态系统内动植物种类组成简单，且为常见种，因此，本工程建设对城镇/村落生态系统的影响较小。且由于本工程建设，评价区内交通得到改善，</w:t>
      </w:r>
      <w:r>
        <w:t>区域内的经济将得到更好的发展</w:t>
      </w:r>
      <w:r>
        <w:rPr>
          <w:rFonts w:hint="eastAsia"/>
        </w:rPr>
        <w:t>，城镇化速度加快，较有利于评价区城镇/村落生态系统的发展。</w:t>
      </w:r>
    </w:p>
    <w:p w14:paraId="2399A78D">
      <w:pPr>
        <w:adjustRightInd w:val="0"/>
        <w:snapToGrid w:val="0"/>
        <w:ind w:firstLine="480"/>
      </w:pPr>
      <w:r>
        <w:rPr>
          <w:rFonts w:hint="eastAsia"/>
        </w:rPr>
        <w:t>（</w:t>
      </w:r>
      <w:r>
        <w:t>5</w:t>
      </w:r>
      <w:r>
        <w:rPr>
          <w:rFonts w:hint="eastAsia"/>
        </w:rPr>
        <w:t>）对湿地生态系统的影响</w:t>
      </w:r>
    </w:p>
    <w:p w14:paraId="58BD88C3">
      <w:pPr>
        <w:adjustRightInd w:val="0"/>
        <w:snapToGrid w:val="0"/>
        <w:ind w:firstLine="480"/>
      </w:pPr>
      <w:r>
        <w:rPr>
          <w:rFonts w:hint="eastAsia"/>
        </w:rPr>
        <w:t>评价区内湿地生态系统面积为</w:t>
      </w:r>
      <w:r>
        <w:t>0.23hm</w:t>
      </w:r>
      <w:r>
        <w:rPr>
          <w:vertAlign w:val="superscript"/>
        </w:rPr>
        <w:t>2</w:t>
      </w:r>
      <w:r>
        <w:rPr>
          <w:rFonts w:hint="eastAsia"/>
        </w:rPr>
        <w:t>，占评价区总面积的</w:t>
      </w:r>
      <w:r>
        <w:t>0.02%</w:t>
      </w:r>
      <w:r>
        <w:rPr>
          <w:rFonts w:hint="eastAsia"/>
        </w:rPr>
        <w:t>，主要为山间溪流、沟谷、坑塘及人工水库，评价区内湿地生态系统分布面积最小。根据工程布置，本工程建设不占用评价区湿地生态系统，但工程建设施工产生的污水废料，可能会对该区域内的水域环境造成一定的不利影响。本工程施工时间短，使用的工业材料少，在施工过程中会对施工产生的污水严格管控，避免污水流入评价区内的水体对湿地环境造成破坏。因此，本工程建设对评价区湿地生态系统的影响较小。</w:t>
      </w:r>
    </w:p>
    <w:p w14:paraId="7A34980C">
      <w:pPr>
        <w:tabs>
          <w:tab w:val="clear" w:pos="480"/>
        </w:tabs>
        <w:adjustRightInd w:val="0"/>
        <w:snapToGrid w:val="0"/>
        <w:ind w:firstLineChars="0"/>
        <w:outlineLvl w:val="3"/>
        <w:rPr>
          <w:b/>
          <w:kern w:val="0"/>
          <w:lang w:val="zh-CN"/>
        </w:rPr>
      </w:pPr>
      <w:r>
        <w:rPr>
          <w:b/>
          <w:kern w:val="0"/>
          <w:lang w:val="zh-CN"/>
        </w:rPr>
        <w:t>6.1.5.3</w:t>
      </w:r>
      <w:r>
        <w:rPr>
          <w:rFonts w:hint="eastAsia"/>
          <w:b/>
          <w:kern w:val="0"/>
          <w:lang w:val="zh-CN"/>
        </w:rPr>
        <w:t>对植被及植物的影响</w:t>
      </w:r>
    </w:p>
    <w:p w14:paraId="4EBA0430">
      <w:pPr>
        <w:adjustRightInd w:val="0"/>
        <w:snapToGrid w:val="0"/>
        <w:ind w:firstLine="480"/>
      </w:pPr>
      <w:r>
        <w:rPr>
          <w:rFonts w:hint="eastAsia"/>
        </w:rPr>
        <w:t>本工程施工期主要有土石方工程施工等活动，施工期工程对评价区植物及植被的影响因子主要有工程占地、施工活动及施工活动产生的废水、废气、弃渣、固废、扬尘等。</w:t>
      </w:r>
    </w:p>
    <w:p w14:paraId="513F7AC8">
      <w:pPr>
        <w:adjustRightInd w:val="0"/>
        <w:snapToGrid w:val="0"/>
        <w:ind w:firstLine="480"/>
      </w:pPr>
      <w:r>
        <w:rPr>
          <w:rFonts w:hint="eastAsia"/>
        </w:rPr>
        <w:t>（</w:t>
      </w:r>
      <w:r>
        <w:t>1</w:t>
      </w:r>
      <w:r>
        <w:rPr>
          <w:rFonts w:hint="eastAsia"/>
        </w:rPr>
        <w:t>）工程占地对植物及植被的影响</w:t>
      </w:r>
    </w:p>
    <w:p w14:paraId="0B56203A">
      <w:pPr>
        <w:adjustRightInd w:val="0"/>
        <w:snapToGrid w:val="0"/>
        <w:ind w:firstLine="480"/>
      </w:pPr>
      <w:r>
        <w:rPr>
          <w:rFonts w:hint="eastAsia"/>
        </w:rPr>
        <w:t>工程占地不可避免的会破坏占地区植物及植被，其中，永久占地是长期的、不可逆的，临时占地是暂时的、可恢复的。根据工程布置，本工程总占地面积</w:t>
      </w:r>
      <w:r>
        <w:t>43.163hm</w:t>
      </w:r>
      <w:r>
        <w:rPr>
          <w:vertAlign w:val="superscript"/>
        </w:rPr>
        <w:t>2</w:t>
      </w:r>
      <w:r>
        <w:rPr>
          <w:rFonts w:hint="eastAsia"/>
        </w:rPr>
        <w:t>，其中，永久占地</w:t>
      </w:r>
      <w:r>
        <w:t>1.163hm</w:t>
      </w:r>
      <w:r>
        <w:rPr>
          <w:vertAlign w:val="superscript"/>
        </w:rPr>
        <w:t>2</w:t>
      </w:r>
      <w:r>
        <w:rPr>
          <w:rFonts w:hint="eastAsia"/>
        </w:rPr>
        <w:t>，占总占地面积的</w:t>
      </w:r>
      <w:r>
        <w:t>2.69%</w:t>
      </w:r>
      <w:r>
        <w:rPr>
          <w:rFonts w:hint="eastAsia"/>
        </w:rPr>
        <w:t>，永久占地工程主要有风机及箱变基础、升压站用地等；临时占地</w:t>
      </w:r>
      <w:r>
        <w:t>42.0hm</w:t>
      </w:r>
      <w:r>
        <w:rPr>
          <w:vertAlign w:val="superscript"/>
        </w:rPr>
        <w:t>2</w:t>
      </w:r>
      <w:r>
        <w:rPr>
          <w:rFonts w:hint="eastAsia"/>
        </w:rPr>
        <w:t>，占地工程主要有风机安装场地、临时道路、弃渣场、施工生产生活区等。</w:t>
      </w:r>
    </w:p>
    <w:p w14:paraId="021F152F">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永久占地对植物及植被的影响</w:t>
      </w:r>
    </w:p>
    <w:p w14:paraId="7D7C63D1">
      <w:pPr>
        <w:adjustRightInd w:val="0"/>
        <w:snapToGrid w:val="0"/>
        <w:ind w:firstLine="480"/>
      </w:pPr>
      <w:r>
        <w:rPr>
          <w:rFonts w:hint="eastAsia"/>
        </w:rPr>
        <w:t>工程永久占地会使占地区土地利用类型发生改变，植物个体损失，植被生物量减少。根据工程布置，本工程永久占地区土地利用类型以林地、草地为主，工程建设会破坏区域林地、草地，会对区域林业生产产生不利影响。</w:t>
      </w:r>
    </w:p>
    <w:p w14:paraId="280E4E87">
      <w:pPr>
        <w:adjustRightInd w:val="0"/>
        <w:snapToGrid w:val="0"/>
        <w:ind w:firstLine="480"/>
      </w:pPr>
      <w:r>
        <w:rPr>
          <w:rFonts w:hint="eastAsia"/>
        </w:rPr>
        <w:t>结合具体工程布置，根据现场调查，永久占地区风机基础、箱变基础以及升压站主要以针叶林、灌草丛为主，常见的群系有杉木林、马尾松林、毛竹林、檵木灌丛、白栎灌丛、芒萁灌草丛、白茅灌草丛、五节芒灌草丛等，常见的植物种类有马尾松、杉木、青冈、毛竹、檵木、白栎、五节芒、芒萁、白茅等。受永久占地影响的植物均为常见种，植被均为常见类型，因此，永久占地对评价区内植物及植被影响较小，仅为个体损失、植被生物量减少，根据评价区各植被类型平均生物量，永久占地区植被损失的生物量约为</w:t>
      </w:r>
      <w:r>
        <w:t>28.72t</w:t>
      </w:r>
      <w:r>
        <w:rPr>
          <w:rFonts w:hint="eastAsia"/>
        </w:rPr>
        <w:t>，占评价区总生物量的</w:t>
      </w:r>
      <w:r>
        <w:t>0.09%</w:t>
      </w:r>
      <w:r>
        <w:rPr>
          <w:rFonts w:hint="eastAsia"/>
        </w:rPr>
        <w:t>，变化幅度减小，且施工结束后，林地补偿等植被恢复措施会在一定程度上缓解其影响。因此，永久占地对占地区植物种类、植被类型及生物量的影响较小，对评价区林业生产的影响较小。</w:t>
      </w:r>
    </w:p>
    <w:p w14:paraId="47E7565A">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临时占地对植物及植被的影响</w:t>
      </w:r>
    </w:p>
    <w:p w14:paraId="10E89536">
      <w:pPr>
        <w:adjustRightInd w:val="0"/>
        <w:snapToGrid w:val="0"/>
        <w:ind w:firstLine="480"/>
      </w:pPr>
      <w:r>
        <w:rPr>
          <w:rFonts w:hint="eastAsia"/>
        </w:rPr>
        <w:t>根据工程布置，本工程临时占地区土地利用类型以林地为主，工程建设会破坏区域林地、灌草地，会对区域林业生产产生不利影响。</w:t>
      </w:r>
    </w:p>
    <w:p w14:paraId="45B0FC47">
      <w:pPr>
        <w:adjustRightInd w:val="0"/>
        <w:snapToGrid w:val="0"/>
        <w:ind w:firstLine="480"/>
      </w:pPr>
      <w:r>
        <w:rPr>
          <w:rFonts w:hint="eastAsia"/>
        </w:rPr>
        <w:t>结合具体工程布置，根据现场调查，临时占地区有林地上植被以灌丛及灌草丛、针叶林为主，常见的群系有杉木林、马尾松林、毛竹林、篌竹林灌丛、油茶灌丛、盐肤木灌丛、羊蹄甲灌丛、苎麻灌丛、檵木灌丛、垂序商陆草丛、菝葜草丛、芒萁草丛、五节芒草丛、乌蔹莓草丛、白茅草丛、蕨草丛等，常见的植物种类有马尾松、杉木、青冈、毛竹、篌竹、油茶、盐肤木、羊蹄甲、苎麻、檵木、垂序商陆、菝葜、芒萁、五节芒、乌蔹莓、白茅、蕨等。受工程临时占地影响的植物均为常见种，植被均为常见类型，工程临时占地对评价区内植物及植被影响较小，仅为个体损失、植被生物量减少，根据评价区各植被类型平均生物量，临时占地区植被损失的生物量约</w:t>
      </w:r>
      <w:r>
        <w:t>881.87t</w:t>
      </w:r>
      <w:r>
        <w:rPr>
          <w:rFonts w:hint="eastAsia"/>
        </w:rPr>
        <w:t>，占评价区总生物量的</w:t>
      </w:r>
      <w:r>
        <w:t>2.62%</w:t>
      </w:r>
      <w:r>
        <w:rPr>
          <w:rFonts w:hint="eastAsia"/>
        </w:rPr>
        <w:t>，变化幅度较小，且随着施工结束，对临时占地区土地平整、复耕、植被恢复等，可使临时占地区植物及植被在适宜条件下可迅速得到恢复，因此，工程临时占地对植物及植被的影响较小。</w:t>
      </w:r>
    </w:p>
    <w:p w14:paraId="31CB0A75">
      <w:pPr>
        <w:adjustRightInd w:val="0"/>
        <w:snapToGrid w:val="0"/>
        <w:ind w:firstLine="480"/>
      </w:pPr>
      <w:r>
        <w:rPr>
          <w:rFonts w:hint="eastAsia"/>
        </w:rPr>
        <w:t>（</w:t>
      </w:r>
      <w:r>
        <w:t>2</w:t>
      </w:r>
      <w:r>
        <w:rPr>
          <w:rFonts w:hint="eastAsia"/>
        </w:rPr>
        <w:t>）施工活动对植物及植被的影响</w:t>
      </w:r>
    </w:p>
    <w:p w14:paraId="555CFC1A">
      <w:pPr>
        <w:adjustRightInd w:val="0"/>
        <w:snapToGrid w:val="0"/>
        <w:ind w:firstLine="480"/>
      </w:pPr>
      <w:r>
        <w:t>施工期，施工活动产生的弃渣、废水、废气、固废及人为干扰等会对区域植物及植被产生不利影响。根据施工活动对植物的影响方式，可分为直接影响及间接影响，直接影响主要为人员活动踩踏、车辆碾压</w:t>
      </w:r>
      <w:r>
        <w:rPr>
          <w:rFonts w:hint="eastAsia"/>
        </w:rPr>
        <w:t>和车辆运输风机扇叶过程中致使道路周边植物枝干遭到扇叶破坏折断等</w:t>
      </w:r>
      <w:r>
        <w:t>；间接影响主要是指施工活动产生的废气、废水、弃渣、固废、扬尘等对周边植物</w:t>
      </w:r>
      <w:r>
        <w:rPr>
          <w:rFonts w:hint="eastAsia"/>
        </w:rPr>
        <w:t>造成</w:t>
      </w:r>
      <w:r>
        <w:t>的影响。</w:t>
      </w:r>
    </w:p>
    <w:p w14:paraId="6B4043DD">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施工期直接影响主要来源于施工活动的影响，包括人员活动及运输车辆活动直接压覆或破坏道路旁及施工区域段的植被，</w:t>
      </w:r>
      <w:r>
        <w:t>使周边植物个体损失，植被生物量减少</w:t>
      </w:r>
      <w:r>
        <w:rPr>
          <w:rFonts w:hint="eastAsia"/>
        </w:rPr>
        <w:t>。进场道路设计选线阶段应严格考虑的区域内的地形地貌及风机扇叶长度与道路转角的关系，严格管控车辆行驶速度，对乔木林郁闭度较大的区域应该缓慢靠山体侧行驶，降低扇叶对道路旁植被的刮碰；施工阶段尽量要求在表层土已剥离位置进行施工及人员活动，加大环保力度的宣传，这种影响</w:t>
      </w:r>
      <w:r>
        <w:t>通过</w:t>
      </w:r>
      <w:r>
        <w:rPr>
          <w:rFonts w:hint="eastAsia"/>
        </w:rPr>
        <w:t>以上</w:t>
      </w:r>
      <w:r>
        <w:t>措施</w:t>
      </w:r>
      <w:r>
        <w:rPr>
          <w:rFonts w:hint="eastAsia"/>
        </w:rPr>
        <w:t>可</w:t>
      </w:r>
      <w:r>
        <w:t>进行缓解</w:t>
      </w:r>
      <w:r>
        <w:rPr>
          <w:rFonts w:hint="eastAsia"/>
        </w:rPr>
        <w:t>。</w:t>
      </w:r>
    </w:p>
    <w:p w14:paraId="1B786DFF">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施工期废气主要来源于燃油机械的尾气，其主要污染物为SO</w:t>
      </w:r>
      <w:r>
        <w:rPr>
          <w:vertAlign w:val="subscript"/>
        </w:rPr>
        <w:t>2</w:t>
      </w:r>
      <w:r>
        <w:t>、NO</w:t>
      </w:r>
      <w:r>
        <w:rPr>
          <w:vertAlign w:val="subscript"/>
        </w:rPr>
        <w:t>2</w:t>
      </w:r>
      <w:r>
        <w:t>、CO等。废气对植物的影响主要是在叶脉间或边缘出现不规则水渍状，导致叶片逐渐坏死，植物光合生产受阻，生长发育变缓。由于本工程建设规模较小，风机区较分散，风机区施工时间较短，施工区燃油机械相对较少，燃油机械的废气排放量相对较低，再加上施工期机械尾气属移动线源排放，因此施工期废气对植物及植被的影响较小。</w:t>
      </w:r>
    </w:p>
    <w:p w14:paraId="76209B16">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施工期废水分为生产废水和生活污水，生产废水主要来源于砂石料冲洗废水和机械检修场含油废水等，生活废水主要来源于临时生产生活区，废水对植物的影响主要是废水的随意排放会改变土壤理化性质，改变植物生长发育环境，进而影响其正常生命活动。但这种影响可通过在施工区及生产生活区布置污水处理</w:t>
      </w:r>
      <w:r>
        <w:rPr>
          <w:rFonts w:hint="eastAsia"/>
        </w:rPr>
        <w:t>设施</w:t>
      </w:r>
      <w:r>
        <w:t>等进行缓解。</w:t>
      </w:r>
    </w:p>
    <w:p w14:paraId="5BEA97D2">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弃渣主要来源于基础开挖、施工场地以及施工道路建设等，弃渣的随意堆放不仅会压覆区域内植物及植被，改变区域</w:t>
      </w:r>
      <w:r>
        <w:rPr>
          <w:rFonts w:hint="eastAsia"/>
          <w:lang w:eastAsia="zh-CN"/>
        </w:rPr>
        <w:t>环境</w:t>
      </w:r>
      <w:r>
        <w:t>条件，还可能导致局部区域的水土流失。同时弃渣多选于山坳处，如不合适当地山坳山涧水流冲沟现状，可能加大评价区内水土流失可能性，同时也会直接影响评价区内水文结构导致周围植物生活环境发生变化，从而影响其正常生长。但这种影响可通过对弃渣等进行统一调配与处理等措施进行缓解。</w:t>
      </w:r>
    </w:p>
    <w:p w14:paraId="51CF44CE">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扬尘主要来源于开辟施工便道，土石方调配，建筑物施工，直至工程竣工后场地清理、恢复等诸多工程，其中以运输车辆引起的二次扬尘影响时间最长，对周围植物及植被影响最严重。扬尘粗颗粒随风飘落到附近地面或植物叶、茎、花表面，会使其生命活动受到一定影响。由于评价区处亚热带季风气候区，区域内空气湿度相对较大，扬尘扩散范围有限，再加上施工期如能采取洒水抑尘等措施，可有效减轻扬尘对周围植物及植被的影响。</w:t>
      </w:r>
    </w:p>
    <w:p w14:paraId="178F73CC">
      <w:pPr>
        <w:adjustRightInd w:val="0"/>
        <w:snapToGrid w:val="0"/>
        <w:ind w:firstLine="480"/>
      </w:pPr>
      <w:r>
        <w:rPr>
          <w:rFonts w:hint="eastAsia"/>
        </w:rPr>
        <w:t>（</w:t>
      </w:r>
      <w:r>
        <w:t>3</w:t>
      </w:r>
      <w:r>
        <w:rPr>
          <w:rFonts w:hint="eastAsia"/>
        </w:rPr>
        <w:t>）人为干扰对植物及植被的影响</w:t>
      </w:r>
    </w:p>
    <w:p w14:paraId="755A0E3B">
      <w:pPr>
        <w:adjustRightInd w:val="0"/>
        <w:snapToGrid w:val="0"/>
        <w:ind w:firstLine="480"/>
      </w:pPr>
      <w:r>
        <w:rPr>
          <w:rFonts w:hint="eastAsia"/>
        </w:rPr>
        <w:t>本工程人为干扰对植物及植被的影响因素主要有人为砍伐、践踏、刮伤、运输作业等。人为干扰对植物及植被的影响主要影响有：</w:t>
      </w:r>
    </w:p>
    <w:p w14:paraId="1AE0E552">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施工期工程区人员增多，施工人员砍伐会破坏区域内植物及其</w:t>
      </w:r>
      <w:r>
        <w:rPr>
          <w:rFonts w:hint="eastAsia"/>
          <w:lang w:eastAsia="zh-CN"/>
        </w:rPr>
        <w:t>环境</w:t>
      </w:r>
      <w:r>
        <w:rPr>
          <w:rFonts w:hint="eastAsia"/>
        </w:rPr>
        <w:t>，会影响群落结构及种类组成；</w:t>
      </w:r>
    </w:p>
    <w:p w14:paraId="40CA463E">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施工期施工人员践踏、施工机械碾压会对植物地上部分造成机械性伤害，从而影响植物的生长发育，同时践踏等造成的土壤结构变化会间接影响区域内植物的生长发育；</w:t>
      </w:r>
    </w:p>
    <w:p w14:paraId="2AF58EFE">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施工期施工人员，工程机械、运输车辆等有意或无意对植物造成刮伤等会影响其物质运输，伤口暴露后易导致病虫害，进而会影响其生长发育；</w:t>
      </w:r>
    </w:p>
    <w:p w14:paraId="297B7147">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施工期运输作业传播种子，可能导致评价区杂草横行破坏原区域内植物及其</w:t>
      </w:r>
      <w:r>
        <w:rPr>
          <w:rFonts w:hint="eastAsia"/>
          <w:lang w:eastAsia="zh-CN"/>
        </w:rPr>
        <w:t>环境</w:t>
      </w:r>
      <w:r>
        <w:rPr>
          <w:rFonts w:hint="eastAsia"/>
        </w:rPr>
        <w:t>。</w:t>
      </w:r>
    </w:p>
    <w:p w14:paraId="7FB583CF">
      <w:pPr>
        <w:adjustRightInd w:val="0"/>
        <w:snapToGrid w:val="0"/>
        <w:ind w:firstLine="480"/>
      </w:pPr>
      <w:r>
        <w:rPr>
          <w:rFonts w:hint="eastAsia"/>
        </w:rPr>
        <w:t>由于本工程类型较小，施工人员不多，施工区植物多以抗逆性强的种类为主，施工期人为干扰对植物及植被的影响较小，同时施工期人为干扰等可通过加强宣传教育活动，加强施工监理，在施工前严格划定施工范围，规范施工人员活动等进行缓解，在相对措施得到落实后，人为干扰对植物及植被的影响可得到缓解。</w:t>
      </w:r>
    </w:p>
    <w:p w14:paraId="718EA64A">
      <w:pPr>
        <w:adjustRightInd w:val="0"/>
        <w:snapToGrid w:val="0"/>
        <w:ind w:firstLine="480"/>
      </w:pPr>
      <w:r>
        <w:rPr>
          <w:rFonts w:hint="eastAsia"/>
        </w:rPr>
        <w:t>（</w:t>
      </w:r>
      <w:r>
        <w:t>4</w:t>
      </w:r>
      <w:r>
        <w:rPr>
          <w:rFonts w:hint="eastAsia"/>
        </w:rPr>
        <w:t>）水土流失对植物及植被的影响</w:t>
      </w:r>
    </w:p>
    <w:p w14:paraId="088E5C19">
      <w:pPr>
        <w:adjustRightInd w:val="0"/>
        <w:snapToGrid w:val="0"/>
        <w:ind w:firstLine="480"/>
      </w:pPr>
      <w:r>
        <w:rPr>
          <w:rFonts w:hint="eastAsia"/>
        </w:rPr>
        <w:t>施工期占地区开挖、施工场地平整、施工道路建设等扰动地表，会进一步的造成表土裸露，受雨水冲击时易造成水土流失，将对植物及其</w:t>
      </w:r>
      <w:r>
        <w:rPr>
          <w:rFonts w:hint="eastAsia"/>
          <w:lang w:eastAsia="zh-CN"/>
        </w:rPr>
        <w:t>环境</w:t>
      </w:r>
      <w:r>
        <w:rPr>
          <w:rFonts w:hint="eastAsia"/>
        </w:rPr>
        <w:t>造成不利影响，同时，水土流失易导致土壤中的有机质也不断流失，从而破坏了土壤的结构，增加植被复垦工作的难度。但本项目采取表层土剥离并单独保存、开挖区下游侧拦挡、场地截排水、弃渣场综合防护、施工场地及时绿化等措施为水土流失做保障，只要切实落实水土保持方案，本工程水土流失对区域植物及植被的影响可以缓解。</w:t>
      </w:r>
    </w:p>
    <w:p w14:paraId="586FDE42">
      <w:pPr>
        <w:tabs>
          <w:tab w:val="clear" w:pos="480"/>
        </w:tabs>
        <w:adjustRightInd w:val="0"/>
        <w:snapToGrid w:val="0"/>
        <w:ind w:firstLineChars="0"/>
        <w:outlineLvl w:val="3"/>
        <w:rPr>
          <w:b/>
          <w:kern w:val="0"/>
          <w:lang w:val="zh-CN"/>
        </w:rPr>
      </w:pPr>
      <w:r>
        <w:rPr>
          <w:b/>
          <w:kern w:val="0"/>
          <w:lang w:val="zh-CN"/>
        </w:rPr>
        <w:t>6.1.5.4</w:t>
      </w:r>
      <w:r>
        <w:rPr>
          <w:rFonts w:hint="eastAsia"/>
          <w:b/>
          <w:kern w:val="0"/>
          <w:lang w:val="zh-CN"/>
        </w:rPr>
        <w:t>对陆生动物的影响</w:t>
      </w:r>
    </w:p>
    <w:p w14:paraId="56AE6623">
      <w:pPr>
        <w:adjustRightInd w:val="0"/>
        <w:snapToGrid w:val="0"/>
        <w:ind w:firstLine="480"/>
      </w:pPr>
      <w:r>
        <w:rPr>
          <w:rFonts w:hint="eastAsia"/>
        </w:rPr>
        <w:t>衡阳县杉桥风电场工程在施工期对陆生动物的影响主要包括施工道路、风机的占地对其</w:t>
      </w:r>
      <w:r>
        <w:rPr>
          <w:rFonts w:hint="eastAsia"/>
          <w:lang w:eastAsia="zh-CN"/>
        </w:rPr>
        <w:t>环境</w:t>
      </w:r>
      <w:r>
        <w:rPr>
          <w:rFonts w:hint="eastAsia"/>
        </w:rPr>
        <w:t>的占用和破坏；施工噪音、施工人员活动以及夜间光照等对动物栖息、觅食、求偶繁殖等行为的影响；施工产生的废水、弃渣、建筑材料堆积等均会在不同程度上对动物及其</w:t>
      </w:r>
      <w:r>
        <w:rPr>
          <w:rFonts w:hint="eastAsia"/>
          <w:lang w:eastAsia="zh-CN"/>
        </w:rPr>
        <w:t>环境</w:t>
      </w:r>
      <w:r>
        <w:rPr>
          <w:rFonts w:hint="eastAsia"/>
        </w:rPr>
        <w:t>产生一定影响。</w:t>
      </w:r>
    </w:p>
    <w:p w14:paraId="7B913696">
      <w:pPr>
        <w:adjustRightInd w:val="0"/>
        <w:snapToGrid w:val="0"/>
        <w:ind w:firstLine="480"/>
      </w:pPr>
      <w:r>
        <w:rPr>
          <w:rFonts w:hint="eastAsia"/>
        </w:rPr>
        <w:t>拟建风机布机位置主要为山顶或山坡高处地形较平缓地段，风机地基处植被林地为主，还有少量的灌丛和灌草丛，这里生存的鸟类以雀形目鸟类为主。由于风机处于山顶或山坡高处，该区域内很少形成积水，故占地区湿地鸟类很少见到。评价区的鹭类只栖息在山脚下的水库、河流、农田等水域环境中。在拟建的风电场范围内，体型稍微大型的鸟类是鸡形目的环颈雉、灰胸竹鸡和猛禽等。在评价区内比较常见的鸟类有家燕、大山雀、棕头鸦雀、黑卷尾、金翅雀、白鹡鸰、白头鹎和领雀嘴鹎等。风电场建设期间，无论是进场道路、基座还是材料堆放场等临时用地，都将对当地的环境造成改变，原来的山林草灌生态系统变为风电场的用地，会对当地鸟类及其他野生动物带来一定的影响。</w:t>
      </w:r>
    </w:p>
    <w:p w14:paraId="0CE80B96">
      <w:pPr>
        <w:adjustRightInd w:val="0"/>
        <w:snapToGrid w:val="0"/>
        <w:ind w:firstLine="480"/>
      </w:pPr>
      <w:r>
        <w:rPr>
          <w:rFonts w:hint="eastAsia"/>
        </w:rPr>
        <w:t>（1）施工道路</w:t>
      </w:r>
      <w:r>
        <w:t>修建</w:t>
      </w:r>
      <w:r>
        <w:rPr>
          <w:rFonts w:hint="eastAsia"/>
        </w:rPr>
        <w:t>对</w:t>
      </w:r>
      <w:r>
        <w:t>动物的影响</w:t>
      </w:r>
    </w:p>
    <w:p w14:paraId="3D112CF8">
      <w:pPr>
        <w:adjustRightInd w:val="0"/>
        <w:snapToGrid w:val="0"/>
        <w:ind w:firstLine="480"/>
      </w:pPr>
      <w:r>
        <w:rPr>
          <w:rFonts w:hint="eastAsia"/>
        </w:rPr>
        <w:t>本项目新建场内道路</w:t>
      </w:r>
      <w:r>
        <w:t>16.4km</w:t>
      </w:r>
      <w:r>
        <w:rPr>
          <w:rFonts w:hint="eastAsia"/>
        </w:rPr>
        <w:t>，改建场内道路</w:t>
      </w:r>
      <w:r>
        <w:t>4.1km</w:t>
      </w:r>
      <w:r>
        <w:rPr>
          <w:rFonts w:hint="eastAsia"/>
        </w:rPr>
        <w:t>，改建进场道路</w:t>
      </w:r>
      <w:r>
        <w:t>10km</w:t>
      </w:r>
      <w:r>
        <w:rPr>
          <w:rFonts w:hint="eastAsia"/>
        </w:rPr>
        <w:t>。。道</w:t>
      </w:r>
      <w:r>
        <w:t>路的建设对动物的影响有：</w:t>
      </w:r>
      <w:r>
        <w:rPr>
          <w:rFonts w:hint="eastAsia"/>
          <w:lang w:eastAsia="zh-CN"/>
        </w:rPr>
        <w:t>环境</w:t>
      </w:r>
      <w:r>
        <w:rPr>
          <w:rFonts w:hint="eastAsia"/>
        </w:rPr>
        <w:t>占用</w:t>
      </w:r>
      <w:r>
        <w:t>及</w:t>
      </w:r>
      <w:r>
        <w:rPr>
          <w:rFonts w:hint="eastAsia"/>
          <w:lang w:eastAsia="zh-CN"/>
        </w:rPr>
        <w:t>环境</w:t>
      </w:r>
      <w:r>
        <w:t>片段化的影响、对动物活动的阻隔影响。场内道路主要沿山脊及平缓山坡布设，占用土地利用类型主要有林地和灌草地</w:t>
      </w:r>
      <w:r>
        <w:rPr>
          <w:rFonts w:hint="eastAsia"/>
        </w:rPr>
        <w:t>。</w:t>
      </w:r>
    </w:p>
    <w:p w14:paraId="56F6F7C4">
      <w:pPr>
        <w:adjustRightInd w:val="0"/>
        <w:snapToGrid w:val="0"/>
        <w:ind w:firstLine="480"/>
      </w:pPr>
      <w:r>
        <w:t>施工道路的占地伴随着两爬类</w:t>
      </w:r>
      <w:r>
        <w:rPr>
          <w:rFonts w:hint="eastAsia"/>
          <w:lang w:eastAsia="zh-CN"/>
        </w:rPr>
        <w:t>环境</w:t>
      </w:r>
      <w:r>
        <w:t>的丧失、</w:t>
      </w:r>
      <w:r>
        <w:rPr>
          <w:rFonts w:hint="eastAsia"/>
          <w:lang w:eastAsia="zh-CN"/>
        </w:rPr>
        <w:t>环境</w:t>
      </w:r>
      <w:r>
        <w:t>的片段化，两爬类动物被迫寻找新的生活环境，从而加剧种内种间竞争。片段化的两爬的</w:t>
      </w:r>
      <w:r>
        <w:rPr>
          <w:rFonts w:hint="eastAsia"/>
          <w:lang w:eastAsia="zh-CN"/>
        </w:rPr>
        <w:t>环境</w:t>
      </w:r>
      <w:r>
        <w:t>，使其觅食范围、活动区域减少，对其栖息、觅食、求偶繁殖等有一定的影响。施工道路的修建会使得鸟类</w:t>
      </w:r>
      <w:r>
        <w:rPr>
          <w:rFonts w:hint="eastAsia"/>
        </w:rPr>
        <w:t>、</w:t>
      </w:r>
      <w:r>
        <w:t>兽类的部分</w:t>
      </w:r>
      <w:r>
        <w:rPr>
          <w:rFonts w:hint="eastAsia"/>
          <w:lang w:eastAsia="zh-CN"/>
        </w:rPr>
        <w:t>环境</w:t>
      </w:r>
      <w:r>
        <w:t>被占用，但鸟类</w:t>
      </w:r>
      <w:r>
        <w:rPr>
          <w:rFonts w:hint="eastAsia"/>
        </w:rPr>
        <w:t>、</w:t>
      </w:r>
      <w:r>
        <w:t>兽类的迁移能力较强，且道路周围类似</w:t>
      </w:r>
      <w:r>
        <w:rPr>
          <w:rFonts w:hint="eastAsia"/>
          <w:lang w:eastAsia="zh-CN"/>
        </w:rPr>
        <w:t>环境</w:t>
      </w:r>
      <w:r>
        <w:t>较多，</w:t>
      </w:r>
      <w:r>
        <w:rPr>
          <w:rFonts w:hint="eastAsia"/>
        </w:rPr>
        <w:t>其</w:t>
      </w:r>
      <w:r>
        <w:t>可以迁往</w:t>
      </w:r>
      <w:r>
        <w:rPr>
          <w:rFonts w:hint="eastAsia"/>
        </w:rPr>
        <w:t>其他适宜</w:t>
      </w:r>
      <w:r>
        <w:t>其栖息、觅食、求偶繁殖等活动区</w:t>
      </w:r>
      <w:r>
        <w:rPr>
          <w:rFonts w:hint="eastAsia"/>
          <w:lang w:eastAsia="zh-CN"/>
        </w:rPr>
        <w:t>环境</w:t>
      </w:r>
      <w:r>
        <w:t>，故施工道路的修建对鸟类</w:t>
      </w:r>
      <w:r>
        <w:rPr>
          <w:rFonts w:hint="eastAsia"/>
        </w:rPr>
        <w:t>和</w:t>
      </w:r>
      <w:r>
        <w:t>兽类的影响不大。</w:t>
      </w:r>
    </w:p>
    <w:p w14:paraId="5B8BF397">
      <w:pPr>
        <w:adjustRightInd w:val="0"/>
        <w:snapToGrid w:val="0"/>
        <w:ind w:firstLine="480"/>
      </w:pPr>
      <w:r>
        <w:t>施工道路修建时材料运输车辆通行，以及公路本身，阻断了两边动物的正常交流，对其觅食、求偶繁殖等活动有一定的影响，可能造成其种群数量的下降。</w:t>
      </w:r>
      <w:r>
        <w:rPr>
          <w:rFonts w:hint="eastAsia"/>
        </w:rPr>
        <w:t>这类影响也主要是针对运动能力较弱的两栖、爬行类动物。</w:t>
      </w:r>
      <w:r>
        <w:t>这些影响在施工结束后，通过一定的</w:t>
      </w:r>
      <w:r>
        <w:rPr>
          <w:rFonts w:hint="eastAsia"/>
        </w:rPr>
        <w:t>植被恢复</w:t>
      </w:r>
      <w:r>
        <w:t>措施</w:t>
      </w:r>
      <w:r>
        <w:rPr>
          <w:rFonts w:hint="eastAsia"/>
        </w:rPr>
        <w:t>，对破坏的动物</w:t>
      </w:r>
      <w:r>
        <w:rPr>
          <w:rFonts w:hint="eastAsia"/>
          <w:lang w:eastAsia="zh-CN"/>
        </w:rPr>
        <w:t>环境</w:t>
      </w:r>
      <w:r>
        <w:rPr>
          <w:rFonts w:hint="eastAsia"/>
        </w:rPr>
        <w:t>进行恢复</w:t>
      </w:r>
      <w:r>
        <w:t>，可以使两边动物类群恢复原有种群数量及密度，且施工道路路面为泥结碎石结构，施工结束后通行车辆较少，一些草本植被可以自然生长，因此动物</w:t>
      </w:r>
      <w:r>
        <w:rPr>
          <w:rFonts w:hint="eastAsia"/>
          <w:lang w:eastAsia="zh-CN"/>
        </w:rPr>
        <w:t>环境</w:t>
      </w:r>
      <w:r>
        <w:t>丧失及</w:t>
      </w:r>
      <w:r>
        <w:rPr>
          <w:rFonts w:hint="eastAsia"/>
          <w:lang w:eastAsia="zh-CN"/>
        </w:rPr>
        <w:t>环境</w:t>
      </w:r>
      <w:r>
        <w:t>片断化、</w:t>
      </w:r>
      <w:r>
        <w:rPr>
          <w:rFonts w:hint="eastAsia"/>
        </w:rPr>
        <w:t>道</w:t>
      </w:r>
      <w:r>
        <w:t>路的阻隔作用对两栖类、爬行类和兽类的影响不大。</w:t>
      </w:r>
    </w:p>
    <w:p w14:paraId="230CDC72">
      <w:pPr>
        <w:adjustRightInd w:val="0"/>
        <w:snapToGrid w:val="0"/>
        <w:ind w:firstLine="480"/>
      </w:pPr>
      <w:r>
        <w:t>在施工过程，道路的施工由于地理特殊性，存在爆破施工，爆破产生的噪音会驱赶野生动物，可能使施工区域附近的野生动物受到惊吓，对其觅食活动也将产生一定的影响。</w:t>
      </w:r>
    </w:p>
    <w:p w14:paraId="3F71CD2B">
      <w:pPr>
        <w:adjustRightInd w:val="0"/>
        <w:snapToGrid w:val="0"/>
        <w:ind w:firstLine="480"/>
      </w:pPr>
      <w:r>
        <w:rPr>
          <w:rFonts w:hint="eastAsia"/>
        </w:rPr>
        <w:t>（2）工程占地</w:t>
      </w:r>
      <w:r>
        <w:t>对</w:t>
      </w:r>
      <w:r>
        <w:rPr>
          <w:rFonts w:hint="eastAsia"/>
        </w:rPr>
        <w:t>动物</w:t>
      </w:r>
      <w:r>
        <w:rPr>
          <w:rFonts w:hint="eastAsia"/>
          <w:lang w:eastAsia="zh-CN"/>
        </w:rPr>
        <w:t>环境</w:t>
      </w:r>
      <w:r>
        <w:t>的影响</w:t>
      </w:r>
    </w:p>
    <w:p w14:paraId="0BD8B69A">
      <w:pPr>
        <w:adjustRightInd w:val="0"/>
        <w:snapToGrid w:val="0"/>
        <w:ind w:firstLine="480"/>
      </w:pPr>
      <w:r>
        <w:rPr>
          <w:rFonts w:hint="eastAsia"/>
        </w:rPr>
        <w:t>本项目共计总占地面积</w:t>
      </w:r>
      <w:r>
        <w:t>43.163hm</w:t>
      </w:r>
      <w:r>
        <w:rPr>
          <w:vertAlign w:val="superscript"/>
        </w:rPr>
        <w:t>2</w:t>
      </w:r>
      <w:r>
        <w:rPr>
          <w:rFonts w:hint="eastAsia"/>
        </w:rPr>
        <w:t>，包括永久占地面积</w:t>
      </w:r>
      <w:r>
        <w:t>1.163hm</w:t>
      </w:r>
      <w:r>
        <w:rPr>
          <w:vertAlign w:val="superscript"/>
        </w:rPr>
        <w:t>2</w:t>
      </w:r>
      <w:r>
        <w:rPr>
          <w:rFonts w:hint="eastAsia"/>
        </w:rPr>
        <w:t>，临时用地面积</w:t>
      </w:r>
      <w:r>
        <w:t>42.0hm</w:t>
      </w:r>
      <w:r>
        <w:rPr>
          <w:vertAlign w:val="superscript"/>
        </w:rPr>
        <w:t>2</w:t>
      </w:r>
      <w:r>
        <w:rPr>
          <w:rFonts w:hint="eastAsia"/>
        </w:rPr>
        <w:t>，占地类型主要为林地和草地。占地的影响主要表现为风机及箱变基础、升压站等永久占地和道路建设时的临时占地等，工程占地会使野生动物的</w:t>
      </w:r>
      <w:r>
        <w:rPr>
          <w:rFonts w:hint="eastAsia"/>
          <w:lang w:eastAsia="zh-CN"/>
        </w:rPr>
        <w:t>环境</w:t>
      </w:r>
      <w:r>
        <w:rPr>
          <w:rFonts w:hint="eastAsia"/>
        </w:rPr>
        <w:t>丧失、</w:t>
      </w:r>
      <w:r>
        <w:rPr>
          <w:rFonts w:hint="eastAsia"/>
          <w:lang w:eastAsia="zh-CN"/>
        </w:rPr>
        <w:t>环境</w:t>
      </w:r>
      <w:r>
        <w:rPr>
          <w:rFonts w:hint="eastAsia"/>
        </w:rPr>
        <w:t>片段化和对动物产生阻隔影响。</w:t>
      </w:r>
    </w:p>
    <w:p w14:paraId="13E1EC78">
      <w:pPr>
        <w:adjustRightInd w:val="0"/>
        <w:snapToGrid w:val="0"/>
        <w:ind w:firstLine="480"/>
      </w:pPr>
      <w:r>
        <w:rPr>
          <w:rFonts w:hint="eastAsia"/>
          <w:lang w:eastAsia="zh-CN"/>
        </w:rPr>
        <w:t>环境</w:t>
      </w:r>
      <w:r>
        <w:rPr>
          <w:rFonts w:hint="eastAsia"/>
        </w:rPr>
        <w:t>丧失及</w:t>
      </w:r>
      <w:r>
        <w:rPr>
          <w:rFonts w:hint="eastAsia"/>
          <w:lang w:eastAsia="zh-CN"/>
        </w:rPr>
        <w:t>环境</w:t>
      </w:r>
      <w:r>
        <w:rPr>
          <w:rFonts w:hint="eastAsia"/>
        </w:rPr>
        <w:t>片段化对野生动物的影响：施工道路的占地伴随着生活于该区域类的野生动物的丧失、</w:t>
      </w:r>
      <w:r>
        <w:rPr>
          <w:rFonts w:hint="eastAsia"/>
          <w:lang w:eastAsia="zh-CN"/>
        </w:rPr>
        <w:t>环境</w:t>
      </w:r>
      <w:r>
        <w:rPr>
          <w:rFonts w:hint="eastAsia"/>
        </w:rPr>
        <w:t>的片段化，野生动物被迫寻找新的生活环境，从而加剧种内种间竞争。片段化的</w:t>
      </w:r>
      <w:r>
        <w:rPr>
          <w:rFonts w:hint="eastAsia"/>
          <w:lang w:eastAsia="zh-CN"/>
        </w:rPr>
        <w:t>环境</w:t>
      </w:r>
      <w:r>
        <w:rPr>
          <w:rFonts w:hint="eastAsia"/>
        </w:rPr>
        <w:t>，使野生动物的觅食范围和活动区域减少，对其栖息、觅食、求偶繁殖等有一定的影响。施工道路的修建会使得鸟类、兽类的部分</w:t>
      </w:r>
      <w:r>
        <w:rPr>
          <w:rFonts w:hint="eastAsia"/>
          <w:lang w:eastAsia="zh-CN"/>
        </w:rPr>
        <w:t>环境</w:t>
      </w:r>
      <w:r>
        <w:rPr>
          <w:rFonts w:hint="eastAsia"/>
        </w:rPr>
        <w:t>被占用，但鸟类、兽类的迁移能力较强，且道路周围替代</w:t>
      </w:r>
      <w:r>
        <w:rPr>
          <w:rFonts w:hint="eastAsia"/>
          <w:lang w:eastAsia="zh-CN"/>
        </w:rPr>
        <w:t>环境</w:t>
      </w:r>
      <w:r>
        <w:rPr>
          <w:rFonts w:hint="eastAsia"/>
        </w:rPr>
        <w:t>较多，鸟类和兽类可迁往替代</w:t>
      </w:r>
      <w:r>
        <w:rPr>
          <w:rFonts w:hint="eastAsia"/>
          <w:lang w:eastAsia="zh-CN"/>
        </w:rPr>
        <w:t>环境</w:t>
      </w:r>
      <w:r>
        <w:rPr>
          <w:rFonts w:hint="eastAsia"/>
        </w:rPr>
        <w:t>进行栖息、觅食、求偶繁殖等活动。工程场内道路主要是沿山脊及平缓山坡布设，该区域内水源较少，两栖爬行主要在靠近水域的地方活动，因而该区域内两栖类动物物种丰富度不高，因此对其影响较小。对于兽类，道路的占地会迫使其寻找新</w:t>
      </w:r>
      <w:r>
        <w:rPr>
          <w:rFonts w:hint="eastAsia"/>
          <w:lang w:eastAsia="zh-CN"/>
        </w:rPr>
        <w:t>环境</w:t>
      </w:r>
      <w:r>
        <w:rPr>
          <w:rFonts w:hint="eastAsia"/>
        </w:rPr>
        <w:t>，从而加剧种内种间竞争，对其栖息、觅食、繁衍活动造成一定的不利影响。故施工道路的修建对两栖类、鸟类和兽类的影响不大，对爬行类动物的影响较大。</w:t>
      </w:r>
    </w:p>
    <w:p w14:paraId="5D3965C0">
      <w:pPr>
        <w:adjustRightInd w:val="0"/>
        <w:snapToGrid w:val="0"/>
        <w:ind w:firstLine="480"/>
      </w:pPr>
      <w:r>
        <w:rPr>
          <w:rFonts w:hint="eastAsia"/>
        </w:rPr>
        <w:t>对野生动物活动的阻隔影响</w:t>
      </w:r>
      <w:bookmarkStart w:id="177" w:name="_Hlk143768595"/>
      <w:r>
        <w:rPr>
          <w:rFonts w:hint="eastAsia"/>
        </w:rPr>
        <w:t>：本项目新建场内道路</w:t>
      </w:r>
      <w:r>
        <w:t>16.4km</w:t>
      </w:r>
      <w:r>
        <w:rPr>
          <w:rFonts w:hint="eastAsia"/>
        </w:rPr>
        <w:t>，改建场内道路</w:t>
      </w:r>
      <w:r>
        <w:t>4.1km</w:t>
      </w:r>
      <w:r>
        <w:rPr>
          <w:rFonts w:hint="eastAsia"/>
        </w:rPr>
        <w:t>，改建进场道路</w:t>
      </w:r>
      <w:r>
        <w:t>10km</w:t>
      </w:r>
      <w:r>
        <w:rPr>
          <w:rFonts w:hint="eastAsia"/>
        </w:rPr>
        <w:t>。</w:t>
      </w:r>
      <w:bookmarkEnd w:id="177"/>
      <w:r>
        <w:rPr>
          <w:rFonts w:hint="eastAsia"/>
        </w:rPr>
        <w:t>施工道路修建时材料运输车辆通行，以及公路阻断了两边动物的正常交流，对两栖类、爬行类和哺乳类动物的觅食、求偶繁殖等活动会有一定的影响。动物在新建道路上穿行时具有死亡风险，会造成其种群数量的下降，这类影响主要是针对运动能力较弱的两栖类和爬行类动物。施工道路路面为泥结碎石，且车辆通行量不大，主要占地为临时占地，施工结束后，该区域内的植被基本能恢复，因此新建公路对两栖类、爬行类和兽类的影响不大。</w:t>
      </w:r>
    </w:p>
    <w:p w14:paraId="7E014C64">
      <w:pPr>
        <w:adjustRightInd w:val="0"/>
        <w:snapToGrid w:val="0"/>
        <w:ind w:firstLine="480"/>
      </w:pPr>
      <w:r>
        <w:rPr>
          <w:rFonts w:hint="eastAsia"/>
        </w:rPr>
        <w:t>这些影响在施工结束后，通过一定的植被恢复措施，对破坏的动物</w:t>
      </w:r>
      <w:r>
        <w:rPr>
          <w:rFonts w:hint="eastAsia"/>
          <w:lang w:eastAsia="zh-CN"/>
        </w:rPr>
        <w:t>环境</w:t>
      </w:r>
      <w:r>
        <w:rPr>
          <w:rFonts w:hint="eastAsia"/>
        </w:rPr>
        <w:t>进行恢复，可以使两边动物类群恢复原有种群数量及密度，且施工道路路面为泥结碎石，施工结束后通行车辆较少，一些草本植被可以自然生长，因此公路的阻隔作用对两栖类、爬行类和兽类的影响不大。</w:t>
      </w:r>
    </w:p>
    <w:p w14:paraId="12DC89C6">
      <w:pPr>
        <w:adjustRightInd w:val="0"/>
        <w:snapToGrid w:val="0"/>
        <w:ind w:firstLine="480"/>
      </w:pPr>
      <w:r>
        <w:rPr>
          <w:rFonts w:hint="eastAsia"/>
        </w:rPr>
        <w:t>由于该工程</w:t>
      </w:r>
      <w:r>
        <w:t>10</w:t>
      </w:r>
      <w:r>
        <w:rPr>
          <w:rFonts w:hint="eastAsia"/>
        </w:rPr>
        <w:t>台风机位置和箱变基础分散于评价区山头，单个风机施工时间较短；施工道路采用泥结碎石路面，为临时占地中的主要占地，施工结束后场内道路的车流量及人流量较少，可覆被草本植物并对道路进行植被修复，因此工程临时占地对野生动物的影响得以缓解，不会对其生存造成威胁。</w:t>
      </w:r>
    </w:p>
    <w:p w14:paraId="319E24B5">
      <w:pPr>
        <w:adjustRightInd w:val="0"/>
        <w:snapToGrid w:val="0"/>
        <w:ind w:firstLine="480"/>
      </w:pPr>
      <w:r>
        <w:rPr>
          <w:rFonts w:hint="eastAsia"/>
        </w:rPr>
        <w:t>（3）施工时的噪音、震动对野生动物的影响</w:t>
      </w:r>
    </w:p>
    <w:p w14:paraId="1AF2FAF0">
      <w:pPr>
        <w:adjustRightInd w:val="0"/>
        <w:snapToGrid w:val="0"/>
        <w:ind w:firstLine="480"/>
      </w:pPr>
      <w:r>
        <w:rPr>
          <w:rFonts w:hint="eastAsia"/>
        </w:rPr>
        <w:t>在项目建设过程中，由于施工活动会将产生一定的噪声和震动，如施工机械运作和材料运输时的噪声、施工过程中的爆破声及震动等，可能使施工区域附近的野生动物受到惊吓，对其觅产生不利的影响。由于动物均具有迁移能力，特别是鸟类和兽类的迁移能力很强，且施工区域附近</w:t>
      </w:r>
      <w:r>
        <w:rPr>
          <w:rFonts w:hint="eastAsia"/>
          <w:lang w:eastAsia="zh-CN"/>
        </w:rPr>
        <w:t>环境</w:t>
      </w:r>
      <w:r>
        <w:rPr>
          <w:rFonts w:hint="eastAsia"/>
        </w:rPr>
        <w:t>都比较相似，野生动物可暂时由原来的</w:t>
      </w:r>
      <w:r>
        <w:rPr>
          <w:rFonts w:hint="eastAsia"/>
          <w:lang w:eastAsia="zh-CN"/>
        </w:rPr>
        <w:t>环境</w:t>
      </w:r>
      <w:r>
        <w:rPr>
          <w:rFonts w:hint="eastAsia"/>
        </w:rPr>
        <w:t>转移到远离施工区域的相似</w:t>
      </w:r>
      <w:r>
        <w:rPr>
          <w:rFonts w:hint="eastAsia"/>
          <w:lang w:eastAsia="zh-CN"/>
        </w:rPr>
        <w:t>环境</w:t>
      </w:r>
      <w:r>
        <w:rPr>
          <w:rFonts w:hint="eastAsia"/>
        </w:rPr>
        <w:t>生活；且由于工程施工时间短、风机设置点分散，这些不利影响会将随施工的结束而逐渐消失</w:t>
      </w:r>
      <w:r>
        <w:t>。</w:t>
      </w:r>
    </w:p>
    <w:p w14:paraId="76919217">
      <w:pPr>
        <w:adjustRightInd w:val="0"/>
        <w:snapToGrid w:val="0"/>
        <w:ind w:firstLine="480"/>
      </w:pPr>
      <w:r>
        <w:rPr>
          <w:rFonts w:hint="eastAsia"/>
        </w:rPr>
        <w:t>（4）施工污染</w:t>
      </w:r>
      <w:r>
        <w:t>对动物的影响</w:t>
      </w:r>
    </w:p>
    <w:p w14:paraId="499E7271">
      <w:pPr>
        <w:adjustRightInd w:val="0"/>
        <w:snapToGrid w:val="0"/>
        <w:ind w:firstLine="480"/>
      </w:pPr>
      <w:r>
        <w:t>施工期间，施工人员会产生一定的生活垃圾和生活污水。生活垃圾的随意丢弃、生活污水随意排放会劣化动物的</w:t>
      </w:r>
      <w:r>
        <w:rPr>
          <w:rFonts w:hint="eastAsia"/>
          <w:lang w:eastAsia="zh-CN"/>
        </w:rPr>
        <w:t>环境</w:t>
      </w:r>
      <w:r>
        <w:t>，使得原来的</w:t>
      </w:r>
      <w:r>
        <w:rPr>
          <w:rFonts w:hint="eastAsia"/>
          <w:lang w:eastAsia="zh-CN"/>
        </w:rPr>
        <w:t>环境</w:t>
      </w:r>
      <w:r>
        <w:t>变得不再适合动物生存，但这种影响可以通过垃圾分类回收、污水集中处理等合理的措施加以避免或消减，且随着施工的结束而消失。</w:t>
      </w:r>
    </w:p>
    <w:p w14:paraId="5E993D14">
      <w:pPr>
        <w:adjustRightInd w:val="0"/>
        <w:snapToGrid w:val="0"/>
        <w:ind w:firstLine="480"/>
      </w:pPr>
      <w:r>
        <w:rPr>
          <w:rFonts w:hint="eastAsia"/>
        </w:rPr>
        <w:t>（5）人为</w:t>
      </w:r>
      <w:r>
        <w:t>干扰对动物的影响</w:t>
      </w:r>
    </w:p>
    <w:p w14:paraId="37C914EA">
      <w:pPr>
        <w:adjustRightInd w:val="0"/>
        <w:snapToGrid w:val="0"/>
        <w:ind w:firstLine="480"/>
      </w:pPr>
      <w:r>
        <w:rPr>
          <w:rFonts w:hint="eastAsia"/>
        </w:rPr>
        <w:t>工程施工期间，施工人员可能对一些有经济价值、观赏价值和食用价值的动物如一些鸟纲鸡形目、雀形目鸟类、爬行纲蛇类、两栖纲蛙类、兽纲兔形目兔类等进行捕杀，如棘胸蛙、王锦蛇、环颈雉、画眉、华南兔、野猪等造成其种群数量的减少。对于这种干扰，必须通过严格的惩罚制度以及明令禁止的方式进行约束。从而减轻或避免工程施工对野生动物的影响。</w:t>
      </w:r>
    </w:p>
    <w:p w14:paraId="38341705">
      <w:pPr>
        <w:adjustRightInd w:val="0"/>
        <w:snapToGrid w:val="0"/>
        <w:ind w:firstLine="480"/>
      </w:pPr>
      <w:r>
        <w:rPr>
          <w:rFonts w:hint="eastAsia"/>
        </w:rPr>
        <w:t>（6）夜间</w:t>
      </w:r>
      <w:r>
        <w:t>光照对动物的影响</w:t>
      </w:r>
    </w:p>
    <w:p w14:paraId="4163F5A1">
      <w:pPr>
        <w:adjustRightInd w:val="0"/>
        <w:snapToGrid w:val="0"/>
        <w:ind w:firstLine="480"/>
      </w:pPr>
      <w:r>
        <w:t>由于大部分爬行类、哺乳类以及部分两栖类在夜晚活动，这些夜行性动物大多具有趋光或者避光性，夜间光照则会影响其觅食、求偶等行为。但这种影响会随着施工期结束而消失，因而夜间光照对动物影响较小。</w:t>
      </w:r>
    </w:p>
    <w:p w14:paraId="32D30106">
      <w:pPr>
        <w:adjustRightInd w:val="0"/>
        <w:snapToGrid w:val="0"/>
        <w:ind w:firstLine="480"/>
      </w:pPr>
      <w:r>
        <w:t>以上分析表明，本项目在施工期对野生动物影响较小，且影响时间相对较短，对动物的影响将随着施工的结束和临时占地植被的恢复而缓解乃至消失。</w:t>
      </w:r>
    </w:p>
    <w:p w14:paraId="63DB0D5B">
      <w:pPr>
        <w:adjustRightInd w:val="0"/>
        <w:snapToGrid w:val="0"/>
        <w:ind w:firstLine="480"/>
      </w:pPr>
      <w:r>
        <w:rPr>
          <w:rFonts w:hint="eastAsia"/>
        </w:rPr>
        <w:t>（7）对鸟类的影响分析</w:t>
      </w:r>
    </w:p>
    <w:p w14:paraId="659C5584">
      <w:pPr>
        <w:adjustRightInd w:val="0"/>
        <w:snapToGrid w:val="0"/>
        <w:ind w:firstLine="480"/>
      </w:pPr>
      <w:r>
        <w:t>拟建的</w:t>
      </w:r>
      <w:r>
        <w:rPr>
          <w:rFonts w:hint="eastAsia"/>
        </w:rPr>
        <w:t>衡阳县杉桥风电场工程</w:t>
      </w:r>
      <w:r>
        <w:t>选址在山顶上，在这片山顶台地上布满参差不齐灌丛，茅草和杉木林。这里生存的鸟类以雀形目鸟类为主，特别像鹎科的白头鹎、领雀嘴鹎以及鸦雀科的棕头鸦雀数量众多，是当地的优势种。在拟建的风电场范围内，体型稍微大型的鸟类是鸡形目的环颈雉、竹鸡，比较常见的还有金腰燕、家燕、八哥等。风电场建设期间，无论是进场道路、机座还是弃渣场等临时用地，都将对当地的环境造成改变，原来的山林草灌生态系统变为风电场的用地，对当地鸟类会带来一定的影响。其主要影响体现在筑巢地的丧失、隐蔽地的减少、捕食场的缩减和鸟类个体的伤害4个方面。</w:t>
      </w:r>
    </w:p>
    <w:p w14:paraId="398993A7">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对筑巢地的影响评价</w:t>
      </w:r>
    </w:p>
    <w:p w14:paraId="6DF23A51">
      <w:pPr>
        <w:adjustRightInd w:val="0"/>
        <w:snapToGrid w:val="0"/>
        <w:ind w:firstLine="480"/>
      </w:pPr>
      <w:r>
        <w:t xml:space="preserve">  风电场的入场道路修建和风机安装平台建设，铲除了选址地的灌草丛和混交林。这些环境是灰胸竹鸡以及鸦雀科鸟类的主要筑巢区，修建风电场后，这些环境将不复存在，直接影响着这些鸟类的繁殖。基于风电场所占面积有限，如果进场道路和弃渣场等临时用地得到及时恢复，竹鸡、棕头鸦雀等地禽和灌丛鸟类，受到暂时影响后尚可返回原来的栖息地。</w:t>
      </w:r>
    </w:p>
    <w:p w14:paraId="00B42EAA">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对隐蔽地的影响评价</w:t>
      </w:r>
    </w:p>
    <w:p w14:paraId="1B6EDF57">
      <w:pPr>
        <w:adjustRightInd w:val="0"/>
        <w:snapToGrid w:val="0"/>
        <w:ind w:firstLine="480"/>
      </w:pPr>
      <w:r>
        <w:t xml:space="preserve"> 新建的场内道路和拓宽的进场道路将会破坏原生植被，这恰恰是鹀类、大山雀、灰眶雀鹛等小型鸟类的最佳隐蔽场所。每天的活动中，它们有大量时间都躲在这种环境中，只有觅食和繁殖婚鸣时才短时离开。风电场道路和其他土石方建设，完全改变了这种环境，这些物种的隐蔽所将不复存在，对其生活造成一定的影响。所幸的是，新建的风电场道路面积有限，就整个生态评价区而言所占比例较小，加之受到影响的这些物种数量大，分布广，在临近区域还有隐蔽地存在。</w:t>
      </w:r>
    </w:p>
    <w:p w14:paraId="077ACD33">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对捕食场的影响评价</w:t>
      </w:r>
    </w:p>
    <w:p w14:paraId="0D1ECC2C">
      <w:pPr>
        <w:adjustRightInd w:val="0"/>
        <w:snapToGrid w:val="0"/>
        <w:ind w:firstLine="480"/>
      </w:pPr>
      <w:r>
        <w:t>拟建风电场的机位区域内，是白头鹎、金翅雀等物种的最佳觅食场，在这里有丰富的草种和昆虫，小型的雀形目鸟类纷纷前来觅食。一旦风电场开始建设，这种生态环境将发生较大的改变，鸟类的觅食场将相应的缩小，对鸟类带一定的影响。鉴于风电场的面积小，仅占当地环境的极小成分，对鸟类的影响很小，特别是像白颊噪鹛、三道眉草鹀、白头鹎这样的雀形目小鸟，数量大，分布广，转移能力强，风电场建设不会对它们带来太大的影响。</w:t>
      </w:r>
    </w:p>
    <w:p w14:paraId="718B7D60">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对鸟类个体伤害的评价</w:t>
      </w:r>
    </w:p>
    <w:p w14:paraId="0F55B5B7">
      <w:pPr>
        <w:adjustRightInd w:val="0"/>
        <w:snapToGrid w:val="0"/>
        <w:ind w:firstLine="480"/>
      </w:pPr>
      <w:r>
        <w:t>风电场建设不免会带来推土、运石之类的工作，这将会造成部分规避性较差、隐蔽较深、反应较迟钝的鸟类的伤害。建议通过轰赶，将躲避在山林、草丛和灌木中的鸟类惊飞，然后再行操作。这样会将鸟类伤害降到最低。</w:t>
      </w:r>
    </w:p>
    <w:p w14:paraId="6628E3A7">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rPr>
          <w:rFonts w:hint="eastAsia"/>
        </w:rPr>
        <w:t>对国家保护鸟类影响评价</w:t>
      </w:r>
    </w:p>
    <w:p w14:paraId="49B26405">
      <w:pPr>
        <w:adjustRightInd w:val="0"/>
        <w:snapToGrid w:val="0"/>
        <w:ind w:firstLine="480"/>
      </w:pPr>
      <w:r>
        <w:t>调查发现，在拟建的</w:t>
      </w:r>
      <w:r>
        <w:rPr>
          <w:rFonts w:hint="eastAsia"/>
        </w:rPr>
        <w:t>衡阳县杉桥风电场</w:t>
      </w:r>
      <w:r>
        <w:t>的范围内，有5种国家Ⅱ级保护鸟类分布，它们分别是隼形目的</w:t>
      </w:r>
      <w:r>
        <w:rPr>
          <w:rFonts w:hint="eastAsia"/>
        </w:rPr>
        <w:t>雀鹰、</w:t>
      </w:r>
      <w:r>
        <w:t>黑鸢</w:t>
      </w:r>
      <w:r>
        <w:rPr>
          <w:rFonts w:hint="eastAsia"/>
        </w:rPr>
        <w:t>、</w:t>
      </w:r>
      <w:r>
        <w:t>东方草鸮</w:t>
      </w:r>
      <w:r>
        <w:rPr>
          <w:rFonts w:hint="eastAsia"/>
        </w:rPr>
        <w:t>、斑头鸺鹠和红隼</w:t>
      </w:r>
      <w:r>
        <w:t>。调查发现鸮形目种类多分布于民宅和人工建筑附近。隼形目物种活动范围较大，胆怯怕人，易受惊吓。画眉生性胆怯，机警而又敏感，少有惊动即刻逃逸。特别是这5种鸟类，具有较强的适应能力，善于迁飞，有很强的规避能力，一旦风电场开始修建，这些鸟类就会飞离。因此，不会对它们带来直接伤害。</w:t>
      </w:r>
    </w:p>
    <w:p w14:paraId="5BB3F24D">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6.1.6</w:t>
      </w:r>
      <w:r>
        <w:rPr>
          <w:rFonts w:hint="eastAsia"/>
          <w:b/>
          <w:kern w:val="24"/>
          <w:sz w:val="28"/>
          <w:szCs w:val="28"/>
          <w:lang w:val="zh-CN"/>
        </w:rPr>
        <w:t>施工期水土流失影响分析</w:t>
      </w:r>
    </w:p>
    <w:p w14:paraId="21634FB0">
      <w:pPr>
        <w:adjustRightInd w:val="0"/>
        <w:snapToGrid w:val="0"/>
        <w:ind w:firstLine="480"/>
      </w:pPr>
      <w:r>
        <w:rPr>
          <w:rFonts w:hint="eastAsia"/>
        </w:rPr>
        <w:t>本节内容主要引用《衡阳县杉桥风电场项目水土保持方案报告书》中结论性内容。</w:t>
      </w:r>
    </w:p>
    <w:p w14:paraId="79F4D2FF">
      <w:pPr>
        <w:adjustRightInd w:val="0"/>
        <w:snapToGrid w:val="0"/>
        <w:ind w:firstLine="480"/>
      </w:pPr>
      <w:r>
        <w:rPr>
          <w:rFonts w:hint="eastAsia"/>
        </w:rPr>
        <w:t>（</w:t>
      </w:r>
      <w:r>
        <w:t>1</w:t>
      </w:r>
      <w:r>
        <w:rPr>
          <w:rFonts w:hint="eastAsia"/>
        </w:rPr>
        <w:t>）水土流失成因分析</w:t>
      </w:r>
    </w:p>
    <w:p w14:paraId="404F8C74">
      <w:pPr>
        <w:adjustRightInd w:val="0"/>
        <w:snapToGrid w:val="0"/>
        <w:ind w:firstLine="480"/>
      </w:pPr>
      <w:r>
        <w:rPr>
          <w:rFonts w:hint="eastAsia"/>
        </w:rPr>
        <w:t>本工程为面状和线状相结合的工程，项目建设综合利用自身开挖的土石方资源，主要建设内容为机组及箱变的基础工程、道路工程、升压站、集电线路及临建设施等，因此，本项目的水土流失主要成线状和面状分布，主要表现如下：</w:t>
      </w:r>
    </w:p>
    <w:p w14:paraId="46CC15E2">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损坏了项目区具有水土保持功能的林草植被。工程建设改变了原地形地貌，破坏植被，施工区容易受降雨和地表径流冲刷产生水土流失。</w:t>
      </w:r>
    </w:p>
    <w:p w14:paraId="1E704D7B">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破坏地表土壤结构。工程施工需破坏原有具有水土保持功能的地面，大量的扰动使土壤结构改变，抗蚀力显著降低，在降雨和径流等自然因素影响下极易产生土壤流失。</w:t>
      </w:r>
    </w:p>
    <w:p w14:paraId="55591B02">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道路工程、集电线路的土石方工程量较大，回填面土方松散，开挖边坡裸露，基础基坑开挖后需临时堆放回填土方，这些敏感性的区域，极易造成水土流失。</w:t>
      </w:r>
    </w:p>
    <w:p w14:paraId="566E05D3">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施工中形成了易受降雨径流冲刷的边坡。施工过程中的临时堆土和施工产生的裸露边坡，将加剧水土流失进程。</w:t>
      </w:r>
    </w:p>
    <w:p w14:paraId="55E25148">
      <w:pPr>
        <w:adjustRightInd w:val="0"/>
        <w:snapToGrid w:val="0"/>
        <w:ind w:firstLine="480"/>
      </w:pPr>
      <w:r>
        <w:rPr>
          <w:rFonts w:hint="eastAsia"/>
        </w:rPr>
        <w:t>（</w:t>
      </w:r>
      <w:r>
        <w:t>2</w:t>
      </w:r>
      <w:r>
        <w:rPr>
          <w:rFonts w:hint="eastAsia"/>
        </w:rPr>
        <w:t>）工程建设及运行对水土流失的影响</w:t>
      </w:r>
    </w:p>
    <w:p w14:paraId="66552AFE">
      <w:pPr>
        <w:adjustRightInd w:val="0"/>
        <w:snapToGrid w:val="0"/>
        <w:ind w:firstLine="480"/>
      </w:pPr>
      <w:r>
        <w:rPr>
          <w:rFonts w:hint="eastAsia"/>
        </w:rPr>
        <w:t>本项目的水土流失主要集中在施工期内。风机平台、升压站场地平整、道路的路基开挖与回填，集电线路的管沟开挖等将破坏地表原有的植被和地表土壤结构，使土壤结构松散，抗侵蚀能力减弱；同时会产生一些临时性的堆土，有可能造成新的水土流失。因此，在风电场建设过程中，如不采取有效的水土保持防治措施，将进一步引起新的水土流失，给施工建设期的施工安全带来危害，同时有可能危害风电场的安全生产。运行期内风电场的水土流失防治措施发挥效益，能有效的控制水土流失，只要没有人为的再破坏，工程运行期水土流失将难以发生。</w:t>
      </w:r>
    </w:p>
    <w:p w14:paraId="6C5F4B6E">
      <w:pPr>
        <w:adjustRightInd w:val="0"/>
        <w:snapToGrid w:val="0"/>
        <w:ind w:firstLine="480"/>
      </w:pPr>
      <w:r>
        <w:rPr>
          <w:rFonts w:hint="eastAsia"/>
        </w:rPr>
        <w:t>（</w:t>
      </w:r>
      <w:r>
        <w:t>3</w:t>
      </w:r>
      <w:r>
        <w:rPr>
          <w:rFonts w:hint="eastAsia"/>
        </w:rPr>
        <w:t>）水土流失预测</w:t>
      </w:r>
    </w:p>
    <w:p w14:paraId="1EDDB027">
      <w:pPr>
        <w:adjustRightInd w:val="0"/>
        <w:snapToGrid w:val="0"/>
        <w:ind w:firstLine="480"/>
      </w:pPr>
      <w:r>
        <w:rPr>
          <w:rFonts w:hint="eastAsia"/>
        </w:rPr>
        <w:t>本工程在建设期可能造成水土流失总量为</w:t>
      </w:r>
      <w:r>
        <w:t>9220t</w:t>
      </w:r>
      <w:r>
        <w:rPr>
          <w:rFonts w:hint="eastAsia"/>
        </w:rPr>
        <w:t>，其中新增水土流失总量为</w:t>
      </w:r>
      <w:r>
        <w:t>9026t</w:t>
      </w:r>
      <w:r>
        <w:rPr>
          <w:rFonts w:hint="eastAsia"/>
        </w:rPr>
        <w:t>，各区水土流失量汇总见下表。由表可知，工程建设可能造成水土流失量占比重最大的是交通道路区，其次是集电线路区，因此本工程水土流失防治的重点是交通道路区和集电线路区。</w:t>
      </w:r>
    </w:p>
    <w:p w14:paraId="39BB7EF1">
      <w:pPr>
        <w:tabs>
          <w:tab w:val="clear" w:pos="480"/>
        </w:tabs>
        <w:spacing w:line="240" w:lineRule="auto"/>
        <w:ind w:firstLine="0" w:firstLineChars="0"/>
        <w:jc w:val="center"/>
        <w:rPr>
          <w:b/>
        </w:rPr>
      </w:pPr>
      <w:r>
        <w:rPr>
          <w:rFonts w:hint="eastAsia"/>
          <w:b/>
        </w:rPr>
        <w:t>表</w:t>
      </w:r>
      <w:r>
        <w:rPr>
          <w:b/>
        </w:rPr>
        <w:t>6.1-4</w:t>
      </w:r>
      <w:r>
        <w:rPr>
          <w:rFonts w:hint="eastAsia"/>
          <w:b/>
        </w:rPr>
        <w:t>本项目新增水土流失量汇总表</w:t>
      </w:r>
    </w:p>
    <w:tbl>
      <w:tblPr>
        <w:tblStyle w:val="88"/>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76"/>
        <w:gridCol w:w="1470"/>
        <w:gridCol w:w="989"/>
        <w:gridCol w:w="784"/>
        <w:gridCol w:w="851"/>
        <w:gridCol w:w="1207"/>
        <w:gridCol w:w="648"/>
        <w:gridCol w:w="839"/>
        <w:gridCol w:w="1159"/>
      </w:tblGrid>
      <w:tr w14:paraId="36E373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Merge w:val="restart"/>
            <w:vAlign w:val="center"/>
          </w:tcPr>
          <w:p w14:paraId="6901B4EC">
            <w:pPr>
              <w:widowControl/>
              <w:tabs>
                <w:tab w:val="clear" w:pos="480"/>
              </w:tabs>
              <w:adjustRightInd w:val="0"/>
              <w:snapToGrid w:val="0"/>
              <w:spacing w:line="240" w:lineRule="auto"/>
              <w:ind w:firstLine="0" w:firstLineChars="0"/>
              <w:jc w:val="center"/>
              <w:rPr>
                <w:kern w:val="0"/>
                <w:sz w:val="18"/>
                <w:szCs w:val="18"/>
              </w:rPr>
            </w:pPr>
            <w:r>
              <w:rPr>
                <w:kern w:val="0"/>
                <w:sz w:val="18"/>
                <w:szCs w:val="18"/>
              </w:rPr>
              <w:t>序号</w:t>
            </w:r>
          </w:p>
        </w:tc>
        <w:tc>
          <w:tcPr>
            <w:tcW w:w="1527" w:type="dxa"/>
            <w:vMerge w:val="restart"/>
            <w:vAlign w:val="center"/>
          </w:tcPr>
          <w:p w14:paraId="0186A59E">
            <w:pPr>
              <w:widowControl/>
              <w:tabs>
                <w:tab w:val="clear" w:pos="480"/>
              </w:tabs>
              <w:adjustRightInd w:val="0"/>
              <w:snapToGrid w:val="0"/>
              <w:spacing w:line="240" w:lineRule="auto"/>
              <w:ind w:firstLine="0" w:firstLineChars="0"/>
              <w:jc w:val="center"/>
              <w:rPr>
                <w:kern w:val="0"/>
                <w:sz w:val="18"/>
                <w:szCs w:val="18"/>
              </w:rPr>
            </w:pPr>
            <w:r>
              <w:rPr>
                <w:kern w:val="0"/>
                <w:sz w:val="18"/>
                <w:szCs w:val="18"/>
              </w:rPr>
              <w:t>预测单元</w:t>
            </w:r>
          </w:p>
        </w:tc>
        <w:tc>
          <w:tcPr>
            <w:tcW w:w="1020" w:type="dxa"/>
            <w:vMerge w:val="restart"/>
            <w:vAlign w:val="center"/>
          </w:tcPr>
          <w:p w14:paraId="258C56BF">
            <w:pPr>
              <w:widowControl/>
              <w:tabs>
                <w:tab w:val="clear" w:pos="480"/>
              </w:tabs>
              <w:adjustRightInd w:val="0"/>
              <w:snapToGrid w:val="0"/>
              <w:spacing w:line="240" w:lineRule="auto"/>
              <w:ind w:firstLine="0" w:firstLineChars="0"/>
              <w:jc w:val="center"/>
              <w:rPr>
                <w:kern w:val="0"/>
                <w:sz w:val="18"/>
                <w:szCs w:val="18"/>
              </w:rPr>
            </w:pPr>
            <w:r>
              <w:rPr>
                <w:kern w:val="0"/>
                <w:sz w:val="18"/>
                <w:szCs w:val="18"/>
              </w:rPr>
              <w:t>预测面积（hm</w:t>
            </w:r>
            <w:r>
              <w:rPr>
                <w:kern w:val="0"/>
                <w:sz w:val="18"/>
                <w:szCs w:val="18"/>
                <w:vertAlign w:val="superscript"/>
              </w:rPr>
              <w:t>2</w:t>
            </w:r>
            <w:r>
              <w:rPr>
                <w:kern w:val="0"/>
                <w:sz w:val="18"/>
                <w:szCs w:val="18"/>
              </w:rPr>
              <w:t>）</w:t>
            </w:r>
          </w:p>
        </w:tc>
        <w:tc>
          <w:tcPr>
            <w:tcW w:w="805" w:type="dxa"/>
            <w:vMerge w:val="restart"/>
            <w:vAlign w:val="center"/>
          </w:tcPr>
          <w:p w14:paraId="13E8A7A5">
            <w:pPr>
              <w:widowControl/>
              <w:tabs>
                <w:tab w:val="clear" w:pos="480"/>
              </w:tabs>
              <w:adjustRightInd w:val="0"/>
              <w:snapToGrid w:val="0"/>
              <w:spacing w:line="240" w:lineRule="auto"/>
              <w:ind w:firstLine="0" w:firstLineChars="0"/>
              <w:jc w:val="center"/>
              <w:rPr>
                <w:kern w:val="0"/>
                <w:sz w:val="18"/>
                <w:szCs w:val="18"/>
              </w:rPr>
            </w:pPr>
            <w:r>
              <w:rPr>
                <w:kern w:val="0"/>
                <w:sz w:val="18"/>
                <w:szCs w:val="18"/>
              </w:rPr>
              <w:t>原生值（t）</w:t>
            </w:r>
          </w:p>
        </w:tc>
        <w:tc>
          <w:tcPr>
            <w:tcW w:w="2787" w:type="dxa"/>
            <w:gridSpan w:val="3"/>
            <w:vAlign w:val="center"/>
          </w:tcPr>
          <w:p w14:paraId="5F742424">
            <w:pPr>
              <w:widowControl/>
              <w:tabs>
                <w:tab w:val="clear" w:pos="480"/>
              </w:tabs>
              <w:adjustRightInd w:val="0"/>
              <w:snapToGrid w:val="0"/>
              <w:spacing w:line="240" w:lineRule="auto"/>
              <w:ind w:firstLine="0" w:firstLineChars="0"/>
              <w:jc w:val="center"/>
              <w:rPr>
                <w:kern w:val="0"/>
                <w:sz w:val="18"/>
                <w:szCs w:val="18"/>
              </w:rPr>
            </w:pPr>
            <w:r>
              <w:rPr>
                <w:kern w:val="0"/>
                <w:sz w:val="18"/>
                <w:szCs w:val="18"/>
              </w:rPr>
              <w:t>水土流失总量（t）</w:t>
            </w:r>
          </w:p>
        </w:tc>
        <w:tc>
          <w:tcPr>
            <w:tcW w:w="2063" w:type="dxa"/>
            <w:gridSpan w:val="2"/>
            <w:vAlign w:val="center"/>
          </w:tcPr>
          <w:p w14:paraId="059B6E4F">
            <w:pPr>
              <w:widowControl/>
              <w:tabs>
                <w:tab w:val="clear" w:pos="480"/>
              </w:tabs>
              <w:adjustRightInd w:val="0"/>
              <w:snapToGrid w:val="0"/>
              <w:spacing w:line="240" w:lineRule="auto"/>
              <w:ind w:firstLine="0" w:firstLineChars="0"/>
              <w:jc w:val="center"/>
              <w:rPr>
                <w:kern w:val="0"/>
                <w:sz w:val="18"/>
                <w:szCs w:val="18"/>
              </w:rPr>
            </w:pPr>
            <w:r>
              <w:rPr>
                <w:kern w:val="0"/>
                <w:sz w:val="18"/>
                <w:szCs w:val="18"/>
              </w:rPr>
              <w:t>新增水土流失量（t）</w:t>
            </w:r>
          </w:p>
        </w:tc>
      </w:tr>
      <w:tr w14:paraId="428680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Merge w:val="continue"/>
            <w:vAlign w:val="center"/>
          </w:tcPr>
          <w:p w14:paraId="4EDEC55C">
            <w:pPr>
              <w:widowControl/>
              <w:tabs>
                <w:tab w:val="clear" w:pos="480"/>
              </w:tabs>
              <w:adjustRightInd w:val="0"/>
              <w:snapToGrid w:val="0"/>
              <w:spacing w:line="240" w:lineRule="auto"/>
              <w:ind w:firstLine="0" w:firstLineChars="0"/>
              <w:jc w:val="left"/>
              <w:rPr>
                <w:kern w:val="0"/>
                <w:sz w:val="18"/>
                <w:szCs w:val="18"/>
              </w:rPr>
            </w:pPr>
          </w:p>
        </w:tc>
        <w:tc>
          <w:tcPr>
            <w:tcW w:w="1527" w:type="dxa"/>
            <w:vMerge w:val="continue"/>
            <w:vAlign w:val="center"/>
          </w:tcPr>
          <w:p w14:paraId="5346293F">
            <w:pPr>
              <w:widowControl/>
              <w:tabs>
                <w:tab w:val="clear" w:pos="480"/>
              </w:tabs>
              <w:adjustRightInd w:val="0"/>
              <w:snapToGrid w:val="0"/>
              <w:spacing w:line="240" w:lineRule="auto"/>
              <w:ind w:firstLine="0" w:firstLineChars="0"/>
              <w:jc w:val="left"/>
              <w:rPr>
                <w:kern w:val="0"/>
                <w:sz w:val="18"/>
                <w:szCs w:val="18"/>
              </w:rPr>
            </w:pPr>
          </w:p>
        </w:tc>
        <w:tc>
          <w:tcPr>
            <w:tcW w:w="1020" w:type="dxa"/>
            <w:vMerge w:val="continue"/>
            <w:vAlign w:val="center"/>
          </w:tcPr>
          <w:p w14:paraId="45A93306">
            <w:pPr>
              <w:widowControl/>
              <w:tabs>
                <w:tab w:val="clear" w:pos="480"/>
              </w:tabs>
              <w:adjustRightInd w:val="0"/>
              <w:snapToGrid w:val="0"/>
              <w:spacing w:line="240" w:lineRule="auto"/>
              <w:ind w:firstLine="0" w:firstLineChars="0"/>
              <w:jc w:val="left"/>
              <w:rPr>
                <w:kern w:val="0"/>
                <w:sz w:val="18"/>
                <w:szCs w:val="18"/>
              </w:rPr>
            </w:pPr>
          </w:p>
        </w:tc>
        <w:tc>
          <w:tcPr>
            <w:tcW w:w="805" w:type="dxa"/>
            <w:vMerge w:val="continue"/>
            <w:vAlign w:val="center"/>
          </w:tcPr>
          <w:p w14:paraId="07173E8E">
            <w:pPr>
              <w:widowControl/>
              <w:tabs>
                <w:tab w:val="clear" w:pos="480"/>
              </w:tabs>
              <w:adjustRightInd w:val="0"/>
              <w:snapToGrid w:val="0"/>
              <w:spacing w:line="240" w:lineRule="auto"/>
              <w:ind w:firstLine="0" w:firstLineChars="0"/>
              <w:jc w:val="left"/>
              <w:rPr>
                <w:kern w:val="0"/>
                <w:sz w:val="18"/>
                <w:szCs w:val="18"/>
              </w:rPr>
            </w:pPr>
          </w:p>
        </w:tc>
        <w:tc>
          <w:tcPr>
            <w:tcW w:w="875" w:type="dxa"/>
            <w:vAlign w:val="center"/>
          </w:tcPr>
          <w:p w14:paraId="21C78B1B">
            <w:pPr>
              <w:widowControl/>
              <w:tabs>
                <w:tab w:val="clear" w:pos="480"/>
              </w:tabs>
              <w:adjustRightInd w:val="0"/>
              <w:snapToGrid w:val="0"/>
              <w:spacing w:line="240" w:lineRule="auto"/>
              <w:ind w:firstLine="0" w:firstLineChars="0"/>
              <w:jc w:val="center"/>
              <w:rPr>
                <w:kern w:val="0"/>
                <w:sz w:val="18"/>
                <w:szCs w:val="18"/>
              </w:rPr>
            </w:pPr>
            <w:r>
              <w:rPr>
                <w:kern w:val="0"/>
                <w:sz w:val="18"/>
                <w:szCs w:val="18"/>
              </w:rPr>
              <w:t>施工期</w:t>
            </w:r>
          </w:p>
        </w:tc>
        <w:tc>
          <w:tcPr>
            <w:tcW w:w="1250" w:type="dxa"/>
            <w:vAlign w:val="center"/>
          </w:tcPr>
          <w:p w14:paraId="7F304327">
            <w:pPr>
              <w:widowControl/>
              <w:tabs>
                <w:tab w:val="clear" w:pos="480"/>
              </w:tabs>
              <w:adjustRightInd w:val="0"/>
              <w:snapToGrid w:val="0"/>
              <w:spacing w:line="240" w:lineRule="auto"/>
              <w:ind w:firstLine="0" w:firstLineChars="0"/>
              <w:jc w:val="center"/>
              <w:rPr>
                <w:kern w:val="0"/>
                <w:sz w:val="18"/>
                <w:szCs w:val="18"/>
              </w:rPr>
            </w:pPr>
            <w:r>
              <w:rPr>
                <w:kern w:val="0"/>
                <w:sz w:val="18"/>
                <w:szCs w:val="18"/>
              </w:rPr>
              <w:t>自然恢复期</w:t>
            </w:r>
          </w:p>
        </w:tc>
        <w:tc>
          <w:tcPr>
            <w:tcW w:w="662" w:type="dxa"/>
            <w:vAlign w:val="center"/>
          </w:tcPr>
          <w:p w14:paraId="798D1FC8">
            <w:pPr>
              <w:widowControl/>
              <w:tabs>
                <w:tab w:val="clear" w:pos="480"/>
              </w:tabs>
              <w:adjustRightInd w:val="0"/>
              <w:snapToGrid w:val="0"/>
              <w:spacing w:line="240" w:lineRule="auto"/>
              <w:ind w:firstLine="0" w:firstLineChars="0"/>
              <w:jc w:val="center"/>
              <w:rPr>
                <w:kern w:val="0"/>
                <w:sz w:val="18"/>
                <w:szCs w:val="18"/>
              </w:rPr>
            </w:pPr>
            <w:r>
              <w:rPr>
                <w:kern w:val="0"/>
                <w:sz w:val="18"/>
                <w:szCs w:val="18"/>
              </w:rPr>
              <w:t>合计</w:t>
            </w:r>
          </w:p>
        </w:tc>
        <w:tc>
          <w:tcPr>
            <w:tcW w:w="863" w:type="dxa"/>
            <w:vAlign w:val="center"/>
          </w:tcPr>
          <w:p w14:paraId="36093C29">
            <w:pPr>
              <w:widowControl/>
              <w:tabs>
                <w:tab w:val="clear" w:pos="480"/>
              </w:tabs>
              <w:adjustRightInd w:val="0"/>
              <w:snapToGrid w:val="0"/>
              <w:spacing w:line="240" w:lineRule="auto"/>
              <w:ind w:firstLine="0" w:firstLineChars="0"/>
              <w:jc w:val="center"/>
              <w:rPr>
                <w:kern w:val="0"/>
                <w:sz w:val="18"/>
                <w:szCs w:val="18"/>
              </w:rPr>
            </w:pPr>
            <w:r>
              <w:rPr>
                <w:kern w:val="0"/>
                <w:sz w:val="18"/>
                <w:szCs w:val="18"/>
              </w:rPr>
              <w:t>流失量</w:t>
            </w:r>
          </w:p>
        </w:tc>
        <w:tc>
          <w:tcPr>
            <w:tcW w:w="1200" w:type="dxa"/>
            <w:vAlign w:val="center"/>
          </w:tcPr>
          <w:p w14:paraId="1B55B827">
            <w:pPr>
              <w:widowControl/>
              <w:tabs>
                <w:tab w:val="clear" w:pos="480"/>
              </w:tabs>
              <w:adjustRightInd w:val="0"/>
              <w:snapToGrid w:val="0"/>
              <w:spacing w:line="240" w:lineRule="auto"/>
              <w:ind w:firstLine="0" w:firstLineChars="0"/>
              <w:jc w:val="center"/>
              <w:rPr>
                <w:kern w:val="0"/>
                <w:sz w:val="18"/>
                <w:szCs w:val="18"/>
              </w:rPr>
            </w:pPr>
            <w:r>
              <w:rPr>
                <w:kern w:val="0"/>
                <w:sz w:val="18"/>
                <w:szCs w:val="18"/>
              </w:rPr>
              <w:t>占比</w:t>
            </w:r>
          </w:p>
        </w:tc>
      </w:tr>
      <w:tr w14:paraId="5C548D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3CEAF199">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1527" w:type="dxa"/>
            <w:vAlign w:val="center"/>
          </w:tcPr>
          <w:p w14:paraId="1C435EFD">
            <w:pPr>
              <w:widowControl/>
              <w:tabs>
                <w:tab w:val="clear" w:pos="480"/>
              </w:tabs>
              <w:adjustRightInd w:val="0"/>
              <w:snapToGrid w:val="0"/>
              <w:spacing w:line="240" w:lineRule="auto"/>
              <w:ind w:firstLine="0" w:firstLineChars="0"/>
              <w:jc w:val="center"/>
              <w:rPr>
                <w:kern w:val="0"/>
                <w:sz w:val="18"/>
                <w:szCs w:val="18"/>
              </w:rPr>
            </w:pPr>
            <w:r>
              <w:rPr>
                <w:kern w:val="0"/>
                <w:sz w:val="18"/>
                <w:szCs w:val="18"/>
              </w:rPr>
              <w:t>风电机组区</w:t>
            </w:r>
          </w:p>
        </w:tc>
        <w:tc>
          <w:tcPr>
            <w:tcW w:w="1020" w:type="dxa"/>
            <w:vAlign w:val="center"/>
          </w:tcPr>
          <w:p w14:paraId="5F9FD2AB">
            <w:pPr>
              <w:widowControl/>
              <w:tabs>
                <w:tab w:val="clear" w:pos="480"/>
              </w:tabs>
              <w:adjustRightInd w:val="0"/>
              <w:snapToGrid w:val="0"/>
              <w:spacing w:line="240" w:lineRule="auto"/>
              <w:ind w:firstLine="0" w:firstLineChars="0"/>
              <w:jc w:val="center"/>
              <w:rPr>
                <w:kern w:val="0"/>
                <w:sz w:val="18"/>
                <w:szCs w:val="18"/>
              </w:rPr>
            </w:pPr>
            <w:r>
              <w:rPr>
                <w:kern w:val="0"/>
                <w:sz w:val="18"/>
                <w:szCs w:val="18"/>
              </w:rPr>
              <w:t>3.45</w:t>
            </w:r>
          </w:p>
        </w:tc>
        <w:tc>
          <w:tcPr>
            <w:tcW w:w="805" w:type="dxa"/>
            <w:vAlign w:val="center"/>
          </w:tcPr>
          <w:p w14:paraId="1161E442">
            <w:pPr>
              <w:widowControl/>
              <w:tabs>
                <w:tab w:val="clear" w:pos="480"/>
              </w:tabs>
              <w:adjustRightInd w:val="0"/>
              <w:snapToGrid w:val="0"/>
              <w:spacing w:line="240" w:lineRule="auto"/>
              <w:ind w:firstLine="0" w:firstLineChars="0"/>
              <w:jc w:val="center"/>
              <w:rPr>
                <w:kern w:val="0"/>
                <w:sz w:val="18"/>
                <w:szCs w:val="18"/>
              </w:rPr>
            </w:pPr>
            <w:r>
              <w:rPr>
                <w:kern w:val="0"/>
                <w:sz w:val="18"/>
                <w:szCs w:val="18"/>
              </w:rPr>
              <w:t>16</w:t>
            </w:r>
          </w:p>
        </w:tc>
        <w:tc>
          <w:tcPr>
            <w:tcW w:w="875" w:type="dxa"/>
            <w:vAlign w:val="center"/>
          </w:tcPr>
          <w:p w14:paraId="737E6E4C">
            <w:pPr>
              <w:widowControl/>
              <w:tabs>
                <w:tab w:val="clear" w:pos="480"/>
              </w:tabs>
              <w:adjustRightInd w:val="0"/>
              <w:snapToGrid w:val="0"/>
              <w:spacing w:line="240" w:lineRule="auto"/>
              <w:ind w:firstLine="0" w:firstLineChars="0"/>
              <w:jc w:val="center"/>
              <w:rPr>
                <w:kern w:val="0"/>
                <w:sz w:val="18"/>
                <w:szCs w:val="18"/>
              </w:rPr>
            </w:pPr>
            <w:r>
              <w:rPr>
                <w:kern w:val="0"/>
                <w:sz w:val="18"/>
                <w:szCs w:val="18"/>
              </w:rPr>
              <w:t>562</w:t>
            </w:r>
          </w:p>
        </w:tc>
        <w:tc>
          <w:tcPr>
            <w:tcW w:w="1250" w:type="dxa"/>
            <w:vAlign w:val="center"/>
          </w:tcPr>
          <w:p w14:paraId="545A4DE6">
            <w:pPr>
              <w:widowControl/>
              <w:tabs>
                <w:tab w:val="clear" w:pos="480"/>
              </w:tabs>
              <w:adjustRightInd w:val="0"/>
              <w:snapToGrid w:val="0"/>
              <w:spacing w:line="240" w:lineRule="auto"/>
              <w:ind w:firstLine="0" w:firstLineChars="0"/>
              <w:jc w:val="center"/>
              <w:rPr>
                <w:kern w:val="0"/>
                <w:sz w:val="18"/>
                <w:szCs w:val="18"/>
              </w:rPr>
            </w:pPr>
            <w:r>
              <w:rPr>
                <w:kern w:val="0"/>
                <w:sz w:val="18"/>
                <w:szCs w:val="18"/>
              </w:rPr>
              <w:t>192</w:t>
            </w:r>
          </w:p>
        </w:tc>
        <w:tc>
          <w:tcPr>
            <w:tcW w:w="662" w:type="dxa"/>
            <w:vAlign w:val="center"/>
          </w:tcPr>
          <w:p w14:paraId="276B46CD">
            <w:pPr>
              <w:widowControl/>
              <w:tabs>
                <w:tab w:val="clear" w:pos="480"/>
              </w:tabs>
              <w:adjustRightInd w:val="0"/>
              <w:snapToGrid w:val="0"/>
              <w:spacing w:line="240" w:lineRule="auto"/>
              <w:ind w:firstLine="0" w:firstLineChars="0"/>
              <w:jc w:val="center"/>
              <w:rPr>
                <w:kern w:val="0"/>
                <w:sz w:val="18"/>
                <w:szCs w:val="18"/>
              </w:rPr>
            </w:pPr>
            <w:r>
              <w:rPr>
                <w:kern w:val="0"/>
                <w:sz w:val="18"/>
                <w:szCs w:val="18"/>
              </w:rPr>
              <w:t>754</w:t>
            </w:r>
          </w:p>
        </w:tc>
        <w:tc>
          <w:tcPr>
            <w:tcW w:w="863" w:type="dxa"/>
            <w:vAlign w:val="center"/>
          </w:tcPr>
          <w:p w14:paraId="5987DC92">
            <w:pPr>
              <w:widowControl/>
              <w:tabs>
                <w:tab w:val="clear" w:pos="480"/>
              </w:tabs>
              <w:adjustRightInd w:val="0"/>
              <w:snapToGrid w:val="0"/>
              <w:spacing w:line="240" w:lineRule="auto"/>
              <w:ind w:firstLine="0" w:firstLineChars="0"/>
              <w:jc w:val="center"/>
              <w:rPr>
                <w:kern w:val="0"/>
                <w:sz w:val="18"/>
                <w:szCs w:val="18"/>
              </w:rPr>
            </w:pPr>
            <w:r>
              <w:rPr>
                <w:kern w:val="0"/>
                <w:sz w:val="18"/>
                <w:szCs w:val="18"/>
              </w:rPr>
              <w:t>738</w:t>
            </w:r>
          </w:p>
        </w:tc>
        <w:tc>
          <w:tcPr>
            <w:tcW w:w="1200" w:type="dxa"/>
            <w:vAlign w:val="center"/>
          </w:tcPr>
          <w:p w14:paraId="4C25AC6C">
            <w:pPr>
              <w:widowControl/>
              <w:tabs>
                <w:tab w:val="clear" w:pos="480"/>
              </w:tabs>
              <w:adjustRightInd w:val="0"/>
              <w:snapToGrid w:val="0"/>
              <w:spacing w:line="240" w:lineRule="auto"/>
              <w:ind w:firstLine="0" w:firstLineChars="0"/>
              <w:jc w:val="center"/>
              <w:rPr>
                <w:kern w:val="0"/>
                <w:sz w:val="18"/>
                <w:szCs w:val="18"/>
              </w:rPr>
            </w:pPr>
            <w:r>
              <w:rPr>
                <w:kern w:val="0"/>
                <w:sz w:val="18"/>
                <w:szCs w:val="18"/>
              </w:rPr>
              <w:t>7.67%</w:t>
            </w:r>
          </w:p>
        </w:tc>
      </w:tr>
      <w:tr w14:paraId="7EFF6D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32D24C72">
            <w:pPr>
              <w:widowControl/>
              <w:tabs>
                <w:tab w:val="clear" w:pos="480"/>
              </w:tabs>
              <w:adjustRightInd w:val="0"/>
              <w:snapToGrid w:val="0"/>
              <w:spacing w:line="240" w:lineRule="auto"/>
              <w:ind w:firstLine="0" w:firstLineChars="0"/>
              <w:jc w:val="center"/>
              <w:rPr>
                <w:kern w:val="0"/>
                <w:sz w:val="18"/>
                <w:szCs w:val="18"/>
              </w:rPr>
            </w:pPr>
            <w:r>
              <w:rPr>
                <w:kern w:val="0"/>
                <w:sz w:val="18"/>
                <w:szCs w:val="18"/>
              </w:rPr>
              <w:t>2</w:t>
            </w:r>
          </w:p>
        </w:tc>
        <w:tc>
          <w:tcPr>
            <w:tcW w:w="1527" w:type="dxa"/>
            <w:vAlign w:val="center"/>
          </w:tcPr>
          <w:p w14:paraId="48CB7500">
            <w:pPr>
              <w:widowControl/>
              <w:tabs>
                <w:tab w:val="clear" w:pos="480"/>
              </w:tabs>
              <w:adjustRightInd w:val="0"/>
              <w:snapToGrid w:val="0"/>
              <w:spacing w:line="240" w:lineRule="auto"/>
              <w:ind w:firstLine="0" w:firstLineChars="0"/>
              <w:jc w:val="center"/>
              <w:rPr>
                <w:kern w:val="0"/>
                <w:sz w:val="18"/>
                <w:szCs w:val="18"/>
              </w:rPr>
            </w:pPr>
            <w:r>
              <w:rPr>
                <w:kern w:val="0"/>
                <w:sz w:val="18"/>
                <w:szCs w:val="18"/>
              </w:rPr>
              <w:t>交通道路区</w:t>
            </w:r>
          </w:p>
        </w:tc>
        <w:tc>
          <w:tcPr>
            <w:tcW w:w="1020" w:type="dxa"/>
            <w:vAlign w:val="center"/>
          </w:tcPr>
          <w:p w14:paraId="405454B2">
            <w:pPr>
              <w:widowControl/>
              <w:tabs>
                <w:tab w:val="clear" w:pos="480"/>
              </w:tabs>
              <w:adjustRightInd w:val="0"/>
              <w:snapToGrid w:val="0"/>
              <w:spacing w:line="240" w:lineRule="auto"/>
              <w:ind w:firstLine="0" w:firstLineChars="0"/>
              <w:jc w:val="center"/>
              <w:rPr>
                <w:kern w:val="0"/>
                <w:sz w:val="18"/>
                <w:szCs w:val="18"/>
              </w:rPr>
            </w:pPr>
            <w:r>
              <w:rPr>
                <w:kern w:val="0"/>
                <w:sz w:val="18"/>
                <w:szCs w:val="18"/>
              </w:rPr>
              <w:t>35.36</w:t>
            </w:r>
          </w:p>
        </w:tc>
        <w:tc>
          <w:tcPr>
            <w:tcW w:w="805" w:type="dxa"/>
            <w:vAlign w:val="center"/>
          </w:tcPr>
          <w:p w14:paraId="7E420661">
            <w:pPr>
              <w:widowControl/>
              <w:tabs>
                <w:tab w:val="clear" w:pos="480"/>
              </w:tabs>
              <w:adjustRightInd w:val="0"/>
              <w:snapToGrid w:val="0"/>
              <w:spacing w:line="240" w:lineRule="auto"/>
              <w:ind w:firstLine="0" w:firstLineChars="0"/>
              <w:jc w:val="center"/>
              <w:rPr>
                <w:kern w:val="0"/>
                <w:sz w:val="18"/>
                <w:szCs w:val="18"/>
              </w:rPr>
            </w:pPr>
            <w:r>
              <w:rPr>
                <w:kern w:val="0"/>
                <w:sz w:val="18"/>
                <w:szCs w:val="18"/>
              </w:rPr>
              <w:t>159</w:t>
            </w:r>
          </w:p>
        </w:tc>
        <w:tc>
          <w:tcPr>
            <w:tcW w:w="875" w:type="dxa"/>
            <w:vAlign w:val="center"/>
          </w:tcPr>
          <w:p w14:paraId="45FBAFA6">
            <w:pPr>
              <w:widowControl/>
              <w:tabs>
                <w:tab w:val="clear" w:pos="480"/>
              </w:tabs>
              <w:adjustRightInd w:val="0"/>
              <w:snapToGrid w:val="0"/>
              <w:spacing w:line="240" w:lineRule="auto"/>
              <w:ind w:firstLine="0" w:firstLineChars="0"/>
              <w:jc w:val="center"/>
              <w:rPr>
                <w:kern w:val="0"/>
                <w:sz w:val="18"/>
                <w:szCs w:val="18"/>
              </w:rPr>
            </w:pPr>
            <w:r>
              <w:rPr>
                <w:kern w:val="0"/>
                <w:sz w:val="18"/>
                <w:szCs w:val="18"/>
              </w:rPr>
              <w:t>6155</w:t>
            </w:r>
          </w:p>
        </w:tc>
        <w:tc>
          <w:tcPr>
            <w:tcW w:w="1250" w:type="dxa"/>
            <w:vAlign w:val="center"/>
          </w:tcPr>
          <w:p w14:paraId="638E493F">
            <w:pPr>
              <w:widowControl/>
              <w:tabs>
                <w:tab w:val="clear" w:pos="480"/>
              </w:tabs>
              <w:adjustRightInd w:val="0"/>
              <w:snapToGrid w:val="0"/>
              <w:spacing w:line="240" w:lineRule="auto"/>
              <w:ind w:firstLine="0" w:firstLineChars="0"/>
              <w:jc w:val="center"/>
              <w:rPr>
                <w:kern w:val="0"/>
                <w:sz w:val="18"/>
                <w:szCs w:val="18"/>
              </w:rPr>
            </w:pPr>
            <w:r>
              <w:rPr>
                <w:kern w:val="0"/>
                <w:sz w:val="18"/>
                <w:szCs w:val="18"/>
              </w:rPr>
              <w:t>2036</w:t>
            </w:r>
          </w:p>
        </w:tc>
        <w:tc>
          <w:tcPr>
            <w:tcW w:w="662" w:type="dxa"/>
            <w:vAlign w:val="center"/>
          </w:tcPr>
          <w:p w14:paraId="649CDCD6">
            <w:pPr>
              <w:widowControl/>
              <w:tabs>
                <w:tab w:val="clear" w:pos="480"/>
              </w:tabs>
              <w:adjustRightInd w:val="0"/>
              <w:snapToGrid w:val="0"/>
              <w:spacing w:line="240" w:lineRule="auto"/>
              <w:ind w:firstLine="0" w:firstLineChars="0"/>
              <w:jc w:val="center"/>
              <w:rPr>
                <w:kern w:val="0"/>
                <w:sz w:val="18"/>
                <w:szCs w:val="18"/>
              </w:rPr>
            </w:pPr>
            <w:r>
              <w:rPr>
                <w:kern w:val="0"/>
                <w:sz w:val="18"/>
                <w:szCs w:val="18"/>
              </w:rPr>
              <w:t>8191</w:t>
            </w:r>
          </w:p>
        </w:tc>
        <w:tc>
          <w:tcPr>
            <w:tcW w:w="863" w:type="dxa"/>
            <w:vAlign w:val="center"/>
          </w:tcPr>
          <w:p w14:paraId="70D0ED9C">
            <w:pPr>
              <w:widowControl/>
              <w:tabs>
                <w:tab w:val="clear" w:pos="480"/>
              </w:tabs>
              <w:adjustRightInd w:val="0"/>
              <w:snapToGrid w:val="0"/>
              <w:spacing w:line="240" w:lineRule="auto"/>
              <w:ind w:firstLine="0" w:firstLineChars="0"/>
              <w:jc w:val="center"/>
              <w:rPr>
                <w:kern w:val="0"/>
                <w:sz w:val="18"/>
                <w:szCs w:val="18"/>
              </w:rPr>
            </w:pPr>
            <w:r>
              <w:rPr>
                <w:kern w:val="0"/>
                <w:sz w:val="18"/>
                <w:szCs w:val="18"/>
              </w:rPr>
              <w:t>8032</w:t>
            </w:r>
          </w:p>
        </w:tc>
        <w:tc>
          <w:tcPr>
            <w:tcW w:w="1200" w:type="dxa"/>
            <w:vAlign w:val="center"/>
          </w:tcPr>
          <w:p w14:paraId="1A385AC8">
            <w:pPr>
              <w:widowControl/>
              <w:tabs>
                <w:tab w:val="clear" w:pos="480"/>
              </w:tabs>
              <w:adjustRightInd w:val="0"/>
              <w:snapToGrid w:val="0"/>
              <w:spacing w:line="240" w:lineRule="auto"/>
              <w:ind w:firstLine="0" w:firstLineChars="0"/>
              <w:jc w:val="center"/>
              <w:rPr>
                <w:kern w:val="0"/>
                <w:sz w:val="18"/>
                <w:szCs w:val="18"/>
              </w:rPr>
            </w:pPr>
            <w:r>
              <w:rPr>
                <w:kern w:val="0"/>
                <w:sz w:val="18"/>
                <w:szCs w:val="18"/>
              </w:rPr>
              <w:t>83.49%</w:t>
            </w:r>
          </w:p>
        </w:tc>
      </w:tr>
      <w:tr w14:paraId="19A999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2820F520">
            <w:pPr>
              <w:widowControl/>
              <w:tabs>
                <w:tab w:val="clear" w:pos="480"/>
              </w:tabs>
              <w:adjustRightInd w:val="0"/>
              <w:snapToGrid w:val="0"/>
              <w:spacing w:line="240" w:lineRule="auto"/>
              <w:ind w:firstLine="0" w:firstLineChars="0"/>
              <w:jc w:val="center"/>
              <w:rPr>
                <w:kern w:val="0"/>
                <w:sz w:val="18"/>
                <w:szCs w:val="18"/>
              </w:rPr>
            </w:pPr>
            <w:r>
              <w:rPr>
                <w:kern w:val="0"/>
                <w:sz w:val="18"/>
                <w:szCs w:val="18"/>
              </w:rPr>
              <w:t>3</w:t>
            </w:r>
          </w:p>
        </w:tc>
        <w:tc>
          <w:tcPr>
            <w:tcW w:w="1527" w:type="dxa"/>
            <w:vAlign w:val="center"/>
          </w:tcPr>
          <w:p w14:paraId="136898FB">
            <w:pPr>
              <w:widowControl/>
              <w:tabs>
                <w:tab w:val="clear" w:pos="480"/>
              </w:tabs>
              <w:adjustRightInd w:val="0"/>
              <w:snapToGrid w:val="0"/>
              <w:spacing w:line="240" w:lineRule="auto"/>
              <w:ind w:firstLine="0" w:firstLineChars="0"/>
              <w:jc w:val="center"/>
              <w:rPr>
                <w:kern w:val="0"/>
                <w:sz w:val="18"/>
                <w:szCs w:val="18"/>
              </w:rPr>
            </w:pPr>
            <w:r>
              <w:rPr>
                <w:kern w:val="0"/>
                <w:sz w:val="18"/>
                <w:szCs w:val="18"/>
              </w:rPr>
              <w:t>升压站区</w:t>
            </w:r>
          </w:p>
        </w:tc>
        <w:tc>
          <w:tcPr>
            <w:tcW w:w="1020" w:type="dxa"/>
            <w:vAlign w:val="center"/>
          </w:tcPr>
          <w:p w14:paraId="2EC18C2F">
            <w:pPr>
              <w:widowControl/>
              <w:tabs>
                <w:tab w:val="clear" w:pos="480"/>
              </w:tabs>
              <w:adjustRightInd w:val="0"/>
              <w:snapToGrid w:val="0"/>
              <w:spacing w:line="240" w:lineRule="auto"/>
              <w:ind w:firstLine="0" w:firstLineChars="0"/>
              <w:jc w:val="center"/>
              <w:rPr>
                <w:kern w:val="0"/>
                <w:sz w:val="18"/>
                <w:szCs w:val="18"/>
              </w:rPr>
            </w:pPr>
            <w:r>
              <w:rPr>
                <w:kern w:val="0"/>
                <w:sz w:val="18"/>
                <w:szCs w:val="18"/>
              </w:rPr>
              <w:t>0.75</w:t>
            </w:r>
          </w:p>
        </w:tc>
        <w:tc>
          <w:tcPr>
            <w:tcW w:w="805" w:type="dxa"/>
            <w:vAlign w:val="center"/>
          </w:tcPr>
          <w:p w14:paraId="522BA6FD">
            <w:pPr>
              <w:widowControl/>
              <w:tabs>
                <w:tab w:val="clear" w:pos="480"/>
              </w:tabs>
              <w:adjustRightInd w:val="0"/>
              <w:snapToGrid w:val="0"/>
              <w:spacing w:line="240" w:lineRule="auto"/>
              <w:ind w:firstLine="0" w:firstLineChars="0"/>
              <w:jc w:val="center"/>
              <w:rPr>
                <w:kern w:val="0"/>
                <w:sz w:val="18"/>
                <w:szCs w:val="18"/>
              </w:rPr>
            </w:pPr>
            <w:r>
              <w:rPr>
                <w:kern w:val="0"/>
                <w:sz w:val="18"/>
                <w:szCs w:val="18"/>
              </w:rPr>
              <w:t>3</w:t>
            </w:r>
          </w:p>
        </w:tc>
        <w:tc>
          <w:tcPr>
            <w:tcW w:w="875" w:type="dxa"/>
            <w:vAlign w:val="center"/>
          </w:tcPr>
          <w:p w14:paraId="6FB20F6C">
            <w:pPr>
              <w:widowControl/>
              <w:tabs>
                <w:tab w:val="clear" w:pos="480"/>
              </w:tabs>
              <w:adjustRightInd w:val="0"/>
              <w:snapToGrid w:val="0"/>
              <w:spacing w:line="240" w:lineRule="auto"/>
              <w:ind w:firstLine="0" w:firstLineChars="0"/>
              <w:jc w:val="center"/>
              <w:rPr>
                <w:kern w:val="0"/>
                <w:sz w:val="18"/>
                <w:szCs w:val="18"/>
              </w:rPr>
            </w:pPr>
            <w:r>
              <w:rPr>
                <w:kern w:val="0"/>
                <w:sz w:val="18"/>
                <w:szCs w:val="18"/>
              </w:rPr>
              <w:t>99</w:t>
            </w:r>
          </w:p>
        </w:tc>
        <w:tc>
          <w:tcPr>
            <w:tcW w:w="1250" w:type="dxa"/>
            <w:vAlign w:val="center"/>
          </w:tcPr>
          <w:p w14:paraId="1D06A86F">
            <w:pPr>
              <w:widowControl/>
              <w:tabs>
                <w:tab w:val="clear" w:pos="480"/>
              </w:tabs>
              <w:adjustRightInd w:val="0"/>
              <w:snapToGrid w:val="0"/>
              <w:spacing w:line="240" w:lineRule="auto"/>
              <w:ind w:firstLine="0" w:firstLineChars="0"/>
              <w:jc w:val="center"/>
              <w:rPr>
                <w:kern w:val="0"/>
                <w:sz w:val="18"/>
                <w:szCs w:val="18"/>
              </w:rPr>
            </w:pPr>
            <w:r>
              <w:rPr>
                <w:kern w:val="0"/>
                <w:sz w:val="18"/>
                <w:szCs w:val="18"/>
              </w:rPr>
              <w:t>16</w:t>
            </w:r>
          </w:p>
        </w:tc>
        <w:tc>
          <w:tcPr>
            <w:tcW w:w="662" w:type="dxa"/>
            <w:vAlign w:val="center"/>
          </w:tcPr>
          <w:p w14:paraId="23786A17">
            <w:pPr>
              <w:widowControl/>
              <w:tabs>
                <w:tab w:val="clear" w:pos="480"/>
              </w:tabs>
              <w:adjustRightInd w:val="0"/>
              <w:snapToGrid w:val="0"/>
              <w:spacing w:line="240" w:lineRule="auto"/>
              <w:ind w:firstLine="0" w:firstLineChars="0"/>
              <w:jc w:val="center"/>
              <w:rPr>
                <w:kern w:val="0"/>
                <w:sz w:val="18"/>
                <w:szCs w:val="18"/>
              </w:rPr>
            </w:pPr>
            <w:r>
              <w:rPr>
                <w:kern w:val="0"/>
                <w:sz w:val="18"/>
                <w:szCs w:val="18"/>
              </w:rPr>
              <w:t>115</w:t>
            </w:r>
          </w:p>
        </w:tc>
        <w:tc>
          <w:tcPr>
            <w:tcW w:w="863" w:type="dxa"/>
            <w:vAlign w:val="center"/>
          </w:tcPr>
          <w:p w14:paraId="5D8ABDEF">
            <w:pPr>
              <w:widowControl/>
              <w:tabs>
                <w:tab w:val="clear" w:pos="480"/>
              </w:tabs>
              <w:adjustRightInd w:val="0"/>
              <w:snapToGrid w:val="0"/>
              <w:spacing w:line="240" w:lineRule="auto"/>
              <w:ind w:firstLine="0" w:firstLineChars="0"/>
              <w:jc w:val="center"/>
              <w:rPr>
                <w:kern w:val="0"/>
                <w:sz w:val="18"/>
                <w:szCs w:val="18"/>
              </w:rPr>
            </w:pPr>
            <w:r>
              <w:rPr>
                <w:kern w:val="0"/>
                <w:sz w:val="18"/>
                <w:szCs w:val="18"/>
              </w:rPr>
              <w:t>112</w:t>
            </w:r>
          </w:p>
        </w:tc>
        <w:tc>
          <w:tcPr>
            <w:tcW w:w="1200" w:type="dxa"/>
            <w:vAlign w:val="center"/>
          </w:tcPr>
          <w:p w14:paraId="2EA561E7">
            <w:pPr>
              <w:widowControl/>
              <w:tabs>
                <w:tab w:val="clear" w:pos="480"/>
              </w:tabs>
              <w:adjustRightInd w:val="0"/>
              <w:snapToGrid w:val="0"/>
              <w:spacing w:line="240" w:lineRule="auto"/>
              <w:ind w:firstLine="0" w:firstLineChars="0"/>
              <w:jc w:val="center"/>
              <w:rPr>
                <w:kern w:val="0"/>
                <w:sz w:val="18"/>
                <w:szCs w:val="18"/>
              </w:rPr>
            </w:pPr>
            <w:r>
              <w:rPr>
                <w:kern w:val="0"/>
                <w:sz w:val="18"/>
                <w:szCs w:val="18"/>
              </w:rPr>
              <w:t>1.16%</w:t>
            </w:r>
          </w:p>
        </w:tc>
      </w:tr>
      <w:tr w14:paraId="70472D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1A805694">
            <w:pPr>
              <w:widowControl/>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1527" w:type="dxa"/>
            <w:vAlign w:val="center"/>
          </w:tcPr>
          <w:p w14:paraId="48863472">
            <w:pPr>
              <w:widowControl/>
              <w:tabs>
                <w:tab w:val="clear" w:pos="480"/>
              </w:tabs>
              <w:adjustRightInd w:val="0"/>
              <w:snapToGrid w:val="0"/>
              <w:spacing w:line="240" w:lineRule="auto"/>
              <w:ind w:firstLine="0" w:firstLineChars="0"/>
              <w:jc w:val="center"/>
              <w:rPr>
                <w:kern w:val="0"/>
                <w:sz w:val="18"/>
                <w:szCs w:val="18"/>
              </w:rPr>
            </w:pPr>
            <w:r>
              <w:rPr>
                <w:kern w:val="0"/>
                <w:sz w:val="18"/>
                <w:szCs w:val="18"/>
              </w:rPr>
              <w:t>集电线路区</w:t>
            </w:r>
          </w:p>
        </w:tc>
        <w:tc>
          <w:tcPr>
            <w:tcW w:w="1020" w:type="dxa"/>
            <w:vAlign w:val="center"/>
          </w:tcPr>
          <w:p w14:paraId="5F96DA98">
            <w:pPr>
              <w:widowControl/>
              <w:tabs>
                <w:tab w:val="clear" w:pos="480"/>
              </w:tabs>
              <w:adjustRightInd w:val="0"/>
              <w:snapToGrid w:val="0"/>
              <w:spacing w:line="240" w:lineRule="auto"/>
              <w:ind w:firstLine="0" w:firstLineChars="0"/>
              <w:jc w:val="center"/>
              <w:rPr>
                <w:kern w:val="0"/>
                <w:sz w:val="18"/>
                <w:szCs w:val="18"/>
              </w:rPr>
            </w:pPr>
            <w:r>
              <w:rPr>
                <w:kern w:val="0"/>
                <w:sz w:val="18"/>
                <w:szCs w:val="18"/>
              </w:rPr>
              <w:t>0.13</w:t>
            </w:r>
          </w:p>
        </w:tc>
        <w:tc>
          <w:tcPr>
            <w:tcW w:w="805" w:type="dxa"/>
            <w:vAlign w:val="center"/>
          </w:tcPr>
          <w:p w14:paraId="394CE99D">
            <w:pPr>
              <w:widowControl/>
              <w:tabs>
                <w:tab w:val="clear" w:pos="480"/>
              </w:tabs>
              <w:adjustRightInd w:val="0"/>
              <w:snapToGrid w:val="0"/>
              <w:spacing w:line="240" w:lineRule="auto"/>
              <w:ind w:firstLine="0" w:firstLineChars="0"/>
              <w:jc w:val="center"/>
              <w:rPr>
                <w:kern w:val="0"/>
                <w:sz w:val="18"/>
                <w:szCs w:val="18"/>
              </w:rPr>
            </w:pPr>
            <w:r>
              <w:rPr>
                <w:kern w:val="0"/>
                <w:sz w:val="18"/>
                <w:szCs w:val="18"/>
              </w:rPr>
              <w:t>0</w:t>
            </w:r>
          </w:p>
        </w:tc>
        <w:tc>
          <w:tcPr>
            <w:tcW w:w="875" w:type="dxa"/>
            <w:vAlign w:val="center"/>
          </w:tcPr>
          <w:p w14:paraId="56AAF131">
            <w:pPr>
              <w:widowControl/>
              <w:tabs>
                <w:tab w:val="clear" w:pos="480"/>
              </w:tabs>
              <w:adjustRightInd w:val="0"/>
              <w:snapToGrid w:val="0"/>
              <w:spacing w:line="240" w:lineRule="auto"/>
              <w:ind w:firstLine="0" w:firstLineChars="0"/>
              <w:jc w:val="center"/>
              <w:rPr>
                <w:kern w:val="0"/>
                <w:sz w:val="18"/>
                <w:szCs w:val="18"/>
              </w:rPr>
            </w:pPr>
            <w:r>
              <w:rPr>
                <w:kern w:val="0"/>
                <w:sz w:val="18"/>
                <w:szCs w:val="18"/>
              </w:rPr>
              <w:t>6</w:t>
            </w:r>
          </w:p>
        </w:tc>
        <w:tc>
          <w:tcPr>
            <w:tcW w:w="1250" w:type="dxa"/>
            <w:vAlign w:val="center"/>
          </w:tcPr>
          <w:p w14:paraId="76F3D7BD">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662" w:type="dxa"/>
            <w:vAlign w:val="center"/>
          </w:tcPr>
          <w:p w14:paraId="03A85FEE">
            <w:pPr>
              <w:widowControl/>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863" w:type="dxa"/>
            <w:vAlign w:val="center"/>
          </w:tcPr>
          <w:p w14:paraId="6D74E116">
            <w:pPr>
              <w:widowControl/>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1200" w:type="dxa"/>
            <w:vAlign w:val="center"/>
          </w:tcPr>
          <w:p w14:paraId="37EBE89A">
            <w:pPr>
              <w:widowControl/>
              <w:tabs>
                <w:tab w:val="clear" w:pos="480"/>
              </w:tabs>
              <w:adjustRightInd w:val="0"/>
              <w:snapToGrid w:val="0"/>
              <w:spacing w:line="240" w:lineRule="auto"/>
              <w:ind w:firstLine="0" w:firstLineChars="0"/>
              <w:jc w:val="center"/>
              <w:rPr>
                <w:kern w:val="0"/>
                <w:sz w:val="18"/>
                <w:szCs w:val="18"/>
              </w:rPr>
            </w:pPr>
            <w:r>
              <w:rPr>
                <w:kern w:val="0"/>
                <w:sz w:val="18"/>
                <w:szCs w:val="18"/>
              </w:rPr>
              <w:t>0.07%</w:t>
            </w:r>
          </w:p>
        </w:tc>
      </w:tr>
      <w:tr w14:paraId="698FCE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7599C0B1">
            <w:pPr>
              <w:widowControl/>
              <w:tabs>
                <w:tab w:val="clear" w:pos="480"/>
              </w:tabs>
              <w:adjustRightInd w:val="0"/>
              <w:snapToGrid w:val="0"/>
              <w:spacing w:line="240" w:lineRule="auto"/>
              <w:ind w:firstLine="0" w:firstLineChars="0"/>
              <w:jc w:val="center"/>
              <w:rPr>
                <w:kern w:val="0"/>
                <w:sz w:val="18"/>
                <w:szCs w:val="18"/>
              </w:rPr>
            </w:pPr>
            <w:r>
              <w:rPr>
                <w:kern w:val="0"/>
                <w:sz w:val="18"/>
                <w:szCs w:val="18"/>
              </w:rPr>
              <w:t>5</w:t>
            </w:r>
          </w:p>
        </w:tc>
        <w:tc>
          <w:tcPr>
            <w:tcW w:w="1527" w:type="dxa"/>
            <w:vAlign w:val="center"/>
          </w:tcPr>
          <w:p w14:paraId="26823186">
            <w:pPr>
              <w:widowControl/>
              <w:tabs>
                <w:tab w:val="clear" w:pos="480"/>
              </w:tabs>
              <w:adjustRightInd w:val="0"/>
              <w:snapToGrid w:val="0"/>
              <w:spacing w:line="240" w:lineRule="auto"/>
              <w:ind w:firstLine="0" w:firstLineChars="0"/>
              <w:jc w:val="center"/>
              <w:rPr>
                <w:kern w:val="0"/>
                <w:sz w:val="18"/>
                <w:szCs w:val="18"/>
              </w:rPr>
            </w:pPr>
            <w:r>
              <w:rPr>
                <w:kern w:val="0"/>
                <w:sz w:val="18"/>
                <w:szCs w:val="18"/>
              </w:rPr>
              <w:t>施工生产区</w:t>
            </w:r>
          </w:p>
        </w:tc>
        <w:tc>
          <w:tcPr>
            <w:tcW w:w="1020" w:type="dxa"/>
            <w:vAlign w:val="center"/>
          </w:tcPr>
          <w:p w14:paraId="6BB2B8D2">
            <w:pPr>
              <w:widowControl/>
              <w:tabs>
                <w:tab w:val="clear" w:pos="480"/>
              </w:tabs>
              <w:adjustRightInd w:val="0"/>
              <w:snapToGrid w:val="0"/>
              <w:spacing w:line="240" w:lineRule="auto"/>
              <w:ind w:firstLine="0" w:firstLineChars="0"/>
              <w:jc w:val="center"/>
              <w:rPr>
                <w:kern w:val="0"/>
                <w:sz w:val="18"/>
                <w:szCs w:val="18"/>
              </w:rPr>
            </w:pPr>
            <w:r>
              <w:rPr>
                <w:kern w:val="0"/>
                <w:sz w:val="18"/>
                <w:szCs w:val="18"/>
              </w:rPr>
              <w:t>0.4</w:t>
            </w:r>
          </w:p>
        </w:tc>
        <w:tc>
          <w:tcPr>
            <w:tcW w:w="805" w:type="dxa"/>
            <w:vAlign w:val="center"/>
          </w:tcPr>
          <w:p w14:paraId="426933A5">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875" w:type="dxa"/>
            <w:vAlign w:val="center"/>
          </w:tcPr>
          <w:p w14:paraId="58EF1562">
            <w:pPr>
              <w:widowControl/>
              <w:tabs>
                <w:tab w:val="clear" w:pos="480"/>
              </w:tabs>
              <w:adjustRightInd w:val="0"/>
              <w:snapToGrid w:val="0"/>
              <w:spacing w:line="240" w:lineRule="auto"/>
              <w:ind w:firstLine="0" w:firstLineChars="0"/>
              <w:jc w:val="center"/>
              <w:rPr>
                <w:kern w:val="0"/>
                <w:sz w:val="18"/>
                <w:szCs w:val="18"/>
              </w:rPr>
            </w:pPr>
            <w:r>
              <w:rPr>
                <w:kern w:val="0"/>
                <w:sz w:val="18"/>
                <w:szCs w:val="18"/>
              </w:rPr>
              <w:t>16</w:t>
            </w:r>
          </w:p>
        </w:tc>
        <w:tc>
          <w:tcPr>
            <w:tcW w:w="1250" w:type="dxa"/>
            <w:vAlign w:val="center"/>
          </w:tcPr>
          <w:p w14:paraId="671445A3">
            <w:pPr>
              <w:widowControl/>
              <w:tabs>
                <w:tab w:val="clear" w:pos="480"/>
              </w:tabs>
              <w:adjustRightInd w:val="0"/>
              <w:snapToGrid w:val="0"/>
              <w:spacing w:line="240" w:lineRule="auto"/>
              <w:ind w:firstLine="0" w:firstLineChars="0"/>
              <w:jc w:val="center"/>
              <w:rPr>
                <w:kern w:val="0"/>
                <w:sz w:val="18"/>
                <w:szCs w:val="18"/>
              </w:rPr>
            </w:pPr>
            <w:r>
              <w:rPr>
                <w:kern w:val="0"/>
                <w:sz w:val="18"/>
                <w:szCs w:val="18"/>
              </w:rPr>
              <w:t>26</w:t>
            </w:r>
          </w:p>
        </w:tc>
        <w:tc>
          <w:tcPr>
            <w:tcW w:w="662" w:type="dxa"/>
            <w:vAlign w:val="center"/>
          </w:tcPr>
          <w:p w14:paraId="0FC073C8">
            <w:pPr>
              <w:widowControl/>
              <w:tabs>
                <w:tab w:val="clear" w:pos="480"/>
              </w:tabs>
              <w:adjustRightInd w:val="0"/>
              <w:snapToGrid w:val="0"/>
              <w:spacing w:line="240" w:lineRule="auto"/>
              <w:ind w:firstLine="0" w:firstLineChars="0"/>
              <w:jc w:val="center"/>
              <w:rPr>
                <w:kern w:val="0"/>
                <w:sz w:val="18"/>
                <w:szCs w:val="18"/>
              </w:rPr>
            </w:pPr>
            <w:r>
              <w:rPr>
                <w:kern w:val="0"/>
                <w:sz w:val="18"/>
                <w:szCs w:val="18"/>
              </w:rPr>
              <w:t>42</w:t>
            </w:r>
          </w:p>
        </w:tc>
        <w:tc>
          <w:tcPr>
            <w:tcW w:w="863" w:type="dxa"/>
            <w:vAlign w:val="center"/>
          </w:tcPr>
          <w:p w14:paraId="652672E8">
            <w:pPr>
              <w:widowControl/>
              <w:tabs>
                <w:tab w:val="clear" w:pos="480"/>
              </w:tabs>
              <w:adjustRightInd w:val="0"/>
              <w:snapToGrid w:val="0"/>
              <w:spacing w:line="240" w:lineRule="auto"/>
              <w:ind w:firstLine="0" w:firstLineChars="0"/>
              <w:jc w:val="center"/>
              <w:rPr>
                <w:kern w:val="0"/>
                <w:sz w:val="18"/>
                <w:szCs w:val="18"/>
              </w:rPr>
            </w:pPr>
            <w:r>
              <w:rPr>
                <w:kern w:val="0"/>
                <w:sz w:val="18"/>
                <w:szCs w:val="18"/>
              </w:rPr>
              <w:t>41</w:t>
            </w:r>
          </w:p>
        </w:tc>
        <w:tc>
          <w:tcPr>
            <w:tcW w:w="1200" w:type="dxa"/>
            <w:vAlign w:val="center"/>
          </w:tcPr>
          <w:p w14:paraId="0F13116A">
            <w:pPr>
              <w:widowControl/>
              <w:tabs>
                <w:tab w:val="clear" w:pos="480"/>
              </w:tabs>
              <w:adjustRightInd w:val="0"/>
              <w:snapToGrid w:val="0"/>
              <w:spacing w:line="240" w:lineRule="auto"/>
              <w:ind w:firstLine="0" w:firstLineChars="0"/>
              <w:jc w:val="center"/>
              <w:rPr>
                <w:kern w:val="0"/>
                <w:sz w:val="18"/>
                <w:szCs w:val="18"/>
              </w:rPr>
            </w:pPr>
            <w:r>
              <w:rPr>
                <w:kern w:val="0"/>
                <w:sz w:val="18"/>
                <w:szCs w:val="18"/>
              </w:rPr>
              <w:t>0.43%</w:t>
            </w:r>
          </w:p>
        </w:tc>
      </w:tr>
      <w:tr w14:paraId="6133C0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4D011AA8">
            <w:pPr>
              <w:widowControl/>
              <w:tabs>
                <w:tab w:val="clear" w:pos="480"/>
              </w:tabs>
              <w:adjustRightInd w:val="0"/>
              <w:snapToGrid w:val="0"/>
              <w:spacing w:line="240" w:lineRule="auto"/>
              <w:ind w:firstLine="0" w:firstLineChars="0"/>
              <w:jc w:val="center"/>
              <w:rPr>
                <w:kern w:val="0"/>
                <w:sz w:val="18"/>
                <w:szCs w:val="18"/>
              </w:rPr>
            </w:pPr>
            <w:r>
              <w:rPr>
                <w:kern w:val="0"/>
                <w:sz w:val="18"/>
                <w:szCs w:val="18"/>
              </w:rPr>
              <w:t>6</w:t>
            </w:r>
          </w:p>
        </w:tc>
        <w:tc>
          <w:tcPr>
            <w:tcW w:w="1527" w:type="dxa"/>
            <w:vAlign w:val="center"/>
          </w:tcPr>
          <w:p w14:paraId="3E687559">
            <w:pPr>
              <w:widowControl/>
              <w:tabs>
                <w:tab w:val="clear" w:pos="480"/>
              </w:tabs>
              <w:adjustRightInd w:val="0"/>
              <w:snapToGrid w:val="0"/>
              <w:spacing w:line="240" w:lineRule="auto"/>
              <w:ind w:firstLine="0" w:firstLineChars="0"/>
              <w:jc w:val="center"/>
              <w:rPr>
                <w:kern w:val="0"/>
                <w:sz w:val="18"/>
                <w:szCs w:val="18"/>
              </w:rPr>
            </w:pPr>
            <w:r>
              <w:rPr>
                <w:kern w:val="0"/>
                <w:sz w:val="18"/>
                <w:szCs w:val="18"/>
              </w:rPr>
              <w:t>弃渣场区</w:t>
            </w:r>
          </w:p>
        </w:tc>
        <w:tc>
          <w:tcPr>
            <w:tcW w:w="1020" w:type="dxa"/>
            <w:vAlign w:val="center"/>
          </w:tcPr>
          <w:p w14:paraId="486ABAC3">
            <w:pPr>
              <w:widowControl/>
              <w:tabs>
                <w:tab w:val="clear" w:pos="480"/>
              </w:tabs>
              <w:adjustRightInd w:val="0"/>
              <w:snapToGrid w:val="0"/>
              <w:spacing w:line="240" w:lineRule="auto"/>
              <w:ind w:firstLine="0" w:firstLineChars="0"/>
              <w:jc w:val="center"/>
              <w:rPr>
                <w:kern w:val="0"/>
                <w:sz w:val="18"/>
                <w:szCs w:val="18"/>
              </w:rPr>
            </w:pPr>
            <w:r>
              <w:rPr>
                <w:kern w:val="0"/>
                <w:sz w:val="18"/>
                <w:szCs w:val="18"/>
              </w:rPr>
              <w:t>2.14</w:t>
            </w:r>
          </w:p>
        </w:tc>
        <w:tc>
          <w:tcPr>
            <w:tcW w:w="805" w:type="dxa"/>
            <w:vAlign w:val="center"/>
          </w:tcPr>
          <w:p w14:paraId="418BA61A">
            <w:pPr>
              <w:widowControl/>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875" w:type="dxa"/>
            <w:vAlign w:val="center"/>
          </w:tcPr>
          <w:p w14:paraId="2570166D">
            <w:pPr>
              <w:widowControl/>
              <w:tabs>
                <w:tab w:val="clear" w:pos="480"/>
              </w:tabs>
              <w:adjustRightInd w:val="0"/>
              <w:snapToGrid w:val="0"/>
              <w:spacing w:line="240" w:lineRule="auto"/>
              <w:ind w:firstLine="0" w:firstLineChars="0"/>
              <w:jc w:val="center"/>
              <w:rPr>
                <w:kern w:val="0"/>
                <w:sz w:val="18"/>
                <w:szCs w:val="18"/>
              </w:rPr>
            </w:pPr>
            <w:r>
              <w:rPr>
                <w:kern w:val="0"/>
                <w:sz w:val="18"/>
                <w:szCs w:val="18"/>
              </w:rPr>
              <w:t>387</w:t>
            </w:r>
          </w:p>
        </w:tc>
        <w:tc>
          <w:tcPr>
            <w:tcW w:w="1250" w:type="dxa"/>
            <w:vAlign w:val="center"/>
          </w:tcPr>
          <w:p w14:paraId="58192B6A">
            <w:pPr>
              <w:widowControl/>
              <w:tabs>
                <w:tab w:val="clear" w:pos="480"/>
              </w:tabs>
              <w:adjustRightInd w:val="0"/>
              <w:snapToGrid w:val="0"/>
              <w:spacing w:line="240" w:lineRule="auto"/>
              <w:ind w:firstLine="0" w:firstLineChars="0"/>
              <w:jc w:val="center"/>
              <w:rPr>
                <w:kern w:val="0"/>
                <w:sz w:val="18"/>
                <w:szCs w:val="18"/>
              </w:rPr>
            </w:pPr>
            <w:r>
              <w:rPr>
                <w:kern w:val="0"/>
                <w:sz w:val="18"/>
                <w:szCs w:val="18"/>
              </w:rPr>
              <w:t>313</w:t>
            </w:r>
          </w:p>
        </w:tc>
        <w:tc>
          <w:tcPr>
            <w:tcW w:w="662" w:type="dxa"/>
            <w:vAlign w:val="center"/>
          </w:tcPr>
          <w:p w14:paraId="58A356DA">
            <w:pPr>
              <w:widowControl/>
              <w:tabs>
                <w:tab w:val="clear" w:pos="480"/>
              </w:tabs>
              <w:adjustRightInd w:val="0"/>
              <w:snapToGrid w:val="0"/>
              <w:spacing w:line="240" w:lineRule="auto"/>
              <w:ind w:firstLine="0" w:firstLineChars="0"/>
              <w:jc w:val="center"/>
              <w:rPr>
                <w:kern w:val="0"/>
                <w:sz w:val="18"/>
                <w:szCs w:val="18"/>
              </w:rPr>
            </w:pPr>
            <w:r>
              <w:rPr>
                <w:kern w:val="0"/>
                <w:sz w:val="18"/>
                <w:szCs w:val="18"/>
              </w:rPr>
              <w:t>700</w:t>
            </w:r>
          </w:p>
        </w:tc>
        <w:tc>
          <w:tcPr>
            <w:tcW w:w="863" w:type="dxa"/>
            <w:vAlign w:val="center"/>
          </w:tcPr>
          <w:p w14:paraId="0D47BEC4">
            <w:pPr>
              <w:widowControl/>
              <w:tabs>
                <w:tab w:val="clear" w:pos="480"/>
              </w:tabs>
              <w:adjustRightInd w:val="0"/>
              <w:snapToGrid w:val="0"/>
              <w:spacing w:line="240" w:lineRule="auto"/>
              <w:ind w:firstLine="0" w:firstLineChars="0"/>
              <w:jc w:val="center"/>
              <w:rPr>
                <w:kern w:val="0"/>
                <w:sz w:val="18"/>
                <w:szCs w:val="18"/>
              </w:rPr>
            </w:pPr>
            <w:r>
              <w:rPr>
                <w:kern w:val="0"/>
                <w:sz w:val="18"/>
                <w:szCs w:val="18"/>
              </w:rPr>
              <w:t>690</w:t>
            </w:r>
          </w:p>
        </w:tc>
        <w:tc>
          <w:tcPr>
            <w:tcW w:w="1200" w:type="dxa"/>
            <w:vAlign w:val="center"/>
          </w:tcPr>
          <w:p w14:paraId="146E2951">
            <w:pPr>
              <w:widowControl/>
              <w:tabs>
                <w:tab w:val="clear" w:pos="480"/>
              </w:tabs>
              <w:adjustRightInd w:val="0"/>
              <w:snapToGrid w:val="0"/>
              <w:spacing w:line="240" w:lineRule="auto"/>
              <w:ind w:firstLine="0" w:firstLineChars="0"/>
              <w:jc w:val="center"/>
              <w:rPr>
                <w:kern w:val="0"/>
                <w:sz w:val="18"/>
                <w:szCs w:val="18"/>
              </w:rPr>
            </w:pPr>
            <w:r>
              <w:rPr>
                <w:kern w:val="0"/>
                <w:sz w:val="18"/>
                <w:szCs w:val="18"/>
              </w:rPr>
              <w:t>7.17%</w:t>
            </w:r>
          </w:p>
        </w:tc>
      </w:tr>
      <w:tr w14:paraId="42CE7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19603739">
            <w:pPr>
              <w:widowControl/>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1527" w:type="dxa"/>
            <w:vAlign w:val="center"/>
          </w:tcPr>
          <w:p w14:paraId="1B333404">
            <w:pPr>
              <w:widowControl/>
              <w:tabs>
                <w:tab w:val="clear" w:pos="480"/>
              </w:tabs>
              <w:adjustRightInd w:val="0"/>
              <w:snapToGrid w:val="0"/>
              <w:spacing w:line="240" w:lineRule="auto"/>
              <w:ind w:firstLine="0" w:firstLineChars="0"/>
              <w:jc w:val="center"/>
              <w:rPr>
                <w:kern w:val="0"/>
                <w:sz w:val="18"/>
                <w:szCs w:val="18"/>
              </w:rPr>
            </w:pPr>
            <w:r>
              <w:rPr>
                <w:kern w:val="0"/>
                <w:sz w:val="18"/>
                <w:szCs w:val="18"/>
              </w:rPr>
              <w:t>合计</w:t>
            </w:r>
          </w:p>
        </w:tc>
        <w:tc>
          <w:tcPr>
            <w:tcW w:w="1020" w:type="dxa"/>
            <w:vAlign w:val="center"/>
          </w:tcPr>
          <w:p w14:paraId="165F3AAC">
            <w:pPr>
              <w:widowControl/>
              <w:tabs>
                <w:tab w:val="clear" w:pos="480"/>
              </w:tabs>
              <w:adjustRightInd w:val="0"/>
              <w:snapToGrid w:val="0"/>
              <w:spacing w:line="240" w:lineRule="auto"/>
              <w:ind w:firstLine="0" w:firstLineChars="0"/>
              <w:jc w:val="center"/>
              <w:rPr>
                <w:kern w:val="0"/>
                <w:sz w:val="18"/>
                <w:szCs w:val="18"/>
              </w:rPr>
            </w:pPr>
            <w:r>
              <w:rPr>
                <w:kern w:val="0"/>
                <w:sz w:val="18"/>
                <w:szCs w:val="18"/>
              </w:rPr>
              <w:t>42.23</w:t>
            </w:r>
          </w:p>
        </w:tc>
        <w:tc>
          <w:tcPr>
            <w:tcW w:w="805" w:type="dxa"/>
            <w:vAlign w:val="center"/>
          </w:tcPr>
          <w:p w14:paraId="5E5A9B52">
            <w:pPr>
              <w:widowControl/>
              <w:tabs>
                <w:tab w:val="clear" w:pos="480"/>
              </w:tabs>
              <w:adjustRightInd w:val="0"/>
              <w:snapToGrid w:val="0"/>
              <w:spacing w:line="240" w:lineRule="auto"/>
              <w:ind w:firstLine="0" w:firstLineChars="0"/>
              <w:jc w:val="center"/>
              <w:rPr>
                <w:kern w:val="0"/>
                <w:sz w:val="18"/>
                <w:szCs w:val="18"/>
              </w:rPr>
            </w:pPr>
            <w:r>
              <w:rPr>
                <w:kern w:val="0"/>
                <w:sz w:val="18"/>
                <w:szCs w:val="18"/>
              </w:rPr>
              <w:t>189</w:t>
            </w:r>
          </w:p>
        </w:tc>
        <w:tc>
          <w:tcPr>
            <w:tcW w:w="875" w:type="dxa"/>
            <w:vAlign w:val="center"/>
          </w:tcPr>
          <w:p w14:paraId="55057387">
            <w:pPr>
              <w:widowControl/>
              <w:tabs>
                <w:tab w:val="clear" w:pos="480"/>
              </w:tabs>
              <w:adjustRightInd w:val="0"/>
              <w:snapToGrid w:val="0"/>
              <w:spacing w:line="240" w:lineRule="auto"/>
              <w:ind w:firstLine="0" w:firstLineChars="0"/>
              <w:jc w:val="center"/>
              <w:rPr>
                <w:kern w:val="0"/>
                <w:sz w:val="18"/>
                <w:szCs w:val="18"/>
              </w:rPr>
            </w:pPr>
            <w:r>
              <w:rPr>
                <w:kern w:val="0"/>
                <w:sz w:val="18"/>
                <w:szCs w:val="18"/>
              </w:rPr>
              <w:t>7225</w:t>
            </w:r>
          </w:p>
        </w:tc>
        <w:tc>
          <w:tcPr>
            <w:tcW w:w="1250" w:type="dxa"/>
            <w:vAlign w:val="center"/>
          </w:tcPr>
          <w:p w14:paraId="4D2DDA9C">
            <w:pPr>
              <w:widowControl/>
              <w:tabs>
                <w:tab w:val="clear" w:pos="480"/>
              </w:tabs>
              <w:adjustRightInd w:val="0"/>
              <w:snapToGrid w:val="0"/>
              <w:spacing w:line="240" w:lineRule="auto"/>
              <w:ind w:firstLine="0" w:firstLineChars="0"/>
              <w:jc w:val="center"/>
              <w:rPr>
                <w:kern w:val="0"/>
                <w:sz w:val="18"/>
                <w:szCs w:val="18"/>
              </w:rPr>
            </w:pPr>
            <w:r>
              <w:rPr>
                <w:kern w:val="0"/>
                <w:sz w:val="18"/>
                <w:szCs w:val="18"/>
              </w:rPr>
              <w:t>2584</w:t>
            </w:r>
          </w:p>
        </w:tc>
        <w:tc>
          <w:tcPr>
            <w:tcW w:w="662" w:type="dxa"/>
            <w:vAlign w:val="center"/>
          </w:tcPr>
          <w:p w14:paraId="732860F8">
            <w:pPr>
              <w:widowControl/>
              <w:tabs>
                <w:tab w:val="clear" w:pos="480"/>
              </w:tabs>
              <w:adjustRightInd w:val="0"/>
              <w:snapToGrid w:val="0"/>
              <w:spacing w:line="240" w:lineRule="auto"/>
              <w:ind w:firstLine="0" w:firstLineChars="0"/>
              <w:jc w:val="center"/>
              <w:rPr>
                <w:kern w:val="0"/>
                <w:sz w:val="18"/>
                <w:szCs w:val="18"/>
              </w:rPr>
            </w:pPr>
            <w:r>
              <w:rPr>
                <w:kern w:val="0"/>
                <w:sz w:val="18"/>
                <w:szCs w:val="18"/>
              </w:rPr>
              <w:t>9809</w:t>
            </w:r>
          </w:p>
        </w:tc>
        <w:tc>
          <w:tcPr>
            <w:tcW w:w="863" w:type="dxa"/>
            <w:vAlign w:val="center"/>
          </w:tcPr>
          <w:p w14:paraId="6F1D032D">
            <w:pPr>
              <w:widowControl/>
              <w:tabs>
                <w:tab w:val="clear" w:pos="480"/>
              </w:tabs>
              <w:adjustRightInd w:val="0"/>
              <w:snapToGrid w:val="0"/>
              <w:spacing w:line="240" w:lineRule="auto"/>
              <w:ind w:firstLine="0" w:firstLineChars="0"/>
              <w:jc w:val="center"/>
              <w:rPr>
                <w:kern w:val="0"/>
                <w:sz w:val="18"/>
                <w:szCs w:val="18"/>
              </w:rPr>
            </w:pPr>
            <w:r>
              <w:rPr>
                <w:kern w:val="0"/>
                <w:sz w:val="18"/>
                <w:szCs w:val="18"/>
              </w:rPr>
              <w:t>9620</w:t>
            </w:r>
          </w:p>
        </w:tc>
        <w:tc>
          <w:tcPr>
            <w:tcW w:w="1200" w:type="dxa"/>
            <w:vAlign w:val="center"/>
          </w:tcPr>
          <w:p w14:paraId="470FC391">
            <w:pPr>
              <w:widowControl/>
              <w:tabs>
                <w:tab w:val="clear" w:pos="480"/>
              </w:tabs>
              <w:adjustRightInd w:val="0"/>
              <w:snapToGrid w:val="0"/>
              <w:spacing w:line="240" w:lineRule="auto"/>
              <w:ind w:firstLine="0" w:firstLineChars="0"/>
              <w:jc w:val="center"/>
              <w:rPr>
                <w:kern w:val="0"/>
                <w:sz w:val="18"/>
                <w:szCs w:val="18"/>
              </w:rPr>
            </w:pPr>
            <w:r>
              <w:rPr>
                <w:kern w:val="0"/>
                <w:sz w:val="18"/>
                <w:szCs w:val="18"/>
              </w:rPr>
              <w:t>100.00%</w:t>
            </w:r>
          </w:p>
        </w:tc>
      </w:tr>
      <w:tr w14:paraId="7E30B7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87" w:type="dxa"/>
            <w:vAlign w:val="center"/>
          </w:tcPr>
          <w:p w14:paraId="051EEBB2">
            <w:pPr>
              <w:widowControl/>
              <w:tabs>
                <w:tab w:val="clear" w:pos="480"/>
              </w:tabs>
              <w:adjustRightInd w:val="0"/>
              <w:snapToGrid w:val="0"/>
              <w:spacing w:line="240" w:lineRule="auto"/>
              <w:ind w:firstLine="0" w:firstLineChars="0"/>
              <w:jc w:val="center"/>
              <w:rPr>
                <w:kern w:val="0"/>
                <w:sz w:val="18"/>
                <w:szCs w:val="18"/>
              </w:rPr>
            </w:pPr>
            <w:r>
              <w:rPr>
                <w:kern w:val="0"/>
                <w:sz w:val="18"/>
                <w:szCs w:val="18"/>
              </w:rPr>
              <w:t>8</w:t>
            </w:r>
          </w:p>
        </w:tc>
        <w:tc>
          <w:tcPr>
            <w:tcW w:w="1527" w:type="dxa"/>
            <w:vAlign w:val="center"/>
          </w:tcPr>
          <w:p w14:paraId="0E44C896">
            <w:pPr>
              <w:widowControl/>
              <w:tabs>
                <w:tab w:val="clear" w:pos="480"/>
              </w:tabs>
              <w:adjustRightInd w:val="0"/>
              <w:snapToGrid w:val="0"/>
              <w:spacing w:line="240" w:lineRule="auto"/>
              <w:ind w:firstLine="0" w:firstLineChars="0"/>
              <w:jc w:val="center"/>
              <w:rPr>
                <w:kern w:val="0"/>
                <w:sz w:val="18"/>
                <w:szCs w:val="18"/>
              </w:rPr>
            </w:pPr>
            <w:r>
              <w:rPr>
                <w:kern w:val="0"/>
                <w:sz w:val="18"/>
                <w:szCs w:val="18"/>
              </w:rPr>
              <w:t>占流失比例</w:t>
            </w:r>
          </w:p>
        </w:tc>
        <w:tc>
          <w:tcPr>
            <w:tcW w:w="1020" w:type="dxa"/>
            <w:vAlign w:val="center"/>
          </w:tcPr>
          <w:p w14:paraId="7FCFC974">
            <w:pPr>
              <w:widowControl/>
              <w:tabs>
                <w:tab w:val="clear" w:pos="480"/>
              </w:tabs>
              <w:adjustRightInd w:val="0"/>
              <w:snapToGrid w:val="0"/>
              <w:spacing w:line="240" w:lineRule="auto"/>
              <w:ind w:firstLine="0" w:firstLineChars="0"/>
              <w:jc w:val="center"/>
              <w:rPr>
                <w:kern w:val="0"/>
                <w:sz w:val="18"/>
                <w:szCs w:val="18"/>
              </w:rPr>
            </w:pPr>
          </w:p>
        </w:tc>
        <w:tc>
          <w:tcPr>
            <w:tcW w:w="805" w:type="dxa"/>
            <w:vAlign w:val="center"/>
          </w:tcPr>
          <w:p w14:paraId="6170525C">
            <w:pPr>
              <w:widowControl/>
              <w:tabs>
                <w:tab w:val="clear" w:pos="480"/>
              </w:tabs>
              <w:adjustRightInd w:val="0"/>
              <w:snapToGrid w:val="0"/>
              <w:spacing w:line="240" w:lineRule="auto"/>
              <w:ind w:firstLine="0" w:firstLineChars="0"/>
              <w:jc w:val="center"/>
              <w:rPr>
                <w:kern w:val="0"/>
                <w:sz w:val="18"/>
                <w:szCs w:val="18"/>
              </w:rPr>
            </w:pPr>
          </w:p>
        </w:tc>
        <w:tc>
          <w:tcPr>
            <w:tcW w:w="875" w:type="dxa"/>
            <w:vAlign w:val="center"/>
          </w:tcPr>
          <w:p w14:paraId="2D1490EE">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73.66%</w:t>
            </w:r>
          </w:p>
        </w:tc>
        <w:tc>
          <w:tcPr>
            <w:tcW w:w="1250" w:type="dxa"/>
            <w:vAlign w:val="center"/>
          </w:tcPr>
          <w:p w14:paraId="0908B775">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26.34%</w:t>
            </w:r>
          </w:p>
        </w:tc>
        <w:tc>
          <w:tcPr>
            <w:tcW w:w="662" w:type="dxa"/>
            <w:vAlign w:val="center"/>
          </w:tcPr>
          <w:p w14:paraId="2E72B170">
            <w:pPr>
              <w:widowControl/>
              <w:tabs>
                <w:tab w:val="clear" w:pos="480"/>
              </w:tabs>
              <w:adjustRightInd w:val="0"/>
              <w:snapToGrid w:val="0"/>
              <w:spacing w:line="240" w:lineRule="auto"/>
              <w:ind w:firstLine="0" w:firstLineChars="0"/>
              <w:jc w:val="center"/>
              <w:rPr>
                <w:kern w:val="0"/>
                <w:sz w:val="18"/>
                <w:szCs w:val="18"/>
              </w:rPr>
            </w:pPr>
          </w:p>
        </w:tc>
        <w:tc>
          <w:tcPr>
            <w:tcW w:w="863" w:type="dxa"/>
            <w:vAlign w:val="center"/>
          </w:tcPr>
          <w:p w14:paraId="010DD66E">
            <w:pPr>
              <w:widowControl/>
              <w:tabs>
                <w:tab w:val="clear" w:pos="480"/>
              </w:tabs>
              <w:adjustRightInd w:val="0"/>
              <w:snapToGrid w:val="0"/>
              <w:spacing w:line="240" w:lineRule="auto"/>
              <w:ind w:firstLine="0" w:firstLineChars="0"/>
              <w:jc w:val="center"/>
              <w:rPr>
                <w:kern w:val="0"/>
                <w:sz w:val="18"/>
                <w:szCs w:val="18"/>
              </w:rPr>
            </w:pPr>
          </w:p>
        </w:tc>
        <w:tc>
          <w:tcPr>
            <w:tcW w:w="1200" w:type="dxa"/>
            <w:vAlign w:val="center"/>
          </w:tcPr>
          <w:p w14:paraId="0AE7EB0B">
            <w:pPr>
              <w:widowControl/>
              <w:tabs>
                <w:tab w:val="clear" w:pos="480"/>
              </w:tabs>
              <w:adjustRightInd w:val="0"/>
              <w:snapToGrid w:val="0"/>
              <w:spacing w:line="240" w:lineRule="auto"/>
              <w:ind w:firstLine="0" w:firstLineChars="0"/>
              <w:jc w:val="center"/>
              <w:rPr>
                <w:kern w:val="0"/>
                <w:sz w:val="18"/>
                <w:szCs w:val="18"/>
              </w:rPr>
            </w:pPr>
          </w:p>
        </w:tc>
      </w:tr>
    </w:tbl>
    <w:p w14:paraId="2DFC78D0">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6.1.7</w:t>
      </w:r>
      <w:r>
        <w:rPr>
          <w:rFonts w:hint="eastAsia"/>
          <w:b/>
          <w:kern w:val="24"/>
          <w:sz w:val="28"/>
          <w:szCs w:val="28"/>
          <w:lang w:val="zh-CN"/>
        </w:rPr>
        <w:t>施工期环境风险分析</w:t>
      </w:r>
    </w:p>
    <w:p w14:paraId="49B3948F">
      <w:pPr>
        <w:adjustRightInd w:val="0"/>
        <w:snapToGrid w:val="0"/>
        <w:ind w:firstLine="480"/>
      </w:pPr>
      <w:r>
        <w:t>（1）火灾风险分析</w:t>
      </w:r>
    </w:p>
    <w:p w14:paraId="0957195B">
      <w:pPr>
        <w:adjustRightInd w:val="0"/>
        <w:snapToGrid w:val="0"/>
        <w:ind w:firstLine="480"/>
      </w:pPr>
      <w:r>
        <w:t>衡阳县杉桥风电场工程在施工阶段由于进山施工物资及人员增多，使得人为导致火灾的风险增大，森林火灾是危害森林的大敌，一场火灾在旦夕之间就能把大片森林化为灰烬。由于森林被毁，林地失去覆盖，引起水土流失，殃及水利和农业。</w:t>
      </w:r>
    </w:p>
    <w:p w14:paraId="6D745EA5">
      <w:pPr>
        <w:adjustRightInd w:val="0"/>
        <w:snapToGrid w:val="0"/>
        <w:ind w:firstLine="480"/>
      </w:pPr>
      <w:r>
        <w:t>森林火灾是森林资源毁灭性的灾害。引起森林火灾有三个因素：可燃物、氧气和火源。在森林里可燃物和氧气是随时具备的，造成森林火灾的重要原因是火源。发生森林火灾的火源一般有自然火源与人为火源两类，其中主要是人为火源。据统计，因人为火源引起的森林火灾占99%，因此，在施工过程中必须认真贯彻“预防为主、积极消灭”的防火方针，从预防和控制山区林地防火能力入手，防患于未然：</w:t>
      </w:r>
      <w:r>
        <w:rPr>
          <w:rFonts w:hint="eastAsia"/>
        </w:rPr>
        <w:t>①</w:t>
      </w:r>
      <w:r>
        <w:t>加强防火宣传，设置护林防火宣传牌，提高施工人员的防火意识。</w:t>
      </w:r>
      <w:r>
        <w:rPr>
          <w:rFonts w:hint="eastAsia"/>
        </w:rPr>
        <w:t>②</w:t>
      </w:r>
      <w:r>
        <w:t>加强组织领导，建立健全防火组织机构。</w:t>
      </w:r>
      <w:r>
        <w:rPr>
          <w:rFonts w:hint="eastAsia"/>
        </w:rPr>
        <w:t>③</w:t>
      </w:r>
      <w:r>
        <w:t>营造生物防火隔离带，构建防火通信网络，配备相应数量的灭火器材。</w:t>
      </w:r>
    </w:p>
    <w:p w14:paraId="245FCEB0">
      <w:pPr>
        <w:adjustRightInd w:val="0"/>
        <w:snapToGrid w:val="0"/>
        <w:ind w:firstLine="480"/>
      </w:pPr>
      <w:r>
        <w:t>（2）渣场失稳风险分析</w:t>
      </w:r>
    </w:p>
    <w:p w14:paraId="0A88FB66">
      <w:pPr>
        <w:adjustRightInd w:val="0"/>
        <w:snapToGrid w:val="0"/>
        <w:ind w:firstLine="480"/>
      </w:pPr>
      <w:r>
        <w:t>本工程施工期共设置</w:t>
      </w:r>
      <w:r>
        <w:rPr>
          <w:rFonts w:hint="eastAsia"/>
        </w:rPr>
        <w:t>8个</w:t>
      </w:r>
      <w:r>
        <w:t>弃渣场。渣场根据水土保持综合治理技术规范和防洪标准的有关规定，参考同类已建工程的实践经验和安全经济兼顾的原则，确定渣场排洪设施的设计标准，并对渣场进行防护设计。因此，渣场出现滑坡或被暴雨洪水冲溃的可能性很小。</w:t>
      </w:r>
    </w:p>
    <w:p w14:paraId="44213A24">
      <w:pPr>
        <w:pStyle w:val="4"/>
        <w:tabs>
          <w:tab w:val="clear" w:pos="480"/>
          <w:tab w:val="clear" w:pos="630"/>
        </w:tabs>
        <w:adjustRightInd w:val="0"/>
        <w:snapToGrid w:val="0"/>
        <w:spacing w:before="0" w:after="0"/>
        <w:rPr>
          <w:sz w:val="30"/>
          <w:szCs w:val="30"/>
          <w:lang w:val="en-US"/>
        </w:rPr>
      </w:pPr>
      <w:bookmarkStart w:id="178" w:name="_Toc116978003"/>
      <w:bookmarkStart w:id="179" w:name="_Toc143799387"/>
      <w:r>
        <w:rPr>
          <w:sz w:val="30"/>
          <w:szCs w:val="30"/>
          <w:lang w:val="en-US"/>
        </w:rPr>
        <w:t>6.2</w:t>
      </w:r>
      <w:r>
        <w:rPr>
          <w:rFonts w:hint="eastAsia"/>
          <w:sz w:val="30"/>
          <w:szCs w:val="30"/>
          <w:lang w:val="en-US"/>
        </w:rPr>
        <w:t>运营期环境影响分析</w:t>
      </w:r>
      <w:bookmarkEnd w:id="178"/>
      <w:bookmarkEnd w:id="179"/>
    </w:p>
    <w:p w14:paraId="49C058DC">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6.2.1</w:t>
      </w:r>
      <w:r>
        <w:rPr>
          <w:rFonts w:hint="eastAsia" w:ascii="Times New Roman" w:eastAsia="宋体"/>
          <w:sz w:val="28"/>
          <w:szCs w:val="28"/>
          <w:lang w:val="en-US"/>
        </w:rPr>
        <w:t>运营期大气环境影响分析</w:t>
      </w:r>
    </w:p>
    <w:p w14:paraId="731DCB55">
      <w:pPr>
        <w:adjustRightInd w:val="0"/>
        <w:snapToGrid w:val="0"/>
        <w:ind w:firstLine="480"/>
      </w:pPr>
      <w:r>
        <w:t>本风电站建成投入运行后，以风力发电，不消耗燃料，项目自身不产生大气污染物。电站运行期拟采用电能、液化气等清洁能源作为工作人员的生活能源，只有很少量的食堂油烟废气，油烟废气经油烟净化器处理达标后通过屋顶排放，另外巡查道路每天会有少量车辆通行，汽车尾气和道路扬尘产生量少且分散，区内植被覆盖度高，对尾气、扬尘的吸附作用强，运行期对当地环境空气质量影响极小。</w:t>
      </w:r>
    </w:p>
    <w:p w14:paraId="590E6CC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6.2.2</w:t>
      </w:r>
      <w:r>
        <w:rPr>
          <w:rFonts w:hint="eastAsia" w:ascii="Times New Roman" w:eastAsia="宋体"/>
          <w:sz w:val="28"/>
          <w:szCs w:val="28"/>
          <w:lang w:val="en-US"/>
        </w:rPr>
        <w:t>运营期地表水环境影响分析</w:t>
      </w:r>
    </w:p>
    <w:p w14:paraId="19709DC3">
      <w:pPr>
        <w:adjustRightInd w:val="0"/>
        <w:snapToGrid w:val="0"/>
        <w:ind w:firstLine="480"/>
      </w:pPr>
      <w:r>
        <w:rPr>
          <w:rFonts w:hint="eastAsia"/>
        </w:rPr>
        <w:t>本项目设置一座一座</w:t>
      </w:r>
      <w:r>
        <w:t>110kV</w:t>
      </w:r>
      <w:r>
        <w:rPr>
          <w:rFonts w:hint="eastAsia"/>
        </w:rPr>
        <w:t>升压站，升压站采用雨污分流制排水，雨水经雨水管网收集系统收集后，直接外排；废水经污水管网收集后经一体化污水处理达标后回用，不外排地表水体。</w:t>
      </w:r>
    </w:p>
    <w:p w14:paraId="1060F88A">
      <w:pPr>
        <w:adjustRightInd w:val="0"/>
        <w:snapToGrid w:val="0"/>
        <w:ind w:firstLine="480"/>
      </w:pPr>
      <w:r>
        <w:rPr>
          <w:rFonts w:hint="eastAsia"/>
        </w:rPr>
        <w:t>（</w:t>
      </w:r>
      <w:r>
        <w:t>1</w:t>
      </w:r>
      <w:r>
        <w:rPr>
          <w:rFonts w:hint="eastAsia"/>
        </w:rPr>
        <w:t>）生产废水</w:t>
      </w:r>
    </w:p>
    <w:p w14:paraId="732B9089">
      <w:pPr>
        <w:adjustRightInd w:val="0"/>
        <w:snapToGrid w:val="0"/>
        <w:ind w:firstLine="480"/>
      </w:pPr>
      <w:r>
        <w:t>运营期的生产废水主要是主变压器检修或发生事故时泄漏的含油废水。本项目设置一座110kV升压站，升压站对主变压器设置了排油槽和事故油池，当检修或发生事故泄漏时排出的油全部收回，不外排。废油集中收集后委托有资质单位进行处置，不会对周边环境产生污染。</w:t>
      </w:r>
    </w:p>
    <w:p w14:paraId="6954BFC5">
      <w:pPr>
        <w:adjustRightInd w:val="0"/>
        <w:snapToGrid w:val="0"/>
        <w:ind w:firstLine="480"/>
      </w:pPr>
      <w:r>
        <w:rPr>
          <w:rFonts w:hint="eastAsia"/>
        </w:rPr>
        <w:t>（</w:t>
      </w:r>
      <w:r>
        <w:t>2</w:t>
      </w:r>
      <w:r>
        <w:rPr>
          <w:rFonts w:hint="eastAsia"/>
        </w:rPr>
        <w:t>）生活污水</w:t>
      </w:r>
    </w:p>
    <w:p w14:paraId="734DC6E6">
      <w:pPr>
        <w:adjustRightInd w:val="0"/>
        <w:snapToGrid w:val="0"/>
        <w:ind w:firstLine="480"/>
      </w:pPr>
      <w:r>
        <w:rPr>
          <w:rFonts w:hint="eastAsia"/>
        </w:rPr>
        <w:t>本项目新建一座1</w:t>
      </w:r>
      <w:r>
        <w:t>10</w:t>
      </w:r>
      <w:r>
        <w:rPr>
          <w:rFonts w:hint="eastAsia"/>
        </w:rPr>
        <w:t>k</w:t>
      </w:r>
      <w:r>
        <w:t>V</w:t>
      </w:r>
      <w:r>
        <w:rPr>
          <w:rFonts w:hint="eastAsia"/>
        </w:rPr>
        <w:t>升压站，项目运营期间风电场管理和检修人员会产生生活污水。</w:t>
      </w:r>
      <w:bookmarkStart w:id="180" w:name="_Hlk116115022"/>
      <w:r>
        <w:rPr>
          <w:rFonts w:hint="eastAsia"/>
        </w:rPr>
        <w:t>生活污水经升压站内一体化污水处理系统（处理规模为</w:t>
      </w:r>
      <w:r>
        <w:t>0.5m</w:t>
      </w:r>
      <w:r>
        <w:rPr>
          <w:vertAlign w:val="superscript"/>
        </w:rPr>
        <w:t>3</w:t>
      </w:r>
      <w:r>
        <w:t>/h</w:t>
      </w:r>
      <w:r>
        <w:rPr>
          <w:rFonts w:hint="eastAsia"/>
        </w:rPr>
        <w:t>）处理满足《污水综合排放标准》（G</w:t>
      </w:r>
      <w:r>
        <w:t>B8978-1996</w:t>
      </w:r>
      <w:r>
        <w:rPr>
          <w:rFonts w:hint="eastAsia"/>
        </w:rPr>
        <w:t>）表4中“一级”标准后全部回用于厂区绿化，不外排</w:t>
      </w:r>
      <w:bookmarkEnd w:id="180"/>
      <w:r>
        <w:rPr>
          <w:rFonts w:hint="eastAsia"/>
        </w:rPr>
        <w:t>，不会对周围环境产生明显影响。</w:t>
      </w:r>
    </w:p>
    <w:p w14:paraId="09D459B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6.2.3</w:t>
      </w:r>
      <w:r>
        <w:rPr>
          <w:rFonts w:hint="eastAsia" w:ascii="Times New Roman" w:eastAsia="宋体"/>
          <w:sz w:val="28"/>
          <w:szCs w:val="28"/>
          <w:lang w:val="en-US"/>
        </w:rPr>
        <w:t>运营期声环境影响分析</w:t>
      </w:r>
    </w:p>
    <w:p w14:paraId="3281CA1F">
      <w:pPr>
        <w:tabs>
          <w:tab w:val="clear" w:pos="480"/>
        </w:tabs>
        <w:adjustRightInd w:val="0"/>
        <w:snapToGrid w:val="0"/>
        <w:ind w:firstLine="0" w:firstLineChars="0"/>
        <w:outlineLvl w:val="3"/>
        <w:rPr>
          <w:b/>
          <w:kern w:val="0"/>
          <w:lang w:val="zh-CN"/>
        </w:rPr>
      </w:pPr>
      <w:r>
        <w:rPr>
          <w:b/>
          <w:kern w:val="0"/>
        </w:rPr>
        <w:t>6</w:t>
      </w:r>
      <w:r>
        <w:rPr>
          <w:b/>
          <w:kern w:val="0"/>
          <w:lang w:val="zh-CN"/>
        </w:rPr>
        <w:t>.2.3.1</w:t>
      </w:r>
      <w:r>
        <w:rPr>
          <w:rFonts w:hint="eastAsia"/>
          <w:b/>
          <w:kern w:val="0"/>
          <w:lang w:val="zh-CN"/>
        </w:rPr>
        <w:t>各风机机位周边声环境影响分析</w:t>
      </w:r>
    </w:p>
    <w:p w14:paraId="3833D38A">
      <w:pPr>
        <w:adjustRightInd w:val="0"/>
        <w:snapToGrid w:val="0"/>
        <w:ind w:firstLine="480"/>
      </w:pPr>
      <w:r>
        <w:rPr>
          <w:rFonts w:hint="eastAsia"/>
        </w:rPr>
        <w:t>本项目拟安装</w:t>
      </w:r>
      <w:r>
        <w:t>10</w:t>
      </w:r>
      <w:r>
        <w:rPr>
          <w:rFonts w:hint="eastAsia"/>
        </w:rPr>
        <w:t>台单机容量为5</w:t>
      </w:r>
      <w:r>
        <w:t>.0MW</w:t>
      </w:r>
      <w:r>
        <w:rPr>
          <w:rFonts w:hint="eastAsia"/>
        </w:rPr>
        <w:t>的风力发电机组。。</w:t>
      </w:r>
    </w:p>
    <w:p w14:paraId="37472B87">
      <w:pPr>
        <w:adjustRightInd w:val="0"/>
        <w:snapToGrid w:val="0"/>
        <w:ind w:firstLine="480"/>
      </w:pPr>
      <w:r>
        <w:rPr>
          <w:rFonts w:hint="eastAsia"/>
        </w:rPr>
        <w:t>（</w:t>
      </w:r>
      <w:r>
        <w:t>1</w:t>
      </w:r>
      <w:r>
        <w:rPr>
          <w:rFonts w:hint="eastAsia"/>
        </w:rPr>
        <w:t>）噪声源分析</w:t>
      </w:r>
    </w:p>
    <w:p w14:paraId="405D9E14">
      <w:pPr>
        <w:adjustRightInd w:val="0"/>
        <w:snapToGrid w:val="0"/>
        <w:ind w:firstLine="480"/>
      </w:pPr>
      <w:r>
        <w:rPr>
          <w:rFonts w:hint="eastAsia"/>
        </w:rPr>
        <w:t>根据噪声源强分析，</w:t>
      </w:r>
      <w:r>
        <w:t>风机运行过程中的噪声来源于风轮叶片旋转时产生的空气动力噪声和齿轮箱和发电机等部件发出的机械噪声，液压及润滑油冷却系统噪声。</w:t>
      </w:r>
      <w:r>
        <w:rPr>
          <w:rFonts w:hint="eastAsia"/>
        </w:rPr>
        <w:t>考虑最不利影响，本项目</w:t>
      </w:r>
      <w:r>
        <w:t>5.0MW风机</w:t>
      </w:r>
      <w:r>
        <w:rPr>
          <w:rFonts w:hint="eastAsia"/>
        </w:rPr>
        <w:t>噪声源强设定为1</w:t>
      </w:r>
      <w:r>
        <w:t>09</w:t>
      </w:r>
      <w:r>
        <w:rPr>
          <w:rFonts w:hint="eastAsia"/>
        </w:rPr>
        <w:t>d</w:t>
      </w:r>
      <w:r>
        <w:t>B</w:t>
      </w:r>
      <w:r>
        <w:rPr>
          <w:rFonts w:hint="eastAsia"/>
        </w:rPr>
        <w:t>（</w:t>
      </w:r>
      <w:r>
        <w:t>A</w:t>
      </w:r>
      <w:r>
        <w:rPr>
          <w:rFonts w:hint="eastAsia"/>
        </w:rPr>
        <w:t>）；</w:t>
      </w:r>
      <w:r>
        <w:t>液压及润滑油冷却系统噪声值约为78dB(A)；偏航系统刹车偶发噪声，偏航系统刹车偶发噪声值约为120dB(A)。</w:t>
      </w:r>
    </w:p>
    <w:p w14:paraId="62863C68">
      <w:pPr>
        <w:adjustRightInd w:val="0"/>
        <w:snapToGrid w:val="0"/>
        <w:ind w:firstLine="480"/>
      </w:pPr>
      <w:r>
        <w:rPr>
          <w:rFonts w:hint="eastAsia"/>
        </w:rPr>
        <w:t>（</w:t>
      </w:r>
      <w:r>
        <w:t>2</w:t>
      </w:r>
      <w:r>
        <w:rPr>
          <w:rFonts w:hint="eastAsia"/>
        </w:rPr>
        <w:t>）预测内容</w:t>
      </w:r>
    </w:p>
    <w:p w14:paraId="52C84523">
      <w:pPr>
        <w:adjustRightInd w:val="0"/>
        <w:snapToGrid w:val="0"/>
        <w:ind w:firstLine="480"/>
      </w:pPr>
      <w:r>
        <w:rPr>
          <w:rFonts w:hint="eastAsia"/>
        </w:rPr>
        <w:t>本次评价噪声影响预测内容为风机运行噪声正常情况距离衰减规律和偏航系统运行单个风电机组突发噪声的影响情况。</w:t>
      </w:r>
    </w:p>
    <w:p w14:paraId="68112402">
      <w:pPr>
        <w:tabs>
          <w:tab w:val="clear" w:pos="480"/>
        </w:tabs>
        <w:adjustRightInd w:val="0"/>
        <w:snapToGrid w:val="0"/>
        <w:ind w:firstLine="480"/>
      </w:pPr>
      <w:r>
        <w:rPr>
          <w:rFonts w:hint="eastAsia"/>
        </w:rPr>
        <w:t>（</w:t>
      </w:r>
      <w:r>
        <w:t>3</w:t>
      </w:r>
      <w:r>
        <w:rPr>
          <w:rFonts w:hint="eastAsia"/>
        </w:rPr>
        <w:t>）噪声源简化及预测模式</w:t>
      </w:r>
    </w:p>
    <w:p w14:paraId="749F47D3">
      <w:pPr>
        <w:tabs>
          <w:tab w:val="clear" w:pos="480"/>
        </w:tabs>
        <w:adjustRightInd w:val="0"/>
        <w:snapToGrid w:val="0"/>
        <w:ind w:firstLine="480"/>
      </w:pPr>
      <w:r>
        <w:rPr>
          <w:rFonts w:hint="eastAsia"/>
        </w:rPr>
        <w:t>本次评价噪声预测采用处于半自由空间的点声源衰减公式和多声源叠加公式对预测点进行预测。处于半自由空间的点声源衰减公式为：</w:t>
      </w:r>
    </w:p>
    <w:p w14:paraId="1D936776">
      <w:pPr>
        <w:tabs>
          <w:tab w:val="clear" w:pos="480"/>
        </w:tabs>
        <w:adjustRightInd w:val="0"/>
        <w:snapToGrid w:val="0"/>
        <w:ind w:firstLine="464"/>
        <w:jc w:val="center"/>
        <w:rPr>
          <w:spacing w:val="-4"/>
          <w:kern w:val="0"/>
        </w:rPr>
      </w:pPr>
      <w:r>
        <w:rPr>
          <w:spacing w:val="-4"/>
          <w:kern w:val="0"/>
        </w:rPr>
        <w:t>L(r)</w:t>
      </w:r>
      <w:r>
        <w:rPr>
          <w:rFonts w:hint="eastAsia"/>
          <w:spacing w:val="-4"/>
          <w:kern w:val="0"/>
        </w:rPr>
        <w:t>＝</w:t>
      </w:r>
      <w:r>
        <w:rPr>
          <w:spacing w:val="-4"/>
          <w:kern w:val="0"/>
        </w:rPr>
        <w:t>L</w:t>
      </w:r>
      <w:r>
        <w:rPr>
          <w:spacing w:val="-4"/>
          <w:kern w:val="0"/>
          <w:vertAlign w:val="subscript"/>
        </w:rPr>
        <w:t>W</w:t>
      </w:r>
      <w:r>
        <w:rPr>
          <w:spacing w:val="-4"/>
          <w:kern w:val="0"/>
        </w:rPr>
        <w:t>-20lgr-8</w:t>
      </w:r>
    </w:p>
    <w:p w14:paraId="3AF4CC72">
      <w:pPr>
        <w:tabs>
          <w:tab w:val="clear" w:pos="480"/>
        </w:tabs>
        <w:adjustRightInd w:val="0"/>
        <w:snapToGrid w:val="0"/>
        <w:ind w:firstLine="464"/>
        <w:rPr>
          <w:spacing w:val="-4"/>
          <w:kern w:val="0"/>
        </w:rPr>
      </w:pPr>
      <w:r>
        <w:rPr>
          <w:rFonts w:hint="eastAsia"/>
          <w:spacing w:val="-4"/>
          <w:kern w:val="0"/>
        </w:rPr>
        <w:t>式中：</w:t>
      </w:r>
      <w:r>
        <w:rPr>
          <w:spacing w:val="-4"/>
          <w:kern w:val="0"/>
        </w:rPr>
        <w:t>L</w:t>
      </w:r>
      <w:r>
        <w:rPr>
          <w:spacing w:val="-4"/>
          <w:kern w:val="0"/>
          <w:vertAlign w:val="subscript"/>
        </w:rPr>
        <w:t>W</w:t>
      </w:r>
      <w:r>
        <w:rPr>
          <w:rFonts w:hint="eastAsia"/>
          <w:spacing w:val="-4"/>
          <w:kern w:val="0"/>
        </w:rPr>
        <w:t>：点声源的声功率级，</w:t>
      </w:r>
      <w:r>
        <w:rPr>
          <w:spacing w:val="-4"/>
          <w:kern w:val="0"/>
        </w:rPr>
        <w:t>dB(A)</w:t>
      </w:r>
      <w:r>
        <w:rPr>
          <w:rFonts w:hint="eastAsia"/>
          <w:spacing w:val="-4"/>
          <w:kern w:val="0"/>
        </w:rPr>
        <w:t>；</w:t>
      </w:r>
    </w:p>
    <w:p w14:paraId="5C53FC31">
      <w:pPr>
        <w:tabs>
          <w:tab w:val="clear" w:pos="480"/>
        </w:tabs>
        <w:adjustRightInd w:val="0"/>
        <w:snapToGrid w:val="0"/>
        <w:ind w:firstLine="464"/>
        <w:rPr>
          <w:spacing w:val="-4"/>
          <w:kern w:val="0"/>
        </w:rPr>
      </w:pPr>
      <w:r>
        <w:rPr>
          <w:rFonts w:hint="eastAsia"/>
          <w:spacing w:val="-4"/>
          <w:kern w:val="0"/>
        </w:rPr>
        <w:t>其他符号意义同公式</w:t>
      </w:r>
      <w:r>
        <w:rPr>
          <w:spacing w:val="-4"/>
          <w:kern w:val="0"/>
        </w:rPr>
        <w:t>(1)</w:t>
      </w:r>
      <w:r>
        <w:rPr>
          <w:rFonts w:hint="eastAsia"/>
          <w:spacing w:val="-4"/>
          <w:kern w:val="0"/>
        </w:rPr>
        <w:t>。</w:t>
      </w:r>
    </w:p>
    <w:p w14:paraId="1CFEC848">
      <w:pPr>
        <w:tabs>
          <w:tab w:val="clear" w:pos="480"/>
        </w:tabs>
        <w:adjustRightInd w:val="0"/>
        <w:snapToGrid w:val="0"/>
        <w:ind w:firstLine="464"/>
        <w:rPr>
          <w:spacing w:val="-4"/>
          <w:kern w:val="0"/>
        </w:rPr>
      </w:pPr>
      <w:r>
        <w:rPr>
          <w:rFonts w:hint="eastAsia"/>
          <w:spacing w:val="-4"/>
          <w:kern w:val="0"/>
        </w:rPr>
        <w:t>多声源叠加公式为：</w:t>
      </w:r>
    </w:p>
    <w:p w14:paraId="75563BE2">
      <w:pPr>
        <w:tabs>
          <w:tab w:val="clear" w:pos="480"/>
        </w:tabs>
        <w:adjustRightInd w:val="0"/>
        <w:snapToGrid w:val="0"/>
        <w:ind w:firstLine="464"/>
        <w:rPr>
          <w:spacing w:val="-4"/>
          <w:kern w:val="0"/>
        </w:rPr>
      </w:pPr>
      <w:r>
        <w:rPr>
          <w:spacing w:val="-4"/>
          <w:kern w:val="0"/>
        </w:rPr>
        <w:t>Lp</w:t>
      </w:r>
      <w:r>
        <w:rPr>
          <w:rFonts w:hint="eastAsia"/>
          <w:spacing w:val="-4"/>
          <w:kern w:val="0"/>
        </w:rPr>
        <w:t>＝</w:t>
      </w:r>
      <w:r>
        <w:rPr>
          <w:spacing w:val="-4"/>
          <w:kern w:val="0"/>
        </w:rPr>
        <w:t>10lg(10</w:t>
      </w:r>
      <w:r>
        <w:rPr>
          <w:spacing w:val="-4"/>
          <w:kern w:val="0"/>
          <w:vertAlign w:val="superscript"/>
        </w:rPr>
        <w:t>Lp1/10</w:t>
      </w:r>
      <w:r>
        <w:rPr>
          <w:rFonts w:hint="eastAsia"/>
          <w:spacing w:val="-4"/>
          <w:kern w:val="0"/>
        </w:rPr>
        <w:t>＋</w:t>
      </w:r>
      <w:r>
        <w:rPr>
          <w:spacing w:val="-4"/>
          <w:kern w:val="0"/>
        </w:rPr>
        <w:t>10</w:t>
      </w:r>
      <w:r>
        <w:rPr>
          <w:spacing w:val="-4"/>
          <w:kern w:val="0"/>
          <w:vertAlign w:val="superscript"/>
        </w:rPr>
        <w:t>Lp2/10</w:t>
      </w:r>
      <w:r>
        <w:rPr>
          <w:rFonts w:hint="eastAsia"/>
          <w:spacing w:val="-4"/>
          <w:kern w:val="0"/>
        </w:rPr>
        <w:t>＋</w:t>
      </w:r>
      <w:r>
        <w:rPr>
          <w:spacing w:val="-4"/>
          <w:kern w:val="0"/>
        </w:rPr>
        <w:t>…</w:t>
      </w:r>
      <w:r>
        <w:rPr>
          <w:rFonts w:hint="eastAsia"/>
          <w:spacing w:val="-4"/>
          <w:kern w:val="0"/>
        </w:rPr>
        <w:t>＋</w:t>
      </w:r>
      <w:r>
        <w:rPr>
          <w:spacing w:val="-4"/>
          <w:kern w:val="0"/>
        </w:rPr>
        <w:t>10</w:t>
      </w:r>
      <w:r>
        <w:rPr>
          <w:spacing w:val="-4"/>
          <w:kern w:val="0"/>
          <w:vertAlign w:val="superscript"/>
        </w:rPr>
        <w:t>Lpn/10</w:t>
      </w:r>
      <w:r>
        <w:rPr>
          <w:spacing w:val="-4"/>
          <w:kern w:val="0"/>
        </w:rPr>
        <w:t>)</w:t>
      </w:r>
    </w:p>
    <w:p w14:paraId="0844431E">
      <w:pPr>
        <w:tabs>
          <w:tab w:val="clear" w:pos="480"/>
        </w:tabs>
        <w:adjustRightInd w:val="0"/>
        <w:snapToGrid w:val="0"/>
        <w:ind w:firstLine="464"/>
        <w:rPr>
          <w:spacing w:val="-4"/>
          <w:kern w:val="0"/>
        </w:rPr>
      </w:pPr>
      <w:r>
        <w:rPr>
          <w:rFonts w:hint="eastAsia"/>
          <w:spacing w:val="-4"/>
          <w:kern w:val="0"/>
        </w:rPr>
        <w:t>式中：</w:t>
      </w:r>
      <w:r>
        <w:rPr>
          <w:spacing w:val="-4"/>
          <w:kern w:val="0"/>
        </w:rPr>
        <w:t>Lp</w:t>
      </w:r>
      <w:r>
        <w:rPr>
          <w:rFonts w:hint="eastAsia"/>
          <w:spacing w:val="-4"/>
          <w:kern w:val="0"/>
        </w:rPr>
        <w:t>：</w:t>
      </w:r>
      <w:r>
        <w:rPr>
          <w:spacing w:val="-4"/>
          <w:kern w:val="0"/>
        </w:rPr>
        <w:t>n</w:t>
      </w:r>
      <w:r>
        <w:rPr>
          <w:rFonts w:hint="eastAsia"/>
          <w:spacing w:val="-4"/>
          <w:kern w:val="0"/>
        </w:rPr>
        <w:t>个噪声源叠加后的总噪声值，</w:t>
      </w:r>
      <w:r>
        <w:rPr>
          <w:spacing w:val="-4"/>
          <w:kern w:val="0"/>
        </w:rPr>
        <w:t>dB(A)</w:t>
      </w:r>
      <w:r>
        <w:rPr>
          <w:rFonts w:hint="eastAsia"/>
          <w:spacing w:val="-4"/>
          <w:kern w:val="0"/>
        </w:rPr>
        <w:t>；</w:t>
      </w:r>
    </w:p>
    <w:p w14:paraId="3DCF8CAC">
      <w:pPr>
        <w:tabs>
          <w:tab w:val="clear" w:pos="480"/>
        </w:tabs>
        <w:adjustRightInd w:val="0"/>
        <w:snapToGrid w:val="0"/>
        <w:ind w:firstLine="464"/>
        <w:rPr>
          <w:spacing w:val="-4"/>
          <w:kern w:val="0"/>
        </w:rPr>
      </w:pPr>
      <w:r>
        <w:rPr>
          <w:spacing w:val="-4"/>
          <w:kern w:val="0"/>
        </w:rPr>
        <w:t>Lpi</w:t>
      </w:r>
      <w:r>
        <w:rPr>
          <w:rFonts w:hint="eastAsia"/>
          <w:spacing w:val="-4"/>
          <w:kern w:val="0"/>
        </w:rPr>
        <w:t>：第</w:t>
      </w:r>
      <w:r>
        <w:rPr>
          <w:spacing w:val="-4"/>
          <w:kern w:val="0"/>
        </w:rPr>
        <w:t>i</w:t>
      </w:r>
      <w:r>
        <w:rPr>
          <w:rFonts w:hint="eastAsia"/>
          <w:spacing w:val="-4"/>
          <w:kern w:val="0"/>
        </w:rPr>
        <w:t>个噪声源对该点的噪声值，</w:t>
      </w:r>
      <w:r>
        <w:rPr>
          <w:spacing w:val="-4"/>
          <w:kern w:val="0"/>
        </w:rPr>
        <w:t>dB(A)</w:t>
      </w:r>
      <w:r>
        <w:rPr>
          <w:rFonts w:hint="eastAsia"/>
          <w:spacing w:val="-4"/>
          <w:kern w:val="0"/>
        </w:rPr>
        <w:t>。</w:t>
      </w:r>
    </w:p>
    <w:p w14:paraId="5E5473DB">
      <w:pPr>
        <w:tabs>
          <w:tab w:val="clear" w:pos="480"/>
        </w:tabs>
        <w:adjustRightInd w:val="0"/>
        <w:snapToGrid w:val="0"/>
        <w:ind w:firstLine="464"/>
        <w:rPr>
          <w:spacing w:val="-4"/>
          <w:kern w:val="0"/>
        </w:rPr>
      </w:pPr>
      <w:r>
        <w:rPr>
          <w:rFonts w:hint="eastAsia"/>
          <w:spacing w:val="-4"/>
          <w:kern w:val="0"/>
        </w:rPr>
        <w:t>（</w:t>
      </w:r>
      <w:r>
        <w:rPr>
          <w:spacing w:val="-4"/>
          <w:kern w:val="0"/>
        </w:rPr>
        <w:t>4</w:t>
      </w:r>
      <w:r>
        <w:rPr>
          <w:rFonts w:hint="eastAsia"/>
          <w:spacing w:val="-4"/>
          <w:kern w:val="0"/>
        </w:rPr>
        <w:t>）正常情况预测结果</w:t>
      </w:r>
    </w:p>
    <w:p w14:paraId="68ED7C70">
      <w:pPr>
        <w:tabs>
          <w:tab w:val="clear" w:pos="480"/>
        </w:tabs>
        <w:adjustRightInd w:val="0"/>
        <w:snapToGrid w:val="0"/>
        <w:ind w:firstLine="464"/>
        <w:rPr>
          <w:spacing w:val="-4"/>
          <w:kern w:val="0"/>
        </w:rPr>
      </w:pPr>
      <w:r>
        <w:rPr>
          <w:rFonts w:hint="eastAsia"/>
          <w:spacing w:val="-4"/>
          <w:kern w:val="0"/>
        </w:rPr>
        <w:t>在不考虑地形高差及阻隔等影响情况下，在风单个声源噪声影响预测结果见下表。</w:t>
      </w:r>
    </w:p>
    <w:p w14:paraId="79CBB365">
      <w:pPr>
        <w:tabs>
          <w:tab w:val="clear" w:pos="480"/>
        </w:tabs>
        <w:adjustRightInd w:val="0"/>
        <w:snapToGrid w:val="0"/>
        <w:spacing w:line="240" w:lineRule="auto"/>
        <w:ind w:firstLine="0" w:firstLineChars="0"/>
        <w:jc w:val="center"/>
        <w:rPr>
          <w:rFonts w:hAnsi="宋体"/>
          <w:b/>
        </w:rPr>
      </w:pPr>
      <w:r>
        <w:rPr>
          <w:rFonts w:hint="eastAsia" w:hAnsi="宋体"/>
          <w:b/>
        </w:rPr>
        <w:t>表</w:t>
      </w:r>
      <w:r>
        <w:rPr>
          <w:rFonts w:hAnsi="宋体"/>
          <w:b/>
        </w:rPr>
        <w:t>6.2</w:t>
      </w:r>
      <w:r>
        <w:rPr>
          <w:rFonts w:hint="eastAsia" w:hAnsi="宋体"/>
          <w:b/>
        </w:rPr>
        <w:t>-</w:t>
      </w:r>
      <w:r>
        <w:rPr>
          <w:rFonts w:hAnsi="宋体"/>
          <w:b/>
        </w:rPr>
        <w:t>1</w:t>
      </w:r>
      <w:r>
        <w:rPr>
          <w:rFonts w:hint="eastAsia" w:hAnsi="宋体"/>
          <w:b/>
        </w:rPr>
        <w:t>单台风机噪声正常情况衰减计算结果一览表（单机容量为</w:t>
      </w:r>
      <w:r>
        <w:rPr>
          <w:rFonts w:hAnsi="宋体"/>
          <w:b/>
        </w:rPr>
        <w:t>5.0MW</w:t>
      </w:r>
      <w:r>
        <w:rPr>
          <w:rFonts w:hint="eastAsia" w:hAnsi="宋体"/>
          <w:b/>
        </w:rPr>
        <w:t>）</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12"/>
        <w:gridCol w:w="723"/>
        <w:gridCol w:w="824"/>
        <w:gridCol w:w="824"/>
        <w:gridCol w:w="824"/>
        <w:gridCol w:w="824"/>
        <w:gridCol w:w="824"/>
        <w:gridCol w:w="824"/>
        <w:gridCol w:w="824"/>
        <w:gridCol w:w="824"/>
      </w:tblGrid>
      <w:tr w14:paraId="3C1FFF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11" w:type="pct"/>
            <w:tcBorders>
              <w:top w:val="single" w:color="000000" w:sz="12" w:space="0"/>
              <w:left w:val="single" w:color="000000" w:sz="12" w:space="0"/>
              <w:bottom w:val="single" w:color="000000" w:sz="4" w:space="0"/>
              <w:right w:val="single" w:color="000000" w:sz="4" w:space="0"/>
            </w:tcBorders>
            <w:vAlign w:val="center"/>
          </w:tcPr>
          <w:p w14:paraId="16AE1A50">
            <w:pPr>
              <w:tabs>
                <w:tab w:val="clear" w:pos="480"/>
              </w:tabs>
              <w:spacing w:line="240" w:lineRule="auto"/>
              <w:ind w:firstLine="0" w:firstLineChars="0"/>
              <w:jc w:val="center"/>
              <w:rPr>
                <w:kern w:val="0"/>
                <w:sz w:val="18"/>
                <w:szCs w:val="18"/>
              </w:rPr>
            </w:pPr>
            <w:r>
              <w:rPr>
                <w:kern w:val="0"/>
                <w:sz w:val="18"/>
                <w:szCs w:val="18"/>
              </w:rPr>
              <w:t>距声源水平距离r1（m）</w:t>
            </w:r>
          </w:p>
        </w:tc>
        <w:tc>
          <w:tcPr>
            <w:tcW w:w="424" w:type="pct"/>
            <w:tcBorders>
              <w:top w:val="single" w:color="000000" w:sz="12" w:space="0"/>
              <w:left w:val="single" w:color="000000" w:sz="4" w:space="0"/>
              <w:bottom w:val="single" w:color="000000" w:sz="4" w:space="0"/>
              <w:right w:val="single" w:color="000000" w:sz="4" w:space="0"/>
            </w:tcBorders>
            <w:vAlign w:val="center"/>
          </w:tcPr>
          <w:p w14:paraId="303422D7">
            <w:pPr>
              <w:tabs>
                <w:tab w:val="clear" w:pos="480"/>
              </w:tabs>
              <w:spacing w:line="240" w:lineRule="auto"/>
              <w:ind w:firstLine="0" w:firstLineChars="0"/>
              <w:jc w:val="center"/>
              <w:rPr>
                <w:kern w:val="0"/>
                <w:sz w:val="18"/>
                <w:szCs w:val="18"/>
              </w:rPr>
            </w:pPr>
            <w:r>
              <w:rPr>
                <w:kern w:val="0"/>
                <w:sz w:val="18"/>
                <w:szCs w:val="18"/>
              </w:rPr>
              <w:t>50</w:t>
            </w:r>
          </w:p>
        </w:tc>
        <w:tc>
          <w:tcPr>
            <w:tcW w:w="483" w:type="pct"/>
            <w:tcBorders>
              <w:top w:val="single" w:color="000000" w:sz="12" w:space="0"/>
              <w:left w:val="single" w:color="000000" w:sz="4" w:space="0"/>
              <w:bottom w:val="single" w:color="000000" w:sz="4" w:space="0"/>
              <w:right w:val="single" w:color="000000" w:sz="4" w:space="0"/>
            </w:tcBorders>
            <w:vAlign w:val="center"/>
          </w:tcPr>
          <w:p w14:paraId="5B295949">
            <w:pPr>
              <w:tabs>
                <w:tab w:val="clear" w:pos="480"/>
              </w:tabs>
              <w:spacing w:line="240" w:lineRule="auto"/>
              <w:ind w:firstLine="0" w:firstLineChars="0"/>
              <w:jc w:val="center"/>
              <w:rPr>
                <w:kern w:val="0"/>
                <w:sz w:val="18"/>
                <w:szCs w:val="18"/>
              </w:rPr>
            </w:pPr>
            <w:r>
              <w:rPr>
                <w:kern w:val="0"/>
                <w:sz w:val="18"/>
                <w:szCs w:val="18"/>
              </w:rPr>
              <w:t>100</w:t>
            </w:r>
          </w:p>
        </w:tc>
        <w:tc>
          <w:tcPr>
            <w:tcW w:w="483" w:type="pct"/>
            <w:tcBorders>
              <w:top w:val="single" w:color="000000" w:sz="12" w:space="0"/>
              <w:left w:val="single" w:color="000000" w:sz="4" w:space="0"/>
              <w:bottom w:val="single" w:color="000000" w:sz="4" w:space="0"/>
              <w:right w:val="single" w:color="000000" w:sz="4" w:space="0"/>
            </w:tcBorders>
            <w:vAlign w:val="center"/>
          </w:tcPr>
          <w:p w14:paraId="5C5334C9">
            <w:pPr>
              <w:tabs>
                <w:tab w:val="clear" w:pos="480"/>
              </w:tabs>
              <w:spacing w:line="240" w:lineRule="auto"/>
              <w:ind w:firstLine="0" w:firstLineChars="0"/>
              <w:jc w:val="center"/>
              <w:rPr>
                <w:kern w:val="0"/>
                <w:sz w:val="18"/>
                <w:szCs w:val="18"/>
              </w:rPr>
            </w:pPr>
            <w:r>
              <w:rPr>
                <w:kern w:val="0"/>
                <w:sz w:val="18"/>
                <w:szCs w:val="18"/>
              </w:rPr>
              <w:t>150</w:t>
            </w:r>
          </w:p>
        </w:tc>
        <w:tc>
          <w:tcPr>
            <w:tcW w:w="483" w:type="pct"/>
            <w:tcBorders>
              <w:top w:val="single" w:color="000000" w:sz="12" w:space="0"/>
              <w:left w:val="single" w:color="000000" w:sz="4" w:space="0"/>
              <w:bottom w:val="single" w:color="000000" w:sz="4" w:space="0"/>
              <w:right w:val="single" w:color="000000" w:sz="4" w:space="0"/>
            </w:tcBorders>
            <w:vAlign w:val="center"/>
          </w:tcPr>
          <w:p w14:paraId="7F1CF91A">
            <w:pPr>
              <w:tabs>
                <w:tab w:val="clear" w:pos="480"/>
              </w:tabs>
              <w:spacing w:line="240" w:lineRule="auto"/>
              <w:ind w:firstLine="0" w:firstLineChars="0"/>
              <w:jc w:val="center"/>
              <w:rPr>
                <w:kern w:val="0"/>
                <w:sz w:val="18"/>
                <w:szCs w:val="18"/>
              </w:rPr>
            </w:pPr>
            <w:r>
              <w:rPr>
                <w:kern w:val="0"/>
                <w:sz w:val="18"/>
                <w:szCs w:val="18"/>
              </w:rPr>
              <w:t>200</w:t>
            </w:r>
          </w:p>
        </w:tc>
        <w:tc>
          <w:tcPr>
            <w:tcW w:w="483" w:type="pct"/>
            <w:tcBorders>
              <w:top w:val="single" w:color="000000" w:sz="12" w:space="0"/>
              <w:left w:val="single" w:color="000000" w:sz="4" w:space="0"/>
              <w:bottom w:val="single" w:color="000000" w:sz="4" w:space="0"/>
              <w:right w:val="single" w:color="000000" w:sz="4" w:space="0"/>
            </w:tcBorders>
            <w:vAlign w:val="center"/>
          </w:tcPr>
          <w:p w14:paraId="158D64D7">
            <w:pPr>
              <w:tabs>
                <w:tab w:val="clear" w:pos="480"/>
              </w:tabs>
              <w:spacing w:line="240" w:lineRule="auto"/>
              <w:ind w:firstLine="0" w:firstLineChars="0"/>
              <w:jc w:val="center"/>
              <w:rPr>
                <w:kern w:val="0"/>
                <w:sz w:val="18"/>
                <w:szCs w:val="18"/>
              </w:rPr>
            </w:pPr>
            <w:r>
              <w:rPr>
                <w:kern w:val="0"/>
                <w:sz w:val="18"/>
                <w:szCs w:val="18"/>
              </w:rPr>
              <w:t>300</w:t>
            </w:r>
          </w:p>
        </w:tc>
        <w:tc>
          <w:tcPr>
            <w:tcW w:w="483" w:type="pct"/>
            <w:tcBorders>
              <w:top w:val="single" w:color="000000" w:sz="12" w:space="0"/>
              <w:left w:val="single" w:color="000000" w:sz="4" w:space="0"/>
              <w:bottom w:val="single" w:color="000000" w:sz="4" w:space="0"/>
              <w:right w:val="single" w:color="000000" w:sz="4" w:space="0"/>
            </w:tcBorders>
            <w:vAlign w:val="center"/>
          </w:tcPr>
          <w:p w14:paraId="6C625276">
            <w:pPr>
              <w:tabs>
                <w:tab w:val="clear" w:pos="480"/>
              </w:tabs>
              <w:spacing w:line="240" w:lineRule="auto"/>
              <w:ind w:firstLine="0" w:firstLineChars="0"/>
              <w:jc w:val="center"/>
              <w:rPr>
                <w:kern w:val="0"/>
                <w:sz w:val="18"/>
                <w:szCs w:val="18"/>
              </w:rPr>
            </w:pPr>
            <w:r>
              <w:rPr>
                <w:kern w:val="0"/>
                <w:sz w:val="18"/>
                <w:szCs w:val="18"/>
              </w:rPr>
              <w:t>336</w:t>
            </w:r>
          </w:p>
        </w:tc>
        <w:tc>
          <w:tcPr>
            <w:tcW w:w="483" w:type="pct"/>
            <w:tcBorders>
              <w:top w:val="single" w:color="000000" w:sz="12" w:space="0"/>
              <w:left w:val="single" w:color="000000" w:sz="4" w:space="0"/>
              <w:bottom w:val="single" w:color="000000" w:sz="4" w:space="0"/>
              <w:right w:val="single" w:color="000000" w:sz="4" w:space="0"/>
            </w:tcBorders>
            <w:vAlign w:val="center"/>
          </w:tcPr>
          <w:p w14:paraId="13026837">
            <w:pPr>
              <w:tabs>
                <w:tab w:val="clear" w:pos="480"/>
              </w:tabs>
              <w:spacing w:line="240" w:lineRule="auto"/>
              <w:ind w:firstLine="0" w:firstLineChars="0"/>
              <w:jc w:val="center"/>
              <w:rPr>
                <w:kern w:val="0"/>
                <w:sz w:val="18"/>
                <w:szCs w:val="18"/>
              </w:rPr>
            </w:pPr>
            <w:r>
              <w:rPr>
                <w:kern w:val="0"/>
                <w:sz w:val="18"/>
                <w:szCs w:val="18"/>
              </w:rPr>
              <w:t>350</w:t>
            </w:r>
          </w:p>
        </w:tc>
        <w:tc>
          <w:tcPr>
            <w:tcW w:w="483" w:type="pct"/>
            <w:tcBorders>
              <w:top w:val="single" w:color="000000" w:sz="12" w:space="0"/>
              <w:left w:val="single" w:color="000000" w:sz="4" w:space="0"/>
              <w:bottom w:val="single" w:color="000000" w:sz="4" w:space="0"/>
              <w:right w:val="single" w:color="000000" w:sz="4" w:space="0"/>
            </w:tcBorders>
            <w:vAlign w:val="center"/>
          </w:tcPr>
          <w:p w14:paraId="5E64B675">
            <w:pPr>
              <w:tabs>
                <w:tab w:val="clear" w:pos="480"/>
              </w:tabs>
              <w:spacing w:line="240" w:lineRule="auto"/>
              <w:ind w:firstLine="0" w:firstLineChars="0"/>
              <w:jc w:val="center"/>
              <w:rPr>
                <w:kern w:val="0"/>
                <w:sz w:val="18"/>
                <w:szCs w:val="18"/>
              </w:rPr>
            </w:pPr>
            <w:r>
              <w:rPr>
                <w:kern w:val="0"/>
                <w:sz w:val="18"/>
                <w:szCs w:val="18"/>
              </w:rPr>
              <w:t>400</w:t>
            </w:r>
          </w:p>
        </w:tc>
        <w:tc>
          <w:tcPr>
            <w:tcW w:w="483" w:type="pct"/>
            <w:tcBorders>
              <w:top w:val="single" w:color="000000" w:sz="12" w:space="0"/>
              <w:left w:val="single" w:color="000000" w:sz="4" w:space="0"/>
              <w:bottom w:val="single" w:color="000000" w:sz="4" w:space="0"/>
              <w:right w:val="single" w:color="000000" w:sz="12" w:space="0"/>
            </w:tcBorders>
            <w:vAlign w:val="center"/>
          </w:tcPr>
          <w:p w14:paraId="58B89459">
            <w:pPr>
              <w:tabs>
                <w:tab w:val="clear" w:pos="480"/>
              </w:tabs>
              <w:spacing w:line="240" w:lineRule="auto"/>
              <w:ind w:firstLine="0" w:firstLineChars="0"/>
              <w:jc w:val="center"/>
              <w:rPr>
                <w:kern w:val="0"/>
                <w:sz w:val="18"/>
                <w:szCs w:val="18"/>
              </w:rPr>
            </w:pPr>
            <w:r>
              <w:rPr>
                <w:kern w:val="0"/>
                <w:sz w:val="18"/>
                <w:szCs w:val="18"/>
              </w:rPr>
              <w:t>500</w:t>
            </w:r>
          </w:p>
        </w:tc>
      </w:tr>
      <w:tr w14:paraId="54EA82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11" w:type="pct"/>
            <w:tcBorders>
              <w:top w:val="single" w:color="000000" w:sz="4" w:space="0"/>
              <w:left w:val="single" w:color="000000" w:sz="12" w:space="0"/>
              <w:bottom w:val="single" w:color="000000" w:sz="4" w:space="0"/>
              <w:right w:val="single" w:color="000000" w:sz="4" w:space="0"/>
            </w:tcBorders>
            <w:vAlign w:val="center"/>
          </w:tcPr>
          <w:p w14:paraId="328ABAC7">
            <w:pPr>
              <w:tabs>
                <w:tab w:val="clear" w:pos="480"/>
              </w:tabs>
              <w:spacing w:line="240" w:lineRule="auto"/>
              <w:ind w:firstLine="0" w:firstLineChars="0"/>
              <w:jc w:val="center"/>
              <w:rPr>
                <w:kern w:val="0"/>
                <w:sz w:val="18"/>
                <w:szCs w:val="18"/>
              </w:rPr>
            </w:pPr>
            <w:r>
              <w:rPr>
                <w:kern w:val="0"/>
                <w:sz w:val="18"/>
                <w:szCs w:val="18"/>
              </w:rPr>
              <w:t>对应距声源几何距离r2（m）</w:t>
            </w:r>
          </w:p>
        </w:tc>
        <w:tc>
          <w:tcPr>
            <w:tcW w:w="424" w:type="pct"/>
            <w:tcBorders>
              <w:top w:val="single" w:color="000000" w:sz="4" w:space="0"/>
              <w:left w:val="single" w:color="000000" w:sz="4" w:space="0"/>
              <w:bottom w:val="single" w:color="000000" w:sz="4" w:space="0"/>
              <w:right w:val="single" w:color="000000" w:sz="4" w:space="0"/>
            </w:tcBorders>
            <w:vAlign w:val="center"/>
          </w:tcPr>
          <w:p w14:paraId="0F2C2376">
            <w:pPr>
              <w:tabs>
                <w:tab w:val="clear" w:pos="480"/>
              </w:tabs>
              <w:spacing w:line="240" w:lineRule="auto"/>
              <w:ind w:firstLine="0" w:firstLineChars="0"/>
              <w:jc w:val="center"/>
              <w:rPr>
                <w:sz w:val="18"/>
                <w:szCs w:val="18"/>
              </w:rPr>
            </w:pPr>
            <w:r>
              <w:rPr>
                <w:sz w:val="18"/>
                <w:szCs w:val="18"/>
              </w:rPr>
              <w:t>125.40</w:t>
            </w:r>
          </w:p>
        </w:tc>
        <w:tc>
          <w:tcPr>
            <w:tcW w:w="483" w:type="pct"/>
            <w:tcBorders>
              <w:top w:val="single" w:color="000000" w:sz="4" w:space="0"/>
              <w:left w:val="single" w:color="000000" w:sz="4" w:space="0"/>
              <w:bottom w:val="single" w:color="000000" w:sz="4" w:space="0"/>
              <w:right w:val="single" w:color="000000" w:sz="4" w:space="0"/>
            </w:tcBorders>
            <w:vAlign w:val="center"/>
          </w:tcPr>
          <w:p w14:paraId="2B591E11">
            <w:pPr>
              <w:tabs>
                <w:tab w:val="clear" w:pos="480"/>
              </w:tabs>
              <w:spacing w:line="240" w:lineRule="auto"/>
              <w:ind w:firstLine="0" w:firstLineChars="0"/>
              <w:jc w:val="center"/>
              <w:rPr>
                <w:sz w:val="18"/>
                <w:szCs w:val="18"/>
              </w:rPr>
            </w:pPr>
            <w:r>
              <w:rPr>
                <w:sz w:val="18"/>
                <w:szCs w:val="18"/>
              </w:rPr>
              <w:t>152.40</w:t>
            </w:r>
          </w:p>
        </w:tc>
        <w:tc>
          <w:tcPr>
            <w:tcW w:w="483" w:type="pct"/>
            <w:tcBorders>
              <w:top w:val="single" w:color="000000" w:sz="4" w:space="0"/>
              <w:left w:val="single" w:color="000000" w:sz="4" w:space="0"/>
              <w:bottom w:val="single" w:color="000000" w:sz="4" w:space="0"/>
              <w:right w:val="single" w:color="000000" w:sz="4" w:space="0"/>
            </w:tcBorders>
            <w:vAlign w:val="center"/>
          </w:tcPr>
          <w:p w14:paraId="14E32E7F">
            <w:pPr>
              <w:tabs>
                <w:tab w:val="clear" w:pos="480"/>
              </w:tabs>
              <w:spacing w:line="240" w:lineRule="auto"/>
              <w:ind w:firstLine="0" w:firstLineChars="0"/>
              <w:jc w:val="center"/>
              <w:rPr>
                <w:sz w:val="18"/>
                <w:szCs w:val="18"/>
              </w:rPr>
            </w:pPr>
            <w:r>
              <w:rPr>
                <w:sz w:val="18"/>
                <w:szCs w:val="18"/>
              </w:rPr>
              <w:t>189.01</w:t>
            </w:r>
          </w:p>
        </w:tc>
        <w:tc>
          <w:tcPr>
            <w:tcW w:w="483" w:type="pct"/>
            <w:tcBorders>
              <w:top w:val="single" w:color="000000" w:sz="4" w:space="0"/>
              <w:left w:val="single" w:color="000000" w:sz="4" w:space="0"/>
              <w:bottom w:val="single" w:color="000000" w:sz="4" w:space="0"/>
              <w:right w:val="single" w:color="000000" w:sz="4" w:space="0"/>
            </w:tcBorders>
            <w:vAlign w:val="center"/>
          </w:tcPr>
          <w:p w14:paraId="6A7B7A14">
            <w:pPr>
              <w:tabs>
                <w:tab w:val="clear" w:pos="480"/>
              </w:tabs>
              <w:spacing w:line="240" w:lineRule="auto"/>
              <w:ind w:firstLine="0" w:firstLineChars="0"/>
              <w:jc w:val="center"/>
              <w:rPr>
                <w:sz w:val="18"/>
                <w:szCs w:val="18"/>
              </w:rPr>
            </w:pPr>
            <w:r>
              <w:rPr>
                <w:sz w:val="18"/>
                <w:szCs w:val="18"/>
              </w:rPr>
              <w:t>230.71</w:t>
            </w:r>
          </w:p>
        </w:tc>
        <w:tc>
          <w:tcPr>
            <w:tcW w:w="483" w:type="pct"/>
            <w:tcBorders>
              <w:top w:val="single" w:color="000000" w:sz="4" w:space="0"/>
              <w:left w:val="single" w:color="000000" w:sz="4" w:space="0"/>
              <w:bottom w:val="single" w:color="000000" w:sz="4" w:space="0"/>
              <w:right w:val="single" w:color="000000" w:sz="4" w:space="0"/>
            </w:tcBorders>
            <w:vAlign w:val="center"/>
          </w:tcPr>
          <w:p w14:paraId="1E073718">
            <w:pPr>
              <w:tabs>
                <w:tab w:val="clear" w:pos="480"/>
              </w:tabs>
              <w:spacing w:line="240" w:lineRule="auto"/>
              <w:ind w:firstLine="0" w:firstLineChars="0"/>
              <w:jc w:val="center"/>
              <w:rPr>
                <w:sz w:val="18"/>
                <w:szCs w:val="18"/>
              </w:rPr>
            </w:pPr>
            <w:r>
              <w:rPr>
                <w:sz w:val="18"/>
                <w:szCs w:val="18"/>
              </w:rPr>
              <w:t>321.29</w:t>
            </w:r>
          </w:p>
        </w:tc>
        <w:tc>
          <w:tcPr>
            <w:tcW w:w="483" w:type="pct"/>
            <w:tcBorders>
              <w:top w:val="single" w:color="000000" w:sz="4" w:space="0"/>
              <w:left w:val="single" w:color="000000" w:sz="4" w:space="0"/>
              <w:bottom w:val="single" w:color="000000" w:sz="4" w:space="0"/>
              <w:right w:val="single" w:color="000000" w:sz="4" w:space="0"/>
            </w:tcBorders>
            <w:vAlign w:val="center"/>
          </w:tcPr>
          <w:p w14:paraId="15D967CB">
            <w:pPr>
              <w:tabs>
                <w:tab w:val="clear" w:pos="480"/>
              </w:tabs>
              <w:spacing w:line="240" w:lineRule="auto"/>
              <w:ind w:firstLine="0" w:firstLineChars="0"/>
              <w:jc w:val="center"/>
              <w:rPr>
                <w:sz w:val="18"/>
                <w:szCs w:val="18"/>
              </w:rPr>
            </w:pPr>
            <w:r>
              <w:rPr>
                <w:sz w:val="18"/>
                <w:szCs w:val="18"/>
              </w:rPr>
              <w:t>355.14</w:t>
            </w:r>
          </w:p>
        </w:tc>
        <w:tc>
          <w:tcPr>
            <w:tcW w:w="483" w:type="pct"/>
            <w:tcBorders>
              <w:top w:val="single" w:color="000000" w:sz="4" w:space="0"/>
              <w:left w:val="single" w:color="000000" w:sz="4" w:space="0"/>
              <w:bottom w:val="single" w:color="000000" w:sz="4" w:space="0"/>
              <w:right w:val="single" w:color="000000" w:sz="4" w:space="0"/>
            </w:tcBorders>
            <w:vAlign w:val="center"/>
          </w:tcPr>
          <w:p w14:paraId="506F8294">
            <w:pPr>
              <w:tabs>
                <w:tab w:val="clear" w:pos="480"/>
              </w:tabs>
              <w:spacing w:line="240" w:lineRule="auto"/>
              <w:ind w:firstLine="0" w:firstLineChars="0"/>
              <w:jc w:val="center"/>
              <w:rPr>
                <w:sz w:val="18"/>
                <w:szCs w:val="18"/>
              </w:rPr>
            </w:pPr>
            <w:r>
              <w:rPr>
                <w:sz w:val="18"/>
                <w:szCs w:val="18"/>
              </w:rPr>
              <w:t>368.41</w:t>
            </w:r>
          </w:p>
        </w:tc>
        <w:tc>
          <w:tcPr>
            <w:tcW w:w="483" w:type="pct"/>
            <w:tcBorders>
              <w:top w:val="single" w:color="000000" w:sz="4" w:space="0"/>
              <w:left w:val="single" w:color="000000" w:sz="4" w:space="0"/>
              <w:bottom w:val="single" w:color="000000" w:sz="4" w:space="0"/>
              <w:right w:val="single" w:color="000000" w:sz="4" w:space="0"/>
            </w:tcBorders>
            <w:vAlign w:val="center"/>
          </w:tcPr>
          <w:p w14:paraId="60F14B92">
            <w:pPr>
              <w:tabs>
                <w:tab w:val="clear" w:pos="480"/>
              </w:tabs>
              <w:spacing w:line="240" w:lineRule="auto"/>
              <w:ind w:firstLine="0" w:firstLineChars="0"/>
              <w:jc w:val="center"/>
              <w:rPr>
                <w:sz w:val="18"/>
                <w:szCs w:val="18"/>
              </w:rPr>
            </w:pPr>
            <w:r>
              <w:rPr>
                <w:sz w:val="18"/>
                <w:szCs w:val="18"/>
              </w:rPr>
              <w:t>416.20</w:t>
            </w:r>
          </w:p>
        </w:tc>
        <w:tc>
          <w:tcPr>
            <w:tcW w:w="483" w:type="pct"/>
            <w:tcBorders>
              <w:top w:val="single" w:color="000000" w:sz="4" w:space="0"/>
              <w:left w:val="single" w:color="000000" w:sz="4" w:space="0"/>
              <w:bottom w:val="single" w:color="000000" w:sz="4" w:space="0"/>
              <w:right w:val="single" w:color="000000" w:sz="12" w:space="0"/>
            </w:tcBorders>
            <w:vAlign w:val="center"/>
          </w:tcPr>
          <w:p w14:paraId="23ECF7C8">
            <w:pPr>
              <w:tabs>
                <w:tab w:val="clear" w:pos="480"/>
              </w:tabs>
              <w:spacing w:line="240" w:lineRule="auto"/>
              <w:ind w:firstLine="0" w:firstLineChars="0"/>
              <w:jc w:val="center"/>
              <w:rPr>
                <w:sz w:val="18"/>
                <w:szCs w:val="18"/>
              </w:rPr>
            </w:pPr>
            <w:r>
              <w:rPr>
                <w:sz w:val="18"/>
                <w:szCs w:val="18"/>
              </w:rPr>
              <w:t>513.05</w:t>
            </w:r>
          </w:p>
        </w:tc>
      </w:tr>
      <w:tr w14:paraId="5D78BE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11" w:type="pct"/>
            <w:tcBorders>
              <w:top w:val="single" w:color="000000" w:sz="4" w:space="0"/>
              <w:left w:val="single" w:color="000000" w:sz="12" w:space="0"/>
              <w:bottom w:val="single" w:color="000000" w:sz="12" w:space="0"/>
              <w:right w:val="single" w:color="000000" w:sz="4" w:space="0"/>
            </w:tcBorders>
            <w:vAlign w:val="center"/>
          </w:tcPr>
          <w:p w14:paraId="438B4698">
            <w:pPr>
              <w:tabs>
                <w:tab w:val="clear" w:pos="480"/>
              </w:tabs>
              <w:spacing w:line="240" w:lineRule="auto"/>
              <w:ind w:firstLine="0" w:firstLineChars="0"/>
              <w:jc w:val="center"/>
              <w:rPr>
                <w:kern w:val="0"/>
                <w:sz w:val="18"/>
                <w:szCs w:val="18"/>
              </w:rPr>
            </w:pPr>
            <w:r>
              <w:rPr>
                <w:kern w:val="0"/>
                <w:sz w:val="18"/>
                <w:szCs w:val="18"/>
              </w:rPr>
              <w:t>L(r)dB(A)</w:t>
            </w:r>
          </w:p>
        </w:tc>
        <w:tc>
          <w:tcPr>
            <w:tcW w:w="424" w:type="pct"/>
            <w:tcBorders>
              <w:top w:val="single" w:color="000000" w:sz="4" w:space="0"/>
              <w:left w:val="single" w:color="000000" w:sz="4" w:space="0"/>
              <w:bottom w:val="single" w:color="000000" w:sz="12" w:space="0"/>
              <w:right w:val="single" w:color="000000" w:sz="4" w:space="0"/>
            </w:tcBorders>
            <w:vAlign w:val="center"/>
          </w:tcPr>
          <w:p w14:paraId="51201F51">
            <w:pPr>
              <w:tabs>
                <w:tab w:val="clear" w:pos="480"/>
              </w:tabs>
              <w:spacing w:line="240" w:lineRule="auto"/>
              <w:ind w:firstLine="0" w:firstLineChars="0"/>
              <w:jc w:val="center"/>
              <w:rPr>
                <w:sz w:val="18"/>
                <w:szCs w:val="18"/>
              </w:rPr>
            </w:pPr>
            <w:r>
              <w:rPr>
                <w:sz w:val="18"/>
                <w:szCs w:val="18"/>
              </w:rPr>
              <w:t>59.03</w:t>
            </w:r>
          </w:p>
        </w:tc>
        <w:tc>
          <w:tcPr>
            <w:tcW w:w="483" w:type="pct"/>
            <w:tcBorders>
              <w:top w:val="single" w:color="000000" w:sz="4" w:space="0"/>
              <w:left w:val="single" w:color="000000" w:sz="4" w:space="0"/>
              <w:bottom w:val="single" w:color="000000" w:sz="12" w:space="0"/>
              <w:right w:val="single" w:color="000000" w:sz="4" w:space="0"/>
            </w:tcBorders>
            <w:vAlign w:val="center"/>
          </w:tcPr>
          <w:p w14:paraId="585E480E">
            <w:pPr>
              <w:tabs>
                <w:tab w:val="clear" w:pos="480"/>
              </w:tabs>
              <w:spacing w:line="240" w:lineRule="auto"/>
              <w:ind w:firstLine="0" w:firstLineChars="0"/>
              <w:jc w:val="center"/>
              <w:rPr>
                <w:sz w:val="18"/>
                <w:szCs w:val="18"/>
              </w:rPr>
            </w:pPr>
            <w:r>
              <w:rPr>
                <w:sz w:val="18"/>
                <w:szCs w:val="18"/>
              </w:rPr>
              <w:t>57.34</w:t>
            </w:r>
          </w:p>
        </w:tc>
        <w:tc>
          <w:tcPr>
            <w:tcW w:w="483" w:type="pct"/>
            <w:tcBorders>
              <w:top w:val="single" w:color="000000" w:sz="4" w:space="0"/>
              <w:left w:val="single" w:color="000000" w:sz="4" w:space="0"/>
              <w:bottom w:val="single" w:color="000000" w:sz="12" w:space="0"/>
              <w:right w:val="single" w:color="000000" w:sz="4" w:space="0"/>
            </w:tcBorders>
            <w:vAlign w:val="center"/>
          </w:tcPr>
          <w:p w14:paraId="33FF34ED">
            <w:pPr>
              <w:tabs>
                <w:tab w:val="clear" w:pos="480"/>
              </w:tabs>
              <w:spacing w:line="240" w:lineRule="auto"/>
              <w:ind w:firstLine="0" w:firstLineChars="0"/>
              <w:jc w:val="center"/>
              <w:rPr>
                <w:sz w:val="18"/>
                <w:szCs w:val="18"/>
              </w:rPr>
            </w:pPr>
            <w:r>
              <w:rPr>
                <w:sz w:val="18"/>
                <w:szCs w:val="18"/>
              </w:rPr>
              <w:t>55.47</w:t>
            </w:r>
          </w:p>
        </w:tc>
        <w:tc>
          <w:tcPr>
            <w:tcW w:w="483" w:type="pct"/>
            <w:tcBorders>
              <w:top w:val="single" w:color="000000" w:sz="4" w:space="0"/>
              <w:left w:val="single" w:color="000000" w:sz="4" w:space="0"/>
              <w:bottom w:val="single" w:color="000000" w:sz="12" w:space="0"/>
              <w:right w:val="single" w:color="000000" w:sz="4" w:space="0"/>
            </w:tcBorders>
            <w:vAlign w:val="center"/>
          </w:tcPr>
          <w:p w14:paraId="609E3AE4">
            <w:pPr>
              <w:tabs>
                <w:tab w:val="clear" w:pos="480"/>
              </w:tabs>
              <w:spacing w:line="240" w:lineRule="auto"/>
              <w:ind w:firstLine="0" w:firstLineChars="0"/>
              <w:jc w:val="center"/>
              <w:rPr>
                <w:sz w:val="18"/>
                <w:szCs w:val="18"/>
              </w:rPr>
            </w:pPr>
            <w:r>
              <w:rPr>
                <w:sz w:val="18"/>
                <w:szCs w:val="18"/>
              </w:rPr>
              <w:t>53.74</w:t>
            </w:r>
          </w:p>
        </w:tc>
        <w:tc>
          <w:tcPr>
            <w:tcW w:w="483" w:type="pct"/>
            <w:tcBorders>
              <w:top w:val="single" w:color="000000" w:sz="4" w:space="0"/>
              <w:left w:val="single" w:color="000000" w:sz="4" w:space="0"/>
              <w:bottom w:val="single" w:color="000000" w:sz="12" w:space="0"/>
              <w:right w:val="single" w:color="000000" w:sz="4" w:space="0"/>
            </w:tcBorders>
            <w:vAlign w:val="center"/>
          </w:tcPr>
          <w:p w14:paraId="31463204">
            <w:pPr>
              <w:tabs>
                <w:tab w:val="clear" w:pos="480"/>
              </w:tabs>
              <w:spacing w:line="240" w:lineRule="auto"/>
              <w:ind w:firstLine="0" w:firstLineChars="0"/>
              <w:jc w:val="center"/>
              <w:rPr>
                <w:sz w:val="18"/>
                <w:szCs w:val="18"/>
              </w:rPr>
            </w:pPr>
            <w:r>
              <w:rPr>
                <w:sz w:val="18"/>
                <w:szCs w:val="18"/>
              </w:rPr>
              <w:t>50.86</w:t>
            </w:r>
          </w:p>
        </w:tc>
        <w:tc>
          <w:tcPr>
            <w:tcW w:w="483" w:type="pct"/>
            <w:tcBorders>
              <w:top w:val="single" w:color="000000" w:sz="4" w:space="0"/>
              <w:left w:val="single" w:color="000000" w:sz="4" w:space="0"/>
              <w:bottom w:val="single" w:color="000000" w:sz="12" w:space="0"/>
              <w:right w:val="single" w:color="000000" w:sz="4" w:space="0"/>
            </w:tcBorders>
            <w:vAlign w:val="center"/>
          </w:tcPr>
          <w:p w14:paraId="6CF9A096">
            <w:pPr>
              <w:tabs>
                <w:tab w:val="clear" w:pos="480"/>
              </w:tabs>
              <w:spacing w:line="240" w:lineRule="auto"/>
              <w:ind w:firstLine="0" w:firstLineChars="0"/>
              <w:jc w:val="center"/>
              <w:rPr>
                <w:sz w:val="18"/>
                <w:szCs w:val="18"/>
              </w:rPr>
            </w:pPr>
            <w:r>
              <w:rPr>
                <w:sz w:val="18"/>
                <w:szCs w:val="18"/>
              </w:rPr>
              <w:t>49.99</w:t>
            </w:r>
          </w:p>
        </w:tc>
        <w:tc>
          <w:tcPr>
            <w:tcW w:w="483" w:type="pct"/>
            <w:tcBorders>
              <w:top w:val="single" w:color="000000" w:sz="4" w:space="0"/>
              <w:left w:val="single" w:color="000000" w:sz="4" w:space="0"/>
              <w:bottom w:val="single" w:color="000000" w:sz="12" w:space="0"/>
              <w:right w:val="single" w:color="000000" w:sz="4" w:space="0"/>
            </w:tcBorders>
            <w:vAlign w:val="center"/>
          </w:tcPr>
          <w:p w14:paraId="3F92923A">
            <w:pPr>
              <w:tabs>
                <w:tab w:val="clear" w:pos="480"/>
              </w:tabs>
              <w:spacing w:line="240" w:lineRule="auto"/>
              <w:ind w:firstLine="0" w:firstLineChars="0"/>
              <w:jc w:val="center"/>
              <w:rPr>
                <w:sz w:val="18"/>
                <w:szCs w:val="18"/>
              </w:rPr>
            </w:pPr>
            <w:r>
              <w:rPr>
                <w:sz w:val="18"/>
                <w:szCs w:val="18"/>
              </w:rPr>
              <w:t>49.67</w:t>
            </w:r>
          </w:p>
        </w:tc>
        <w:tc>
          <w:tcPr>
            <w:tcW w:w="483" w:type="pct"/>
            <w:tcBorders>
              <w:top w:val="single" w:color="000000" w:sz="4" w:space="0"/>
              <w:left w:val="single" w:color="000000" w:sz="4" w:space="0"/>
              <w:bottom w:val="single" w:color="000000" w:sz="12" w:space="0"/>
              <w:right w:val="single" w:color="000000" w:sz="4" w:space="0"/>
            </w:tcBorders>
            <w:vAlign w:val="center"/>
          </w:tcPr>
          <w:p w14:paraId="75009F19">
            <w:pPr>
              <w:tabs>
                <w:tab w:val="clear" w:pos="480"/>
              </w:tabs>
              <w:spacing w:line="240" w:lineRule="auto"/>
              <w:ind w:firstLine="0" w:firstLineChars="0"/>
              <w:jc w:val="center"/>
              <w:rPr>
                <w:sz w:val="18"/>
                <w:szCs w:val="18"/>
              </w:rPr>
            </w:pPr>
            <w:r>
              <w:rPr>
                <w:sz w:val="18"/>
                <w:szCs w:val="18"/>
              </w:rPr>
              <w:t>48.61</w:t>
            </w:r>
          </w:p>
        </w:tc>
        <w:tc>
          <w:tcPr>
            <w:tcW w:w="483" w:type="pct"/>
            <w:tcBorders>
              <w:top w:val="single" w:color="000000" w:sz="4" w:space="0"/>
              <w:left w:val="single" w:color="000000" w:sz="4" w:space="0"/>
              <w:bottom w:val="single" w:color="000000" w:sz="12" w:space="0"/>
              <w:right w:val="single" w:color="000000" w:sz="12" w:space="0"/>
            </w:tcBorders>
            <w:vAlign w:val="center"/>
          </w:tcPr>
          <w:p w14:paraId="33E46EBB">
            <w:pPr>
              <w:tabs>
                <w:tab w:val="clear" w:pos="480"/>
              </w:tabs>
              <w:spacing w:line="240" w:lineRule="auto"/>
              <w:ind w:firstLine="0" w:firstLineChars="0"/>
              <w:jc w:val="center"/>
              <w:rPr>
                <w:sz w:val="18"/>
                <w:szCs w:val="18"/>
              </w:rPr>
            </w:pPr>
            <w:r>
              <w:rPr>
                <w:sz w:val="18"/>
                <w:szCs w:val="18"/>
              </w:rPr>
              <w:t>46.80</w:t>
            </w:r>
          </w:p>
        </w:tc>
      </w:tr>
    </w:tbl>
    <w:p w14:paraId="7C218777">
      <w:pPr>
        <w:tabs>
          <w:tab w:val="clear" w:pos="480"/>
        </w:tabs>
        <w:adjustRightInd w:val="0"/>
        <w:snapToGrid w:val="0"/>
        <w:ind w:firstLine="406"/>
        <w:rPr>
          <w:b/>
          <w:spacing w:val="-4"/>
          <w:kern w:val="0"/>
          <w:sz w:val="21"/>
          <w:szCs w:val="21"/>
          <w:vertAlign w:val="superscript"/>
        </w:rPr>
      </w:pPr>
      <w:r>
        <w:rPr>
          <w:rFonts w:hint="eastAsia"/>
          <w:b/>
          <w:spacing w:val="-4"/>
          <w:kern w:val="0"/>
          <w:sz w:val="21"/>
          <w:szCs w:val="21"/>
        </w:rPr>
        <w:t>注：</w:t>
      </w:r>
      <w:r>
        <w:rPr>
          <w:b/>
          <w:spacing w:val="-4"/>
          <w:kern w:val="0"/>
          <w:sz w:val="21"/>
          <w:szCs w:val="21"/>
        </w:rPr>
        <w:t>r2=</w:t>
      </w:r>
      <w:r>
        <w:rPr>
          <w:rFonts w:hint="eastAsia"/>
          <w:b/>
          <w:spacing w:val="-4"/>
          <w:kern w:val="0"/>
          <w:sz w:val="21"/>
          <w:szCs w:val="21"/>
        </w:rPr>
        <w:t>（（</w:t>
      </w:r>
      <w:r>
        <w:rPr>
          <w:b/>
          <w:spacing w:val="-4"/>
          <w:kern w:val="0"/>
          <w:sz w:val="21"/>
          <w:szCs w:val="21"/>
        </w:rPr>
        <w:t>r1</w:t>
      </w:r>
      <w:r>
        <w:rPr>
          <w:rFonts w:hint="eastAsia"/>
          <w:b/>
          <w:spacing w:val="-4"/>
          <w:kern w:val="0"/>
          <w:sz w:val="21"/>
          <w:szCs w:val="21"/>
        </w:rPr>
        <w:t>）</w:t>
      </w:r>
      <w:r>
        <w:rPr>
          <w:b/>
          <w:spacing w:val="-4"/>
          <w:kern w:val="0"/>
          <w:sz w:val="21"/>
          <w:szCs w:val="21"/>
          <w:vertAlign w:val="superscript"/>
        </w:rPr>
        <w:t>2</w:t>
      </w:r>
      <w:r>
        <w:rPr>
          <w:b/>
          <w:spacing w:val="-4"/>
          <w:kern w:val="0"/>
          <w:sz w:val="21"/>
          <w:szCs w:val="21"/>
        </w:rPr>
        <w:t>+115</w:t>
      </w:r>
      <w:r>
        <w:rPr>
          <w:b/>
          <w:spacing w:val="-4"/>
          <w:kern w:val="0"/>
          <w:sz w:val="21"/>
          <w:szCs w:val="21"/>
          <w:vertAlign w:val="superscript"/>
        </w:rPr>
        <w:t>2</w:t>
      </w:r>
      <w:r>
        <w:rPr>
          <w:rFonts w:hint="eastAsia"/>
          <w:b/>
          <w:spacing w:val="-4"/>
          <w:kern w:val="0"/>
          <w:sz w:val="21"/>
          <w:szCs w:val="21"/>
        </w:rPr>
        <w:t>）</w:t>
      </w:r>
      <w:r>
        <w:rPr>
          <w:b/>
          <w:spacing w:val="-4"/>
          <w:kern w:val="0"/>
          <w:sz w:val="21"/>
          <w:szCs w:val="21"/>
          <w:vertAlign w:val="superscript"/>
        </w:rPr>
        <w:t>1/2</w:t>
      </w:r>
    </w:p>
    <w:p w14:paraId="2D56DDE3">
      <w:pPr>
        <w:adjustRightInd w:val="0"/>
        <w:snapToGrid w:val="0"/>
        <w:ind w:firstLine="480"/>
      </w:pPr>
      <w:r>
        <w:t>由上表可知，不考虑敏感点与风电机组基础处高程差的情况下，昼间风机水平距离10m外、夜间水平距离336m外的噪声贡献值满足《声环境质量标准》（GB3096-2008）中2类标准，即昼间60dB(A)、夜间50dB(A)。</w:t>
      </w:r>
    </w:p>
    <w:p w14:paraId="788B1877">
      <w:pPr>
        <w:adjustRightInd w:val="0"/>
        <w:snapToGrid w:val="0"/>
        <w:ind w:firstLine="480"/>
      </w:pPr>
      <w:r>
        <w:rPr>
          <w:rFonts w:hint="eastAsia"/>
        </w:rPr>
        <w:t>（5）敏感点声环境质量预测</w:t>
      </w:r>
    </w:p>
    <w:p w14:paraId="0B36869E">
      <w:pPr>
        <w:adjustRightInd w:val="0"/>
        <w:snapToGrid w:val="0"/>
        <w:ind w:firstLine="480"/>
      </w:pPr>
      <w:bookmarkStart w:id="181" w:name="_Hlk119346114"/>
      <w:r>
        <w:t>考虑到本项目风机周边300m~500m有少量居民分布，本次评价对主要声环境敏感目标的噪声进行了预测。由于各风机机位与居民点之间的山体均有植被覆盖；且项目各风机机位周边居民均位于山脚下，各居民点与各风机机位之间均有山体阻隔。</w:t>
      </w:r>
    </w:p>
    <w:p w14:paraId="45D718C4">
      <w:pPr>
        <w:adjustRightInd w:val="0"/>
        <w:snapToGrid w:val="0"/>
        <w:ind w:firstLine="480"/>
      </w:pPr>
      <w:r>
        <w:t>罗海霞、丁建生通过理论和实践研究了复合式绿化林带的降噪效果，认为种植10m宽的复合式绿化林带能够起到较好的降噪效果。预测种植10m宽类似的复合式绿化林带，在其长成后降噪效果可达6~10dB（罗海霞等，2003）。</w:t>
      </w:r>
    </w:p>
    <w:p w14:paraId="67DDE7F9">
      <w:pPr>
        <w:adjustRightInd w:val="0"/>
        <w:snapToGrid w:val="0"/>
        <w:ind w:firstLine="480"/>
      </w:pPr>
      <w:r>
        <w:t>由于本项目各居民点均分布于山脚，各风机机位与各居民点之间分布有较为茂密的乔木和灌草相间的植被。本项目综合考虑山体阻隔和植被吸收的降噪量，保守取值3.0dB（A）</w:t>
      </w:r>
    </w:p>
    <w:p w14:paraId="47193451">
      <w:pPr>
        <w:adjustRightInd w:val="0"/>
        <w:snapToGrid w:val="0"/>
        <w:ind w:firstLine="480"/>
      </w:pPr>
      <w:r>
        <w:t>由于本项目各风机机位之间的距离均大于500m，因此，各风机对周边居民的叠加影响较小。</w:t>
      </w:r>
    </w:p>
    <w:p w14:paraId="2CF8E0BE">
      <w:pPr>
        <w:adjustRightInd w:val="0"/>
        <w:snapToGrid w:val="0"/>
        <w:ind w:firstLine="480"/>
      </w:pPr>
      <w:r>
        <w:t>声环境敏感目标与周边风机机位相对位置及高程差见下表。</w:t>
      </w:r>
    </w:p>
    <w:bookmarkEnd w:id="181"/>
    <w:p w14:paraId="62D2A047">
      <w:pPr>
        <w:tabs>
          <w:tab w:val="clear" w:pos="480"/>
        </w:tabs>
        <w:spacing w:line="240" w:lineRule="auto"/>
        <w:ind w:firstLine="0" w:firstLineChars="0"/>
        <w:jc w:val="center"/>
        <w:rPr>
          <w:b/>
        </w:rPr>
      </w:pPr>
      <w:r>
        <w:rPr>
          <w:b/>
        </w:rPr>
        <w:t>表6.2-2主要声环境保护目标周边风机相对位置情况</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08"/>
        <w:gridCol w:w="1685"/>
        <w:gridCol w:w="1467"/>
        <w:gridCol w:w="919"/>
        <w:gridCol w:w="1044"/>
        <w:gridCol w:w="1088"/>
        <w:gridCol w:w="1516"/>
      </w:tblGrid>
      <w:tr w14:paraId="61B677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4" w:type="pct"/>
            <w:noWrap/>
            <w:vAlign w:val="center"/>
          </w:tcPr>
          <w:p w14:paraId="455BBA08">
            <w:pPr>
              <w:widowControl/>
              <w:tabs>
                <w:tab w:val="clear" w:pos="480"/>
              </w:tabs>
              <w:spacing w:line="240" w:lineRule="auto"/>
              <w:ind w:firstLine="0" w:firstLineChars="0"/>
              <w:jc w:val="center"/>
              <w:rPr>
                <w:kern w:val="0"/>
                <w:sz w:val="18"/>
                <w:szCs w:val="18"/>
              </w:rPr>
            </w:pPr>
            <w:r>
              <w:rPr>
                <w:kern w:val="0"/>
                <w:sz w:val="18"/>
                <w:szCs w:val="18"/>
              </w:rPr>
              <w:t>序号</w:t>
            </w:r>
          </w:p>
        </w:tc>
        <w:tc>
          <w:tcPr>
            <w:tcW w:w="988" w:type="pct"/>
            <w:noWrap/>
            <w:vAlign w:val="center"/>
          </w:tcPr>
          <w:p w14:paraId="6AFC9082">
            <w:pPr>
              <w:widowControl/>
              <w:tabs>
                <w:tab w:val="clear" w:pos="480"/>
              </w:tabs>
              <w:spacing w:line="240" w:lineRule="auto"/>
              <w:ind w:firstLine="0" w:firstLineChars="0"/>
              <w:jc w:val="center"/>
              <w:rPr>
                <w:kern w:val="0"/>
                <w:sz w:val="18"/>
                <w:szCs w:val="18"/>
              </w:rPr>
            </w:pPr>
            <w:r>
              <w:rPr>
                <w:kern w:val="0"/>
                <w:sz w:val="18"/>
                <w:szCs w:val="18"/>
              </w:rPr>
              <w:t>敏感点名称</w:t>
            </w:r>
          </w:p>
        </w:tc>
        <w:tc>
          <w:tcPr>
            <w:tcW w:w="860" w:type="pct"/>
            <w:noWrap/>
            <w:vAlign w:val="center"/>
          </w:tcPr>
          <w:p w14:paraId="7640AFA1">
            <w:pPr>
              <w:widowControl/>
              <w:tabs>
                <w:tab w:val="clear" w:pos="480"/>
              </w:tabs>
              <w:spacing w:line="240" w:lineRule="auto"/>
              <w:ind w:firstLine="0" w:firstLineChars="0"/>
              <w:jc w:val="center"/>
              <w:rPr>
                <w:kern w:val="0"/>
                <w:sz w:val="18"/>
                <w:szCs w:val="18"/>
              </w:rPr>
            </w:pPr>
            <w:r>
              <w:rPr>
                <w:kern w:val="0"/>
                <w:sz w:val="18"/>
                <w:szCs w:val="18"/>
              </w:rPr>
              <w:t>相临风机</w:t>
            </w:r>
          </w:p>
        </w:tc>
        <w:tc>
          <w:tcPr>
            <w:tcW w:w="539" w:type="pct"/>
            <w:vAlign w:val="center"/>
          </w:tcPr>
          <w:p w14:paraId="2A9E9C9D">
            <w:pPr>
              <w:widowControl/>
              <w:tabs>
                <w:tab w:val="clear" w:pos="480"/>
              </w:tabs>
              <w:spacing w:line="240" w:lineRule="auto"/>
              <w:ind w:firstLine="0" w:firstLineChars="0"/>
              <w:jc w:val="center"/>
              <w:rPr>
                <w:kern w:val="0"/>
                <w:sz w:val="18"/>
                <w:szCs w:val="18"/>
              </w:rPr>
            </w:pPr>
            <w:r>
              <w:rPr>
                <w:kern w:val="0"/>
                <w:sz w:val="18"/>
                <w:szCs w:val="18"/>
              </w:rPr>
              <w:t>风机基座高差（m）</w:t>
            </w:r>
          </w:p>
        </w:tc>
        <w:tc>
          <w:tcPr>
            <w:tcW w:w="612" w:type="pct"/>
            <w:vAlign w:val="center"/>
          </w:tcPr>
          <w:p w14:paraId="21EB06E2">
            <w:pPr>
              <w:widowControl/>
              <w:tabs>
                <w:tab w:val="clear" w:pos="480"/>
              </w:tabs>
              <w:spacing w:line="240" w:lineRule="auto"/>
              <w:ind w:firstLine="0" w:firstLineChars="0"/>
              <w:jc w:val="center"/>
              <w:rPr>
                <w:kern w:val="0"/>
                <w:sz w:val="18"/>
                <w:szCs w:val="18"/>
              </w:rPr>
            </w:pPr>
            <w:r>
              <w:rPr>
                <w:kern w:val="0"/>
                <w:sz w:val="18"/>
                <w:szCs w:val="18"/>
              </w:rPr>
              <w:t>风机轮毂高差（m）</w:t>
            </w:r>
          </w:p>
        </w:tc>
        <w:tc>
          <w:tcPr>
            <w:tcW w:w="638" w:type="pct"/>
            <w:noWrap/>
            <w:vAlign w:val="center"/>
          </w:tcPr>
          <w:p w14:paraId="5073C964">
            <w:pPr>
              <w:widowControl/>
              <w:tabs>
                <w:tab w:val="clear" w:pos="480"/>
              </w:tabs>
              <w:spacing w:line="240" w:lineRule="auto"/>
              <w:ind w:firstLine="0" w:firstLineChars="0"/>
              <w:jc w:val="center"/>
              <w:rPr>
                <w:kern w:val="0"/>
                <w:sz w:val="18"/>
                <w:szCs w:val="18"/>
              </w:rPr>
            </w:pPr>
            <w:r>
              <w:rPr>
                <w:kern w:val="0"/>
                <w:sz w:val="18"/>
                <w:szCs w:val="18"/>
              </w:rPr>
              <w:t>水平距离</w:t>
            </w:r>
          </w:p>
          <w:p w14:paraId="0501F180">
            <w:pPr>
              <w:widowControl/>
              <w:tabs>
                <w:tab w:val="clear" w:pos="480"/>
              </w:tabs>
              <w:spacing w:line="240" w:lineRule="auto"/>
              <w:ind w:firstLine="0" w:firstLineChars="0"/>
              <w:jc w:val="center"/>
              <w:rPr>
                <w:kern w:val="0"/>
                <w:sz w:val="18"/>
                <w:szCs w:val="18"/>
              </w:rPr>
            </w:pPr>
            <w:r>
              <w:rPr>
                <w:kern w:val="0"/>
                <w:sz w:val="18"/>
                <w:szCs w:val="18"/>
              </w:rPr>
              <w:t>（m）</w:t>
            </w:r>
          </w:p>
        </w:tc>
        <w:tc>
          <w:tcPr>
            <w:tcW w:w="889" w:type="pct"/>
            <w:noWrap/>
            <w:vAlign w:val="center"/>
          </w:tcPr>
          <w:p w14:paraId="369A6BC1">
            <w:pPr>
              <w:widowControl/>
              <w:tabs>
                <w:tab w:val="clear" w:pos="480"/>
              </w:tabs>
              <w:spacing w:line="240" w:lineRule="auto"/>
              <w:ind w:firstLine="0" w:firstLineChars="0"/>
              <w:jc w:val="center"/>
              <w:rPr>
                <w:kern w:val="0"/>
                <w:sz w:val="18"/>
                <w:szCs w:val="18"/>
              </w:rPr>
            </w:pPr>
            <w:r>
              <w:rPr>
                <w:kern w:val="0"/>
                <w:sz w:val="18"/>
                <w:szCs w:val="18"/>
              </w:rPr>
              <w:t>直线距离</w:t>
            </w:r>
          </w:p>
          <w:p w14:paraId="5D24A40D">
            <w:pPr>
              <w:widowControl/>
              <w:tabs>
                <w:tab w:val="clear" w:pos="480"/>
              </w:tabs>
              <w:spacing w:line="240" w:lineRule="auto"/>
              <w:ind w:firstLine="0" w:firstLineChars="0"/>
              <w:jc w:val="center"/>
              <w:rPr>
                <w:kern w:val="0"/>
                <w:sz w:val="18"/>
                <w:szCs w:val="18"/>
              </w:rPr>
            </w:pPr>
            <w:r>
              <w:rPr>
                <w:kern w:val="0"/>
                <w:sz w:val="18"/>
                <w:szCs w:val="18"/>
              </w:rPr>
              <w:t>（m）</w:t>
            </w:r>
          </w:p>
        </w:tc>
      </w:tr>
      <w:tr w14:paraId="5E222A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4" w:type="pct"/>
            <w:noWrap/>
            <w:vAlign w:val="center"/>
          </w:tcPr>
          <w:p w14:paraId="30213DC4">
            <w:pPr>
              <w:widowControl/>
              <w:tabs>
                <w:tab w:val="clear" w:pos="480"/>
              </w:tabs>
              <w:spacing w:line="240" w:lineRule="auto"/>
              <w:ind w:firstLine="0" w:firstLineChars="0"/>
              <w:jc w:val="center"/>
              <w:rPr>
                <w:kern w:val="0"/>
                <w:sz w:val="18"/>
                <w:szCs w:val="18"/>
              </w:rPr>
            </w:pPr>
            <w:r>
              <w:rPr>
                <w:kern w:val="0"/>
                <w:sz w:val="18"/>
                <w:szCs w:val="18"/>
              </w:rPr>
              <w:t>1</w:t>
            </w:r>
          </w:p>
        </w:tc>
        <w:tc>
          <w:tcPr>
            <w:tcW w:w="988" w:type="pct"/>
            <w:noWrap/>
            <w:vAlign w:val="center"/>
          </w:tcPr>
          <w:p w14:paraId="064B51F0">
            <w:pPr>
              <w:widowControl/>
              <w:tabs>
                <w:tab w:val="clear" w:pos="480"/>
              </w:tabs>
              <w:spacing w:line="240" w:lineRule="auto"/>
              <w:ind w:firstLine="0" w:firstLineChars="0"/>
              <w:jc w:val="center"/>
              <w:rPr>
                <w:kern w:val="0"/>
                <w:sz w:val="18"/>
                <w:szCs w:val="18"/>
              </w:rPr>
            </w:pPr>
            <w:r>
              <w:rPr>
                <w:bCs/>
                <w:sz w:val="18"/>
                <w:szCs w:val="18"/>
              </w:rPr>
              <w:t>茅草坳居民点</w:t>
            </w:r>
          </w:p>
        </w:tc>
        <w:tc>
          <w:tcPr>
            <w:tcW w:w="860" w:type="pct"/>
            <w:noWrap/>
            <w:vAlign w:val="center"/>
          </w:tcPr>
          <w:p w14:paraId="12930D7A">
            <w:pPr>
              <w:widowControl/>
              <w:tabs>
                <w:tab w:val="clear" w:pos="480"/>
              </w:tabs>
              <w:spacing w:line="240" w:lineRule="auto"/>
              <w:ind w:firstLine="0" w:firstLineChars="0"/>
              <w:jc w:val="center"/>
              <w:rPr>
                <w:kern w:val="0"/>
                <w:sz w:val="18"/>
                <w:szCs w:val="18"/>
              </w:rPr>
            </w:pPr>
            <w:r>
              <w:rPr>
                <w:kern w:val="0"/>
                <w:sz w:val="18"/>
                <w:szCs w:val="18"/>
              </w:rPr>
              <w:t>7#</w:t>
            </w:r>
            <w:r>
              <w:rPr>
                <w:rFonts w:hint="eastAsia"/>
                <w:kern w:val="0"/>
                <w:sz w:val="18"/>
                <w:szCs w:val="18"/>
              </w:rPr>
              <w:t>风机</w:t>
            </w:r>
            <w:r>
              <w:rPr>
                <w:kern w:val="0"/>
                <w:sz w:val="18"/>
                <w:szCs w:val="18"/>
              </w:rPr>
              <w:t xml:space="preserve"> </w:t>
            </w:r>
          </w:p>
        </w:tc>
        <w:tc>
          <w:tcPr>
            <w:tcW w:w="539" w:type="pct"/>
            <w:vAlign w:val="center"/>
          </w:tcPr>
          <w:p w14:paraId="2E78B805">
            <w:pPr>
              <w:widowControl/>
              <w:tabs>
                <w:tab w:val="clear" w:pos="480"/>
              </w:tabs>
              <w:spacing w:line="240" w:lineRule="auto"/>
              <w:ind w:firstLine="0" w:firstLineChars="0"/>
              <w:jc w:val="center"/>
              <w:rPr>
                <w:kern w:val="0"/>
                <w:sz w:val="18"/>
                <w:szCs w:val="18"/>
              </w:rPr>
            </w:pPr>
            <w:r>
              <w:rPr>
                <w:rFonts w:hint="eastAsia"/>
                <w:kern w:val="0"/>
                <w:sz w:val="18"/>
                <w:szCs w:val="18"/>
              </w:rPr>
              <w:t>1</w:t>
            </w:r>
            <w:r>
              <w:rPr>
                <w:kern w:val="0"/>
                <w:sz w:val="18"/>
                <w:szCs w:val="18"/>
              </w:rPr>
              <w:t>14</w:t>
            </w:r>
          </w:p>
        </w:tc>
        <w:tc>
          <w:tcPr>
            <w:tcW w:w="612" w:type="pct"/>
            <w:vAlign w:val="center"/>
          </w:tcPr>
          <w:p w14:paraId="68386238">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29</w:t>
            </w:r>
          </w:p>
        </w:tc>
        <w:tc>
          <w:tcPr>
            <w:tcW w:w="638" w:type="pct"/>
            <w:noWrap/>
            <w:vAlign w:val="center"/>
          </w:tcPr>
          <w:p w14:paraId="561CE658">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85</w:t>
            </w:r>
          </w:p>
        </w:tc>
        <w:tc>
          <w:tcPr>
            <w:tcW w:w="889" w:type="pct"/>
            <w:noWrap/>
            <w:vAlign w:val="center"/>
          </w:tcPr>
          <w:p w14:paraId="2DBD9C4E">
            <w:pPr>
              <w:widowControl/>
              <w:tabs>
                <w:tab w:val="clear" w:pos="480"/>
              </w:tabs>
              <w:spacing w:line="240" w:lineRule="auto"/>
              <w:ind w:firstLine="0" w:firstLineChars="0"/>
              <w:jc w:val="center"/>
              <w:rPr>
                <w:kern w:val="0"/>
                <w:sz w:val="18"/>
                <w:szCs w:val="18"/>
              </w:rPr>
            </w:pPr>
            <w:r>
              <w:rPr>
                <w:rFonts w:hint="eastAsia"/>
                <w:kern w:val="0"/>
                <w:sz w:val="18"/>
                <w:szCs w:val="18"/>
              </w:rPr>
              <w:t>3</w:t>
            </w:r>
            <w:r>
              <w:rPr>
                <w:kern w:val="0"/>
                <w:sz w:val="18"/>
                <w:szCs w:val="18"/>
              </w:rPr>
              <w:t>65.60</w:t>
            </w:r>
          </w:p>
        </w:tc>
      </w:tr>
      <w:tr w14:paraId="7C1E2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4" w:type="pct"/>
            <w:noWrap/>
            <w:vAlign w:val="center"/>
          </w:tcPr>
          <w:p w14:paraId="5FB662D7">
            <w:pPr>
              <w:widowControl/>
              <w:tabs>
                <w:tab w:val="clear" w:pos="480"/>
              </w:tabs>
              <w:spacing w:line="240" w:lineRule="auto"/>
              <w:ind w:firstLine="0" w:firstLineChars="0"/>
              <w:jc w:val="center"/>
              <w:rPr>
                <w:kern w:val="0"/>
                <w:sz w:val="18"/>
                <w:szCs w:val="18"/>
              </w:rPr>
            </w:pPr>
            <w:r>
              <w:rPr>
                <w:rFonts w:hint="eastAsia"/>
                <w:kern w:val="0"/>
                <w:sz w:val="18"/>
                <w:szCs w:val="18"/>
              </w:rPr>
              <w:t>2</w:t>
            </w:r>
          </w:p>
        </w:tc>
        <w:tc>
          <w:tcPr>
            <w:tcW w:w="988" w:type="pct"/>
            <w:noWrap/>
            <w:vAlign w:val="center"/>
          </w:tcPr>
          <w:p w14:paraId="72FAB6CE">
            <w:pPr>
              <w:widowControl/>
              <w:tabs>
                <w:tab w:val="clear" w:pos="480"/>
              </w:tabs>
              <w:spacing w:line="240" w:lineRule="auto"/>
              <w:ind w:firstLine="0" w:firstLineChars="0"/>
              <w:jc w:val="center"/>
              <w:rPr>
                <w:kern w:val="0"/>
                <w:sz w:val="18"/>
                <w:szCs w:val="18"/>
              </w:rPr>
            </w:pPr>
            <w:r>
              <w:rPr>
                <w:sz w:val="18"/>
                <w:szCs w:val="18"/>
              </w:rPr>
              <w:t>扶贫基地</w:t>
            </w:r>
          </w:p>
        </w:tc>
        <w:tc>
          <w:tcPr>
            <w:tcW w:w="860" w:type="pct"/>
            <w:noWrap/>
            <w:vAlign w:val="center"/>
          </w:tcPr>
          <w:p w14:paraId="174401D6">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w:t>
            </w:r>
            <w:r>
              <w:rPr>
                <w:rFonts w:hint="eastAsia"/>
                <w:kern w:val="0"/>
                <w:sz w:val="18"/>
                <w:szCs w:val="18"/>
              </w:rPr>
              <w:t>风机</w:t>
            </w:r>
          </w:p>
        </w:tc>
        <w:tc>
          <w:tcPr>
            <w:tcW w:w="539" w:type="pct"/>
            <w:vAlign w:val="center"/>
          </w:tcPr>
          <w:p w14:paraId="2707321B">
            <w:pPr>
              <w:widowControl/>
              <w:tabs>
                <w:tab w:val="clear" w:pos="480"/>
              </w:tabs>
              <w:spacing w:line="240" w:lineRule="auto"/>
              <w:ind w:firstLine="0" w:firstLineChars="0"/>
              <w:jc w:val="center"/>
              <w:rPr>
                <w:kern w:val="0"/>
                <w:sz w:val="18"/>
                <w:szCs w:val="18"/>
              </w:rPr>
            </w:pPr>
            <w:r>
              <w:rPr>
                <w:rFonts w:hint="eastAsia"/>
                <w:kern w:val="0"/>
                <w:sz w:val="18"/>
                <w:szCs w:val="18"/>
              </w:rPr>
              <w:t>1</w:t>
            </w:r>
            <w:r>
              <w:rPr>
                <w:kern w:val="0"/>
                <w:sz w:val="18"/>
                <w:szCs w:val="18"/>
              </w:rPr>
              <w:t>0</w:t>
            </w:r>
          </w:p>
        </w:tc>
        <w:tc>
          <w:tcPr>
            <w:tcW w:w="612" w:type="pct"/>
            <w:vAlign w:val="center"/>
          </w:tcPr>
          <w:p w14:paraId="5A19F499">
            <w:pPr>
              <w:widowControl/>
              <w:tabs>
                <w:tab w:val="clear" w:pos="480"/>
              </w:tabs>
              <w:spacing w:line="240" w:lineRule="auto"/>
              <w:ind w:firstLine="0" w:firstLineChars="0"/>
              <w:jc w:val="center"/>
              <w:rPr>
                <w:kern w:val="0"/>
                <w:sz w:val="18"/>
                <w:szCs w:val="18"/>
              </w:rPr>
            </w:pPr>
            <w:r>
              <w:rPr>
                <w:rFonts w:hint="eastAsia"/>
                <w:kern w:val="0"/>
                <w:sz w:val="18"/>
                <w:szCs w:val="18"/>
              </w:rPr>
              <w:t>1</w:t>
            </w:r>
            <w:r>
              <w:rPr>
                <w:kern w:val="0"/>
                <w:sz w:val="18"/>
                <w:szCs w:val="18"/>
              </w:rPr>
              <w:t>25</w:t>
            </w:r>
          </w:p>
        </w:tc>
        <w:tc>
          <w:tcPr>
            <w:tcW w:w="638" w:type="pct"/>
            <w:noWrap/>
            <w:vAlign w:val="center"/>
          </w:tcPr>
          <w:p w14:paraId="30C973AA">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50</w:t>
            </w:r>
          </w:p>
        </w:tc>
        <w:tc>
          <w:tcPr>
            <w:tcW w:w="889" w:type="pct"/>
            <w:noWrap/>
            <w:vAlign w:val="center"/>
          </w:tcPr>
          <w:p w14:paraId="3B6711AE">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79.51</w:t>
            </w:r>
          </w:p>
        </w:tc>
      </w:tr>
      <w:tr w14:paraId="5DDDED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74" w:type="pct"/>
            <w:noWrap/>
            <w:vAlign w:val="center"/>
          </w:tcPr>
          <w:p w14:paraId="2AD72B04">
            <w:pPr>
              <w:widowControl/>
              <w:tabs>
                <w:tab w:val="clear" w:pos="480"/>
              </w:tabs>
              <w:spacing w:line="240" w:lineRule="auto"/>
              <w:ind w:firstLine="0" w:firstLineChars="0"/>
              <w:jc w:val="center"/>
              <w:rPr>
                <w:kern w:val="0"/>
                <w:sz w:val="18"/>
                <w:szCs w:val="18"/>
              </w:rPr>
            </w:pPr>
            <w:r>
              <w:rPr>
                <w:rFonts w:hint="eastAsia"/>
                <w:kern w:val="0"/>
                <w:sz w:val="18"/>
                <w:szCs w:val="18"/>
              </w:rPr>
              <w:t>3</w:t>
            </w:r>
          </w:p>
        </w:tc>
        <w:tc>
          <w:tcPr>
            <w:tcW w:w="988" w:type="pct"/>
            <w:noWrap/>
            <w:vAlign w:val="center"/>
          </w:tcPr>
          <w:p w14:paraId="1B9A009D">
            <w:pPr>
              <w:widowControl/>
              <w:tabs>
                <w:tab w:val="clear" w:pos="480"/>
              </w:tabs>
              <w:spacing w:line="240" w:lineRule="auto"/>
              <w:ind w:firstLine="0" w:firstLineChars="0"/>
              <w:jc w:val="center"/>
              <w:rPr>
                <w:kern w:val="0"/>
                <w:sz w:val="18"/>
                <w:szCs w:val="18"/>
              </w:rPr>
            </w:pPr>
            <w:r>
              <w:rPr>
                <w:sz w:val="18"/>
                <w:szCs w:val="18"/>
              </w:rPr>
              <w:t>仁皇村</w:t>
            </w:r>
          </w:p>
        </w:tc>
        <w:tc>
          <w:tcPr>
            <w:tcW w:w="860" w:type="pct"/>
            <w:noWrap/>
            <w:vAlign w:val="center"/>
          </w:tcPr>
          <w:p w14:paraId="7E16376F">
            <w:pPr>
              <w:widowControl/>
              <w:tabs>
                <w:tab w:val="clear" w:pos="480"/>
              </w:tabs>
              <w:spacing w:line="240" w:lineRule="auto"/>
              <w:ind w:firstLine="0" w:firstLineChars="0"/>
              <w:jc w:val="center"/>
              <w:rPr>
                <w:kern w:val="0"/>
                <w:sz w:val="18"/>
                <w:szCs w:val="18"/>
              </w:rPr>
            </w:pPr>
            <w:r>
              <w:rPr>
                <w:rFonts w:hint="eastAsia"/>
                <w:kern w:val="0"/>
                <w:sz w:val="18"/>
                <w:szCs w:val="18"/>
              </w:rPr>
              <w:t>6</w:t>
            </w:r>
            <w:r>
              <w:rPr>
                <w:kern w:val="0"/>
                <w:sz w:val="18"/>
                <w:szCs w:val="18"/>
              </w:rPr>
              <w:t>#</w:t>
            </w:r>
            <w:r>
              <w:rPr>
                <w:rFonts w:hint="eastAsia"/>
                <w:kern w:val="0"/>
                <w:sz w:val="18"/>
                <w:szCs w:val="18"/>
              </w:rPr>
              <w:t>风机</w:t>
            </w:r>
          </w:p>
        </w:tc>
        <w:tc>
          <w:tcPr>
            <w:tcW w:w="539" w:type="pct"/>
            <w:vAlign w:val="center"/>
          </w:tcPr>
          <w:p w14:paraId="3559AA91">
            <w:pPr>
              <w:widowControl/>
              <w:tabs>
                <w:tab w:val="clear" w:pos="480"/>
              </w:tabs>
              <w:spacing w:line="240" w:lineRule="auto"/>
              <w:ind w:firstLine="0" w:firstLineChars="0"/>
              <w:jc w:val="center"/>
              <w:rPr>
                <w:kern w:val="0"/>
                <w:sz w:val="18"/>
                <w:szCs w:val="18"/>
              </w:rPr>
            </w:pPr>
            <w:r>
              <w:rPr>
                <w:rFonts w:hint="eastAsia"/>
                <w:kern w:val="0"/>
                <w:sz w:val="18"/>
                <w:szCs w:val="18"/>
              </w:rPr>
              <w:t>1</w:t>
            </w:r>
            <w:r>
              <w:rPr>
                <w:kern w:val="0"/>
                <w:sz w:val="18"/>
                <w:szCs w:val="18"/>
              </w:rPr>
              <w:t>23</w:t>
            </w:r>
          </w:p>
        </w:tc>
        <w:tc>
          <w:tcPr>
            <w:tcW w:w="612" w:type="pct"/>
            <w:vAlign w:val="center"/>
          </w:tcPr>
          <w:p w14:paraId="4BF13F49">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38</w:t>
            </w:r>
          </w:p>
        </w:tc>
        <w:tc>
          <w:tcPr>
            <w:tcW w:w="638" w:type="pct"/>
            <w:noWrap/>
            <w:vAlign w:val="center"/>
          </w:tcPr>
          <w:p w14:paraId="0115BFB8">
            <w:pPr>
              <w:widowControl/>
              <w:tabs>
                <w:tab w:val="clear" w:pos="480"/>
              </w:tabs>
              <w:spacing w:line="240" w:lineRule="auto"/>
              <w:ind w:firstLine="0" w:firstLineChars="0"/>
              <w:jc w:val="center"/>
              <w:rPr>
                <w:kern w:val="0"/>
                <w:sz w:val="18"/>
                <w:szCs w:val="18"/>
              </w:rPr>
            </w:pPr>
            <w:r>
              <w:rPr>
                <w:rFonts w:hint="eastAsia"/>
                <w:kern w:val="0"/>
                <w:sz w:val="18"/>
                <w:szCs w:val="18"/>
              </w:rPr>
              <w:t>3</w:t>
            </w:r>
            <w:r>
              <w:rPr>
                <w:kern w:val="0"/>
                <w:sz w:val="18"/>
                <w:szCs w:val="18"/>
              </w:rPr>
              <w:t>30</w:t>
            </w:r>
          </w:p>
        </w:tc>
        <w:tc>
          <w:tcPr>
            <w:tcW w:w="889" w:type="pct"/>
            <w:noWrap/>
            <w:vAlign w:val="center"/>
          </w:tcPr>
          <w:p w14:paraId="3A68B469">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06.87</w:t>
            </w:r>
          </w:p>
        </w:tc>
      </w:tr>
    </w:tbl>
    <w:p w14:paraId="25E64B8A">
      <w:pPr>
        <w:tabs>
          <w:tab w:val="clear" w:pos="480"/>
        </w:tabs>
        <w:adjustRightInd w:val="0"/>
        <w:snapToGrid w:val="0"/>
        <w:ind w:firstLine="480"/>
      </w:pPr>
      <w:r>
        <w:t>各风机运行期间对各声环境保护目标噪声影响预测见下表。</w:t>
      </w:r>
    </w:p>
    <w:p w14:paraId="0EECC46D">
      <w:pPr>
        <w:tabs>
          <w:tab w:val="clear" w:pos="480"/>
        </w:tabs>
        <w:spacing w:line="240" w:lineRule="auto"/>
        <w:ind w:firstLine="0" w:firstLineChars="0"/>
        <w:jc w:val="center"/>
        <w:rPr>
          <w:b/>
        </w:rPr>
      </w:pPr>
      <w:r>
        <w:rPr>
          <w:b/>
        </w:rPr>
        <w:t>表6.2-3 主要声环境保护目标噪声预测情况</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15"/>
        <w:gridCol w:w="1009"/>
        <w:gridCol w:w="1009"/>
        <w:gridCol w:w="763"/>
        <w:gridCol w:w="702"/>
        <w:gridCol w:w="639"/>
        <w:gridCol w:w="664"/>
        <w:gridCol w:w="616"/>
        <w:gridCol w:w="616"/>
        <w:gridCol w:w="531"/>
        <w:gridCol w:w="531"/>
        <w:gridCol w:w="418"/>
        <w:gridCol w:w="414"/>
      </w:tblGrid>
      <w:tr w14:paraId="2DB152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Merge w:val="restart"/>
            <w:noWrap/>
            <w:vAlign w:val="center"/>
          </w:tcPr>
          <w:p w14:paraId="2C385487">
            <w:pPr>
              <w:tabs>
                <w:tab w:val="clear" w:pos="480"/>
              </w:tabs>
              <w:spacing w:line="240" w:lineRule="auto"/>
              <w:ind w:firstLine="0" w:firstLineChars="0"/>
              <w:jc w:val="center"/>
              <w:rPr>
                <w:kern w:val="0"/>
                <w:sz w:val="18"/>
                <w:szCs w:val="18"/>
              </w:rPr>
            </w:pPr>
            <w:r>
              <w:rPr>
                <w:kern w:val="0"/>
                <w:sz w:val="18"/>
                <w:szCs w:val="18"/>
              </w:rPr>
              <w:t>序号</w:t>
            </w:r>
          </w:p>
        </w:tc>
        <w:tc>
          <w:tcPr>
            <w:tcW w:w="602" w:type="pct"/>
            <w:vMerge w:val="restart"/>
            <w:noWrap/>
            <w:vAlign w:val="center"/>
          </w:tcPr>
          <w:p w14:paraId="080F8B19">
            <w:pPr>
              <w:tabs>
                <w:tab w:val="clear" w:pos="480"/>
              </w:tabs>
              <w:spacing w:line="240" w:lineRule="auto"/>
              <w:ind w:firstLine="0" w:firstLineChars="0"/>
              <w:jc w:val="center"/>
              <w:rPr>
                <w:kern w:val="0"/>
                <w:sz w:val="18"/>
                <w:szCs w:val="18"/>
              </w:rPr>
            </w:pPr>
            <w:r>
              <w:rPr>
                <w:kern w:val="0"/>
                <w:sz w:val="18"/>
                <w:szCs w:val="18"/>
              </w:rPr>
              <w:t>敏感点</w:t>
            </w:r>
          </w:p>
          <w:p w14:paraId="5757FF91">
            <w:pPr>
              <w:tabs>
                <w:tab w:val="clear" w:pos="480"/>
              </w:tabs>
              <w:spacing w:line="240" w:lineRule="auto"/>
              <w:ind w:firstLine="0" w:firstLineChars="0"/>
              <w:jc w:val="center"/>
              <w:rPr>
                <w:kern w:val="0"/>
                <w:sz w:val="18"/>
                <w:szCs w:val="18"/>
              </w:rPr>
            </w:pPr>
            <w:r>
              <w:rPr>
                <w:kern w:val="0"/>
                <w:sz w:val="18"/>
                <w:szCs w:val="18"/>
              </w:rPr>
              <w:t>名称</w:t>
            </w:r>
          </w:p>
        </w:tc>
        <w:tc>
          <w:tcPr>
            <w:tcW w:w="602" w:type="pct"/>
            <w:vMerge w:val="restart"/>
            <w:noWrap/>
            <w:vAlign w:val="center"/>
          </w:tcPr>
          <w:p w14:paraId="65F4546F">
            <w:pPr>
              <w:tabs>
                <w:tab w:val="clear" w:pos="480"/>
              </w:tabs>
              <w:spacing w:line="240" w:lineRule="auto"/>
              <w:ind w:firstLine="0" w:firstLineChars="0"/>
              <w:jc w:val="center"/>
              <w:rPr>
                <w:kern w:val="0"/>
                <w:sz w:val="18"/>
                <w:szCs w:val="18"/>
              </w:rPr>
            </w:pPr>
            <w:r>
              <w:rPr>
                <w:kern w:val="0"/>
                <w:sz w:val="18"/>
                <w:szCs w:val="18"/>
              </w:rPr>
              <w:t>相临风机</w:t>
            </w:r>
          </w:p>
        </w:tc>
        <w:tc>
          <w:tcPr>
            <w:tcW w:w="458" w:type="pct"/>
            <w:vMerge w:val="restart"/>
            <w:vAlign w:val="center"/>
          </w:tcPr>
          <w:p w14:paraId="695822B4">
            <w:pPr>
              <w:tabs>
                <w:tab w:val="clear" w:pos="480"/>
              </w:tabs>
              <w:spacing w:line="240" w:lineRule="auto"/>
              <w:ind w:firstLine="0" w:firstLineChars="0"/>
              <w:jc w:val="center"/>
              <w:rPr>
                <w:kern w:val="0"/>
                <w:sz w:val="18"/>
                <w:szCs w:val="18"/>
              </w:rPr>
            </w:pPr>
            <w:r>
              <w:rPr>
                <w:kern w:val="0"/>
                <w:sz w:val="18"/>
                <w:szCs w:val="18"/>
              </w:rPr>
              <w:t>距离</w:t>
            </w:r>
          </w:p>
        </w:tc>
        <w:tc>
          <w:tcPr>
            <w:tcW w:w="422" w:type="pct"/>
            <w:vMerge w:val="restart"/>
            <w:vAlign w:val="center"/>
          </w:tcPr>
          <w:p w14:paraId="7538414F">
            <w:pPr>
              <w:tabs>
                <w:tab w:val="clear" w:pos="480"/>
              </w:tabs>
              <w:spacing w:line="240" w:lineRule="auto"/>
              <w:ind w:firstLine="0" w:firstLineChars="0"/>
              <w:jc w:val="center"/>
              <w:rPr>
                <w:kern w:val="0"/>
                <w:sz w:val="18"/>
                <w:szCs w:val="18"/>
              </w:rPr>
            </w:pPr>
            <w:r>
              <w:rPr>
                <w:kern w:val="0"/>
                <w:sz w:val="18"/>
                <w:szCs w:val="18"/>
              </w:rPr>
              <w:t>单风机噪声贡献值</w:t>
            </w:r>
          </w:p>
        </w:tc>
        <w:tc>
          <w:tcPr>
            <w:tcW w:w="385" w:type="pct"/>
            <w:vMerge w:val="restart"/>
            <w:vAlign w:val="center"/>
          </w:tcPr>
          <w:p w14:paraId="0A2E5F73">
            <w:pPr>
              <w:tabs>
                <w:tab w:val="clear" w:pos="480"/>
              </w:tabs>
              <w:spacing w:line="240" w:lineRule="auto"/>
              <w:ind w:firstLine="0" w:firstLineChars="0"/>
              <w:jc w:val="center"/>
              <w:rPr>
                <w:kern w:val="0"/>
                <w:sz w:val="18"/>
                <w:szCs w:val="18"/>
              </w:rPr>
            </w:pPr>
            <w:r>
              <w:rPr>
                <w:kern w:val="0"/>
                <w:sz w:val="18"/>
                <w:szCs w:val="18"/>
              </w:rPr>
              <w:t>削减</w:t>
            </w:r>
          </w:p>
        </w:tc>
        <w:tc>
          <w:tcPr>
            <w:tcW w:w="400" w:type="pct"/>
            <w:vMerge w:val="restart"/>
            <w:vAlign w:val="center"/>
          </w:tcPr>
          <w:p w14:paraId="30107A0C">
            <w:pPr>
              <w:widowControl/>
              <w:tabs>
                <w:tab w:val="clear" w:pos="480"/>
              </w:tabs>
              <w:spacing w:line="240" w:lineRule="auto"/>
              <w:ind w:firstLine="0" w:firstLineChars="0"/>
              <w:jc w:val="center"/>
              <w:rPr>
                <w:kern w:val="0"/>
                <w:sz w:val="18"/>
                <w:szCs w:val="18"/>
              </w:rPr>
            </w:pPr>
            <w:r>
              <w:rPr>
                <w:rFonts w:hint="eastAsia"/>
                <w:kern w:val="0"/>
                <w:sz w:val="18"/>
                <w:szCs w:val="18"/>
              </w:rPr>
              <w:t>削减后贡献值</w:t>
            </w:r>
          </w:p>
        </w:tc>
        <w:tc>
          <w:tcPr>
            <w:tcW w:w="741" w:type="pct"/>
            <w:gridSpan w:val="2"/>
            <w:noWrap/>
            <w:vAlign w:val="center"/>
          </w:tcPr>
          <w:p w14:paraId="0326EBD7">
            <w:pPr>
              <w:widowControl/>
              <w:tabs>
                <w:tab w:val="clear" w:pos="480"/>
              </w:tabs>
              <w:spacing w:line="240" w:lineRule="auto"/>
              <w:ind w:firstLine="0" w:firstLineChars="0"/>
              <w:jc w:val="center"/>
              <w:rPr>
                <w:kern w:val="0"/>
                <w:sz w:val="18"/>
                <w:szCs w:val="18"/>
              </w:rPr>
            </w:pPr>
            <w:r>
              <w:rPr>
                <w:kern w:val="0"/>
                <w:sz w:val="18"/>
                <w:szCs w:val="18"/>
              </w:rPr>
              <w:t>噪声背景值</w:t>
            </w:r>
          </w:p>
        </w:tc>
        <w:tc>
          <w:tcPr>
            <w:tcW w:w="510" w:type="pct"/>
            <w:gridSpan w:val="2"/>
            <w:vAlign w:val="center"/>
          </w:tcPr>
          <w:p w14:paraId="0732438B">
            <w:pPr>
              <w:widowControl/>
              <w:tabs>
                <w:tab w:val="clear" w:pos="480"/>
              </w:tabs>
              <w:spacing w:line="240" w:lineRule="auto"/>
              <w:ind w:firstLine="0" w:firstLineChars="0"/>
              <w:jc w:val="center"/>
              <w:rPr>
                <w:kern w:val="0"/>
                <w:sz w:val="18"/>
                <w:szCs w:val="18"/>
              </w:rPr>
            </w:pPr>
            <w:r>
              <w:rPr>
                <w:kern w:val="0"/>
                <w:sz w:val="18"/>
                <w:szCs w:val="18"/>
              </w:rPr>
              <w:t>预测值</w:t>
            </w:r>
          </w:p>
        </w:tc>
        <w:tc>
          <w:tcPr>
            <w:tcW w:w="510" w:type="pct"/>
            <w:gridSpan w:val="2"/>
            <w:vAlign w:val="center"/>
          </w:tcPr>
          <w:p w14:paraId="2E55D3F6">
            <w:pPr>
              <w:widowControl/>
              <w:tabs>
                <w:tab w:val="clear" w:pos="480"/>
              </w:tabs>
              <w:spacing w:line="240" w:lineRule="auto"/>
              <w:ind w:firstLine="0" w:firstLineChars="0"/>
              <w:jc w:val="center"/>
              <w:rPr>
                <w:kern w:val="0"/>
                <w:sz w:val="18"/>
                <w:szCs w:val="18"/>
              </w:rPr>
            </w:pPr>
            <w:r>
              <w:rPr>
                <w:kern w:val="0"/>
                <w:sz w:val="18"/>
                <w:szCs w:val="18"/>
              </w:rPr>
              <w:t>标准</w:t>
            </w:r>
          </w:p>
        </w:tc>
      </w:tr>
      <w:tr w14:paraId="4B1990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vMerge w:val="continue"/>
            <w:noWrap/>
            <w:vAlign w:val="center"/>
          </w:tcPr>
          <w:p w14:paraId="06A8C1C7">
            <w:pPr>
              <w:widowControl/>
              <w:tabs>
                <w:tab w:val="clear" w:pos="480"/>
              </w:tabs>
              <w:spacing w:line="240" w:lineRule="auto"/>
              <w:ind w:firstLine="0" w:firstLineChars="0"/>
              <w:jc w:val="center"/>
              <w:rPr>
                <w:kern w:val="0"/>
                <w:sz w:val="18"/>
                <w:szCs w:val="18"/>
              </w:rPr>
            </w:pPr>
          </w:p>
        </w:tc>
        <w:tc>
          <w:tcPr>
            <w:tcW w:w="602" w:type="pct"/>
            <w:vMerge w:val="continue"/>
            <w:noWrap/>
            <w:vAlign w:val="center"/>
          </w:tcPr>
          <w:p w14:paraId="131E9BD7">
            <w:pPr>
              <w:widowControl/>
              <w:tabs>
                <w:tab w:val="clear" w:pos="480"/>
              </w:tabs>
              <w:spacing w:line="240" w:lineRule="auto"/>
              <w:ind w:firstLine="0" w:firstLineChars="0"/>
              <w:jc w:val="center"/>
              <w:rPr>
                <w:kern w:val="0"/>
                <w:sz w:val="18"/>
                <w:szCs w:val="18"/>
              </w:rPr>
            </w:pPr>
          </w:p>
        </w:tc>
        <w:tc>
          <w:tcPr>
            <w:tcW w:w="602" w:type="pct"/>
            <w:vMerge w:val="continue"/>
            <w:noWrap/>
            <w:vAlign w:val="center"/>
          </w:tcPr>
          <w:p w14:paraId="184D4D34">
            <w:pPr>
              <w:widowControl/>
              <w:tabs>
                <w:tab w:val="clear" w:pos="480"/>
              </w:tabs>
              <w:spacing w:line="240" w:lineRule="auto"/>
              <w:ind w:firstLine="0" w:firstLineChars="0"/>
              <w:jc w:val="center"/>
              <w:rPr>
                <w:kern w:val="0"/>
                <w:sz w:val="18"/>
                <w:szCs w:val="18"/>
              </w:rPr>
            </w:pPr>
          </w:p>
        </w:tc>
        <w:tc>
          <w:tcPr>
            <w:tcW w:w="458" w:type="pct"/>
            <w:vMerge w:val="continue"/>
            <w:vAlign w:val="center"/>
          </w:tcPr>
          <w:p w14:paraId="689787A9">
            <w:pPr>
              <w:widowControl/>
              <w:tabs>
                <w:tab w:val="clear" w:pos="480"/>
              </w:tabs>
              <w:spacing w:line="240" w:lineRule="auto"/>
              <w:ind w:firstLine="0" w:firstLineChars="0"/>
              <w:jc w:val="center"/>
              <w:rPr>
                <w:kern w:val="0"/>
                <w:sz w:val="18"/>
                <w:szCs w:val="18"/>
              </w:rPr>
            </w:pPr>
          </w:p>
        </w:tc>
        <w:tc>
          <w:tcPr>
            <w:tcW w:w="422" w:type="pct"/>
            <w:vMerge w:val="continue"/>
            <w:vAlign w:val="center"/>
          </w:tcPr>
          <w:p w14:paraId="183C56B2">
            <w:pPr>
              <w:widowControl/>
              <w:tabs>
                <w:tab w:val="clear" w:pos="480"/>
              </w:tabs>
              <w:spacing w:line="240" w:lineRule="auto"/>
              <w:ind w:firstLine="0" w:firstLineChars="0"/>
              <w:jc w:val="center"/>
              <w:rPr>
                <w:kern w:val="0"/>
                <w:sz w:val="18"/>
                <w:szCs w:val="18"/>
              </w:rPr>
            </w:pPr>
          </w:p>
        </w:tc>
        <w:tc>
          <w:tcPr>
            <w:tcW w:w="385" w:type="pct"/>
            <w:vMerge w:val="continue"/>
            <w:vAlign w:val="center"/>
          </w:tcPr>
          <w:p w14:paraId="5DD6A2DC">
            <w:pPr>
              <w:widowControl/>
              <w:tabs>
                <w:tab w:val="clear" w:pos="480"/>
              </w:tabs>
              <w:spacing w:line="240" w:lineRule="auto"/>
              <w:ind w:firstLine="0" w:firstLineChars="0"/>
              <w:jc w:val="center"/>
              <w:rPr>
                <w:kern w:val="0"/>
                <w:sz w:val="18"/>
                <w:szCs w:val="18"/>
              </w:rPr>
            </w:pPr>
          </w:p>
        </w:tc>
        <w:tc>
          <w:tcPr>
            <w:tcW w:w="400" w:type="pct"/>
            <w:vMerge w:val="continue"/>
            <w:vAlign w:val="center"/>
          </w:tcPr>
          <w:p w14:paraId="0E32B49B">
            <w:pPr>
              <w:widowControl/>
              <w:tabs>
                <w:tab w:val="clear" w:pos="480"/>
              </w:tabs>
              <w:spacing w:line="240" w:lineRule="auto"/>
              <w:ind w:firstLine="0" w:firstLineChars="0"/>
              <w:jc w:val="center"/>
              <w:rPr>
                <w:kern w:val="0"/>
                <w:sz w:val="18"/>
                <w:szCs w:val="18"/>
              </w:rPr>
            </w:pPr>
          </w:p>
        </w:tc>
        <w:tc>
          <w:tcPr>
            <w:tcW w:w="371" w:type="pct"/>
            <w:noWrap/>
            <w:vAlign w:val="center"/>
          </w:tcPr>
          <w:p w14:paraId="4A475A40">
            <w:pPr>
              <w:widowControl/>
              <w:tabs>
                <w:tab w:val="clear" w:pos="480"/>
              </w:tabs>
              <w:spacing w:line="240" w:lineRule="auto"/>
              <w:ind w:firstLine="0" w:firstLineChars="0"/>
              <w:jc w:val="center"/>
              <w:rPr>
                <w:kern w:val="0"/>
                <w:sz w:val="18"/>
                <w:szCs w:val="18"/>
              </w:rPr>
            </w:pPr>
            <w:r>
              <w:rPr>
                <w:kern w:val="0"/>
                <w:sz w:val="18"/>
                <w:szCs w:val="18"/>
              </w:rPr>
              <w:t>昼间</w:t>
            </w:r>
          </w:p>
        </w:tc>
        <w:tc>
          <w:tcPr>
            <w:tcW w:w="371" w:type="pct"/>
            <w:noWrap/>
            <w:vAlign w:val="center"/>
          </w:tcPr>
          <w:p w14:paraId="2E5E2F14">
            <w:pPr>
              <w:widowControl/>
              <w:tabs>
                <w:tab w:val="clear" w:pos="480"/>
              </w:tabs>
              <w:spacing w:line="240" w:lineRule="auto"/>
              <w:ind w:firstLine="0" w:firstLineChars="0"/>
              <w:jc w:val="center"/>
              <w:rPr>
                <w:kern w:val="0"/>
                <w:sz w:val="18"/>
                <w:szCs w:val="18"/>
              </w:rPr>
            </w:pPr>
            <w:r>
              <w:rPr>
                <w:kern w:val="0"/>
                <w:sz w:val="18"/>
                <w:szCs w:val="18"/>
              </w:rPr>
              <w:t>夜间</w:t>
            </w:r>
          </w:p>
        </w:tc>
        <w:tc>
          <w:tcPr>
            <w:tcW w:w="255" w:type="pct"/>
            <w:vAlign w:val="center"/>
          </w:tcPr>
          <w:p w14:paraId="6E40E655">
            <w:pPr>
              <w:widowControl/>
              <w:tabs>
                <w:tab w:val="clear" w:pos="480"/>
              </w:tabs>
              <w:spacing w:line="240" w:lineRule="auto"/>
              <w:ind w:firstLine="0" w:firstLineChars="0"/>
              <w:jc w:val="center"/>
              <w:rPr>
                <w:kern w:val="0"/>
                <w:sz w:val="18"/>
                <w:szCs w:val="18"/>
              </w:rPr>
            </w:pPr>
            <w:r>
              <w:rPr>
                <w:kern w:val="0"/>
                <w:sz w:val="18"/>
                <w:szCs w:val="18"/>
              </w:rPr>
              <w:t>昼间</w:t>
            </w:r>
          </w:p>
        </w:tc>
        <w:tc>
          <w:tcPr>
            <w:tcW w:w="255" w:type="pct"/>
            <w:vAlign w:val="center"/>
          </w:tcPr>
          <w:p w14:paraId="4AD14370">
            <w:pPr>
              <w:widowControl/>
              <w:tabs>
                <w:tab w:val="clear" w:pos="480"/>
              </w:tabs>
              <w:spacing w:line="240" w:lineRule="auto"/>
              <w:ind w:firstLine="0" w:firstLineChars="0"/>
              <w:jc w:val="center"/>
              <w:rPr>
                <w:kern w:val="0"/>
                <w:sz w:val="18"/>
                <w:szCs w:val="18"/>
              </w:rPr>
            </w:pPr>
            <w:r>
              <w:rPr>
                <w:kern w:val="0"/>
                <w:sz w:val="18"/>
                <w:szCs w:val="18"/>
              </w:rPr>
              <w:t>夜间</w:t>
            </w:r>
          </w:p>
        </w:tc>
        <w:tc>
          <w:tcPr>
            <w:tcW w:w="255" w:type="pct"/>
            <w:vAlign w:val="center"/>
          </w:tcPr>
          <w:p w14:paraId="59150391">
            <w:pPr>
              <w:widowControl/>
              <w:tabs>
                <w:tab w:val="clear" w:pos="480"/>
              </w:tabs>
              <w:spacing w:line="240" w:lineRule="auto"/>
              <w:ind w:firstLine="0" w:firstLineChars="0"/>
              <w:jc w:val="center"/>
              <w:rPr>
                <w:kern w:val="0"/>
                <w:sz w:val="18"/>
                <w:szCs w:val="18"/>
              </w:rPr>
            </w:pPr>
            <w:r>
              <w:rPr>
                <w:kern w:val="0"/>
                <w:sz w:val="18"/>
                <w:szCs w:val="18"/>
              </w:rPr>
              <w:t>昼间</w:t>
            </w:r>
          </w:p>
        </w:tc>
        <w:tc>
          <w:tcPr>
            <w:tcW w:w="255" w:type="pct"/>
            <w:vAlign w:val="center"/>
          </w:tcPr>
          <w:p w14:paraId="1636B063">
            <w:pPr>
              <w:widowControl/>
              <w:tabs>
                <w:tab w:val="clear" w:pos="480"/>
              </w:tabs>
              <w:spacing w:line="240" w:lineRule="auto"/>
              <w:ind w:firstLine="0" w:firstLineChars="0"/>
              <w:jc w:val="center"/>
              <w:rPr>
                <w:kern w:val="0"/>
                <w:sz w:val="18"/>
                <w:szCs w:val="18"/>
              </w:rPr>
            </w:pPr>
            <w:r>
              <w:rPr>
                <w:kern w:val="0"/>
                <w:sz w:val="18"/>
                <w:szCs w:val="18"/>
              </w:rPr>
              <w:t>夜间</w:t>
            </w:r>
          </w:p>
        </w:tc>
      </w:tr>
      <w:tr w14:paraId="6CA59C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noWrap/>
            <w:vAlign w:val="center"/>
          </w:tcPr>
          <w:p w14:paraId="2EBE8E69">
            <w:pPr>
              <w:widowControl/>
              <w:tabs>
                <w:tab w:val="clear" w:pos="480"/>
              </w:tabs>
              <w:spacing w:line="240" w:lineRule="auto"/>
              <w:ind w:firstLine="0" w:firstLineChars="0"/>
              <w:jc w:val="center"/>
              <w:rPr>
                <w:kern w:val="0"/>
                <w:sz w:val="18"/>
                <w:szCs w:val="18"/>
              </w:rPr>
            </w:pPr>
            <w:r>
              <w:rPr>
                <w:kern w:val="0"/>
                <w:sz w:val="18"/>
                <w:szCs w:val="18"/>
              </w:rPr>
              <w:t>1</w:t>
            </w:r>
          </w:p>
        </w:tc>
        <w:tc>
          <w:tcPr>
            <w:tcW w:w="602" w:type="pct"/>
            <w:noWrap/>
            <w:vAlign w:val="center"/>
          </w:tcPr>
          <w:p w14:paraId="5F6A125B">
            <w:pPr>
              <w:widowControl/>
              <w:tabs>
                <w:tab w:val="clear" w:pos="480"/>
              </w:tabs>
              <w:spacing w:line="240" w:lineRule="auto"/>
              <w:ind w:firstLine="0" w:firstLineChars="0"/>
              <w:jc w:val="center"/>
              <w:rPr>
                <w:bCs/>
                <w:sz w:val="18"/>
                <w:szCs w:val="18"/>
              </w:rPr>
            </w:pPr>
            <w:r>
              <w:rPr>
                <w:bCs/>
                <w:sz w:val="18"/>
                <w:szCs w:val="18"/>
              </w:rPr>
              <w:t>茅草坳</w:t>
            </w:r>
          </w:p>
          <w:p w14:paraId="034F2074">
            <w:pPr>
              <w:widowControl/>
              <w:tabs>
                <w:tab w:val="clear" w:pos="480"/>
              </w:tabs>
              <w:spacing w:line="240" w:lineRule="auto"/>
              <w:ind w:firstLine="0" w:firstLineChars="0"/>
              <w:jc w:val="center"/>
              <w:rPr>
                <w:kern w:val="0"/>
                <w:sz w:val="18"/>
                <w:szCs w:val="18"/>
              </w:rPr>
            </w:pPr>
          </w:p>
        </w:tc>
        <w:tc>
          <w:tcPr>
            <w:tcW w:w="602" w:type="pct"/>
            <w:noWrap/>
            <w:vAlign w:val="center"/>
          </w:tcPr>
          <w:p w14:paraId="0D9CAB21">
            <w:pPr>
              <w:widowControl/>
              <w:tabs>
                <w:tab w:val="clear" w:pos="480"/>
              </w:tabs>
              <w:spacing w:line="240" w:lineRule="auto"/>
              <w:ind w:firstLine="0" w:firstLineChars="0"/>
              <w:jc w:val="center"/>
              <w:rPr>
                <w:kern w:val="0"/>
                <w:sz w:val="18"/>
                <w:szCs w:val="18"/>
              </w:rPr>
            </w:pPr>
            <w:r>
              <w:rPr>
                <w:kern w:val="0"/>
                <w:sz w:val="18"/>
                <w:szCs w:val="18"/>
              </w:rPr>
              <w:t>7#</w:t>
            </w:r>
            <w:r>
              <w:rPr>
                <w:rFonts w:hint="eastAsia"/>
                <w:kern w:val="0"/>
                <w:sz w:val="18"/>
                <w:szCs w:val="18"/>
              </w:rPr>
              <w:t>风机</w:t>
            </w:r>
            <w:r>
              <w:rPr>
                <w:kern w:val="0"/>
                <w:sz w:val="18"/>
                <w:szCs w:val="18"/>
              </w:rPr>
              <w:t xml:space="preserve"> </w:t>
            </w:r>
          </w:p>
        </w:tc>
        <w:tc>
          <w:tcPr>
            <w:tcW w:w="458" w:type="pct"/>
            <w:vAlign w:val="center"/>
          </w:tcPr>
          <w:p w14:paraId="4E5DD22D">
            <w:pPr>
              <w:widowControl/>
              <w:tabs>
                <w:tab w:val="clear" w:pos="480"/>
              </w:tabs>
              <w:spacing w:line="240" w:lineRule="auto"/>
              <w:ind w:firstLine="0" w:firstLineChars="0"/>
              <w:jc w:val="center"/>
              <w:rPr>
                <w:kern w:val="0"/>
                <w:sz w:val="18"/>
                <w:szCs w:val="18"/>
              </w:rPr>
            </w:pPr>
            <w:r>
              <w:rPr>
                <w:rFonts w:hint="eastAsia"/>
                <w:kern w:val="0"/>
                <w:sz w:val="18"/>
                <w:szCs w:val="18"/>
              </w:rPr>
              <w:t>3</w:t>
            </w:r>
            <w:r>
              <w:rPr>
                <w:kern w:val="0"/>
                <w:sz w:val="18"/>
                <w:szCs w:val="18"/>
              </w:rPr>
              <w:t>65.60</w:t>
            </w:r>
          </w:p>
        </w:tc>
        <w:tc>
          <w:tcPr>
            <w:tcW w:w="422" w:type="pct"/>
            <w:vAlign w:val="center"/>
          </w:tcPr>
          <w:p w14:paraId="0054FA3E">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9.74</w:t>
            </w:r>
          </w:p>
        </w:tc>
        <w:tc>
          <w:tcPr>
            <w:tcW w:w="385" w:type="pct"/>
            <w:vAlign w:val="center"/>
          </w:tcPr>
          <w:p w14:paraId="5710D398">
            <w:pPr>
              <w:widowControl/>
              <w:tabs>
                <w:tab w:val="clear" w:pos="480"/>
              </w:tabs>
              <w:spacing w:line="240" w:lineRule="auto"/>
              <w:ind w:firstLine="0" w:firstLineChars="0"/>
              <w:jc w:val="center"/>
              <w:rPr>
                <w:kern w:val="0"/>
                <w:sz w:val="18"/>
                <w:szCs w:val="18"/>
              </w:rPr>
            </w:pPr>
            <w:r>
              <w:rPr>
                <w:rFonts w:hint="eastAsia"/>
                <w:kern w:val="0"/>
                <w:sz w:val="18"/>
                <w:szCs w:val="18"/>
              </w:rPr>
              <w:t>3</w:t>
            </w:r>
          </w:p>
        </w:tc>
        <w:tc>
          <w:tcPr>
            <w:tcW w:w="400" w:type="pct"/>
            <w:vAlign w:val="center"/>
          </w:tcPr>
          <w:p w14:paraId="3B925B77">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6.74</w:t>
            </w:r>
          </w:p>
        </w:tc>
        <w:tc>
          <w:tcPr>
            <w:tcW w:w="371" w:type="pct"/>
            <w:noWrap/>
            <w:vAlign w:val="center"/>
          </w:tcPr>
          <w:p w14:paraId="78CBC602">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1.9</w:t>
            </w:r>
          </w:p>
        </w:tc>
        <w:tc>
          <w:tcPr>
            <w:tcW w:w="371" w:type="pct"/>
            <w:noWrap/>
            <w:vAlign w:val="center"/>
          </w:tcPr>
          <w:p w14:paraId="3C783C81">
            <w:pPr>
              <w:widowControl/>
              <w:tabs>
                <w:tab w:val="clear" w:pos="480"/>
              </w:tabs>
              <w:spacing w:line="240" w:lineRule="auto"/>
              <w:ind w:firstLine="0" w:firstLineChars="0"/>
              <w:jc w:val="center"/>
              <w:rPr>
                <w:kern w:val="0"/>
                <w:sz w:val="18"/>
                <w:szCs w:val="18"/>
              </w:rPr>
            </w:pPr>
            <w:r>
              <w:rPr>
                <w:kern w:val="0"/>
                <w:sz w:val="18"/>
                <w:szCs w:val="18"/>
              </w:rPr>
              <w:t>37.5</w:t>
            </w:r>
          </w:p>
        </w:tc>
        <w:tc>
          <w:tcPr>
            <w:tcW w:w="255" w:type="pct"/>
            <w:vAlign w:val="center"/>
          </w:tcPr>
          <w:p w14:paraId="6BB5EB6A">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7.9</w:t>
            </w:r>
          </w:p>
        </w:tc>
        <w:tc>
          <w:tcPr>
            <w:tcW w:w="255" w:type="pct"/>
            <w:vAlign w:val="center"/>
          </w:tcPr>
          <w:p w14:paraId="3D153772">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7.2</w:t>
            </w:r>
          </w:p>
        </w:tc>
        <w:tc>
          <w:tcPr>
            <w:tcW w:w="255" w:type="pct"/>
            <w:vAlign w:val="center"/>
          </w:tcPr>
          <w:p w14:paraId="71FCE6A7">
            <w:pPr>
              <w:widowControl/>
              <w:tabs>
                <w:tab w:val="clear" w:pos="480"/>
              </w:tabs>
              <w:spacing w:line="240" w:lineRule="auto"/>
              <w:ind w:firstLine="0" w:firstLineChars="0"/>
              <w:jc w:val="center"/>
              <w:rPr>
                <w:kern w:val="0"/>
                <w:sz w:val="18"/>
                <w:szCs w:val="18"/>
              </w:rPr>
            </w:pPr>
            <w:r>
              <w:rPr>
                <w:kern w:val="0"/>
                <w:sz w:val="18"/>
                <w:szCs w:val="18"/>
              </w:rPr>
              <w:t>60</w:t>
            </w:r>
          </w:p>
        </w:tc>
        <w:tc>
          <w:tcPr>
            <w:tcW w:w="255" w:type="pct"/>
            <w:vAlign w:val="center"/>
          </w:tcPr>
          <w:p w14:paraId="0E29977F">
            <w:pPr>
              <w:widowControl/>
              <w:tabs>
                <w:tab w:val="clear" w:pos="480"/>
              </w:tabs>
              <w:spacing w:line="240" w:lineRule="auto"/>
              <w:ind w:firstLine="0" w:firstLineChars="0"/>
              <w:jc w:val="center"/>
              <w:rPr>
                <w:kern w:val="0"/>
                <w:sz w:val="18"/>
                <w:szCs w:val="18"/>
              </w:rPr>
            </w:pPr>
            <w:r>
              <w:rPr>
                <w:kern w:val="0"/>
                <w:sz w:val="18"/>
                <w:szCs w:val="18"/>
              </w:rPr>
              <w:t>50</w:t>
            </w:r>
          </w:p>
        </w:tc>
      </w:tr>
      <w:tr w14:paraId="19002C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noWrap/>
            <w:vAlign w:val="center"/>
          </w:tcPr>
          <w:p w14:paraId="286A4CE1">
            <w:pPr>
              <w:widowControl/>
              <w:tabs>
                <w:tab w:val="clear" w:pos="480"/>
              </w:tabs>
              <w:spacing w:line="240" w:lineRule="auto"/>
              <w:ind w:firstLine="0" w:firstLineChars="0"/>
              <w:jc w:val="center"/>
              <w:rPr>
                <w:kern w:val="0"/>
                <w:sz w:val="18"/>
                <w:szCs w:val="18"/>
              </w:rPr>
            </w:pPr>
            <w:r>
              <w:rPr>
                <w:rFonts w:hint="eastAsia"/>
                <w:kern w:val="0"/>
                <w:sz w:val="18"/>
                <w:szCs w:val="18"/>
              </w:rPr>
              <w:t>2</w:t>
            </w:r>
          </w:p>
        </w:tc>
        <w:tc>
          <w:tcPr>
            <w:tcW w:w="602" w:type="pct"/>
            <w:noWrap/>
            <w:vAlign w:val="center"/>
          </w:tcPr>
          <w:p w14:paraId="111426FD">
            <w:pPr>
              <w:widowControl/>
              <w:tabs>
                <w:tab w:val="clear" w:pos="480"/>
              </w:tabs>
              <w:spacing w:line="240" w:lineRule="auto"/>
              <w:ind w:firstLine="0" w:firstLineChars="0"/>
              <w:jc w:val="center"/>
              <w:rPr>
                <w:kern w:val="0"/>
                <w:sz w:val="18"/>
                <w:szCs w:val="18"/>
              </w:rPr>
            </w:pPr>
            <w:r>
              <w:rPr>
                <w:sz w:val="18"/>
                <w:szCs w:val="18"/>
              </w:rPr>
              <w:t>扶贫基地</w:t>
            </w:r>
          </w:p>
        </w:tc>
        <w:tc>
          <w:tcPr>
            <w:tcW w:w="602" w:type="pct"/>
            <w:noWrap/>
            <w:vAlign w:val="center"/>
          </w:tcPr>
          <w:p w14:paraId="4D2863D1">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w:t>
            </w:r>
            <w:r>
              <w:rPr>
                <w:rFonts w:hint="eastAsia"/>
                <w:kern w:val="0"/>
                <w:sz w:val="18"/>
                <w:szCs w:val="18"/>
              </w:rPr>
              <w:t>风机</w:t>
            </w:r>
          </w:p>
        </w:tc>
        <w:tc>
          <w:tcPr>
            <w:tcW w:w="458" w:type="pct"/>
            <w:vAlign w:val="center"/>
          </w:tcPr>
          <w:p w14:paraId="218A33B3">
            <w:pPr>
              <w:widowControl/>
              <w:tabs>
                <w:tab w:val="clear" w:pos="480"/>
              </w:tabs>
              <w:spacing w:line="240" w:lineRule="auto"/>
              <w:ind w:firstLine="0" w:firstLineChars="0"/>
              <w:jc w:val="center"/>
              <w:rPr>
                <w:kern w:val="0"/>
                <w:sz w:val="18"/>
                <w:szCs w:val="18"/>
              </w:rPr>
            </w:pPr>
            <w:r>
              <w:rPr>
                <w:rFonts w:hint="eastAsia"/>
                <w:kern w:val="0"/>
                <w:sz w:val="18"/>
                <w:szCs w:val="18"/>
              </w:rPr>
              <w:t>2</w:t>
            </w:r>
            <w:r>
              <w:rPr>
                <w:kern w:val="0"/>
                <w:sz w:val="18"/>
                <w:szCs w:val="18"/>
              </w:rPr>
              <w:t>79.51</w:t>
            </w:r>
          </w:p>
        </w:tc>
        <w:tc>
          <w:tcPr>
            <w:tcW w:w="422" w:type="pct"/>
            <w:vAlign w:val="center"/>
          </w:tcPr>
          <w:p w14:paraId="4DEE2DA6">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2.07</w:t>
            </w:r>
          </w:p>
        </w:tc>
        <w:tc>
          <w:tcPr>
            <w:tcW w:w="385" w:type="pct"/>
            <w:vAlign w:val="center"/>
          </w:tcPr>
          <w:p w14:paraId="455A080E">
            <w:pPr>
              <w:widowControl/>
              <w:tabs>
                <w:tab w:val="clear" w:pos="480"/>
              </w:tabs>
              <w:spacing w:line="240" w:lineRule="auto"/>
              <w:ind w:firstLine="0" w:firstLineChars="0"/>
              <w:jc w:val="center"/>
              <w:rPr>
                <w:kern w:val="0"/>
                <w:sz w:val="18"/>
                <w:szCs w:val="18"/>
              </w:rPr>
            </w:pPr>
            <w:r>
              <w:rPr>
                <w:rFonts w:hint="eastAsia"/>
                <w:kern w:val="0"/>
                <w:sz w:val="18"/>
                <w:szCs w:val="18"/>
              </w:rPr>
              <w:t>0</w:t>
            </w:r>
          </w:p>
        </w:tc>
        <w:tc>
          <w:tcPr>
            <w:tcW w:w="400" w:type="pct"/>
            <w:vAlign w:val="center"/>
          </w:tcPr>
          <w:p w14:paraId="29F3D741">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2.07</w:t>
            </w:r>
          </w:p>
        </w:tc>
        <w:tc>
          <w:tcPr>
            <w:tcW w:w="371" w:type="pct"/>
            <w:noWrap/>
            <w:vAlign w:val="center"/>
          </w:tcPr>
          <w:p w14:paraId="0A95AE1C">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6.6</w:t>
            </w:r>
          </w:p>
        </w:tc>
        <w:tc>
          <w:tcPr>
            <w:tcW w:w="371" w:type="pct"/>
            <w:noWrap/>
            <w:vAlign w:val="center"/>
          </w:tcPr>
          <w:p w14:paraId="2B452551">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7.1</w:t>
            </w:r>
          </w:p>
        </w:tc>
        <w:tc>
          <w:tcPr>
            <w:tcW w:w="255" w:type="pct"/>
            <w:vAlign w:val="center"/>
          </w:tcPr>
          <w:p w14:paraId="16B5504C">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7.9</w:t>
            </w:r>
          </w:p>
        </w:tc>
        <w:tc>
          <w:tcPr>
            <w:tcW w:w="255" w:type="pct"/>
            <w:vAlign w:val="center"/>
          </w:tcPr>
          <w:p w14:paraId="44D62C1B">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3.3</w:t>
            </w:r>
          </w:p>
        </w:tc>
        <w:tc>
          <w:tcPr>
            <w:tcW w:w="255" w:type="pct"/>
            <w:vAlign w:val="center"/>
          </w:tcPr>
          <w:p w14:paraId="6766DFFF">
            <w:pPr>
              <w:widowControl/>
              <w:tabs>
                <w:tab w:val="clear" w:pos="480"/>
              </w:tabs>
              <w:spacing w:line="240" w:lineRule="auto"/>
              <w:ind w:firstLine="0" w:firstLineChars="0"/>
              <w:jc w:val="center"/>
              <w:rPr>
                <w:kern w:val="0"/>
                <w:sz w:val="18"/>
                <w:szCs w:val="18"/>
              </w:rPr>
            </w:pPr>
            <w:r>
              <w:rPr>
                <w:rFonts w:hint="eastAsia"/>
                <w:kern w:val="0"/>
                <w:sz w:val="18"/>
                <w:szCs w:val="18"/>
              </w:rPr>
              <w:t>6</w:t>
            </w:r>
            <w:r>
              <w:rPr>
                <w:kern w:val="0"/>
                <w:sz w:val="18"/>
                <w:szCs w:val="18"/>
              </w:rPr>
              <w:t>0</w:t>
            </w:r>
          </w:p>
        </w:tc>
        <w:tc>
          <w:tcPr>
            <w:tcW w:w="255" w:type="pct"/>
            <w:vAlign w:val="center"/>
          </w:tcPr>
          <w:p w14:paraId="70AC31D2">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0</w:t>
            </w:r>
          </w:p>
        </w:tc>
      </w:tr>
      <w:tr w14:paraId="223286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1" w:type="pct"/>
            <w:noWrap/>
            <w:vAlign w:val="center"/>
          </w:tcPr>
          <w:p w14:paraId="36BC6F75">
            <w:pPr>
              <w:widowControl/>
              <w:tabs>
                <w:tab w:val="clear" w:pos="480"/>
              </w:tabs>
              <w:spacing w:line="240" w:lineRule="auto"/>
              <w:ind w:firstLine="0" w:firstLineChars="0"/>
              <w:jc w:val="center"/>
              <w:rPr>
                <w:kern w:val="0"/>
                <w:sz w:val="18"/>
                <w:szCs w:val="18"/>
              </w:rPr>
            </w:pPr>
            <w:r>
              <w:rPr>
                <w:rFonts w:hint="eastAsia"/>
                <w:kern w:val="0"/>
                <w:sz w:val="18"/>
                <w:szCs w:val="18"/>
              </w:rPr>
              <w:t>3</w:t>
            </w:r>
          </w:p>
        </w:tc>
        <w:tc>
          <w:tcPr>
            <w:tcW w:w="602" w:type="pct"/>
            <w:noWrap/>
            <w:vAlign w:val="center"/>
          </w:tcPr>
          <w:p w14:paraId="760CAEF9">
            <w:pPr>
              <w:widowControl/>
              <w:tabs>
                <w:tab w:val="clear" w:pos="480"/>
              </w:tabs>
              <w:spacing w:line="240" w:lineRule="auto"/>
              <w:ind w:firstLine="0" w:firstLineChars="0"/>
              <w:jc w:val="center"/>
              <w:rPr>
                <w:kern w:val="0"/>
                <w:sz w:val="18"/>
                <w:szCs w:val="18"/>
              </w:rPr>
            </w:pPr>
            <w:r>
              <w:rPr>
                <w:sz w:val="18"/>
                <w:szCs w:val="18"/>
              </w:rPr>
              <w:t>仁皇村</w:t>
            </w:r>
          </w:p>
        </w:tc>
        <w:tc>
          <w:tcPr>
            <w:tcW w:w="602" w:type="pct"/>
            <w:noWrap/>
            <w:vAlign w:val="center"/>
          </w:tcPr>
          <w:p w14:paraId="5FA16DA2">
            <w:pPr>
              <w:widowControl/>
              <w:tabs>
                <w:tab w:val="clear" w:pos="480"/>
              </w:tabs>
              <w:spacing w:line="240" w:lineRule="auto"/>
              <w:ind w:firstLine="0" w:firstLineChars="0"/>
              <w:jc w:val="center"/>
              <w:rPr>
                <w:kern w:val="0"/>
                <w:sz w:val="18"/>
                <w:szCs w:val="18"/>
              </w:rPr>
            </w:pPr>
            <w:r>
              <w:rPr>
                <w:rFonts w:hint="eastAsia"/>
                <w:kern w:val="0"/>
                <w:sz w:val="18"/>
                <w:szCs w:val="18"/>
              </w:rPr>
              <w:t>6</w:t>
            </w:r>
            <w:r>
              <w:rPr>
                <w:kern w:val="0"/>
                <w:sz w:val="18"/>
                <w:szCs w:val="18"/>
              </w:rPr>
              <w:t>#</w:t>
            </w:r>
            <w:r>
              <w:rPr>
                <w:rFonts w:hint="eastAsia"/>
                <w:kern w:val="0"/>
                <w:sz w:val="18"/>
                <w:szCs w:val="18"/>
              </w:rPr>
              <w:t>风机</w:t>
            </w:r>
          </w:p>
        </w:tc>
        <w:tc>
          <w:tcPr>
            <w:tcW w:w="458" w:type="pct"/>
            <w:vAlign w:val="center"/>
          </w:tcPr>
          <w:p w14:paraId="4EF7BE56">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06.87</w:t>
            </w:r>
          </w:p>
        </w:tc>
        <w:tc>
          <w:tcPr>
            <w:tcW w:w="422" w:type="pct"/>
            <w:vAlign w:val="center"/>
          </w:tcPr>
          <w:p w14:paraId="114DC4F5">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8.81</w:t>
            </w:r>
          </w:p>
        </w:tc>
        <w:tc>
          <w:tcPr>
            <w:tcW w:w="385" w:type="pct"/>
            <w:vAlign w:val="center"/>
          </w:tcPr>
          <w:p w14:paraId="6F89AB11">
            <w:pPr>
              <w:widowControl/>
              <w:tabs>
                <w:tab w:val="clear" w:pos="480"/>
              </w:tabs>
              <w:spacing w:line="240" w:lineRule="auto"/>
              <w:ind w:firstLine="0" w:firstLineChars="0"/>
              <w:jc w:val="center"/>
              <w:rPr>
                <w:kern w:val="0"/>
                <w:sz w:val="18"/>
                <w:szCs w:val="18"/>
              </w:rPr>
            </w:pPr>
            <w:r>
              <w:rPr>
                <w:rFonts w:hint="eastAsia"/>
                <w:kern w:val="0"/>
                <w:sz w:val="18"/>
                <w:szCs w:val="18"/>
              </w:rPr>
              <w:t>3</w:t>
            </w:r>
          </w:p>
        </w:tc>
        <w:tc>
          <w:tcPr>
            <w:tcW w:w="400" w:type="pct"/>
            <w:vAlign w:val="center"/>
          </w:tcPr>
          <w:p w14:paraId="0F7490A2">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5.81</w:t>
            </w:r>
          </w:p>
        </w:tc>
        <w:tc>
          <w:tcPr>
            <w:tcW w:w="371" w:type="pct"/>
            <w:noWrap/>
            <w:vAlign w:val="center"/>
          </w:tcPr>
          <w:p w14:paraId="05DD483C">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6.2</w:t>
            </w:r>
          </w:p>
        </w:tc>
        <w:tc>
          <w:tcPr>
            <w:tcW w:w="371" w:type="pct"/>
            <w:noWrap/>
            <w:vAlign w:val="center"/>
          </w:tcPr>
          <w:p w14:paraId="1528CDD0">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6.8</w:t>
            </w:r>
          </w:p>
        </w:tc>
        <w:tc>
          <w:tcPr>
            <w:tcW w:w="255" w:type="pct"/>
            <w:vAlign w:val="center"/>
          </w:tcPr>
          <w:p w14:paraId="596C57E3">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6.6</w:t>
            </w:r>
          </w:p>
        </w:tc>
        <w:tc>
          <w:tcPr>
            <w:tcW w:w="255" w:type="pct"/>
            <w:vAlign w:val="center"/>
          </w:tcPr>
          <w:p w14:paraId="2C748991">
            <w:pPr>
              <w:widowControl/>
              <w:tabs>
                <w:tab w:val="clear" w:pos="480"/>
              </w:tabs>
              <w:spacing w:line="240" w:lineRule="auto"/>
              <w:ind w:firstLine="0" w:firstLineChars="0"/>
              <w:jc w:val="center"/>
              <w:rPr>
                <w:kern w:val="0"/>
                <w:sz w:val="18"/>
                <w:szCs w:val="18"/>
              </w:rPr>
            </w:pPr>
            <w:r>
              <w:rPr>
                <w:rFonts w:hint="eastAsia"/>
                <w:kern w:val="0"/>
                <w:sz w:val="18"/>
                <w:szCs w:val="18"/>
              </w:rPr>
              <w:t>4</w:t>
            </w:r>
            <w:r>
              <w:rPr>
                <w:kern w:val="0"/>
                <w:sz w:val="18"/>
                <w:szCs w:val="18"/>
              </w:rPr>
              <w:t>9.3</w:t>
            </w:r>
          </w:p>
        </w:tc>
        <w:tc>
          <w:tcPr>
            <w:tcW w:w="255" w:type="pct"/>
            <w:vAlign w:val="center"/>
          </w:tcPr>
          <w:p w14:paraId="0DCE3AF3">
            <w:pPr>
              <w:widowControl/>
              <w:tabs>
                <w:tab w:val="clear" w:pos="480"/>
              </w:tabs>
              <w:spacing w:line="240" w:lineRule="auto"/>
              <w:ind w:firstLine="0" w:firstLineChars="0"/>
              <w:jc w:val="center"/>
              <w:rPr>
                <w:kern w:val="0"/>
                <w:sz w:val="18"/>
                <w:szCs w:val="18"/>
              </w:rPr>
            </w:pPr>
            <w:r>
              <w:rPr>
                <w:rFonts w:hint="eastAsia"/>
                <w:kern w:val="0"/>
                <w:sz w:val="18"/>
                <w:szCs w:val="18"/>
              </w:rPr>
              <w:t>6</w:t>
            </w:r>
            <w:r>
              <w:rPr>
                <w:kern w:val="0"/>
                <w:sz w:val="18"/>
                <w:szCs w:val="18"/>
              </w:rPr>
              <w:t>0</w:t>
            </w:r>
          </w:p>
        </w:tc>
        <w:tc>
          <w:tcPr>
            <w:tcW w:w="255" w:type="pct"/>
            <w:vAlign w:val="center"/>
          </w:tcPr>
          <w:p w14:paraId="3BB82364">
            <w:pPr>
              <w:widowControl/>
              <w:tabs>
                <w:tab w:val="clear" w:pos="480"/>
              </w:tabs>
              <w:spacing w:line="240" w:lineRule="auto"/>
              <w:ind w:firstLine="0" w:firstLineChars="0"/>
              <w:jc w:val="center"/>
              <w:rPr>
                <w:kern w:val="0"/>
                <w:sz w:val="18"/>
                <w:szCs w:val="18"/>
              </w:rPr>
            </w:pPr>
            <w:r>
              <w:rPr>
                <w:rFonts w:hint="eastAsia"/>
                <w:kern w:val="0"/>
                <w:sz w:val="18"/>
                <w:szCs w:val="18"/>
              </w:rPr>
              <w:t>5</w:t>
            </w:r>
            <w:r>
              <w:rPr>
                <w:kern w:val="0"/>
                <w:sz w:val="18"/>
                <w:szCs w:val="18"/>
              </w:rPr>
              <w:t>0</w:t>
            </w:r>
          </w:p>
        </w:tc>
      </w:tr>
    </w:tbl>
    <w:p w14:paraId="07504874">
      <w:pPr>
        <w:tabs>
          <w:tab w:val="clear" w:pos="480"/>
        </w:tabs>
        <w:spacing w:line="240" w:lineRule="auto"/>
        <w:ind w:firstLine="0" w:firstLineChars="0"/>
        <w:rPr>
          <w:b/>
          <w:bCs/>
          <w:kern w:val="0"/>
          <w:sz w:val="18"/>
          <w:szCs w:val="18"/>
        </w:rPr>
      </w:pPr>
      <w:r>
        <w:rPr>
          <w:rFonts w:hint="eastAsia"/>
          <w:b/>
          <w:bCs/>
          <w:kern w:val="0"/>
          <w:sz w:val="18"/>
          <w:szCs w:val="18"/>
        </w:rPr>
        <w:t>备注：扶贫基地位于山顶，其与本项目2</w:t>
      </w:r>
      <w:r>
        <w:rPr>
          <w:b/>
          <w:bCs/>
          <w:kern w:val="0"/>
          <w:sz w:val="18"/>
          <w:szCs w:val="18"/>
        </w:rPr>
        <w:t>#</w:t>
      </w:r>
      <w:r>
        <w:rPr>
          <w:rFonts w:hint="eastAsia"/>
          <w:b/>
          <w:bCs/>
          <w:kern w:val="0"/>
          <w:sz w:val="18"/>
          <w:szCs w:val="18"/>
        </w:rPr>
        <w:t>风机机位的海拔差较小，且扶贫基地周边所种植植被为油茶，其为低矮灌丛，因此本部分不考虑植被吸收。</w:t>
      </w:r>
    </w:p>
    <w:p w14:paraId="2DF840EA">
      <w:pPr>
        <w:adjustRightInd w:val="0"/>
        <w:snapToGrid w:val="0"/>
        <w:ind w:firstLine="480"/>
      </w:pPr>
      <w:r>
        <w:rPr>
          <w:rFonts w:hint="eastAsia"/>
        </w:rPr>
        <w:t>由上表</w:t>
      </w:r>
      <w:r>
        <w:t>可以看出，</w:t>
      </w:r>
      <w:r>
        <w:rPr>
          <w:rFonts w:hint="eastAsia"/>
        </w:rPr>
        <w:t>本项目正常运行后，在考虑风机机位叠加的情况下，部分声环境敏感点</w:t>
      </w:r>
      <w:r>
        <w:t>声环境</w:t>
      </w:r>
      <w:r>
        <w:rPr>
          <w:rFonts w:hint="eastAsia"/>
        </w:rPr>
        <w:t>超过了</w:t>
      </w:r>
      <w:r>
        <w:t>《声环境质量标准》（GB3096-2008）中2类标准</w:t>
      </w:r>
      <w:r>
        <w:rPr>
          <w:rFonts w:hint="eastAsia"/>
        </w:rPr>
        <w:t>（昼间60</w:t>
      </w:r>
      <w:r>
        <w:t>dB(A)</w:t>
      </w:r>
      <w:r>
        <w:rPr>
          <w:rFonts w:hint="eastAsia"/>
        </w:rPr>
        <w:t>，夜间50</w:t>
      </w:r>
      <w:r>
        <w:t>dB(A)</w:t>
      </w:r>
      <w:r>
        <w:rPr>
          <w:rFonts w:hint="eastAsia"/>
        </w:rPr>
        <w:t>）</w:t>
      </w:r>
      <w:r>
        <w:t>要求。</w:t>
      </w:r>
      <w:r>
        <w:rPr>
          <w:rFonts w:hint="eastAsia"/>
        </w:rPr>
        <w:t>具体超标情况见下表。</w:t>
      </w:r>
    </w:p>
    <w:p w14:paraId="27DF2262">
      <w:pPr>
        <w:tabs>
          <w:tab w:val="clear" w:pos="480"/>
        </w:tabs>
        <w:spacing w:line="240" w:lineRule="auto"/>
        <w:ind w:firstLine="0" w:firstLineChars="0"/>
        <w:jc w:val="center"/>
        <w:rPr>
          <w:b/>
        </w:rPr>
      </w:pPr>
      <w:r>
        <w:rPr>
          <w:rFonts w:hint="eastAsia"/>
          <w:b/>
        </w:rPr>
        <w:t>表</w:t>
      </w:r>
      <w:r>
        <w:rPr>
          <w:b/>
        </w:rPr>
        <w:t>6.2-4</w:t>
      </w:r>
      <w:r>
        <w:rPr>
          <w:rFonts w:hint="eastAsia"/>
          <w:b/>
        </w:rPr>
        <w:t>项目声环境保护目标噪声超标情况</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3"/>
        <w:gridCol w:w="1724"/>
        <w:gridCol w:w="2086"/>
        <w:gridCol w:w="1712"/>
        <w:gridCol w:w="1712"/>
      </w:tblGrid>
      <w:tr w14:paraId="2C4BFF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pct"/>
            <w:shd w:val="clear" w:color="auto" w:fill="auto"/>
            <w:noWrap/>
            <w:vAlign w:val="center"/>
          </w:tcPr>
          <w:p w14:paraId="3636C71E">
            <w:pPr>
              <w:tabs>
                <w:tab w:val="clear" w:pos="480"/>
              </w:tabs>
              <w:adjustRightInd w:val="0"/>
              <w:snapToGrid w:val="0"/>
              <w:spacing w:line="240" w:lineRule="auto"/>
              <w:ind w:firstLine="0" w:firstLineChars="0"/>
              <w:jc w:val="center"/>
              <w:rPr>
                <w:kern w:val="0"/>
                <w:sz w:val="18"/>
                <w:szCs w:val="18"/>
              </w:rPr>
            </w:pPr>
            <w:r>
              <w:rPr>
                <w:kern w:val="0"/>
                <w:sz w:val="18"/>
                <w:szCs w:val="18"/>
              </w:rPr>
              <w:t>序号</w:t>
            </w:r>
          </w:p>
        </w:tc>
        <w:tc>
          <w:tcPr>
            <w:tcW w:w="1011" w:type="pct"/>
            <w:shd w:val="clear" w:color="auto" w:fill="auto"/>
            <w:noWrap/>
            <w:vAlign w:val="center"/>
          </w:tcPr>
          <w:p w14:paraId="6E81A89B">
            <w:pPr>
              <w:tabs>
                <w:tab w:val="clear" w:pos="480"/>
              </w:tabs>
              <w:adjustRightInd w:val="0"/>
              <w:snapToGrid w:val="0"/>
              <w:spacing w:line="240" w:lineRule="auto"/>
              <w:ind w:firstLine="0" w:firstLineChars="0"/>
              <w:jc w:val="center"/>
              <w:rPr>
                <w:kern w:val="0"/>
                <w:sz w:val="18"/>
                <w:szCs w:val="18"/>
              </w:rPr>
            </w:pPr>
            <w:r>
              <w:rPr>
                <w:kern w:val="0"/>
                <w:sz w:val="18"/>
                <w:szCs w:val="18"/>
              </w:rPr>
              <w:t>敏感点名称</w:t>
            </w:r>
          </w:p>
        </w:tc>
        <w:tc>
          <w:tcPr>
            <w:tcW w:w="1223" w:type="pct"/>
            <w:shd w:val="clear" w:color="auto" w:fill="auto"/>
            <w:noWrap/>
            <w:vAlign w:val="center"/>
          </w:tcPr>
          <w:p w14:paraId="7F2E32EC">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最大超标量d</w:t>
            </w:r>
            <w:r>
              <w:rPr>
                <w:kern w:val="0"/>
                <w:sz w:val="18"/>
                <w:szCs w:val="18"/>
              </w:rPr>
              <w:t>B</w:t>
            </w:r>
            <w:r>
              <w:rPr>
                <w:rFonts w:hint="eastAsia"/>
                <w:kern w:val="0"/>
                <w:sz w:val="18"/>
                <w:szCs w:val="18"/>
              </w:rPr>
              <w:t>（</w:t>
            </w:r>
            <w:r>
              <w:rPr>
                <w:kern w:val="0"/>
                <w:sz w:val="18"/>
                <w:szCs w:val="18"/>
              </w:rPr>
              <w:t>A</w:t>
            </w:r>
            <w:r>
              <w:rPr>
                <w:rFonts w:hint="eastAsia"/>
                <w:kern w:val="0"/>
                <w:sz w:val="18"/>
                <w:szCs w:val="18"/>
              </w:rPr>
              <w:t>）</w:t>
            </w:r>
          </w:p>
        </w:tc>
        <w:tc>
          <w:tcPr>
            <w:tcW w:w="1004" w:type="pct"/>
          </w:tcPr>
          <w:p w14:paraId="2A64883D">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总户数</w:t>
            </w:r>
          </w:p>
        </w:tc>
        <w:tc>
          <w:tcPr>
            <w:tcW w:w="1004" w:type="pct"/>
          </w:tcPr>
          <w:p w14:paraId="6DCB536A">
            <w:pPr>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超标户数</w:t>
            </w:r>
          </w:p>
        </w:tc>
      </w:tr>
      <w:tr w14:paraId="004F2C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58" w:type="pct"/>
            <w:shd w:val="clear" w:color="auto" w:fill="auto"/>
            <w:noWrap/>
            <w:vAlign w:val="center"/>
          </w:tcPr>
          <w:p w14:paraId="7A9F0E23">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1</w:t>
            </w:r>
          </w:p>
        </w:tc>
        <w:tc>
          <w:tcPr>
            <w:tcW w:w="1011" w:type="pct"/>
            <w:shd w:val="clear" w:color="auto" w:fill="auto"/>
            <w:noWrap/>
            <w:vAlign w:val="center"/>
          </w:tcPr>
          <w:p w14:paraId="42EE470E">
            <w:pPr>
              <w:widowControl/>
              <w:tabs>
                <w:tab w:val="clear" w:pos="480"/>
              </w:tabs>
              <w:spacing w:line="240" w:lineRule="auto"/>
              <w:ind w:firstLine="0" w:firstLineChars="0"/>
              <w:jc w:val="center"/>
              <w:rPr>
                <w:kern w:val="0"/>
                <w:sz w:val="18"/>
                <w:szCs w:val="18"/>
              </w:rPr>
            </w:pPr>
            <w:r>
              <w:rPr>
                <w:rFonts w:hint="eastAsia"/>
                <w:sz w:val="18"/>
                <w:szCs w:val="18"/>
              </w:rPr>
              <w:t>环洞村扶贫基地</w:t>
            </w:r>
          </w:p>
        </w:tc>
        <w:tc>
          <w:tcPr>
            <w:tcW w:w="1223" w:type="pct"/>
            <w:shd w:val="clear" w:color="auto" w:fill="auto"/>
            <w:noWrap/>
            <w:vAlign w:val="center"/>
          </w:tcPr>
          <w:p w14:paraId="4A28C51E">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3</w:t>
            </w:r>
            <w:r>
              <w:rPr>
                <w:kern w:val="0"/>
                <w:sz w:val="18"/>
                <w:szCs w:val="18"/>
              </w:rPr>
              <w:t>.30</w:t>
            </w:r>
          </w:p>
        </w:tc>
        <w:tc>
          <w:tcPr>
            <w:tcW w:w="1004" w:type="pct"/>
          </w:tcPr>
          <w:p w14:paraId="191EF25B">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c>
          <w:tcPr>
            <w:tcW w:w="1004" w:type="pct"/>
          </w:tcPr>
          <w:p w14:paraId="53445A75">
            <w:pPr>
              <w:widowControl/>
              <w:tabs>
                <w:tab w:val="clear" w:pos="480"/>
              </w:tabs>
              <w:adjustRightInd w:val="0"/>
              <w:snapToGrid w:val="0"/>
              <w:spacing w:line="240" w:lineRule="auto"/>
              <w:ind w:firstLine="0" w:firstLineChars="0"/>
              <w:jc w:val="center"/>
              <w:rPr>
                <w:kern w:val="0"/>
                <w:sz w:val="18"/>
                <w:szCs w:val="18"/>
              </w:rPr>
            </w:pPr>
            <w:r>
              <w:rPr>
                <w:kern w:val="0"/>
                <w:sz w:val="18"/>
                <w:szCs w:val="18"/>
              </w:rPr>
              <w:t>1</w:t>
            </w:r>
          </w:p>
        </w:tc>
      </w:tr>
    </w:tbl>
    <w:p w14:paraId="78727B9B">
      <w:pPr>
        <w:adjustRightInd w:val="0"/>
        <w:snapToGrid w:val="0"/>
        <w:ind w:firstLine="480"/>
      </w:pPr>
      <w:r>
        <w:rPr>
          <w:rFonts w:hint="eastAsia"/>
        </w:rPr>
        <w:t>根据上述分析可知，项目运营期间，环洞村扶贫基地有1户居民存在夜间噪声超标的情况。</w:t>
      </w:r>
    </w:p>
    <w:p w14:paraId="5AFCEC6F">
      <w:pPr>
        <w:adjustRightInd w:val="0"/>
        <w:snapToGrid w:val="0"/>
        <w:ind w:firstLine="480"/>
      </w:pPr>
      <w:r>
        <w:rPr>
          <w:rFonts w:hint="eastAsia"/>
        </w:rPr>
        <w:t>为降低风机噪声对周边居民的不良环境影响，建设单位拟对位于噪声超标的居民点附近的</w:t>
      </w:r>
      <w:r>
        <w:t>3</w:t>
      </w:r>
      <w:r>
        <w:rPr>
          <w:rFonts w:hint="eastAsia"/>
        </w:rPr>
        <w:t>台风机（</w:t>
      </w:r>
      <w:r>
        <w:t>X05</w:t>
      </w:r>
      <w:r>
        <w:rPr>
          <w:rFonts w:hint="eastAsia"/>
        </w:rPr>
        <w:t>、</w:t>
      </w:r>
      <w:r>
        <w:t>X06</w:t>
      </w:r>
      <w:r>
        <w:rPr>
          <w:rFonts w:hint="eastAsia"/>
        </w:rPr>
        <w:t>、</w:t>
      </w:r>
      <w:r>
        <w:t>X23</w:t>
      </w:r>
      <w:r>
        <w:rPr>
          <w:rFonts w:hint="eastAsia"/>
        </w:rPr>
        <w:t>）采取尾缘锯齿方案（Trailing-Edge Serrations）与降噪VG方案（Vortex generation for noise reduction）（详见下文影响分析章节），其中</w:t>
      </w:r>
      <w:r>
        <w:t>安装锯齿尾缘之后，气动噪声</w:t>
      </w:r>
      <w:r>
        <w:rPr>
          <w:rFonts w:hint="eastAsia"/>
        </w:rPr>
        <w:t>可</w:t>
      </w:r>
      <w:r>
        <w:t>普遍下降2.1-2.5分贝</w:t>
      </w:r>
      <w:r>
        <w:rPr>
          <w:rFonts w:hint="eastAsia"/>
        </w:rPr>
        <w:t>；</w:t>
      </w:r>
      <w:r>
        <w:t>安装降噪VG后，减少翼型表面紊流附面层压力脉动及叶片前缘对空气的冲击噪声，降噪效果一般为2dB（A）</w:t>
      </w:r>
      <w:r>
        <w:rPr>
          <w:rFonts w:hint="eastAsia"/>
        </w:rPr>
        <w:t>，本次评价保守以综合削减量按4.0dB(A)计。</w:t>
      </w:r>
    </w:p>
    <w:p w14:paraId="3407419B">
      <w:pPr>
        <w:adjustRightInd w:val="0"/>
        <w:snapToGrid w:val="0"/>
        <w:ind w:firstLine="480"/>
      </w:pPr>
      <w:r>
        <w:rPr>
          <w:rFonts w:hint="eastAsia"/>
        </w:rPr>
        <w:t>本项目环洞村扶贫基地噪声超标的居民点噪声超标量为3</w:t>
      </w:r>
      <w:r>
        <w:t>.03</w:t>
      </w:r>
      <w:r>
        <w:rPr>
          <w:rFonts w:hint="eastAsia"/>
        </w:rPr>
        <w:t>dB(A)范围，通过采取降噪措施后，均可达到</w:t>
      </w:r>
      <w:r>
        <w:t>《声环境质量标准》（GB3096-2008）中2类标准</w:t>
      </w:r>
      <w:r>
        <w:rPr>
          <w:rFonts w:hint="eastAsia"/>
        </w:rPr>
        <w:t>（</w:t>
      </w:r>
      <w:r>
        <w:t>即昼间60dB(A)、夜间50dB(A)</w:t>
      </w:r>
      <w:r>
        <w:rPr>
          <w:rFonts w:hint="eastAsia"/>
        </w:rPr>
        <w:t>）的要求。</w:t>
      </w:r>
    </w:p>
    <w:p w14:paraId="156CA4A3">
      <w:pPr>
        <w:adjustRightInd w:val="0"/>
        <w:snapToGrid w:val="0"/>
        <w:ind w:firstLine="480"/>
      </w:pPr>
      <w:r>
        <w:rPr>
          <w:rFonts w:hint="eastAsia"/>
        </w:rPr>
        <w:t>（</w:t>
      </w:r>
      <w:r>
        <w:t>6</w:t>
      </w:r>
      <w:r>
        <w:rPr>
          <w:rFonts w:hint="eastAsia"/>
        </w:rPr>
        <w:t>）偏航系统运行单个风电机组突发噪声预测</w:t>
      </w:r>
    </w:p>
    <w:p w14:paraId="03F4C614">
      <w:pPr>
        <w:adjustRightInd w:val="0"/>
        <w:snapToGrid w:val="0"/>
        <w:ind w:firstLine="480"/>
      </w:pPr>
      <w:r>
        <w:rPr>
          <w:rFonts w:hint="eastAsia"/>
        </w:rPr>
        <w:t>偏航系统运行时噪声来源于刹车系统产生的刹车噪声、液压及润滑油冷却系统噪声。偏航系统运行单个风电机组突发噪声最大预测值见下表。</w:t>
      </w:r>
    </w:p>
    <w:p w14:paraId="605F9DF8">
      <w:pPr>
        <w:tabs>
          <w:tab w:val="clear" w:pos="480"/>
        </w:tabs>
        <w:adjustRightInd w:val="0"/>
        <w:snapToGrid w:val="0"/>
        <w:spacing w:line="240" w:lineRule="auto"/>
        <w:ind w:firstLine="0" w:firstLineChars="0"/>
        <w:jc w:val="center"/>
        <w:rPr>
          <w:rFonts w:hAnsi="宋体"/>
          <w:b/>
        </w:rPr>
      </w:pPr>
      <w:r>
        <w:rPr>
          <w:rFonts w:hint="eastAsia" w:hAnsi="宋体"/>
          <w:b/>
        </w:rPr>
        <w:t>表</w:t>
      </w:r>
      <w:r>
        <w:rPr>
          <w:rFonts w:hAnsi="宋体"/>
          <w:b/>
        </w:rPr>
        <w:t>6.2-5</w:t>
      </w:r>
      <w:r>
        <w:rPr>
          <w:rFonts w:hint="eastAsia" w:hAnsi="宋体"/>
          <w:b/>
        </w:rPr>
        <w:t>单个风电机组突发噪声衰减计算结果(</w:t>
      </w:r>
      <w:r>
        <w:rPr>
          <w:rFonts w:hAnsi="宋体"/>
          <w:b/>
        </w:rPr>
        <w:t>5.0MW)</w:t>
      </w:r>
      <w:r>
        <w:rPr>
          <w:rFonts w:hint="eastAsia" w:hAnsi="宋体"/>
          <w:b/>
        </w:rPr>
        <w:t>单位：</w:t>
      </w:r>
      <w:r>
        <w:rPr>
          <w:rFonts w:hAnsi="宋体"/>
          <w:b/>
        </w:rPr>
        <w:t>dB(A)</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323"/>
        <w:gridCol w:w="814"/>
        <w:gridCol w:w="895"/>
        <w:gridCol w:w="785"/>
        <w:gridCol w:w="785"/>
        <w:gridCol w:w="785"/>
        <w:gridCol w:w="785"/>
        <w:gridCol w:w="785"/>
        <w:gridCol w:w="785"/>
        <w:gridCol w:w="785"/>
      </w:tblGrid>
      <w:tr w14:paraId="184548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76" w:type="pct"/>
            <w:tcBorders>
              <w:top w:val="single" w:color="000000" w:sz="12" w:space="0"/>
              <w:left w:val="single" w:color="000000" w:sz="12" w:space="0"/>
              <w:bottom w:val="single" w:color="000000" w:sz="4" w:space="0"/>
              <w:right w:val="single" w:color="000000" w:sz="4" w:space="0"/>
            </w:tcBorders>
            <w:vAlign w:val="center"/>
          </w:tcPr>
          <w:p w14:paraId="4F3C0F7B">
            <w:pPr>
              <w:spacing w:line="240" w:lineRule="auto"/>
              <w:ind w:firstLine="0" w:firstLineChars="0"/>
              <w:jc w:val="center"/>
              <w:rPr>
                <w:kern w:val="0"/>
                <w:sz w:val="18"/>
                <w:szCs w:val="18"/>
              </w:rPr>
            </w:pPr>
            <w:r>
              <w:rPr>
                <w:kern w:val="0"/>
                <w:sz w:val="18"/>
                <w:szCs w:val="18"/>
              </w:rPr>
              <w:t>距声源水平距离r1（m）</w:t>
            </w:r>
          </w:p>
        </w:tc>
        <w:tc>
          <w:tcPr>
            <w:tcW w:w="478" w:type="pct"/>
            <w:tcBorders>
              <w:top w:val="single" w:color="000000" w:sz="12" w:space="0"/>
              <w:left w:val="single" w:color="000000" w:sz="4" w:space="0"/>
              <w:bottom w:val="single" w:color="000000" w:sz="4" w:space="0"/>
              <w:right w:val="single" w:color="000000" w:sz="4" w:space="0"/>
            </w:tcBorders>
            <w:vAlign w:val="center"/>
          </w:tcPr>
          <w:p w14:paraId="4E2ABA19">
            <w:pPr>
              <w:spacing w:line="240" w:lineRule="auto"/>
              <w:ind w:firstLine="0" w:firstLineChars="0"/>
              <w:jc w:val="center"/>
              <w:rPr>
                <w:kern w:val="0"/>
                <w:sz w:val="18"/>
                <w:szCs w:val="18"/>
              </w:rPr>
            </w:pPr>
            <w:r>
              <w:rPr>
                <w:kern w:val="0"/>
                <w:sz w:val="18"/>
                <w:szCs w:val="18"/>
              </w:rPr>
              <w:t>50</w:t>
            </w:r>
          </w:p>
        </w:tc>
        <w:tc>
          <w:tcPr>
            <w:tcW w:w="525" w:type="pct"/>
            <w:tcBorders>
              <w:top w:val="single" w:color="000000" w:sz="12" w:space="0"/>
              <w:left w:val="single" w:color="000000" w:sz="4" w:space="0"/>
              <w:bottom w:val="single" w:color="000000" w:sz="4" w:space="0"/>
              <w:right w:val="single" w:color="000000" w:sz="4" w:space="0"/>
            </w:tcBorders>
            <w:vAlign w:val="center"/>
          </w:tcPr>
          <w:p w14:paraId="583237CF">
            <w:pPr>
              <w:spacing w:line="240" w:lineRule="auto"/>
              <w:ind w:firstLine="0" w:firstLineChars="0"/>
              <w:jc w:val="center"/>
              <w:rPr>
                <w:kern w:val="0"/>
                <w:sz w:val="18"/>
                <w:szCs w:val="18"/>
              </w:rPr>
            </w:pPr>
            <w:r>
              <w:rPr>
                <w:kern w:val="0"/>
                <w:sz w:val="18"/>
                <w:szCs w:val="18"/>
              </w:rPr>
              <w:t>100</w:t>
            </w:r>
          </w:p>
        </w:tc>
        <w:tc>
          <w:tcPr>
            <w:tcW w:w="460" w:type="pct"/>
            <w:tcBorders>
              <w:top w:val="single" w:color="000000" w:sz="12" w:space="0"/>
              <w:left w:val="single" w:color="000000" w:sz="4" w:space="0"/>
              <w:bottom w:val="single" w:color="000000" w:sz="4" w:space="0"/>
              <w:right w:val="single" w:color="000000" w:sz="4" w:space="0"/>
            </w:tcBorders>
            <w:vAlign w:val="center"/>
          </w:tcPr>
          <w:p w14:paraId="1993DB2A">
            <w:pPr>
              <w:spacing w:line="240" w:lineRule="auto"/>
              <w:ind w:firstLine="0" w:firstLineChars="0"/>
              <w:jc w:val="center"/>
              <w:rPr>
                <w:kern w:val="0"/>
                <w:sz w:val="18"/>
                <w:szCs w:val="18"/>
              </w:rPr>
            </w:pPr>
            <w:r>
              <w:rPr>
                <w:kern w:val="0"/>
                <w:sz w:val="18"/>
                <w:szCs w:val="18"/>
              </w:rPr>
              <w:t>150</w:t>
            </w:r>
          </w:p>
        </w:tc>
        <w:tc>
          <w:tcPr>
            <w:tcW w:w="460" w:type="pct"/>
            <w:tcBorders>
              <w:top w:val="single" w:color="000000" w:sz="12" w:space="0"/>
              <w:left w:val="single" w:color="000000" w:sz="4" w:space="0"/>
              <w:bottom w:val="single" w:color="000000" w:sz="4" w:space="0"/>
              <w:right w:val="single" w:color="000000" w:sz="4" w:space="0"/>
            </w:tcBorders>
            <w:vAlign w:val="center"/>
          </w:tcPr>
          <w:p w14:paraId="584BA15D">
            <w:pPr>
              <w:spacing w:line="240" w:lineRule="auto"/>
              <w:ind w:firstLine="0" w:firstLineChars="0"/>
              <w:jc w:val="center"/>
              <w:rPr>
                <w:kern w:val="0"/>
                <w:sz w:val="18"/>
                <w:szCs w:val="18"/>
              </w:rPr>
            </w:pPr>
            <w:r>
              <w:rPr>
                <w:kern w:val="0"/>
                <w:sz w:val="18"/>
                <w:szCs w:val="18"/>
              </w:rPr>
              <w:t>200</w:t>
            </w:r>
          </w:p>
        </w:tc>
        <w:tc>
          <w:tcPr>
            <w:tcW w:w="460" w:type="pct"/>
            <w:tcBorders>
              <w:top w:val="single" w:color="000000" w:sz="12" w:space="0"/>
              <w:left w:val="single" w:color="000000" w:sz="4" w:space="0"/>
              <w:bottom w:val="single" w:color="000000" w:sz="4" w:space="0"/>
              <w:right w:val="single" w:color="000000" w:sz="4" w:space="0"/>
            </w:tcBorders>
            <w:vAlign w:val="center"/>
          </w:tcPr>
          <w:p w14:paraId="687A5515">
            <w:pPr>
              <w:spacing w:line="240" w:lineRule="auto"/>
              <w:ind w:firstLine="0" w:firstLineChars="0"/>
              <w:jc w:val="center"/>
              <w:rPr>
                <w:kern w:val="0"/>
                <w:sz w:val="18"/>
                <w:szCs w:val="18"/>
              </w:rPr>
            </w:pPr>
            <w:r>
              <w:rPr>
                <w:kern w:val="0"/>
                <w:sz w:val="18"/>
                <w:szCs w:val="18"/>
              </w:rPr>
              <w:t>250</w:t>
            </w:r>
          </w:p>
        </w:tc>
        <w:tc>
          <w:tcPr>
            <w:tcW w:w="460" w:type="pct"/>
            <w:tcBorders>
              <w:top w:val="single" w:color="000000" w:sz="12" w:space="0"/>
              <w:left w:val="single" w:color="000000" w:sz="4" w:space="0"/>
              <w:bottom w:val="single" w:color="000000" w:sz="4" w:space="0"/>
              <w:right w:val="single" w:color="000000" w:sz="4" w:space="0"/>
            </w:tcBorders>
            <w:vAlign w:val="center"/>
          </w:tcPr>
          <w:p w14:paraId="381F00D6">
            <w:pPr>
              <w:spacing w:line="240" w:lineRule="auto"/>
              <w:ind w:firstLine="0" w:firstLineChars="0"/>
              <w:jc w:val="center"/>
              <w:rPr>
                <w:kern w:val="0"/>
                <w:sz w:val="18"/>
                <w:szCs w:val="18"/>
              </w:rPr>
            </w:pPr>
            <w:r>
              <w:rPr>
                <w:kern w:val="0"/>
                <w:sz w:val="18"/>
                <w:szCs w:val="18"/>
              </w:rPr>
              <w:t>270</w:t>
            </w:r>
          </w:p>
        </w:tc>
        <w:tc>
          <w:tcPr>
            <w:tcW w:w="460" w:type="pct"/>
            <w:tcBorders>
              <w:top w:val="single" w:color="000000" w:sz="12" w:space="0"/>
              <w:left w:val="single" w:color="000000" w:sz="4" w:space="0"/>
              <w:bottom w:val="single" w:color="000000" w:sz="4" w:space="0"/>
              <w:right w:val="single" w:color="000000" w:sz="4" w:space="0"/>
            </w:tcBorders>
            <w:vAlign w:val="center"/>
          </w:tcPr>
          <w:p w14:paraId="186FF566">
            <w:pPr>
              <w:spacing w:line="240" w:lineRule="auto"/>
              <w:ind w:firstLine="0" w:firstLineChars="0"/>
              <w:jc w:val="center"/>
              <w:rPr>
                <w:kern w:val="0"/>
                <w:sz w:val="18"/>
                <w:szCs w:val="18"/>
              </w:rPr>
            </w:pPr>
            <w:r>
              <w:rPr>
                <w:kern w:val="0"/>
                <w:sz w:val="18"/>
                <w:szCs w:val="18"/>
              </w:rPr>
              <w:t>300</w:t>
            </w:r>
          </w:p>
        </w:tc>
        <w:tc>
          <w:tcPr>
            <w:tcW w:w="460" w:type="pct"/>
            <w:tcBorders>
              <w:top w:val="single" w:color="000000" w:sz="12" w:space="0"/>
              <w:left w:val="single" w:color="000000" w:sz="4" w:space="0"/>
              <w:bottom w:val="single" w:color="000000" w:sz="4" w:space="0"/>
              <w:right w:val="single" w:color="000000" w:sz="4" w:space="0"/>
            </w:tcBorders>
            <w:vAlign w:val="center"/>
          </w:tcPr>
          <w:p w14:paraId="1A2613DD">
            <w:pPr>
              <w:spacing w:line="240" w:lineRule="auto"/>
              <w:ind w:firstLine="0" w:firstLineChars="0"/>
              <w:jc w:val="center"/>
              <w:rPr>
                <w:kern w:val="0"/>
                <w:sz w:val="18"/>
                <w:szCs w:val="18"/>
              </w:rPr>
            </w:pPr>
            <w:r>
              <w:rPr>
                <w:kern w:val="0"/>
                <w:sz w:val="18"/>
                <w:szCs w:val="18"/>
              </w:rPr>
              <w:t>310</w:t>
            </w:r>
          </w:p>
        </w:tc>
        <w:tc>
          <w:tcPr>
            <w:tcW w:w="460" w:type="pct"/>
            <w:tcBorders>
              <w:top w:val="single" w:color="000000" w:sz="12" w:space="0"/>
              <w:left w:val="single" w:color="000000" w:sz="4" w:space="0"/>
              <w:bottom w:val="single" w:color="000000" w:sz="4" w:space="0"/>
              <w:right w:val="single" w:color="000000" w:sz="12" w:space="0"/>
            </w:tcBorders>
            <w:vAlign w:val="center"/>
          </w:tcPr>
          <w:p w14:paraId="41D4B58A">
            <w:pPr>
              <w:spacing w:line="240" w:lineRule="auto"/>
              <w:ind w:firstLine="0" w:firstLineChars="0"/>
              <w:jc w:val="center"/>
              <w:rPr>
                <w:kern w:val="0"/>
                <w:sz w:val="18"/>
                <w:szCs w:val="18"/>
              </w:rPr>
            </w:pPr>
            <w:r>
              <w:rPr>
                <w:kern w:val="0"/>
                <w:sz w:val="18"/>
                <w:szCs w:val="18"/>
              </w:rPr>
              <w:t>400</w:t>
            </w:r>
          </w:p>
        </w:tc>
      </w:tr>
      <w:tr w14:paraId="7AE500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76" w:type="pct"/>
            <w:tcBorders>
              <w:top w:val="single" w:color="000000" w:sz="4" w:space="0"/>
              <w:left w:val="single" w:color="000000" w:sz="12" w:space="0"/>
              <w:bottom w:val="single" w:color="000000" w:sz="4" w:space="0"/>
              <w:right w:val="single" w:color="000000" w:sz="4" w:space="0"/>
            </w:tcBorders>
            <w:vAlign w:val="center"/>
          </w:tcPr>
          <w:p w14:paraId="34EACBAF">
            <w:pPr>
              <w:spacing w:line="240" w:lineRule="auto"/>
              <w:ind w:firstLine="0" w:firstLineChars="0"/>
              <w:jc w:val="center"/>
              <w:rPr>
                <w:kern w:val="0"/>
                <w:sz w:val="18"/>
                <w:szCs w:val="18"/>
              </w:rPr>
            </w:pPr>
            <w:r>
              <w:rPr>
                <w:kern w:val="0"/>
                <w:sz w:val="18"/>
                <w:szCs w:val="18"/>
              </w:rPr>
              <w:t>对应距声源几何距离r2（m）</w:t>
            </w:r>
          </w:p>
        </w:tc>
        <w:tc>
          <w:tcPr>
            <w:tcW w:w="478" w:type="pct"/>
            <w:tcBorders>
              <w:top w:val="single" w:color="000000" w:sz="4" w:space="0"/>
              <w:left w:val="single" w:color="000000" w:sz="4" w:space="0"/>
              <w:bottom w:val="single" w:color="000000" w:sz="4" w:space="0"/>
              <w:right w:val="single" w:color="000000" w:sz="4" w:space="0"/>
            </w:tcBorders>
            <w:vAlign w:val="center"/>
          </w:tcPr>
          <w:p w14:paraId="2E94B6B1">
            <w:pPr>
              <w:spacing w:line="240" w:lineRule="auto"/>
              <w:ind w:firstLine="0" w:firstLineChars="0"/>
              <w:jc w:val="center"/>
              <w:rPr>
                <w:sz w:val="18"/>
                <w:szCs w:val="18"/>
              </w:rPr>
            </w:pPr>
            <w:r>
              <w:rPr>
                <w:sz w:val="18"/>
                <w:szCs w:val="18"/>
              </w:rPr>
              <w:t>125.40</w:t>
            </w:r>
          </w:p>
        </w:tc>
        <w:tc>
          <w:tcPr>
            <w:tcW w:w="525" w:type="pct"/>
            <w:tcBorders>
              <w:top w:val="single" w:color="000000" w:sz="4" w:space="0"/>
              <w:left w:val="single" w:color="000000" w:sz="4" w:space="0"/>
              <w:bottom w:val="single" w:color="000000" w:sz="4" w:space="0"/>
              <w:right w:val="single" w:color="000000" w:sz="4" w:space="0"/>
            </w:tcBorders>
            <w:vAlign w:val="center"/>
          </w:tcPr>
          <w:p w14:paraId="1A316E08">
            <w:pPr>
              <w:spacing w:line="240" w:lineRule="auto"/>
              <w:ind w:firstLine="0" w:firstLineChars="0"/>
              <w:jc w:val="center"/>
              <w:rPr>
                <w:sz w:val="18"/>
                <w:szCs w:val="18"/>
              </w:rPr>
            </w:pPr>
            <w:r>
              <w:rPr>
                <w:sz w:val="18"/>
                <w:szCs w:val="18"/>
              </w:rPr>
              <w:t>152.40</w:t>
            </w:r>
          </w:p>
        </w:tc>
        <w:tc>
          <w:tcPr>
            <w:tcW w:w="460" w:type="pct"/>
            <w:tcBorders>
              <w:top w:val="single" w:color="000000" w:sz="4" w:space="0"/>
              <w:left w:val="single" w:color="000000" w:sz="4" w:space="0"/>
              <w:bottom w:val="single" w:color="000000" w:sz="4" w:space="0"/>
              <w:right w:val="single" w:color="000000" w:sz="4" w:space="0"/>
            </w:tcBorders>
            <w:vAlign w:val="center"/>
          </w:tcPr>
          <w:p w14:paraId="7556F88D">
            <w:pPr>
              <w:spacing w:line="240" w:lineRule="auto"/>
              <w:ind w:firstLine="0" w:firstLineChars="0"/>
              <w:jc w:val="center"/>
              <w:rPr>
                <w:sz w:val="18"/>
                <w:szCs w:val="18"/>
              </w:rPr>
            </w:pPr>
            <w:r>
              <w:rPr>
                <w:sz w:val="18"/>
                <w:szCs w:val="18"/>
              </w:rPr>
              <w:t>189.01</w:t>
            </w:r>
          </w:p>
        </w:tc>
        <w:tc>
          <w:tcPr>
            <w:tcW w:w="460" w:type="pct"/>
            <w:tcBorders>
              <w:top w:val="single" w:color="000000" w:sz="4" w:space="0"/>
              <w:left w:val="single" w:color="000000" w:sz="4" w:space="0"/>
              <w:bottom w:val="single" w:color="000000" w:sz="4" w:space="0"/>
              <w:right w:val="single" w:color="000000" w:sz="4" w:space="0"/>
            </w:tcBorders>
            <w:vAlign w:val="center"/>
          </w:tcPr>
          <w:p w14:paraId="248A3CA6">
            <w:pPr>
              <w:spacing w:line="240" w:lineRule="auto"/>
              <w:ind w:firstLine="0" w:firstLineChars="0"/>
              <w:jc w:val="center"/>
              <w:rPr>
                <w:sz w:val="18"/>
                <w:szCs w:val="18"/>
              </w:rPr>
            </w:pPr>
            <w:r>
              <w:rPr>
                <w:sz w:val="18"/>
                <w:szCs w:val="18"/>
              </w:rPr>
              <w:t>230.71</w:t>
            </w:r>
          </w:p>
        </w:tc>
        <w:tc>
          <w:tcPr>
            <w:tcW w:w="460" w:type="pct"/>
            <w:tcBorders>
              <w:top w:val="single" w:color="000000" w:sz="4" w:space="0"/>
              <w:left w:val="single" w:color="000000" w:sz="4" w:space="0"/>
              <w:bottom w:val="single" w:color="000000" w:sz="4" w:space="0"/>
              <w:right w:val="single" w:color="000000" w:sz="4" w:space="0"/>
            </w:tcBorders>
            <w:vAlign w:val="center"/>
          </w:tcPr>
          <w:p w14:paraId="664576DB">
            <w:pPr>
              <w:spacing w:line="240" w:lineRule="auto"/>
              <w:ind w:firstLine="0" w:firstLineChars="0"/>
              <w:jc w:val="center"/>
              <w:rPr>
                <w:sz w:val="18"/>
                <w:szCs w:val="18"/>
              </w:rPr>
            </w:pPr>
            <w:r>
              <w:rPr>
                <w:sz w:val="18"/>
                <w:szCs w:val="18"/>
              </w:rPr>
              <w:t>275.18</w:t>
            </w:r>
          </w:p>
        </w:tc>
        <w:tc>
          <w:tcPr>
            <w:tcW w:w="460" w:type="pct"/>
            <w:tcBorders>
              <w:top w:val="single" w:color="000000" w:sz="4" w:space="0"/>
              <w:left w:val="single" w:color="000000" w:sz="4" w:space="0"/>
              <w:bottom w:val="single" w:color="000000" w:sz="4" w:space="0"/>
              <w:right w:val="single" w:color="000000" w:sz="4" w:space="0"/>
            </w:tcBorders>
            <w:vAlign w:val="center"/>
          </w:tcPr>
          <w:p w14:paraId="11EDA580">
            <w:pPr>
              <w:spacing w:line="240" w:lineRule="auto"/>
              <w:ind w:firstLine="0" w:firstLineChars="0"/>
              <w:jc w:val="center"/>
              <w:rPr>
                <w:sz w:val="18"/>
                <w:szCs w:val="18"/>
              </w:rPr>
            </w:pPr>
            <w:r>
              <w:rPr>
                <w:sz w:val="18"/>
                <w:szCs w:val="18"/>
              </w:rPr>
              <w:t>293.47</w:t>
            </w:r>
          </w:p>
        </w:tc>
        <w:tc>
          <w:tcPr>
            <w:tcW w:w="460" w:type="pct"/>
            <w:tcBorders>
              <w:top w:val="single" w:color="000000" w:sz="4" w:space="0"/>
              <w:left w:val="single" w:color="000000" w:sz="4" w:space="0"/>
              <w:bottom w:val="single" w:color="000000" w:sz="4" w:space="0"/>
              <w:right w:val="single" w:color="000000" w:sz="4" w:space="0"/>
            </w:tcBorders>
            <w:vAlign w:val="center"/>
          </w:tcPr>
          <w:p w14:paraId="64F2CF3A">
            <w:pPr>
              <w:spacing w:line="240" w:lineRule="auto"/>
              <w:ind w:firstLine="0" w:firstLineChars="0"/>
              <w:jc w:val="center"/>
              <w:rPr>
                <w:sz w:val="18"/>
                <w:szCs w:val="18"/>
              </w:rPr>
            </w:pPr>
            <w:r>
              <w:rPr>
                <w:sz w:val="18"/>
                <w:szCs w:val="18"/>
              </w:rPr>
              <w:t>321.29</w:t>
            </w:r>
          </w:p>
        </w:tc>
        <w:tc>
          <w:tcPr>
            <w:tcW w:w="460" w:type="pct"/>
            <w:tcBorders>
              <w:top w:val="single" w:color="000000" w:sz="4" w:space="0"/>
              <w:left w:val="single" w:color="000000" w:sz="4" w:space="0"/>
              <w:bottom w:val="single" w:color="000000" w:sz="4" w:space="0"/>
              <w:right w:val="single" w:color="000000" w:sz="4" w:space="0"/>
            </w:tcBorders>
            <w:vAlign w:val="center"/>
          </w:tcPr>
          <w:p w14:paraId="5204D8F5">
            <w:pPr>
              <w:spacing w:line="240" w:lineRule="auto"/>
              <w:ind w:firstLine="0" w:firstLineChars="0"/>
              <w:jc w:val="center"/>
              <w:rPr>
                <w:sz w:val="18"/>
                <w:szCs w:val="18"/>
              </w:rPr>
            </w:pPr>
            <w:r>
              <w:rPr>
                <w:sz w:val="18"/>
                <w:szCs w:val="18"/>
              </w:rPr>
              <w:t>330.64</w:t>
            </w:r>
          </w:p>
        </w:tc>
        <w:tc>
          <w:tcPr>
            <w:tcW w:w="460" w:type="pct"/>
            <w:tcBorders>
              <w:top w:val="single" w:color="000000" w:sz="4" w:space="0"/>
              <w:left w:val="single" w:color="000000" w:sz="4" w:space="0"/>
              <w:bottom w:val="single" w:color="000000" w:sz="4" w:space="0"/>
              <w:right w:val="single" w:color="000000" w:sz="12" w:space="0"/>
            </w:tcBorders>
            <w:vAlign w:val="center"/>
          </w:tcPr>
          <w:p w14:paraId="1F0416A2">
            <w:pPr>
              <w:spacing w:line="240" w:lineRule="auto"/>
              <w:ind w:firstLine="0" w:firstLineChars="0"/>
              <w:jc w:val="center"/>
              <w:rPr>
                <w:sz w:val="18"/>
                <w:szCs w:val="18"/>
              </w:rPr>
            </w:pPr>
            <w:r>
              <w:rPr>
                <w:sz w:val="18"/>
                <w:szCs w:val="18"/>
              </w:rPr>
              <w:t>416.20</w:t>
            </w:r>
          </w:p>
        </w:tc>
      </w:tr>
      <w:tr w14:paraId="085B3C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776" w:type="pct"/>
            <w:tcBorders>
              <w:top w:val="single" w:color="000000" w:sz="4" w:space="0"/>
              <w:left w:val="single" w:color="000000" w:sz="12" w:space="0"/>
              <w:bottom w:val="single" w:color="000000" w:sz="12" w:space="0"/>
              <w:right w:val="single" w:color="000000" w:sz="4" w:space="0"/>
            </w:tcBorders>
            <w:vAlign w:val="center"/>
          </w:tcPr>
          <w:p w14:paraId="3E4B125A">
            <w:pPr>
              <w:spacing w:line="240" w:lineRule="auto"/>
              <w:ind w:firstLine="0" w:firstLineChars="0"/>
              <w:jc w:val="center"/>
              <w:rPr>
                <w:kern w:val="0"/>
                <w:sz w:val="18"/>
                <w:szCs w:val="18"/>
              </w:rPr>
            </w:pPr>
            <w:r>
              <w:rPr>
                <w:kern w:val="0"/>
                <w:sz w:val="18"/>
                <w:szCs w:val="18"/>
              </w:rPr>
              <w:t>L(r)dB(A)</w:t>
            </w:r>
          </w:p>
        </w:tc>
        <w:tc>
          <w:tcPr>
            <w:tcW w:w="478" w:type="pct"/>
            <w:tcBorders>
              <w:top w:val="single" w:color="000000" w:sz="4" w:space="0"/>
              <w:left w:val="single" w:color="000000" w:sz="4" w:space="0"/>
              <w:bottom w:val="single" w:color="000000" w:sz="12" w:space="0"/>
              <w:right w:val="single" w:color="000000" w:sz="4" w:space="0"/>
            </w:tcBorders>
            <w:vAlign w:val="center"/>
          </w:tcPr>
          <w:p w14:paraId="610BCD33">
            <w:pPr>
              <w:spacing w:line="240" w:lineRule="auto"/>
              <w:ind w:firstLine="0" w:firstLineChars="0"/>
              <w:jc w:val="center"/>
              <w:rPr>
                <w:sz w:val="18"/>
                <w:szCs w:val="18"/>
              </w:rPr>
            </w:pPr>
            <w:r>
              <w:rPr>
                <w:sz w:val="18"/>
                <w:szCs w:val="18"/>
              </w:rPr>
              <w:t>70.03</w:t>
            </w:r>
          </w:p>
        </w:tc>
        <w:tc>
          <w:tcPr>
            <w:tcW w:w="525" w:type="pct"/>
            <w:tcBorders>
              <w:top w:val="single" w:color="000000" w:sz="4" w:space="0"/>
              <w:left w:val="single" w:color="000000" w:sz="4" w:space="0"/>
              <w:bottom w:val="single" w:color="000000" w:sz="12" w:space="0"/>
              <w:right w:val="single" w:color="000000" w:sz="4" w:space="0"/>
            </w:tcBorders>
            <w:vAlign w:val="center"/>
          </w:tcPr>
          <w:p w14:paraId="1CCC1ACF">
            <w:pPr>
              <w:spacing w:line="240" w:lineRule="auto"/>
              <w:ind w:firstLine="0" w:firstLineChars="0"/>
              <w:jc w:val="center"/>
              <w:rPr>
                <w:sz w:val="18"/>
                <w:szCs w:val="18"/>
              </w:rPr>
            </w:pPr>
            <w:r>
              <w:rPr>
                <w:sz w:val="18"/>
                <w:szCs w:val="18"/>
              </w:rPr>
              <w:t>68.34</w:t>
            </w:r>
          </w:p>
        </w:tc>
        <w:tc>
          <w:tcPr>
            <w:tcW w:w="460" w:type="pct"/>
            <w:tcBorders>
              <w:top w:val="single" w:color="000000" w:sz="4" w:space="0"/>
              <w:left w:val="single" w:color="000000" w:sz="4" w:space="0"/>
              <w:bottom w:val="single" w:color="000000" w:sz="12" w:space="0"/>
              <w:right w:val="single" w:color="000000" w:sz="4" w:space="0"/>
            </w:tcBorders>
            <w:vAlign w:val="center"/>
          </w:tcPr>
          <w:p w14:paraId="5D2D45A6">
            <w:pPr>
              <w:spacing w:line="240" w:lineRule="auto"/>
              <w:ind w:firstLine="0" w:firstLineChars="0"/>
              <w:jc w:val="center"/>
              <w:rPr>
                <w:sz w:val="18"/>
                <w:szCs w:val="18"/>
              </w:rPr>
            </w:pPr>
            <w:r>
              <w:rPr>
                <w:sz w:val="18"/>
                <w:szCs w:val="18"/>
              </w:rPr>
              <w:t>66.47</w:t>
            </w:r>
          </w:p>
        </w:tc>
        <w:tc>
          <w:tcPr>
            <w:tcW w:w="460" w:type="pct"/>
            <w:tcBorders>
              <w:top w:val="single" w:color="000000" w:sz="4" w:space="0"/>
              <w:left w:val="single" w:color="000000" w:sz="4" w:space="0"/>
              <w:bottom w:val="single" w:color="000000" w:sz="12" w:space="0"/>
              <w:right w:val="single" w:color="000000" w:sz="4" w:space="0"/>
            </w:tcBorders>
            <w:vAlign w:val="center"/>
          </w:tcPr>
          <w:p w14:paraId="2CD5D1F7">
            <w:pPr>
              <w:spacing w:line="240" w:lineRule="auto"/>
              <w:ind w:firstLine="0" w:firstLineChars="0"/>
              <w:jc w:val="center"/>
              <w:rPr>
                <w:sz w:val="18"/>
                <w:szCs w:val="18"/>
              </w:rPr>
            </w:pPr>
            <w:r>
              <w:rPr>
                <w:sz w:val="18"/>
                <w:szCs w:val="18"/>
              </w:rPr>
              <w:t>64.74</w:t>
            </w:r>
          </w:p>
        </w:tc>
        <w:tc>
          <w:tcPr>
            <w:tcW w:w="460" w:type="pct"/>
            <w:tcBorders>
              <w:top w:val="single" w:color="000000" w:sz="4" w:space="0"/>
              <w:left w:val="single" w:color="000000" w:sz="4" w:space="0"/>
              <w:bottom w:val="single" w:color="000000" w:sz="12" w:space="0"/>
              <w:right w:val="single" w:color="000000" w:sz="4" w:space="0"/>
            </w:tcBorders>
            <w:vAlign w:val="center"/>
          </w:tcPr>
          <w:p w14:paraId="21E4B059">
            <w:pPr>
              <w:spacing w:line="240" w:lineRule="auto"/>
              <w:ind w:firstLine="0" w:firstLineChars="0"/>
              <w:jc w:val="center"/>
              <w:rPr>
                <w:sz w:val="18"/>
                <w:szCs w:val="18"/>
              </w:rPr>
            </w:pPr>
            <w:r>
              <w:rPr>
                <w:sz w:val="18"/>
                <w:szCs w:val="18"/>
              </w:rPr>
              <w:t>63.21</w:t>
            </w:r>
          </w:p>
        </w:tc>
        <w:tc>
          <w:tcPr>
            <w:tcW w:w="460" w:type="pct"/>
            <w:tcBorders>
              <w:top w:val="single" w:color="000000" w:sz="4" w:space="0"/>
              <w:left w:val="single" w:color="000000" w:sz="4" w:space="0"/>
              <w:bottom w:val="single" w:color="000000" w:sz="12" w:space="0"/>
              <w:right w:val="single" w:color="000000" w:sz="4" w:space="0"/>
            </w:tcBorders>
            <w:vAlign w:val="center"/>
          </w:tcPr>
          <w:p w14:paraId="5D4E01F9">
            <w:pPr>
              <w:spacing w:line="240" w:lineRule="auto"/>
              <w:ind w:firstLine="0" w:firstLineChars="0"/>
              <w:jc w:val="center"/>
              <w:rPr>
                <w:sz w:val="18"/>
                <w:szCs w:val="18"/>
              </w:rPr>
            </w:pPr>
            <w:r>
              <w:rPr>
                <w:sz w:val="18"/>
                <w:szCs w:val="18"/>
              </w:rPr>
              <w:t>62.65</w:t>
            </w:r>
          </w:p>
        </w:tc>
        <w:tc>
          <w:tcPr>
            <w:tcW w:w="460" w:type="pct"/>
            <w:tcBorders>
              <w:top w:val="single" w:color="000000" w:sz="4" w:space="0"/>
              <w:left w:val="single" w:color="000000" w:sz="4" w:space="0"/>
              <w:bottom w:val="single" w:color="000000" w:sz="12" w:space="0"/>
              <w:right w:val="single" w:color="000000" w:sz="4" w:space="0"/>
            </w:tcBorders>
            <w:vAlign w:val="center"/>
          </w:tcPr>
          <w:p w14:paraId="14AE9DC7">
            <w:pPr>
              <w:spacing w:line="240" w:lineRule="auto"/>
              <w:ind w:firstLine="0" w:firstLineChars="0"/>
              <w:jc w:val="center"/>
              <w:rPr>
                <w:sz w:val="18"/>
                <w:szCs w:val="18"/>
              </w:rPr>
            </w:pPr>
            <w:r>
              <w:rPr>
                <w:sz w:val="18"/>
                <w:szCs w:val="18"/>
              </w:rPr>
              <w:t>61.86</w:t>
            </w:r>
          </w:p>
        </w:tc>
        <w:tc>
          <w:tcPr>
            <w:tcW w:w="460" w:type="pct"/>
            <w:tcBorders>
              <w:top w:val="single" w:color="000000" w:sz="4" w:space="0"/>
              <w:left w:val="single" w:color="000000" w:sz="4" w:space="0"/>
              <w:bottom w:val="single" w:color="000000" w:sz="12" w:space="0"/>
              <w:right w:val="single" w:color="000000" w:sz="4" w:space="0"/>
            </w:tcBorders>
            <w:vAlign w:val="center"/>
          </w:tcPr>
          <w:p w14:paraId="09E7997D">
            <w:pPr>
              <w:spacing w:line="240" w:lineRule="auto"/>
              <w:ind w:firstLine="0" w:firstLineChars="0"/>
              <w:jc w:val="center"/>
              <w:rPr>
                <w:sz w:val="18"/>
                <w:szCs w:val="18"/>
              </w:rPr>
            </w:pPr>
            <w:r>
              <w:rPr>
                <w:sz w:val="18"/>
                <w:szCs w:val="18"/>
              </w:rPr>
              <w:t>61.61</w:t>
            </w:r>
          </w:p>
        </w:tc>
        <w:tc>
          <w:tcPr>
            <w:tcW w:w="460" w:type="pct"/>
            <w:tcBorders>
              <w:top w:val="single" w:color="000000" w:sz="4" w:space="0"/>
              <w:left w:val="single" w:color="000000" w:sz="4" w:space="0"/>
              <w:bottom w:val="single" w:color="000000" w:sz="12" w:space="0"/>
              <w:right w:val="single" w:color="000000" w:sz="12" w:space="0"/>
            </w:tcBorders>
            <w:vAlign w:val="center"/>
          </w:tcPr>
          <w:p w14:paraId="14F7FABF">
            <w:pPr>
              <w:spacing w:line="240" w:lineRule="auto"/>
              <w:ind w:firstLine="0" w:firstLineChars="0"/>
              <w:jc w:val="center"/>
              <w:rPr>
                <w:sz w:val="18"/>
                <w:szCs w:val="18"/>
              </w:rPr>
            </w:pPr>
            <w:r>
              <w:rPr>
                <w:sz w:val="18"/>
                <w:szCs w:val="18"/>
              </w:rPr>
              <w:t>59.61</w:t>
            </w:r>
          </w:p>
        </w:tc>
      </w:tr>
    </w:tbl>
    <w:p w14:paraId="2F3CBA72">
      <w:pPr>
        <w:tabs>
          <w:tab w:val="clear" w:pos="480"/>
        </w:tabs>
        <w:adjustRightInd w:val="0"/>
        <w:snapToGrid w:val="0"/>
        <w:ind w:firstLine="406"/>
        <w:rPr>
          <w:b/>
          <w:spacing w:val="-4"/>
          <w:kern w:val="0"/>
          <w:sz w:val="21"/>
          <w:szCs w:val="21"/>
        </w:rPr>
      </w:pPr>
      <w:r>
        <w:rPr>
          <w:rFonts w:hint="eastAsia"/>
          <w:b/>
          <w:spacing w:val="-4"/>
          <w:kern w:val="0"/>
          <w:sz w:val="21"/>
          <w:szCs w:val="21"/>
        </w:rPr>
        <w:t>注：</w:t>
      </w:r>
      <w:r>
        <w:rPr>
          <w:b/>
          <w:spacing w:val="-4"/>
          <w:kern w:val="0"/>
          <w:sz w:val="21"/>
          <w:szCs w:val="21"/>
        </w:rPr>
        <w:t>r2=</w:t>
      </w:r>
      <w:r>
        <w:rPr>
          <w:rFonts w:hint="eastAsia"/>
          <w:b/>
          <w:spacing w:val="-4"/>
          <w:kern w:val="0"/>
          <w:sz w:val="21"/>
          <w:szCs w:val="21"/>
        </w:rPr>
        <w:t>（（</w:t>
      </w:r>
      <w:r>
        <w:rPr>
          <w:b/>
          <w:spacing w:val="-4"/>
          <w:kern w:val="0"/>
          <w:sz w:val="21"/>
          <w:szCs w:val="21"/>
        </w:rPr>
        <w:t>r1</w:t>
      </w:r>
      <w:r>
        <w:rPr>
          <w:rFonts w:hint="eastAsia"/>
          <w:b/>
          <w:spacing w:val="-4"/>
          <w:kern w:val="0"/>
          <w:sz w:val="21"/>
          <w:szCs w:val="21"/>
        </w:rPr>
        <w:t>）</w:t>
      </w:r>
      <w:r>
        <w:rPr>
          <w:b/>
          <w:spacing w:val="-4"/>
          <w:kern w:val="0"/>
          <w:sz w:val="21"/>
          <w:szCs w:val="21"/>
          <w:vertAlign w:val="superscript"/>
        </w:rPr>
        <w:t>2</w:t>
      </w:r>
      <w:r>
        <w:rPr>
          <w:b/>
          <w:spacing w:val="-4"/>
          <w:kern w:val="0"/>
          <w:sz w:val="21"/>
          <w:szCs w:val="21"/>
        </w:rPr>
        <w:t>+115</w:t>
      </w:r>
      <w:r>
        <w:rPr>
          <w:b/>
          <w:spacing w:val="-4"/>
          <w:kern w:val="0"/>
          <w:sz w:val="21"/>
          <w:szCs w:val="21"/>
          <w:vertAlign w:val="superscript"/>
        </w:rPr>
        <w:t>2</w:t>
      </w:r>
      <w:r>
        <w:rPr>
          <w:rFonts w:hint="eastAsia"/>
          <w:b/>
          <w:spacing w:val="-4"/>
          <w:kern w:val="0"/>
          <w:sz w:val="21"/>
          <w:szCs w:val="21"/>
        </w:rPr>
        <w:t>）</w:t>
      </w:r>
      <w:r>
        <w:rPr>
          <w:b/>
          <w:spacing w:val="-4"/>
          <w:kern w:val="0"/>
          <w:sz w:val="21"/>
          <w:szCs w:val="21"/>
          <w:vertAlign w:val="superscript"/>
        </w:rPr>
        <w:t>1/2</w:t>
      </w:r>
    </w:p>
    <w:p w14:paraId="47C96E4C">
      <w:pPr>
        <w:adjustRightInd w:val="0"/>
        <w:snapToGrid w:val="0"/>
        <w:ind w:firstLine="480"/>
      </w:pPr>
      <w:r>
        <w:t>从</w:t>
      </w:r>
      <w:r>
        <w:rPr>
          <w:rFonts w:hint="eastAsia"/>
        </w:rPr>
        <w:t>上表</w:t>
      </w:r>
      <w:r>
        <w:t>结果可以看出，不考虑敏感点与风电机组基础处高程差的情况下，</w:t>
      </w:r>
      <w:r>
        <w:rPr>
          <w:rFonts w:hint="eastAsia"/>
        </w:rPr>
        <w:t>夜间</w:t>
      </w:r>
      <w:r>
        <w:t>水平距离200m处的噪声满足《声环境质量标准》(GB3096-2008)</w:t>
      </w:r>
      <w:r>
        <w:rPr>
          <w:rFonts w:hint="eastAsia"/>
        </w:rPr>
        <w:t>2</w:t>
      </w:r>
      <w:r>
        <w:t>类声环境功能区夜间突发噪声限值6</w:t>
      </w:r>
      <w:r>
        <w:rPr>
          <w:rFonts w:hint="eastAsia"/>
        </w:rPr>
        <w:t>5</w:t>
      </w:r>
      <w:r>
        <w:t>dB(A)的要求。本环评建议，为了减小偏航系统产生的刹车噪声对噪声敏感建筑物的影响，风电机组在运行过程中应加强偏航系统的维护保养并应尽量避免夜间运行偏航系统，将风电机组对噪声敏感建筑物的影响降低至最小。</w:t>
      </w:r>
    </w:p>
    <w:p w14:paraId="15992D02">
      <w:pPr>
        <w:tabs>
          <w:tab w:val="clear" w:pos="480"/>
        </w:tabs>
        <w:adjustRightInd w:val="0"/>
        <w:snapToGrid w:val="0"/>
        <w:ind w:firstLine="0" w:firstLineChars="0"/>
        <w:outlineLvl w:val="3"/>
        <w:rPr>
          <w:b/>
          <w:kern w:val="0"/>
          <w:lang w:val="zh-CN"/>
        </w:rPr>
      </w:pPr>
      <w:r>
        <w:rPr>
          <w:b/>
          <w:kern w:val="0"/>
        </w:rPr>
        <w:t>6</w:t>
      </w:r>
      <w:r>
        <w:rPr>
          <w:b/>
          <w:kern w:val="0"/>
          <w:lang w:val="zh-CN"/>
        </w:rPr>
        <w:t>.2.3.2</w:t>
      </w:r>
      <w:r>
        <w:rPr>
          <w:rFonts w:hint="eastAsia"/>
          <w:b/>
          <w:kern w:val="0"/>
          <w:lang w:val="zh-CN"/>
        </w:rPr>
        <w:t>升压站声环境影响分析</w:t>
      </w:r>
    </w:p>
    <w:p w14:paraId="30605F93">
      <w:pPr>
        <w:adjustRightInd w:val="0"/>
        <w:snapToGrid w:val="0"/>
        <w:ind w:firstLine="480"/>
      </w:pPr>
      <w:r>
        <w:t>户外式110kV升压站（变电站）对周围声环境的影响主要是由变电站中的主变压器运行时所产生的噪声，变电站运行期声环境影响也可采用点声源模式进行预测及评价。根据典型110kV主变压器运行期间的噪声类比监测数据及相关设计资料，取较高水平按照距离110kV主变压器1m处声压级65dB（A）计算。</w:t>
      </w:r>
    </w:p>
    <w:p w14:paraId="7C3F4691">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预测模式</w:t>
      </w:r>
    </w:p>
    <w:p w14:paraId="22832369">
      <w:pPr>
        <w:adjustRightInd w:val="0"/>
        <w:snapToGrid w:val="0"/>
        <w:ind w:firstLine="480"/>
      </w:pPr>
      <w:r>
        <w:t>采用《环境影响评价技术导则－声环境》（HJ 2.4</w:t>
      </w:r>
      <w:r>
        <w:rPr>
          <w:rFonts w:hint="eastAsia"/>
        </w:rPr>
        <w:t>-</w:t>
      </w:r>
      <w:r>
        <w:t>2021）中的室外工业噪声预测模式。</w:t>
      </w:r>
    </w:p>
    <w:p w14:paraId="1BF23B01">
      <w:pPr>
        <w:adjustRightInd w:val="0"/>
        <w:snapToGrid w:val="0"/>
        <w:ind w:firstLine="480"/>
      </w:pPr>
      <w:r>
        <w:t>1)室外声源</w:t>
      </w:r>
    </w:p>
    <w:p w14:paraId="36CE5042">
      <w:pPr>
        <w:adjustRightInd w:val="0"/>
        <w:snapToGrid w:val="0"/>
        <w:ind w:firstLine="480"/>
      </w:pPr>
      <w:r>
        <w:rPr>
          <w:rFonts w:hint="eastAsia"/>
        </w:rPr>
        <w:t>A</w:t>
      </w:r>
      <w:r>
        <w:t>计算某个声源在预测点的倍频带声压级</w:t>
      </w:r>
    </w:p>
    <w:p w14:paraId="23E9C4FA">
      <w:pPr>
        <w:tabs>
          <w:tab w:val="clear" w:pos="480"/>
        </w:tabs>
        <w:adjustRightInd w:val="0"/>
        <w:snapToGrid w:val="0"/>
        <w:ind w:firstLine="480"/>
        <w:jc w:val="center"/>
      </w:pPr>
      <w:r>
        <w:object>
          <v:shape id="_x0000_i1029" o:spt="75" type="#_x0000_t75" style="height:14.25pt;width:86.25pt;" o:ole="t" filled="f" o:preferrelative="t" stroked="f" coordsize="21600,21600">
            <v:path/>
            <v:fill on="f" focussize="0,0"/>
            <v:stroke on="f" joinstyle="miter"/>
            <v:imagedata r:id="rId62" o:title=""/>
            <o:lock v:ext="edit" aspectratio="t"/>
            <w10:wrap type="none"/>
            <w10:anchorlock/>
          </v:shape>
          <o:OLEObject Type="Embed" ProgID="Equation.3" ShapeID="_x0000_i1029" DrawAspect="Content" ObjectID="_1468075729" r:id="rId61">
            <o:LockedField>false</o:LockedField>
          </o:OLEObject>
        </w:object>
      </w:r>
    </w:p>
    <w:p w14:paraId="5A366BDB">
      <w:pPr>
        <w:shd w:val="clear" w:color="auto" w:fill="FFFFFF"/>
        <w:tabs>
          <w:tab w:val="clear" w:pos="480"/>
        </w:tabs>
        <w:adjustRightInd w:val="0"/>
        <w:snapToGrid w:val="0"/>
        <w:ind w:firstLine="480"/>
        <w:jc w:val="center"/>
        <w:rPr>
          <w:snapToGrid w:val="0"/>
          <w:kern w:val="0"/>
        </w:rPr>
      </w:pPr>
      <w:r>
        <w:rPr>
          <w:snapToGrid w:val="0"/>
          <w:kern w:val="0"/>
        </w:rPr>
        <w:object>
          <v:shape id="_x0000_i1030" o:spt="75" type="#_x0000_t75" style="height:23.25pt;width:167.25pt;" o:ole="t" filled="f" o:preferrelative="t" stroked="f" coordsize="21600,21600">
            <v:path/>
            <v:fill on="f" focussize="0,0"/>
            <v:stroke on="f" joinstyle="miter"/>
            <v:imagedata r:id="rId64" o:title=""/>
            <o:lock v:ext="edit" aspectratio="t"/>
            <w10:wrap type="none"/>
            <w10:anchorlock/>
          </v:shape>
          <o:OLEObject Type="Embed" ProgID="Equation.3" ShapeID="_x0000_i1030" DrawAspect="Content" ObjectID="_1468075730" r:id="rId63">
            <o:LockedField>false</o:LockedField>
          </o:OLEObject>
        </w:object>
      </w:r>
    </w:p>
    <w:p w14:paraId="74D4A3DF">
      <w:pPr>
        <w:tabs>
          <w:tab w:val="clear" w:pos="480"/>
        </w:tabs>
        <w:adjustRightInd w:val="0"/>
        <w:snapToGrid w:val="0"/>
        <w:ind w:firstLine="480"/>
      </w:pPr>
      <w:r>
        <w:t>式中：</w:t>
      </w:r>
    </w:p>
    <w:p w14:paraId="1C9F90C2">
      <w:pPr>
        <w:tabs>
          <w:tab w:val="clear" w:pos="480"/>
        </w:tabs>
        <w:adjustRightInd w:val="0"/>
        <w:snapToGrid w:val="0"/>
        <w:ind w:firstLine="480"/>
      </w:pPr>
      <w:r>
        <w:object>
          <v:shape id="_x0000_i1031" o:spt="75" type="#_x0000_t75" style="height:14.25pt;width:14.25pt;" o:ole="t" filled="f" o:preferrelative="t" stroked="f" coordsize="21600,21600">
            <v:path/>
            <v:fill on="f" focussize="0,0"/>
            <v:stroke on="f" joinstyle="miter"/>
            <v:imagedata r:id="rId66" o:title=""/>
            <o:lock v:ext="edit" aspectratio="t"/>
            <w10:wrap type="none"/>
            <w10:anchorlock/>
          </v:shape>
          <o:OLEObject Type="Embed" ProgID="Equation.3" ShapeID="_x0000_i1031" DrawAspect="Content" ObjectID="_1468075731" r:id="rId65">
            <o:LockedField>false</o:LockedField>
          </o:OLEObject>
        </w:object>
      </w:r>
      <w:r>
        <w:t>——倍频带声功率级，dB；</w:t>
      </w:r>
    </w:p>
    <w:p w14:paraId="308127F0">
      <w:pPr>
        <w:tabs>
          <w:tab w:val="clear" w:pos="480"/>
        </w:tabs>
        <w:adjustRightInd w:val="0"/>
        <w:snapToGrid w:val="0"/>
        <w:ind w:firstLine="480"/>
      </w:pPr>
      <w:r>
        <w:object>
          <v:shape id="_x0000_i1032" o:spt="75" type="#_x0000_t75" style="height:14.25pt;width:14.25pt;" o:ole="t" filled="f" o:preferrelative="t" stroked="f" coordsize="21600,21600">
            <v:path/>
            <v:fill on="f" focussize="0,0"/>
            <v:stroke on="f" joinstyle="miter"/>
            <v:imagedata r:id="rId68" o:title=""/>
            <o:lock v:ext="edit" aspectratio="t"/>
            <w10:wrap type="none"/>
            <w10:anchorlock/>
          </v:shape>
          <o:OLEObject Type="Embed" ProgID="Equation.3" ShapeID="_x0000_i1032" DrawAspect="Content" ObjectID="_1468075732" r:id="rId67">
            <o:LockedField>false</o:LockedField>
          </o:OLEObject>
        </w:object>
      </w:r>
      <w:r>
        <w:t>——指向性校正，dB，它描述点声源的等效连续声压级与产生声功率级</w:t>
      </w:r>
      <w:r>
        <w:object>
          <v:shape id="_x0000_i1033" o:spt="75" type="#_x0000_t75" style="height:14.25pt;width:14.25pt;" o:ole="t" filled="f" o:preferrelative="t" stroked="f" coordsize="21600,21600">
            <v:path/>
            <v:fill on="f" focussize="0,0"/>
            <v:stroke on="f" joinstyle="miter"/>
            <v:imagedata r:id="rId70" o:title=""/>
            <o:lock v:ext="edit" aspectratio="t"/>
            <w10:wrap type="none"/>
            <w10:anchorlock/>
          </v:shape>
          <o:OLEObject Type="Embed" ProgID="Equation.3" ShapeID="_x0000_i1033" DrawAspect="Content" ObjectID="_1468075733" r:id="rId69">
            <o:LockedField>false</o:LockedField>
          </o:OLEObject>
        </w:object>
      </w:r>
      <w:r>
        <w:t>的全向点声源在规定方向的级的偏差程度。指向性校正等于点声源的指向性指数</w:t>
      </w:r>
      <w:r>
        <w:object>
          <v:shape id="_x0000_i1034" o:spt="75" type="#_x0000_t75" style="height:14.25pt;width:14.25pt;" o:ole="t" filled="f" o:preferrelative="t" stroked="f" coordsize="21600,21600">
            <v:path/>
            <v:fill on="f" focussize="0,0"/>
            <v:stroke on="f" joinstyle="miter"/>
            <v:imagedata r:id="rId72" o:title=""/>
            <o:lock v:ext="edit" aspectratio="t"/>
            <w10:wrap type="none"/>
            <w10:anchorlock/>
          </v:shape>
          <o:OLEObject Type="Embed" ProgID="Equation.3" ShapeID="_x0000_i1034" DrawAspect="Content" ObjectID="_1468075734" r:id="rId71">
            <o:LockedField>false</o:LockedField>
          </o:OLEObject>
        </w:object>
      </w:r>
      <w:r>
        <w:t>加上计到小于4π球面度（sr）立体角内的声传播指数</w:t>
      </w:r>
      <w:r>
        <w:object>
          <v:shape id="_x0000_i1035" o:spt="75" type="#_x0000_t75" style="height:23.25pt;width:14.25pt;" o:ole="t" filled="f" o:preferrelative="t" stroked="f" coordsize="21600,21600">
            <v:path/>
            <v:fill on="f" focussize="0,0"/>
            <v:stroke on="f" joinstyle="miter"/>
            <v:imagedata r:id="rId74" o:title=""/>
            <o:lock v:ext="edit" aspectratio="t"/>
            <w10:wrap type="none"/>
            <w10:anchorlock/>
          </v:shape>
          <o:OLEObject Type="Embed" ProgID="Equation.3" ShapeID="_x0000_i1035" DrawAspect="Content" ObjectID="_1468075735" r:id="rId73">
            <o:LockedField>false</o:LockedField>
          </o:OLEObject>
        </w:object>
      </w:r>
      <w:r>
        <w:t>。对辐射到自由空间的全向点声源，</w:t>
      </w:r>
      <w:r>
        <w:object>
          <v:shape id="_x0000_i1036" o:spt="75" type="#_x0000_t75" style="height:14.25pt;width:14.25pt;" o:ole="t" filled="f" o:preferrelative="t" stroked="f" coordsize="21600,21600">
            <v:path/>
            <v:fill on="f" focussize="0,0"/>
            <v:stroke on="f" joinstyle="miter"/>
            <v:imagedata r:id="rId76" o:title=""/>
            <o:lock v:ext="edit" aspectratio="t"/>
            <w10:wrap type="none"/>
            <w10:anchorlock/>
          </v:shape>
          <o:OLEObject Type="Embed" ProgID="Equation.3" ShapeID="_x0000_i1036" DrawAspect="Content" ObjectID="_1468075736" r:id="rId75">
            <o:LockedField>false</o:LockedField>
          </o:OLEObject>
        </w:object>
      </w:r>
      <w:r>
        <w:t>=0dB。</w:t>
      </w:r>
    </w:p>
    <w:p w14:paraId="65E5E446">
      <w:pPr>
        <w:tabs>
          <w:tab w:val="clear" w:pos="480"/>
        </w:tabs>
        <w:adjustRightInd w:val="0"/>
        <w:snapToGrid w:val="0"/>
        <w:ind w:firstLine="480"/>
      </w:pPr>
      <w:r>
        <w:object>
          <v:shape id="_x0000_i1037" o:spt="75" type="#_x0000_t75" style="height:14.25pt;width:14.25pt;" o:ole="t" filled="f" o:preferrelative="t" stroked="f" coordsize="21600,21600">
            <v:path/>
            <v:fill on="f" focussize="0,0"/>
            <v:stroke on="f" joinstyle="miter"/>
            <v:imagedata r:id="rId78" o:title=""/>
            <o:lock v:ext="edit" aspectratio="t"/>
            <w10:wrap type="none"/>
            <w10:anchorlock/>
          </v:shape>
          <o:OLEObject Type="Embed" ProgID="Equation.3" ShapeID="_x0000_i1037" DrawAspect="Content" ObjectID="_1468075737" r:id="rId77">
            <o:LockedField>false</o:LockedField>
          </o:OLEObject>
        </w:object>
      </w:r>
      <w:r>
        <w:t>——倍频带衰减，dB；</w:t>
      </w:r>
    </w:p>
    <w:p w14:paraId="3F733336">
      <w:pPr>
        <w:tabs>
          <w:tab w:val="clear" w:pos="480"/>
        </w:tabs>
        <w:adjustRightInd w:val="0"/>
        <w:snapToGrid w:val="0"/>
        <w:ind w:firstLine="480"/>
      </w:pPr>
      <w:r>
        <w:object>
          <v:shape id="_x0000_i1038" o:spt="75" type="#_x0000_t75" style="height:14.25pt;width:14.25pt;" o:ole="t" filled="f" o:preferrelative="t" stroked="f" coordsize="21600,21600">
            <v:path/>
            <v:fill on="f" focussize="0,0"/>
            <v:stroke on="f" joinstyle="miter"/>
            <v:imagedata r:id="rId80" o:title=""/>
            <o:lock v:ext="edit" aspectratio="t"/>
            <w10:wrap type="none"/>
            <w10:anchorlock/>
          </v:shape>
          <o:OLEObject Type="Embed" ProgID="Equation.3" ShapeID="_x0000_i1038" DrawAspect="Content" ObjectID="_1468075738" r:id="rId79">
            <o:LockedField>false</o:LockedField>
          </o:OLEObject>
        </w:object>
      </w:r>
      <w:r>
        <w:t>——几何发散引起的倍频带衰减，dB；</w:t>
      </w:r>
    </w:p>
    <w:p w14:paraId="41807A08">
      <w:pPr>
        <w:tabs>
          <w:tab w:val="clear" w:pos="480"/>
        </w:tabs>
        <w:adjustRightInd w:val="0"/>
        <w:snapToGrid w:val="0"/>
        <w:ind w:firstLine="480"/>
      </w:pPr>
      <w:r>
        <w:object>
          <v:shape id="_x0000_i1039" o:spt="75" type="#_x0000_t75" style="height:14.25pt;width:15.75pt;" o:ole="t" filled="f" o:preferrelative="t" stroked="f" coordsize="21600,21600">
            <v:path/>
            <v:fill on="f" focussize="0,0"/>
            <v:stroke on="f" joinstyle="miter"/>
            <v:imagedata r:id="rId82" o:title=""/>
            <o:lock v:ext="edit" aspectratio="t"/>
            <w10:wrap type="none"/>
            <w10:anchorlock/>
          </v:shape>
          <o:OLEObject Type="Embed" ProgID="Equation.3" ShapeID="_x0000_i1039" DrawAspect="Content" ObjectID="_1468075739" r:id="rId81">
            <o:LockedField>false</o:LockedField>
          </o:OLEObject>
        </w:object>
      </w:r>
      <w:r>
        <w:t>——大气吸收引起的倍频带衰减，dB；</w:t>
      </w:r>
    </w:p>
    <w:p w14:paraId="78D64F75">
      <w:pPr>
        <w:tabs>
          <w:tab w:val="clear" w:pos="480"/>
        </w:tabs>
        <w:adjustRightInd w:val="0"/>
        <w:snapToGrid w:val="0"/>
        <w:ind w:firstLine="480"/>
      </w:pPr>
      <w:r>
        <w:object>
          <v:shape id="_x0000_i1040" o:spt="75" type="#_x0000_t75" style="height:14.25pt;width:14.25pt;" o:ole="t" filled="f" o:preferrelative="t" stroked="f" coordsize="21600,21600">
            <v:path/>
            <v:fill on="f" focussize="0,0"/>
            <v:stroke on="f" joinstyle="miter"/>
            <v:imagedata r:id="rId84" o:title=""/>
            <o:lock v:ext="edit" aspectratio="t"/>
            <w10:wrap type="none"/>
            <w10:anchorlock/>
          </v:shape>
          <o:OLEObject Type="Embed" ProgID="Equation.3" ShapeID="_x0000_i1040" DrawAspect="Content" ObjectID="_1468075740" r:id="rId83">
            <o:LockedField>false</o:LockedField>
          </o:OLEObject>
        </w:object>
      </w:r>
      <w:r>
        <w:t>——地面效应引起的倍频带衰减，dB；</w:t>
      </w:r>
    </w:p>
    <w:p w14:paraId="50B33171">
      <w:pPr>
        <w:tabs>
          <w:tab w:val="clear" w:pos="480"/>
        </w:tabs>
        <w:adjustRightInd w:val="0"/>
        <w:snapToGrid w:val="0"/>
        <w:ind w:firstLine="480"/>
      </w:pPr>
      <w:r>
        <w:object>
          <v:shape id="_x0000_i1041" o:spt="75" type="#_x0000_t75" style="height:14.25pt;width:14.25pt;" o:ole="t" filled="f" o:preferrelative="t" stroked="f" coordsize="21600,21600">
            <v:path/>
            <v:fill on="f" focussize="0,0"/>
            <v:stroke on="f" joinstyle="miter"/>
            <v:imagedata r:id="rId86" o:title=""/>
            <o:lock v:ext="edit" aspectratio="t"/>
            <w10:wrap type="none"/>
            <w10:anchorlock/>
          </v:shape>
          <o:OLEObject Type="Embed" ProgID="Equation.3" ShapeID="_x0000_i1041" DrawAspect="Content" ObjectID="_1468075741" r:id="rId85">
            <o:LockedField>false</o:LockedField>
          </o:OLEObject>
        </w:object>
      </w:r>
      <w:r>
        <w:t>——声屏障引起的倍频带衰减，dB；</w:t>
      </w:r>
    </w:p>
    <w:p w14:paraId="057C924C">
      <w:pPr>
        <w:tabs>
          <w:tab w:val="clear" w:pos="480"/>
        </w:tabs>
        <w:adjustRightInd w:val="0"/>
        <w:snapToGrid w:val="0"/>
        <w:ind w:firstLine="480"/>
      </w:pPr>
      <w:r>
        <w:object>
          <v:shape id="_x0000_i1042" o:spt="75" type="#_x0000_t75" style="height:14.25pt;width:14.25pt;" o:ole="t" filled="f" o:preferrelative="t" stroked="f" coordsize="21600,21600">
            <v:path/>
            <v:fill on="f" focussize="0,0"/>
            <v:stroke on="f" joinstyle="miter"/>
            <v:imagedata r:id="rId88" o:title=""/>
            <o:lock v:ext="edit" aspectratio="t"/>
            <w10:wrap type="none"/>
            <w10:anchorlock/>
          </v:shape>
          <o:OLEObject Type="Embed" ProgID="Equation.3" ShapeID="_x0000_i1042" DrawAspect="Content" ObjectID="_1468075742" r:id="rId87">
            <o:LockedField>false</o:LockedField>
          </o:OLEObject>
        </w:object>
      </w:r>
      <w:r>
        <w:t>——其它多方面效应引起的倍频带衰减，dB；</w:t>
      </w:r>
    </w:p>
    <w:p w14:paraId="170523B6">
      <w:pPr>
        <w:tabs>
          <w:tab w:val="clear" w:pos="480"/>
        </w:tabs>
        <w:adjustRightInd w:val="0"/>
        <w:snapToGrid w:val="0"/>
        <w:ind w:firstLine="480"/>
      </w:pPr>
      <w:r>
        <w:rPr>
          <w:rFonts w:hint="eastAsia"/>
        </w:rPr>
        <w:t>B</w:t>
      </w:r>
      <w:r>
        <w:t>已知靠近声源处某点的倍频带声压级</w:t>
      </w:r>
      <w:r>
        <w:object>
          <v:shape id="_x0000_i1043" o:spt="75" type="#_x0000_t75" style="height:23.25pt;width:36.75pt;" o:ole="t" filled="f" o:preferrelative="t" stroked="f" coordsize="21600,21600">
            <v:path/>
            <v:fill on="f" focussize="0,0"/>
            <v:stroke on="f" joinstyle="miter"/>
            <v:imagedata r:id="rId90" o:title=""/>
            <o:lock v:ext="edit" aspectratio="t"/>
            <w10:wrap type="none"/>
            <w10:anchorlock/>
          </v:shape>
          <o:OLEObject Type="Embed" ProgID="Equation.3" ShapeID="_x0000_i1043" DrawAspect="Content" ObjectID="_1468075743" r:id="rId89">
            <o:LockedField>false</o:LockedField>
          </o:OLEObject>
        </w:object>
      </w:r>
      <w:r>
        <w:t>，计算相同方向预测点位置的倍频带声压级</w:t>
      </w:r>
    </w:p>
    <w:p w14:paraId="3B37B623">
      <w:pPr>
        <w:shd w:val="clear" w:color="auto" w:fill="FFFFFF"/>
        <w:tabs>
          <w:tab w:val="clear" w:pos="480"/>
        </w:tabs>
        <w:adjustRightInd w:val="0"/>
        <w:snapToGrid w:val="0"/>
        <w:ind w:firstLine="480"/>
        <w:jc w:val="center"/>
        <w:rPr>
          <w:snapToGrid w:val="0"/>
          <w:kern w:val="0"/>
        </w:rPr>
      </w:pPr>
      <w:r>
        <w:rPr>
          <w:snapToGrid w:val="0"/>
          <w:kern w:val="0"/>
        </w:rPr>
        <w:object>
          <v:shape id="_x0000_i1044" o:spt="75" type="#_x0000_t75" style="height:14.25pt;width:94.5pt;" o:ole="t" filled="f" o:preferrelative="t" stroked="f" coordsize="21600,21600">
            <v:path/>
            <v:fill on="f" focussize="0,0"/>
            <v:stroke on="f" joinstyle="miter"/>
            <v:imagedata r:id="rId92" o:title=""/>
            <o:lock v:ext="edit" aspectratio="t"/>
            <w10:wrap type="none"/>
            <w10:anchorlock/>
          </v:shape>
          <o:OLEObject Type="Embed" ProgID="Equation.3" ShapeID="_x0000_i1044" DrawAspect="Content" ObjectID="_1468075744" r:id="rId91">
            <o:LockedField>false</o:LockedField>
          </o:OLEObject>
        </w:object>
      </w:r>
    </w:p>
    <w:p w14:paraId="63533F52">
      <w:pPr>
        <w:tabs>
          <w:tab w:val="clear" w:pos="480"/>
        </w:tabs>
        <w:adjustRightInd w:val="0"/>
        <w:snapToGrid w:val="0"/>
        <w:ind w:firstLine="480"/>
      </w:pPr>
      <w:r>
        <w:t>预测点的A声级</w:t>
      </w:r>
      <w:r>
        <w:object>
          <v:shape id="_x0000_i1045" o:spt="75" type="#_x0000_t75" style="height:23.25pt;width:36.75pt;" o:ole="t" filled="f" o:preferrelative="t" stroked="f" coordsize="21600,21600">
            <v:path/>
            <v:fill on="f" focussize="0,0"/>
            <v:stroke on="f" joinstyle="miter"/>
            <v:imagedata r:id="rId94" o:title=""/>
            <o:lock v:ext="edit" aspectratio="t"/>
            <w10:wrap type="none"/>
            <w10:anchorlock/>
          </v:shape>
          <o:OLEObject Type="Embed" ProgID="Equation.3" ShapeID="_x0000_i1045" DrawAspect="Content" ObjectID="_1468075745" r:id="rId93">
            <o:LockedField>false</o:LockedField>
          </o:OLEObject>
        </w:object>
      </w:r>
      <w:r>
        <w:t>，可利用8个倍频带的声压级按如下计算：</w:t>
      </w:r>
    </w:p>
    <w:p w14:paraId="0BB10821">
      <w:pPr>
        <w:tabs>
          <w:tab w:val="clear" w:pos="480"/>
        </w:tabs>
        <w:adjustRightInd w:val="0"/>
        <w:snapToGrid w:val="0"/>
        <w:ind w:firstLine="480"/>
        <w:jc w:val="center"/>
      </w:pPr>
      <w:r>
        <w:object>
          <v:shape id="_x0000_i1046" o:spt="75" type="#_x0000_t75" style="height:37.5pt;width:145.5pt;" o:ole="t" filled="f" o:preferrelative="t" stroked="f" coordsize="21600,21600">
            <v:path/>
            <v:fill on="f" focussize="0,0"/>
            <v:stroke on="f" joinstyle="miter"/>
            <v:imagedata r:id="rId96" o:title=""/>
            <o:lock v:ext="edit" aspectratio="t"/>
            <w10:wrap type="none"/>
            <w10:anchorlock/>
          </v:shape>
          <o:OLEObject Type="Embed" ProgID="Equation.3" ShapeID="_x0000_i1046" DrawAspect="Content" ObjectID="_1468075746" r:id="rId95">
            <o:LockedField>false</o:LockedField>
          </o:OLEObject>
        </w:object>
      </w:r>
    </w:p>
    <w:p w14:paraId="21919D93">
      <w:pPr>
        <w:tabs>
          <w:tab w:val="clear" w:pos="480"/>
        </w:tabs>
        <w:adjustRightInd w:val="0"/>
        <w:snapToGrid w:val="0"/>
        <w:ind w:firstLine="480"/>
      </w:pPr>
      <w:r>
        <w:t>式中：</w:t>
      </w:r>
    </w:p>
    <w:p w14:paraId="6A56E418">
      <w:pPr>
        <w:tabs>
          <w:tab w:val="clear" w:pos="480"/>
        </w:tabs>
        <w:adjustRightInd w:val="0"/>
        <w:snapToGrid w:val="0"/>
        <w:ind w:firstLine="480"/>
      </w:pPr>
      <w:r>
        <w:object>
          <v:shape id="_x0000_i1047" o:spt="75" type="#_x0000_t75" style="height:23.25pt;width:29.25pt;" o:ole="t" filled="f" o:preferrelative="t" stroked="f" coordsize="21600,21600">
            <v:path/>
            <v:fill on="f" focussize="0,0"/>
            <v:stroke on="f" joinstyle="miter"/>
            <v:imagedata r:id="rId98" o:title=""/>
            <o:lock v:ext="edit" aspectratio="t"/>
            <w10:wrap type="none"/>
            <w10:anchorlock/>
          </v:shape>
          <o:OLEObject Type="Embed" ProgID="Equation.3" ShapeID="_x0000_i1047" DrawAspect="Content" ObjectID="_1468075747" r:id="rId97">
            <o:LockedField>false</o:LockedField>
          </o:OLEObject>
        </w:object>
      </w:r>
      <w:r>
        <w:t>——预测点（r）处，第i倍频带声压级，dB；</w:t>
      </w:r>
    </w:p>
    <w:p w14:paraId="227968CD">
      <w:pPr>
        <w:tabs>
          <w:tab w:val="clear" w:pos="480"/>
        </w:tabs>
        <w:adjustRightInd w:val="0"/>
        <w:snapToGrid w:val="0"/>
        <w:ind w:firstLine="480"/>
      </w:pPr>
      <w:r>
        <w:object>
          <v:shape id="_x0000_i1048" o:spt="75" type="#_x0000_t75" style="height:14.25pt;width:23.25pt;" o:ole="t" filled="f" o:preferrelative="t" stroked="f" coordsize="21600,21600">
            <v:path/>
            <v:fill on="f" focussize="0,0"/>
            <v:stroke on="f" joinstyle="miter"/>
            <v:imagedata r:id="rId100" o:title=""/>
            <o:lock v:ext="edit" aspectratio="t"/>
            <w10:wrap type="none"/>
            <w10:anchorlock/>
          </v:shape>
          <o:OLEObject Type="Embed" ProgID="Equation.3" ShapeID="_x0000_i1048" DrawAspect="Content" ObjectID="_1468075748" r:id="rId99">
            <o:LockedField>false</o:LockedField>
          </o:OLEObject>
        </w:object>
      </w:r>
      <w:r>
        <w:t>——i倍频带A计权网络修正值，dB。</w:t>
      </w:r>
    </w:p>
    <w:p w14:paraId="26B65285">
      <w:pPr>
        <w:tabs>
          <w:tab w:val="clear" w:pos="480"/>
        </w:tabs>
        <w:adjustRightInd w:val="0"/>
        <w:snapToGrid w:val="0"/>
        <w:ind w:firstLine="480"/>
      </w:pPr>
      <w:r>
        <w:t>在不能取得声源倍频带声功率级或倍频带声压，只能获得A声功率级或某点的A声级时，按如下公式近似计算；</w:t>
      </w:r>
    </w:p>
    <w:p w14:paraId="3B888E2F">
      <w:pPr>
        <w:tabs>
          <w:tab w:val="clear" w:pos="480"/>
        </w:tabs>
        <w:adjustRightInd w:val="0"/>
        <w:snapToGrid w:val="0"/>
        <w:ind w:firstLine="480"/>
      </w:pPr>
      <w:r>
        <w:object>
          <v:shape id="_x0000_i1049" o:spt="75" type="#_x0000_t75" style="height:23.25pt;width:102pt;" o:ole="t" filled="f" o:preferrelative="t" stroked="f" coordsize="21600,21600">
            <v:path/>
            <v:fill on="f" focussize="0,0"/>
            <v:stroke on="f" joinstyle="miter"/>
            <v:imagedata r:id="rId102" o:title=""/>
            <o:lock v:ext="edit" aspectratio="t"/>
            <w10:wrap type="none"/>
            <w10:anchorlock/>
          </v:shape>
          <o:OLEObject Type="Embed" ProgID="Equation.3" ShapeID="_x0000_i1049" DrawAspect="Content" ObjectID="_1468075749" r:id="rId101">
            <o:LockedField>false</o:LockedField>
          </o:OLEObject>
        </w:object>
      </w:r>
      <w:r>
        <w:t>或</w:t>
      </w:r>
      <w:r>
        <w:object>
          <v:shape id="_x0000_i1050" o:spt="75" type="#_x0000_t75" style="height:23.25pt;width:86.25pt;" o:ole="t" filled="f" o:preferrelative="t" stroked="f" coordsize="21600,21600">
            <v:path/>
            <v:fill on="f" focussize="0,0"/>
            <v:stroke on="f" joinstyle="miter"/>
            <v:imagedata r:id="rId104" o:title=""/>
            <o:lock v:ext="edit" aspectratio="t"/>
            <w10:wrap type="none"/>
            <w10:anchorlock/>
          </v:shape>
          <o:OLEObject Type="Embed" ProgID="Equation.3" ShapeID="_x0000_i1050" DrawAspect="Content" ObjectID="_1468075750" r:id="rId103">
            <o:LockedField>false</o:LockedField>
          </o:OLEObject>
        </w:object>
      </w:r>
    </w:p>
    <w:p w14:paraId="00C38110">
      <w:pPr>
        <w:tabs>
          <w:tab w:val="clear" w:pos="480"/>
        </w:tabs>
        <w:adjustRightInd w:val="0"/>
        <w:snapToGrid w:val="0"/>
        <w:ind w:firstLine="480"/>
      </w:pPr>
      <w:r>
        <w:t>A可选择对A声级影响最大的倍频带计算，一般可选中心频率为500HZ的倍频带作估算。</w:t>
      </w:r>
    </w:p>
    <w:p w14:paraId="673AEA13">
      <w:pPr>
        <w:tabs>
          <w:tab w:val="clear" w:pos="480"/>
        </w:tabs>
        <w:adjustRightInd w:val="0"/>
        <w:snapToGrid w:val="0"/>
        <w:ind w:firstLine="480"/>
      </w:pPr>
      <w:r>
        <w:rPr>
          <w:rFonts w:hint="eastAsia"/>
        </w:rPr>
        <w:t>C</w:t>
      </w:r>
      <w:r>
        <w:t>各种因素引起的衰减量计算</w:t>
      </w:r>
    </w:p>
    <w:p w14:paraId="5A32BBA2">
      <w:pPr>
        <w:tabs>
          <w:tab w:val="clear" w:pos="480"/>
        </w:tabs>
        <w:adjustRightInd w:val="0"/>
        <w:snapToGrid w:val="0"/>
        <w:ind w:firstLine="480"/>
      </w:pPr>
      <w:r>
        <w:t>a.几何发散衰减</w:t>
      </w:r>
    </w:p>
    <w:p w14:paraId="67552E42">
      <w:pPr>
        <w:tabs>
          <w:tab w:val="clear" w:pos="480"/>
        </w:tabs>
        <w:adjustRightInd w:val="0"/>
        <w:snapToGrid w:val="0"/>
        <w:ind w:firstLine="480"/>
      </w:pPr>
      <w:r>
        <w:object>
          <v:shape id="_x0000_i1051" o:spt="75" type="#_x0000_t75" style="height:23.25pt;width:86.25pt;" o:ole="t" filled="f" o:preferrelative="t" stroked="f" coordsize="21600,21600">
            <v:path/>
            <v:fill on="f" focussize="0,0"/>
            <v:stroke on="f" joinstyle="miter"/>
            <v:imagedata r:id="rId106" o:title=""/>
            <o:lock v:ext="edit" aspectratio="t"/>
            <w10:wrap type="none"/>
            <w10:anchorlock/>
          </v:shape>
          <o:OLEObject Type="Embed" ProgID="Equation.3" ShapeID="_x0000_i1051" DrawAspect="Content" ObjectID="_1468075751" r:id="rId105">
            <o:LockedField>false</o:LockedField>
          </o:OLEObject>
        </w:object>
      </w:r>
    </w:p>
    <w:p w14:paraId="49DC9635">
      <w:pPr>
        <w:tabs>
          <w:tab w:val="clear" w:pos="480"/>
        </w:tabs>
        <w:adjustRightInd w:val="0"/>
        <w:snapToGrid w:val="0"/>
        <w:ind w:firstLine="480"/>
      </w:pPr>
      <w:r>
        <w:t>b. 空气吸收引起的衰减量：</w:t>
      </w:r>
    </w:p>
    <w:p w14:paraId="2E7B4F3D">
      <w:pPr>
        <w:tabs>
          <w:tab w:val="clear" w:pos="480"/>
        </w:tabs>
        <w:adjustRightInd w:val="0"/>
        <w:snapToGrid w:val="0"/>
        <w:ind w:firstLine="480"/>
      </w:pPr>
      <w:r>
        <w:object>
          <v:shape id="_x0000_i1052" o:spt="75" type="#_x0000_t75" style="height:37.5pt;width:79.5pt;" o:ole="t" filled="f" o:preferrelative="t" stroked="f" coordsize="21600,21600">
            <v:path/>
            <v:fill on="f" focussize="0,0"/>
            <v:stroke on="f" joinstyle="miter"/>
            <v:imagedata r:id="rId108" o:title=""/>
            <o:lock v:ext="edit" aspectratio="t"/>
            <w10:wrap type="none"/>
            <w10:anchorlock/>
          </v:shape>
          <o:OLEObject Type="Embed" ProgID="Equation.3" ShapeID="_x0000_i1052" DrawAspect="Content" ObjectID="_1468075752" r:id="rId107">
            <o:LockedField>false</o:LockedField>
          </o:OLEObject>
        </w:object>
      </w:r>
    </w:p>
    <w:p w14:paraId="4B9BA4C9">
      <w:pPr>
        <w:tabs>
          <w:tab w:val="clear" w:pos="480"/>
        </w:tabs>
        <w:adjustRightInd w:val="0"/>
        <w:snapToGrid w:val="0"/>
        <w:ind w:firstLine="480"/>
      </w:pPr>
      <w:r>
        <w:t>式中：a——空气吸收系数，dB / km。</w:t>
      </w:r>
    </w:p>
    <w:p w14:paraId="2D0D93C1">
      <w:pPr>
        <w:tabs>
          <w:tab w:val="clear" w:pos="480"/>
        </w:tabs>
        <w:adjustRightInd w:val="0"/>
        <w:snapToGrid w:val="0"/>
        <w:ind w:firstLine="480"/>
      </w:pPr>
      <w:r>
        <w:t>c. 地面效应引起的衰减量：</w:t>
      </w:r>
    </w:p>
    <w:p w14:paraId="7CEA19B1">
      <w:pPr>
        <w:tabs>
          <w:tab w:val="clear" w:pos="480"/>
        </w:tabs>
        <w:adjustRightInd w:val="0"/>
        <w:snapToGrid w:val="0"/>
        <w:ind w:firstLine="480"/>
      </w:pPr>
      <w:r>
        <w:object>
          <v:shape id="_x0000_i1053" o:spt="75" type="#_x0000_t75" style="height:37.5pt;width:158.25pt;" o:ole="t" filled="f" o:preferrelative="t" stroked="f" coordsize="21600,21600">
            <v:path/>
            <v:fill on="f" focussize="0,0"/>
            <v:stroke on="f" joinstyle="miter"/>
            <v:imagedata r:id="rId110" o:title=""/>
            <o:lock v:ext="edit" aspectratio="t"/>
            <w10:wrap type="none"/>
            <w10:anchorlock/>
          </v:shape>
          <o:OLEObject Type="Embed" ProgID="Equation.3" ShapeID="_x0000_i1053" DrawAspect="Content" ObjectID="_1468075753" r:id="rId109">
            <o:LockedField>false</o:LockedField>
          </o:OLEObject>
        </w:object>
      </w:r>
    </w:p>
    <w:p w14:paraId="3BE89F8D">
      <w:pPr>
        <w:tabs>
          <w:tab w:val="clear" w:pos="480"/>
        </w:tabs>
        <w:adjustRightInd w:val="0"/>
        <w:snapToGrid w:val="0"/>
        <w:ind w:firstLine="480"/>
      </w:pPr>
      <w:r>
        <w:t>式中：</w:t>
      </w:r>
    </w:p>
    <w:p w14:paraId="663DAEA0">
      <w:pPr>
        <w:tabs>
          <w:tab w:val="clear" w:pos="480"/>
        </w:tabs>
        <w:adjustRightInd w:val="0"/>
        <w:snapToGrid w:val="0"/>
        <w:ind w:firstLine="480"/>
      </w:pPr>
      <w:r>
        <w:t>r——声源到预测点的距离，m；</w:t>
      </w:r>
    </w:p>
    <w:p w14:paraId="67611820">
      <w:pPr>
        <w:tabs>
          <w:tab w:val="clear" w:pos="480"/>
        </w:tabs>
        <w:adjustRightInd w:val="0"/>
        <w:snapToGrid w:val="0"/>
        <w:ind w:firstLine="480"/>
      </w:pPr>
      <w:r>
        <w:object>
          <v:shape id="_x0000_i1054" o:spt="75" type="#_x0000_t75" style="height:23.25pt;width:14.25pt;" o:ole="t" filled="f" o:preferrelative="t" stroked="f" coordsize="21600,21600">
            <v:path/>
            <v:fill on="f" focussize="0,0"/>
            <v:stroke on="f" joinstyle="miter"/>
            <v:imagedata r:id="rId112" o:title=""/>
            <o:lock v:ext="edit" aspectratio="t"/>
            <w10:wrap type="none"/>
            <w10:anchorlock/>
          </v:shape>
          <o:OLEObject Type="Embed" ProgID="Equation.3" ShapeID="_x0000_i1054" DrawAspect="Content" ObjectID="_1468075754" r:id="rId111">
            <o:LockedField>false</o:LockedField>
          </o:OLEObject>
        </w:object>
      </w:r>
      <w:r>
        <w:t>——传播路径的平均离地高度。</w:t>
      </w:r>
    </w:p>
    <w:p w14:paraId="12E761F6">
      <w:pPr>
        <w:tabs>
          <w:tab w:val="clear" w:pos="480"/>
        </w:tabs>
        <w:adjustRightInd w:val="0"/>
        <w:snapToGrid w:val="0"/>
        <w:ind w:firstLine="480"/>
      </w:pPr>
      <w:r>
        <w:rPr>
          <w:rFonts w:hint="eastAsia"/>
        </w:rPr>
        <w:t>D</w:t>
      </w:r>
      <w:r>
        <w:t>预测点的预测等效声级</w:t>
      </w:r>
    </w:p>
    <w:p w14:paraId="51A5E824">
      <w:pPr>
        <w:tabs>
          <w:tab w:val="clear" w:pos="480"/>
        </w:tabs>
        <w:adjustRightInd w:val="0"/>
        <w:snapToGrid w:val="0"/>
        <w:ind w:firstLine="480"/>
        <w:jc w:val="center"/>
      </w:pPr>
      <w:r>
        <w:object>
          <v:shape id="_x0000_i1055" o:spt="75" type="#_x0000_t75" style="height:23.25pt;width:144pt;" o:ole="t" filled="f" o:preferrelative="t" stroked="f" coordsize="21600,21600">
            <v:path/>
            <v:fill on="f" focussize="0,0"/>
            <v:stroke on="f" joinstyle="miter"/>
            <v:imagedata r:id="rId114" o:title=""/>
            <o:lock v:ext="edit" aspectratio="t"/>
            <w10:wrap type="none"/>
            <w10:anchorlock/>
          </v:shape>
          <o:OLEObject Type="Embed" ProgID="Equation.3" ShapeID="_x0000_i1055" DrawAspect="Content" ObjectID="_1468075755" r:id="rId113">
            <o:LockedField>false</o:LockedField>
          </o:OLEObject>
        </w:object>
      </w:r>
    </w:p>
    <w:p w14:paraId="64C79BBF">
      <w:pPr>
        <w:tabs>
          <w:tab w:val="clear" w:pos="480"/>
        </w:tabs>
        <w:adjustRightInd w:val="0"/>
        <w:snapToGrid w:val="0"/>
        <w:ind w:firstLine="480"/>
      </w:pPr>
      <w:r>
        <w:t>式中：</w:t>
      </w:r>
    </w:p>
    <w:p w14:paraId="58AED317">
      <w:pPr>
        <w:tabs>
          <w:tab w:val="clear" w:pos="480"/>
        </w:tabs>
        <w:adjustRightInd w:val="0"/>
        <w:snapToGrid w:val="0"/>
        <w:ind w:firstLine="480"/>
      </w:pPr>
      <w:r>
        <w:t>L</w:t>
      </w:r>
      <w:r>
        <w:rPr>
          <w:vertAlign w:val="subscript"/>
        </w:rPr>
        <w:t>eqg</w:t>
      </w:r>
      <w:r>
        <w:t>——建设项目声源在预测点的等效声级贡献值，dB（A）；</w:t>
      </w:r>
    </w:p>
    <w:p w14:paraId="45E4F7FD">
      <w:pPr>
        <w:tabs>
          <w:tab w:val="clear" w:pos="480"/>
        </w:tabs>
        <w:adjustRightInd w:val="0"/>
        <w:snapToGrid w:val="0"/>
        <w:ind w:firstLine="480"/>
      </w:pPr>
      <w:r>
        <w:t>Leqb——预测点的背值，dB（A）；</w:t>
      </w:r>
    </w:p>
    <w:p w14:paraId="7C0A8E8E">
      <w:pPr>
        <w:tabs>
          <w:tab w:val="clear" w:pos="480"/>
        </w:tabs>
        <w:adjustRightInd w:val="0"/>
        <w:snapToGrid w:val="0"/>
        <w:ind w:firstLine="480"/>
      </w:pPr>
      <w:r>
        <w:t>2）多个室外声源噪声贡献值叠加计算</w:t>
      </w:r>
    </w:p>
    <w:p w14:paraId="3C0BE222">
      <w:pPr>
        <w:tabs>
          <w:tab w:val="clear" w:pos="480"/>
        </w:tabs>
        <w:adjustRightInd w:val="0"/>
        <w:snapToGrid w:val="0"/>
        <w:ind w:firstLine="480"/>
      </w:pPr>
      <w:r>
        <w:rPr>
          <w:rFonts w:hint="eastAsia"/>
        </w:rPr>
        <w:t>a</w:t>
      </w:r>
      <w:r>
        <w:t>计算声压级</w:t>
      </w:r>
    </w:p>
    <w:p w14:paraId="2EEF18A1">
      <w:pPr>
        <w:tabs>
          <w:tab w:val="clear" w:pos="480"/>
        </w:tabs>
        <w:adjustRightInd w:val="0"/>
        <w:snapToGrid w:val="0"/>
        <w:ind w:firstLine="480"/>
      </w:pPr>
      <w:r>
        <w:t>设第i个室外声源在预测点产生的A声级为LAi，在T时间内该声源工作时间为t</w:t>
      </w:r>
      <w:r>
        <w:rPr>
          <w:vertAlign w:val="subscript"/>
        </w:rPr>
        <w:t>i</w:t>
      </w:r>
      <w:r>
        <w:t>；第j个等效室外声源在预测点产生的A声级为LA，j，在T时间内该声源工作时间为t</w:t>
      </w:r>
      <w:r>
        <w:rPr>
          <w:vertAlign w:val="subscript"/>
        </w:rPr>
        <w:t>j</w:t>
      </w:r>
      <w:r>
        <w:t>，则预测点的总等效声级为</w:t>
      </w:r>
    </w:p>
    <w:p w14:paraId="2590B002">
      <w:pPr>
        <w:tabs>
          <w:tab w:val="clear" w:pos="480"/>
        </w:tabs>
        <w:adjustRightInd w:val="0"/>
        <w:snapToGrid w:val="0"/>
        <w:ind w:firstLine="480"/>
        <w:jc w:val="center"/>
      </w:pPr>
      <w:r>
        <w:object>
          <v:shape id="_x0000_i1056" o:spt="75" type="#_x0000_t75" style="height:37.5pt;width:188.25pt;" o:ole="t" filled="f" o:preferrelative="t" stroked="f" coordsize="21600,21600">
            <v:path/>
            <v:fill on="f" focussize="0,0"/>
            <v:stroke on="f" joinstyle="miter"/>
            <v:imagedata r:id="rId116" o:title=""/>
            <o:lock v:ext="edit" aspectratio="t"/>
            <w10:wrap type="none"/>
            <w10:anchorlock/>
          </v:shape>
          <o:OLEObject Type="Embed" ProgID="Equation.DSMT4" ShapeID="_x0000_i1056" DrawAspect="Content" ObjectID="_1468075756" r:id="rId115">
            <o:LockedField>false</o:LockedField>
          </o:OLEObject>
        </w:object>
      </w:r>
    </w:p>
    <w:p w14:paraId="3ABCF632">
      <w:pPr>
        <w:tabs>
          <w:tab w:val="clear" w:pos="480"/>
        </w:tabs>
        <w:adjustRightInd w:val="0"/>
        <w:snapToGrid w:val="0"/>
        <w:ind w:firstLine="480"/>
      </w:pPr>
      <w:r>
        <w:t>式中：t</w:t>
      </w:r>
      <w:r>
        <w:rPr>
          <w:vertAlign w:val="subscript"/>
        </w:rPr>
        <w:t>i</w:t>
      </w:r>
      <w:r>
        <w:t>—在T时间内</w:t>
      </w:r>
      <w:r>
        <w:rPr>
          <w:rFonts w:hint="eastAsia"/>
        </w:rPr>
        <w:t>i</w:t>
      </w:r>
      <w:r>
        <w:t>声源工作时间，s；</w:t>
      </w:r>
    </w:p>
    <w:p w14:paraId="7E3DC237">
      <w:pPr>
        <w:tabs>
          <w:tab w:val="clear" w:pos="480"/>
        </w:tabs>
        <w:adjustRightInd w:val="0"/>
        <w:snapToGrid w:val="0"/>
        <w:ind w:firstLine="480"/>
      </w:pPr>
      <w:r>
        <w:t xml:space="preserve">      t</w:t>
      </w:r>
      <w:r>
        <w:rPr>
          <w:vertAlign w:val="subscript"/>
        </w:rPr>
        <w:t>j</w:t>
      </w:r>
      <w:r>
        <w:t>—在T时间内</w:t>
      </w:r>
      <w:r>
        <w:rPr>
          <w:rFonts w:hint="eastAsia"/>
        </w:rPr>
        <w:t>j</w:t>
      </w:r>
      <w:r>
        <w:t>声源工作时间，s；</w:t>
      </w:r>
    </w:p>
    <w:p w14:paraId="2250A0F5">
      <w:pPr>
        <w:tabs>
          <w:tab w:val="clear" w:pos="480"/>
        </w:tabs>
        <w:adjustRightInd w:val="0"/>
        <w:snapToGrid w:val="0"/>
        <w:ind w:firstLine="480"/>
      </w:pPr>
      <w:r>
        <w:t>T—计算等效声级的时间，h;</w:t>
      </w:r>
    </w:p>
    <w:p w14:paraId="0A3B9CEA">
      <w:pPr>
        <w:tabs>
          <w:tab w:val="clear" w:pos="480"/>
        </w:tabs>
        <w:adjustRightInd w:val="0"/>
        <w:snapToGrid w:val="0"/>
        <w:ind w:firstLine="480"/>
      </w:pPr>
      <w:r>
        <w:t>N—室外声源个数，M等效室外声源个数。</w:t>
      </w:r>
    </w:p>
    <w:p w14:paraId="2BFF828B">
      <w:pPr>
        <w:tabs>
          <w:tab w:val="clear" w:pos="480"/>
        </w:tabs>
        <w:adjustRightInd w:val="0"/>
        <w:snapToGrid w:val="0"/>
        <w:ind w:firstLine="480"/>
      </w:pPr>
      <w:r>
        <w:t>3）噪声叠加值计算</w:t>
      </w:r>
    </w:p>
    <w:p w14:paraId="043FD78E">
      <w:pPr>
        <w:tabs>
          <w:tab w:val="clear" w:pos="480"/>
        </w:tabs>
        <w:adjustRightInd w:val="0"/>
        <w:snapToGrid w:val="0"/>
        <w:ind w:firstLine="480"/>
      </w:pPr>
      <w:r>
        <w:object>
          <v:shape id="_x0000_i1057" o:spt="75" type="#_x0000_t75" style="height:23.25pt;width:144pt;" o:ole="t" filled="f" o:preferrelative="t" stroked="f" coordsize="21600,21600">
            <v:path/>
            <v:fill on="f" focussize="0,0"/>
            <v:stroke on="f" joinstyle="miter"/>
            <v:imagedata r:id="rId114" o:title=""/>
            <o:lock v:ext="edit" aspectratio="t"/>
            <w10:wrap type="none"/>
            <w10:anchorlock/>
          </v:shape>
          <o:OLEObject Type="Embed" ProgID="Equation.3" ShapeID="_x0000_i1057" DrawAspect="Content" ObjectID="_1468075757" r:id="rId117">
            <o:LockedField>false</o:LockedField>
          </o:OLEObject>
        </w:object>
      </w:r>
    </w:p>
    <w:p w14:paraId="203D19E3">
      <w:pPr>
        <w:tabs>
          <w:tab w:val="clear" w:pos="480"/>
        </w:tabs>
        <w:adjustRightInd w:val="0"/>
        <w:snapToGrid w:val="0"/>
        <w:ind w:firstLine="480"/>
      </w:pPr>
      <w:r>
        <w:t>式中：</w:t>
      </w:r>
    </w:p>
    <w:p w14:paraId="6316CEE3">
      <w:pPr>
        <w:tabs>
          <w:tab w:val="clear" w:pos="480"/>
        </w:tabs>
        <w:adjustRightInd w:val="0"/>
        <w:snapToGrid w:val="0"/>
        <w:ind w:firstLine="480"/>
      </w:pPr>
      <w:r>
        <w:t>Leqg——建设项目声源在预测点的等效声级贡献值，dB（A）；</w:t>
      </w:r>
    </w:p>
    <w:p w14:paraId="7D0BC7DB">
      <w:pPr>
        <w:tabs>
          <w:tab w:val="clear" w:pos="480"/>
        </w:tabs>
        <w:adjustRightInd w:val="0"/>
        <w:snapToGrid w:val="0"/>
        <w:ind w:firstLine="480"/>
      </w:pPr>
      <w:r>
        <w:t>Leqb——预测点的背值，dB（A）。</w:t>
      </w:r>
    </w:p>
    <w:p w14:paraId="47FF2441">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主要噪声源</w:t>
      </w:r>
    </w:p>
    <w:p w14:paraId="221EA9A8">
      <w:pPr>
        <w:adjustRightInd w:val="0"/>
        <w:snapToGrid w:val="0"/>
        <w:ind w:firstLine="480"/>
      </w:pPr>
      <w:r>
        <w:t>户外式110kV升压站（变电站）对周围声环境的影响主要是由变电站中的主变压器运行时所产生的噪声，变电站运行期声环境影响也可采用点声源模式进行预测及评价。根据典型110kV主变压器运行期间的噪声类比监测数据及相关设计资料，取较高水平按照距离110kV主变压器1m处声压级65dB（A）计算。</w:t>
      </w:r>
      <w:r>
        <w:rPr>
          <w:rFonts w:hint="eastAsia"/>
        </w:rPr>
        <w:t>此外，本项目升压站内G</w:t>
      </w:r>
      <w:r>
        <w:t>IS</w:t>
      </w:r>
      <w:r>
        <w:rPr>
          <w:rFonts w:hint="eastAsia"/>
        </w:rPr>
        <w:t>和S</w:t>
      </w:r>
      <w:r>
        <w:t>VG</w:t>
      </w:r>
      <w:r>
        <w:rPr>
          <w:rFonts w:hint="eastAsia"/>
        </w:rPr>
        <w:t>均有轴流风机。</w:t>
      </w:r>
    </w:p>
    <w:p w14:paraId="0D5F55EB">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声环境敏感目标</w:t>
      </w:r>
    </w:p>
    <w:p w14:paraId="1D6FE194">
      <w:pPr>
        <w:adjustRightInd w:val="0"/>
        <w:snapToGrid w:val="0"/>
        <w:ind w:firstLine="480"/>
      </w:pPr>
      <w:r>
        <w:rPr>
          <w:rFonts w:hint="eastAsia"/>
        </w:rPr>
        <w:t>本项目升压站周边2</w:t>
      </w:r>
      <w:r>
        <w:t>00</w:t>
      </w:r>
      <w:r>
        <w:rPr>
          <w:rFonts w:hint="eastAsia"/>
        </w:rPr>
        <w:t>m范围内无声环境敏感目标。</w:t>
      </w:r>
    </w:p>
    <w:p w14:paraId="682DAFFF">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预测点位</w:t>
      </w:r>
    </w:p>
    <w:p w14:paraId="3BC5C38C">
      <w:pPr>
        <w:adjustRightInd w:val="0"/>
        <w:snapToGrid w:val="0"/>
        <w:ind w:firstLine="480"/>
      </w:pPr>
      <w:r>
        <w:t>变电站围墙高度2.5m，以变电站围墙为厂界，厂界预测点位选在围墙外1m，高度为距离地面2.5m</w:t>
      </w:r>
      <w:r>
        <w:rPr>
          <w:rFonts w:hint="eastAsia"/>
        </w:rPr>
        <w:t>处。</w:t>
      </w:r>
    </w:p>
    <w:p w14:paraId="2CEB99A4">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预测结果</w:t>
      </w:r>
    </w:p>
    <w:p w14:paraId="657202DD">
      <w:pPr>
        <w:adjustRightInd w:val="0"/>
        <w:snapToGrid w:val="0"/>
        <w:ind w:firstLine="480"/>
      </w:pPr>
      <w:r>
        <w:rPr>
          <w:rFonts w:hint="eastAsia"/>
        </w:rPr>
        <w:t>采用《环境影响评价技术导则-声环境》（HJ2.4-20</w:t>
      </w:r>
      <w:r>
        <w:t>21</w:t>
      </w:r>
      <w:r>
        <w:rPr>
          <w:rFonts w:hint="eastAsia"/>
        </w:rPr>
        <w:t>）中噪声预测模式。预测计算时，在满足工程所需精度的前提下，采用了较为保守的考虑，在噪声衰减时考虑了空气、距离衰减以及综合楼等主要建筑物的阻挡效应，而未考虑声源较远的无声源建（构）筑物之间的衍射和反射衰减、地面反射衰减和绿化树木的声屏障衰减等。升压变电站围墙外地面按光滑反射面考虑。本工程噪声预测结果见下表。</w:t>
      </w:r>
    </w:p>
    <w:p w14:paraId="61E4D3C4">
      <w:pPr>
        <w:tabs>
          <w:tab w:val="clear" w:pos="480"/>
        </w:tabs>
        <w:autoSpaceDE w:val="0"/>
        <w:autoSpaceDN w:val="0"/>
        <w:spacing w:line="240" w:lineRule="auto"/>
        <w:ind w:firstLine="0" w:firstLineChars="0"/>
        <w:jc w:val="center"/>
        <w:rPr>
          <w:b/>
        </w:rPr>
      </w:pPr>
      <w:r>
        <w:rPr>
          <w:b/>
        </w:rPr>
        <w:t>表6.2-6  升压站噪声影响预测及评价结果    单位：dB（A）</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682"/>
        <w:gridCol w:w="1190"/>
        <w:gridCol w:w="1190"/>
        <w:gridCol w:w="1192"/>
        <w:gridCol w:w="1190"/>
        <w:gridCol w:w="1193"/>
      </w:tblGrid>
      <w:tr w14:paraId="1E029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08" w:type="pct"/>
            <w:gridSpan w:val="2"/>
            <w:vMerge w:val="restart"/>
            <w:vAlign w:val="center"/>
          </w:tcPr>
          <w:p w14:paraId="229CED3B">
            <w:pPr>
              <w:tabs>
                <w:tab w:val="clear" w:pos="480"/>
              </w:tabs>
              <w:snapToGrid w:val="0"/>
              <w:spacing w:line="240" w:lineRule="auto"/>
              <w:ind w:firstLine="0" w:firstLineChars="0"/>
              <w:jc w:val="center"/>
              <w:rPr>
                <w:sz w:val="18"/>
                <w:szCs w:val="18"/>
              </w:rPr>
            </w:pPr>
            <w:r>
              <w:rPr>
                <w:sz w:val="18"/>
                <w:szCs w:val="18"/>
              </w:rPr>
              <w:t>位置</w:t>
            </w:r>
          </w:p>
        </w:tc>
        <w:tc>
          <w:tcPr>
            <w:tcW w:w="698" w:type="pct"/>
            <w:vMerge w:val="restart"/>
            <w:vAlign w:val="center"/>
          </w:tcPr>
          <w:p w14:paraId="7945C0E7">
            <w:pPr>
              <w:tabs>
                <w:tab w:val="clear" w:pos="480"/>
              </w:tabs>
              <w:snapToGrid w:val="0"/>
              <w:spacing w:line="240" w:lineRule="auto"/>
              <w:ind w:firstLine="0" w:firstLineChars="0"/>
              <w:jc w:val="center"/>
              <w:rPr>
                <w:sz w:val="18"/>
                <w:szCs w:val="18"/>
              </w:rPr>
            </w:pPr>
            <w:r>
              <w:rPr>
                <w:sz w:val="18"/>
                <w:szCs w:val="18"/>
              </w:rPr>
              <w:t>最大贡献值</w:t>
            </w:r>
          </w:p>
        </w:tc>
        <w:tc>
          <w:tcPr>
            <w:tcW w:w="1397" w:type="pct"/>
            <w:gridSpan w:val="2"/>
          </w:tcPr>
          <w:p w14:paraId="04066145">
            <w:pPr>
              <w:tabs>
                <w:tab w:val="clear" w:pos="480"/>
              </w:tabs>
              <w:snapToGrid w:val="0"/>
              <w:spacing w:line="240" w:lineRule="auto"/>
              <w:ind w:firstLine="0" w:firstLineChars="0"/>
              <w:jc w:val="center"/>
              <w:rPr>
                <w:sz w:val="18"/>
                <w:szCs w:val="18"/>
              </w:rPr>
            </w:pPr>
            <w:r>
              <w:rPr>
                <w:sz w:val="18"/>
                <w:szCs w:val="18"/>
              </w:rPr>
              <w:t>标准值</w:t>
            </w:r>
          </w:p>
        </w:tc>
        <w:tc>
          <w:tcPr>
            <w:tcW w:w="1397" w:type="pct"/>
            <w:gridSpan w:val="2"/>
          </w:tcPr>
          <w:p w14:paraId="03CE5795">
            <w:pPr>
              <w:tabs>
                <w:tab w:val="clear" w:pos="480"/>
              </w:tabs>
              <w:snapToGrid w:val="0"/>
              <w:spacing w:line="240" w:lineRule="auto"/>
              <w:ind w:firstLine="0" w:firstLineChars="0"/>
              <w:jc w:val="center"/>
              <w:rPr>
                <w:sz w:val="18"/>
                <w:szCs w:val="18"/>
              </w:rPr>
            </w:pPr>
            <w:r>
              <w:rPr>
                <w:sz w:val="18"/>
                <w:szCs w:val="18"/>
              </w:rPr>
              <w:t>是否达标</w:t>
            </w:r>
          </w:p>
        </w:tc>
      </w:tr>
      <w:tr w14:paraId="711E23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08" w:type="pct"/>
            <w:gridSpan w:val="2"/>
            <w:vMerge w:val="continue"/>
            <w:vAlign w:val="center"/>
          </w:tcPr>
          <w:p w14:paraId="642DDC9C">
            <w:pPr>
              <w:tabs>
                <w:tab w:val="clear" w:pos="480"/>
              </w:tabs>
              <w:snapToGrid w:val="0"/>
              <w:spacing w:line="240" w:lineRule="auto"/>
              <w:ind w:firstLine="0" w:firstLineChars="0"/>
              <w:jc w:val="center"/>
              <w:rPr>
                <w:sz w:val="18"/>
                <w:szCs w:val="18"/>
              </w:rPr>
            </w:pPr>
          </w:p>
        </w:tc>
        <w:tc>
          <w:tcPr>
            <w:tcW w:w="698" w:type="pct"/>
            <w:vMerge w:val="continue"/>
            <w:vAlign w:val="center"/>
          </w:tcPr>
          <w:p w14:paraId="4E7544B5">
            <w:pPr>
              <w:tabs>
                <w:tab w:val="clear" w:pos="480"/>
              </w:tabs>
              <w:snapToGrid w:val="0"/>
              <w:spacing w:line="240" w:lineRule="auto"/>
              <w:ind w:firstLine="0" w:firstLineChars="0"/>
              <w:jc w:val="center"/>
              <w:rPr>
                <w:sz w:val="18"/>
                <w:szCs w:val="18"/>
              </w:rPr>
            </w:pPr>
          </w:p>
        </w:tc>
        <w:tc>
          <w:tcPr>
            <w:tcW w:w="698" w:type="pct"/>
          </w:tcPr>
          <w:p w14:paraId="03D9AD26">
            <w:pPr>
              <w:tabs>
                <w:tab w:val="clear" w:pos="480"/>
              </w:tabs>
              <w:snapToGrid w:val="0"/>
              <w:spacing w:line="240" w:lineRule="auto"/>
              <w:ind w:firstLine="0" w:firstLineChars="0"/>
              <w:jc w:val="center"/>
              <w:rPr>
                <w:sz w:val="18"/>
                <w:szCs w:val="18"/>
              </w:rPr>
            </w:pPr>
            <w:r>
              <w:rPr>
                <w:sz w:val="18"/>
                <w:szCs w:val="18"/>
              </w:rPr>
              <w:t>昼间</w:t>
            </w:r>
          </w:p>
        </w:tc>
        <w:tc>
          <w:tcPr>
            <w:tcW w:w="699" w:type="pct"/>
          </w:tcPr>
          <w:p w14:paraId="50D432AA">
            <w:pPr>
              <w:tabs>
                <w:tab w:val="clear" w:pos="480"/>
              </w:tabs>
              <w:snapToGrid w:val="0"/>
              <w:spacing w:line="240" w:lineRule="auto"/>
              <w:ind w:firstLine="0" w:firstLineChars="0"/>
              <w:jc w:val="center"/>
              <w:rPr>
                <w:sz w:val="18"/>
                <w:szCs w:val="18"/>
              </w:rPr>
            </w:pPr>
            <w:r>
              <w:rPr>
                <w:sz w:val="18"/>
                <w:szCs w:val="18"/>
              </w:rPr>
              <w:t>夜间</w:t>
            </w:r>
          </w:p>
        </w:tc>
        <w:tc>
          <w:tcPr>
            <w:tcW w:w="698" w:type="pct"/>
          </w:tcPr>
          <w:p w14:paraId="77A895DF">
            <w:pPr>
              <w:tabs>
                <w:tab w:val="clear" w:pos="480"/>
              </w:tabs>
              <w:snapToGrid w:val="0"/>
              <w:spacing w:line="240" w:lineRule="auto"/>
              <w:ind w:firstLine="0" w:firstLineChars="0"/>
              <w:jc w:val="center"/>
              <w:rPr>
                <w:sz w:val="18"/>
                <w:szCs w:val="18"/>
              </w:rPr>
            </w:pPr>
            <w:r>
              <w:rPr>
                <w:sz w:val="18"/>
                <w:szCs w:val="18"/>
              </w:rPr>
              <w:t>昼间</w:t>
            </w:r>
          </w:p>
        </w:tc>
        <w:tc>
          <w:tcPr>
            <w:tcW w:w="699" w:type="pct"/>
          </w:tcPr>
          <w:p w14:paraId="198A7E5B">
            <w:pPr>
              <w:tabs>
                <w:tab w:val="clear" w:pos="480"/>
              </w:tabs>
              <w:snapToGrid w:val="0"/>
              <w:spacing w:line="240" w:lineRule="auto"/>
              <w:ind w:firstLine="0" w:firstLineChars="0"/>
              <w:jc w:val="center"/>
              <w:rPr>
                <w:sz w:val="18"/>
                <w:szCs w:val="18"/>
              </w:rPr>
            </w:pPr>
            <w:r>
              <w:rPr>
                <w:sz w:val="18"/>
                <w:szCs w:val="18"/>
              </w:rPr>
              <w:t>夜间</w:t>
            </w:r>
          </w:p>
        </w:tc>
      </w:tr>
      <w:tr w14:paraId="15AEF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2" w:type="pct"/>
            <w:vMerge w:val="restart"/>
            <w:vAlign w:val="center"/>
          </w:tcPr>
          <w:p w14:paraId="2C4D7907">
            <w:pPr>
              <w:tabs>
                <w:tab w:val="clear" w:pos="480"/>
              </w:tabs>
              <w:snapToGrid w:val="0"/>
              <w:spacing w:line="240" w:lineRule="auto"/>
              <w:ind w:firstLine="0" w:firstLineChars="0"/>
              <w:jc w:val="center"/>
              <w:rPr>
                <w:sz w:val="18"/>
                <w:szCs w:val="18"/>
              </w:rPr>
            </w:pPr>
            <w:r>
              <w:rPr>
                <w:sz w:val="18"/>
                <w:szCs w:val="18"/>
              </w:rPr>
              <w:t>升压站</w:t>
            </w:r>
          </w:p>
        </w:tc>
        <w:tc>
          <w:tcPr>
            <w:tcW w:w="986" w:type="pct"/>
            <w:vAlign w:val="center"/>
          </w:tcPr>
          <w:p w14:paraId="3328CF18">
            <w:pPr>
              <w:tabs>
                <w:tab w:val="clear" w:pos="480"/>
              </w:tabs>
              <w:snapToGrid w:val="0"/>
              <w:spacing w:line="240" w:lineRule="auto"/>
              <w:ind w:firstLine="0" w:firstLineChars="0"/>
              <w:jc w:val="center"/>
              <w:rPr>
                <w:sz w:val="18"/>
                <w:szCs w:val="18"/>
              </w:rPr>
            </w:pPr>
            <w:r>
              <w:rPr>
                <w:sz w:val="18"/>
                <w:szCs w:val="18"/>
              </w:rPr>
              <w:t>站址东侧</w:t>
            </w:r>
          </w:p>
        </w:tc>
        <w:tc>
          <w:tcPr>
            <w:tcW w:w="698" w:type="pct"/>
            <w:vAlign w:val="center"/>
          </w:tcPr>
          <w:p w14:paraId="3F9DA57C">
            <w:pPr>
              <w:tabs>
                <w:tab w:val="clear" w:pos="480"/>
              </w:tabs>
              <w:snapToGrid w:val="0"/>
              <w:spacing w:line="240" w:lineRule="auto"/>
              <w:ind w:firstLine="0" w:firstLineChars="0"/>
              <w:jc w:val="center"/>
              <w:rPr>
                <w:sz w:val="18"/>
                <w:szCs w:val="18"/>
              </w:rPr>
            </w:pPr>
            <w:r>
              <w:rPr>
                <w:sz w:val="18"/>
                <w:szCs w:val="18"/>
              </w:rPr>
              <w:t>37.7</w:t>
            </w:r>
          </w:p>
        </w:tc>
        <w:tc>
          <w:tcPr>
            <w:tcW w:w="698" w:type="pct"/>
          </w:tcPr>
          <w:p w14:paraId="1DE250C1">
            <w:pPr>
              <w:tabs>
                <w:tab w:val="clear" w:pos="480"/>
              </w:tabs>
              <w:snapToGrid w:val="0"/>
              <w:spacing w:line="240" w:lineRule="auto"/>
              <w:ind w:firstLine="0" w:firstLineChars="0"/>
              <w:jc w:val="center"/>
              <w:rPr>
                <w:sz w:val="18"/>
                <w:szCs w:val="18"/>
              </w:rPr>
            </w:pPr>
            <w:r>
              <w:rPr>
                <w:sz w:val="18"/>
                <w:szCs w:val="18"/>
              </w:rPr>
              <w:t>60</w:t>
            </w:r>
          </w:p>
        </w:tc>
        <w:tc>
          <w:tcPr>
            <w:tcW w:w="699" w:type="pct"/>
          </w:tcPr>
          <w:p w14:paraId="0E40B344">
            <w:pPr>
              <w:tabs>
                <w:tab w:val="clear" w:pos="480"/>
              </w:tabs>
              <w:snapToGrid w:val="0"/>
              <w:spacing w:line="240" w:lineRule="auto"/>
              <w:ind w:firstLine="0" w:firstLineChars="0"/>
              <w:jc w:val="center"/>
              <w:rPr>
                <w:sz w:val="18"/>
                <w:szCs w:val="18"/>
              </w:rPr>
            </w:pPr>
            <w:r>
              <w:rPr>
                <w:sz w:val="18"/>
                <w:szCs w:val="18"/>
              </w:rPr>
              <w:t>50</w:t>
            </w:r>
          </w:p>
        </w:tc>
        <w:tc>
          <w:tcPr>
            <w:tcW w:w="698" w:type="pct"/>
          </w:tcPr>
          <w:p w14:paraId="6329DF30">
            <w:pPr>
              <w:tabs>
                <w:tab w:val="clear" w:pos="480"/>
              </w:tabs>
              <w:snapToGrid w:val="0"/>
              <w:spacing w:line="240" w:lineRule="auto"/>
              <w:ind w:firstLine="0" w:firstLineChars="0"/>
              <w:jc w:val="center"/>
              <w:rPr>
                <w:sz w:val="18"/>
                <w:szCs w:val="18"/>
              </w:rPr>
            </w:pPr>
            <w:r>
              <w:rPr>
                <w:sz w:val="18"/>
                <w:szCs w:val="18"/>
              </w:rPr>
              <w:t>达标</w:t>
            </w:r>
          </w:p>
        </w:tc>
        <w:tc>
          <w:tcPr>
            <w:tcW w:w="699" w:type="pct"/>
          </w:tcPr>
          <w:p w14:paraId="58642A13">
            <w:pPr>
              <w:tabs>
                <w:tab w:val="clear" w:pos="480"/>
              </w:tabs>
              <w:snapToGrid w:val="0"/>
              <w:spacing w:line="240" w:lineRule="auto"/>
              <w:ind w:firstLine="0" w:firstLineChars="0"/>
              <w:jc w:val="center"/>
              <w:rPr>
                <w:sz w:val="18"/>
                <w:szCs w:val="18"/>
              </w:rPr>
            </w:pPr>
            <w:r>
              <w:rPr>
                <w:sz w:val="18"/>
                <w:szCs w:val="18"/>
              </w:rPr>
              <w:t>达标</w:t>
            </w:r>
          </w:p>
        </w:tc>
      </w:tr>
      <w:tr w14:paraId="20B00C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2" w:type="pct"/>
            <w:vMerge w:val="continue"/>
            <w:vAlign w:val="center"/>
          </w:tcPr>
          <w:p w14:paraId="74F2A30E">
            <w:pPr>
              <w:tabs>
                <w:tab w:val="clear" w:pos="480"/>
              </w:tabs>
              <w:snapToGrid w:val="0"/>
              <w:spacing w:line="240" w:lineRule="auto"/>
              <w:ind w:firstLine="0" w:firstLineChars="0"/>
              <w:jc w:val="center"/>
              <w:rPr>
                <w:sz w:val="18"/>
                <w:szCs w:val="18"/>
              </w:rPr>
            </w:pPr>
          </w:p>
        </w:tc>
        <w:tc>
          <w:tcPr>
            <w:tcW w:w="986" w:type="pct"/>
            <w:vAlign w:val="center"/>
          </w:tcPr>
          <w:p w14:paraId="1B663637">
            <w:pPr>
              <w:tabs>
                <w:tab w:val="clear" w:pos="480"/>
              </w:tabs>
              <w:snapToGrid w:val="0"/>
              <w:spacing w:line="240" w:lineRule="auto"/>
              <w:ind w:firstLine="0" w:firstLineChars="0"/>
              <w:jc w:val="center"/>
              <w:rPr>
                <w:sz w:val="18"/>
                <w:szCs w:val="18"/>
              </w:rPr>
            </w:pPr>
            <w:r>
              <w:rPr>
                <w:sz w:val="18"/>
                <w:szCs w:val="18"/>
              </w:rPr>
              <w:t>站址南侧</w:t>
            </w:r>
          </w:p>
        </w:tc>
        <w:tc>
          <w:tcPr>
            <w:tcW w:w="698" w:type="pct"/>
            <w:vAlign w:val="center"/>
          </w:tcPr>
          <w:p w14:paraId="3B3AA5A3">
            <w:pPr>
              <w:tabs>
                <w:tab w:val="clear" w:pos="480"/>
              </w:tabs>
              <w:snapToGrid w:val="0"/>
              <w:spacing w:line="240" w:lineRule="auto"/>
              <w:ind w:firstLine="0" w:firstLineChars="0"/>
              <w:jc w:val="center"/>
              <w:rPr>
                <w:sz w:val="18"/>
                <w:szCs w:val="18"/>
              </w:rPr>
            </w:pPr>
            <w:r>
              <w:rPr>
                <w:sz w:val="18"/>
                <w:szCs w:val="18"/>
              </w:rPr>
              <w:t>35.8</w:t>
            </w:r>
          </w:p>
        </w:tc>
        <w:tc>
          <w:tcPr>
            <w:tcW w:w="698" w:type="pct"/>
          </w:tcPr>
          <w:p w14:paraId="53F126E5">
            <w:pPr>
              <w:tabs>
                <w:tab w:val="clear" w:pos="480"/>
              </w:tabs>
              <w:snapToGrid w:val="0"/>
              <w:spacing w:line="240" w:lineRule="auto"/>
              <w:ind w:firstLine="0" w:firstLineChars="0"/>
              <w:jc w:val="center"/>
              <w:rPr>
                <w:sz w:val="18"/>
                <w:szCs w:val="18"/>
              </w:rPr>
            </w:pPr>
            <w:r>
              <w:rPr>
                <w:sz w:val="18"/>
                <w:szCs w:val="18"/>
              </w:rPr>
              <w:t>60</w:t>
            </w:r>
          </w:p>
        </w:tc>
        <w:tc>
          <w:tcPr>
            <w:tcW w:w="699" w:type="pct"/>
          </w:tcPr>
          <w:p w14:paraId="656E005F">
            <w:pPr>
              <w:tabs>
                <w:tab w:val="clear" w:pos="480"/>
              </w:tabs>
              <w:snapToGrid w:val="0"/>
              <w:spacing w:line="240" w:lineRule="auto"/>
              <w:ind w:firstLine="0" w:firstLineChars="0"/>
              <w:jc w:val="center"/>
              <w:rPr>
                <w:sz w:val="18"/>
                <w:szCs w:val="18"/>
              </w:rPr>
            </w:pPr>
            <w:r>
              <w:rPr>
                <w:sz w:val="18"/>
                <w:szCs w:val="18"/>
              </w:rPr>
              <w:t>50</w:t>
            </w:r>
          </w:p>
        </w:tc>
        <w:tc>
          <w:tcPr>
            <w:tcW w:w="698" w:type="pct"/>
          </w:tcPr>
          <w:p w14:paraId="48112CE7">
            <w:pPr>
              <w:tabs>
                <w:tab w:val="clear" w:pos="480"/>
              </w:tabs>
              <w:snapToGrid w:val="0"/>
              <w:spacing w:line="240" w:lineRule="auto"/>
              <w:ind w:firstLine="0" w:firstLineChars="0"/>
              <w:jc w:val="center"/>
              <w:rPr>
                <w:sz w:val="18"/>
                <w:szCs w:val="18"/>
              </w:rPr>
            </w:pPr>
            <w:r>
              <w:rPr>
                <w:sz w:val="18"/>
                <w:szCs w:val="18"/>
              </w:rPr>
              <w:t>达标</w:t>
            </w:r>
          </w:p>
        </w:tc>
        <w:tc>
          <w:tcPr>
            <w:tcW w:w="699" w:type="pct"/>
          </w:tcPr>
          <w:p w14:paraId="55F48570">
            <w:pPr>
              <w:tabs>
                <w:tab w:val="clear" w:pos="480"/>
              </w:tabs>
              <w:snapToGrid w:val="0"/>
              <w:spacing w:line="240" w:lineRule="auto"/>
              <w:ind w:firstLine="0" w:firstLineChars="0"/>
              <w:jc w:val="center"/>
              <w:rPr>
                <w:sz w:val="18"/>
                <w:szCs w:val="18"/>
              </w:rPr>
            </w:pPr>
            <w:r>
              <w:rPr>
                <w:sz w:val="18"/>
                <w:szCs w:val="18"/>
              </w:rPr>
              <w:t>达标</w:t>
            </w:r>
          </w:p>
        </w:tc>
      </w:tr>
      <w:tr w14:paraId="56AC8A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2" w:type="pct"/>
            <w:vMerge w:val="continue"/>
            <w:vAlign w:val="center"/>
          </w:tcPr>
          <w:p w14:paraId="1CE14865">
            <w:pPr>
              <w:tabs>
                <w:tab w:val="clear" w:pos="480"/>
              </w:tabs>
              <w:snapToGrid w:val="0"/>
              <w:spacing w:line="240" w:lineRule="auto"/>
              <w:ind w:firstLine="0" w:firstLineChars="0"/>
              <w:jc w:val="center"/>
              <w:rPr>
                <w:sz w:val="18"/>
                <w:szCs w:val="18"/>
              </w:rPr>
            </w:pPr>
          </w:p>
        </w:tc>
        <w:tc>
          <w:tcPr>
            <w:tcW w:w="986" w:type="pct"/>
            <w:vAlign w:val="center"/>
          </w:tcPr>
          <w:p w14:paraId="09A2FE3F">
            <w:pPr>
              <w:tabs>
                <w:tab w:val="clear" w:pos="480"/>
              </w:tabs>
              <w:snapToGrid w:val="0"/>
              <w:spacing w:line="240" w:lineRule="auto"/>
              <w:ind w:firstLine="0" w:firstLineChars="0"/>
              <w:jc w:val="center"/>
              <w:rPr>
                <w:sz w:val="18"/>
                <w:szCs w:val="18"/>
              </w:rPr>
            </w:pPr>
            <w:r>
              <w:rPr>
                <w:sz w:val="18"/>
                <w:szCs w:val="18"/>
              </w:rPr>
              <w:t>站址西侧</w:t>
            </w:r>
          </w:p>
        </w:tc>
        <w:tc>
          <w:tcPr>
            <w:tcW w:w="698" w:type="pct"/>
            <w:vAlign w:val="center"/>
          </w:tcPr>
          <w:p w14:paraId="4D00692A">
            <w:pPr>
              <w:tabs>
                <w:tab w:val="clear" w:pos="480"/>
              </w:tabs>
              <w:snapToGrid w:val="0"/>
              <w:spacing w:line="240" w:lineRule="auto"/>
              <w:ind w:firstLine="0" w:firstLineChars="0"/>
              <w:jc w:val="center"/>
              <w:rPr>
                <w:sz w:val="18"/>
                <w:szCs w:val="18"/>
              </w:rPr>
            </w:pPr>
            <w:r>
              <w:rPr>
                <w:sz w:val="18"/>
                <w:szCs w:val="18"/>
              </w:rPr>
              <w:t>38.9</w:t>
            </w:r>
          </w:p>
        </w:tc>
        <w:tc>
          <w:tcPr>
            <w:tcW w:w="698" w:type="pct"/>
          </w:tcPr>
          <w:p w14:paraId="23CF4587">
            <w:pPr>
              <w:tabs>
                <w:tab w:val="clear" w:pos="480"/>
              </w:tabs>
              <w:snapToGrid w:val="0"/>
              <w:spacing w:line="240" w:lineRule="auto"/>
              <w:ind w:firstLine="0" w:firstLineChars="0"/>
              <w:jc w:val="center"/>
              <w:rPr>
                <w:sz w:val="18"/>
                <w:szCs w:val="18"/>
              </w:rPr>
            </w:pPr>
            <w:r>
              <w:rPr>
                <w:sz w:val="18"/>
                <w:szCs w:val="18"/>
              </w:rPr>
              <w:t>60</w:t>
            </w:r>
          </w:p>
        </w:tc>
        <w:tc>
          <w:tcPr>
            <w:tcW w:w="699" w:type="pct"/>
          </w:tcPr>
          <w:p w14:paraId="61AB1AA4">
            <w:pPr>
              <w:tabs>
                <w:tab w:val="clear" w:pos="480"/>
              </w:tabs>
              <w:snapToGrid w:val="0"/>
              <w:spacing w:line="240" w:lineRule="auto"/>
              <w:ind w:firstLine="0" w:firstLineChars="0"/>
              <w:jc w:val="center"/>
              <w:rPr>
                <w:sz w:val="18"/>
                <w:szCs w:val="18"/>
              </w:rPr>
            </w:pPr>
            <w:r>
              <w:rPr>
                <w:sz w:val="18"/>
                <w:szCs w:val="18"/>
              </w:rPr>
              <w:t>50</w:t>
            </w:r>
          </w:p>
        </w:tc>
        <w:tc>
          <w:tcPr>
            <w:tcW w:w="698" w:type="pct"/>
          </w:tcPr>
          <w:p w14:paraId="7C29F42B">
            <w:pPr>
              <w:tabs>
                <w:tab w:val="clear" w:pos="480"/>
              </w:tabs>
              <w:snapToGrid w:val="0"/>
              <w:spacing w:line="240" w:lineRule="auto"/>
              <w:ind w:firstLine="0" w:firstLineChars="0"/>
              <w:jc w:val="center"/>
              <w:rPr>
                <w:sz w:val="18"/>
                <w:szCs w:val="18"/>
              </w:rPr>
            </w:pPr>
            <w:r>
              <w:rPr>
                <w:sz w:val="18"/>
                <w:szCs w:val="18"/>
              </w:rPr>
              <w:t>达标</w:t>
            </w:r>
          </w:p>
        </w:tc>
        <w:tc>
          <w:tcPr>
            <w:tcW w:w="699" w:type="pct"/>
          </w:tcPr>
          <w:p w14:paraId="708919B8">
            <w:pPr>
              <w:tabs>
                <w:tab w:val="clear" w:pos="480"/>
              </w:tabs>
              <w:snapToGrid w:val="0"/>
              <w:spacing w:line="240" w:lineRule="auto"/>
              <w:ind w:firstLine="0" w:firstLineChars="0"/>
              <w:jc w:val="center"/>
              <w:rPr>
                <w:sz w:val="18"/>
                <w:szCs w:val="18"/>
              </w:rPr>
            </w:pPr>
            <w:r>
              <w:rPr>
                <w:sz w:val="18"/>
                <w:szCs w:val="18"/>
              </w:rPr>
              <w:t>达标</w:t>
            </w:r>
          </w:p>
        </w:tc>
      </w:tr>
      <w:tr w14:paraId="7B666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2" w:type="pct"/>
            <w:vMerge w:val="continue"/>
            <w:vAlign w:val="center"/>
          </w:tcPr>
          <w:p w14:paraId="3450D8CE">
            <w:pPr>
              <w:tabs>
                <w:tab w:val="clear" w:pos="480"/>
              </w:tabs>
              <w:snapToGrid w:val="0"/>
              <w:spacing w:line="240" w:lineRule="auto"/>
              <w:ind w:firstLine="0" w:firstLineChars="0"/>
              <w:jc w:val="center"/>
              <w:rPr>
                <w:sz w:val="18"/>
                <w:szCs w:val="18"/>
              </w:rPr>
            </w:pPr>
          </w:p>
        </w:tc>
        <w:tc>
          <w:tcPr>
            <w:tcW w:w="986" w:type="pct"/>
            <w:vAlign w:val="center"/>
          </w:tcPr>
          <w:p w14:paraId="1C9A1507">
            <w:pPr>
              <w:tabs>
                <w:tab w:val="clear" w:pos="480"/>
              </w:tabs>
              <w:snapToGrid w:val="0"/>
              <w:spacing w:line="240" w:lineRule="auto"/>
              <w:ind w:firstLine="0" w:firstLineChars="0"/>
              <w:jc w:val="center"/>
              <w:rPr>
                <w:sz w:val="18"/>
                <w:szCs w:val="18"/>
              </w:rPr>
            </w:pPr>
            <w:r>
              <w:rPr>
                <w:sz w:val="18"/>
                <w:szCs w:val="18"/>
              </w:rPr>
              <w:t>站址北侧</w:t>
            </w:r>
          </w:p>
        </w:tc>
        <w:tc>
          <w:tcPr>
            <w:tcW w:w="698" w:type="pct"/>
            <w:vAlign w:val="center"/>
          </w:tcPr>
          <w:p w14:paraId="5E257E3D">
            <w:pPr>
              <w:tabs>
                <w:tab w:val="clear" w:pos="480"/>
              </w:tabs>
              <w:snapToGrid w:val="0"/>
              <w:spacing w:line="240" w:lineRule="auto"/>
              <w:ind w:firstLine="0" w:firstLineChars="0"/>
              <w:jc w:val="center"/>
              <w:rPr>
                <w:sz w:val="18"/>
                <w:szCs w:val="18"/>
              </w:rPr>
            </w:pPr>
            <w:r>
              <w:rPr>
                <w:sz w:val="18"/>
                <w:szCs w:val="18"/>
              </w:rPr>
              <w:t>33.6</w:t>
            </w:r>
          </w:p>
        </w:tc>
        <w:tc>
          <w:tcPr>
            <w:tcW w:w="698" w:type="pct"/>
          </w:tcPr>
          <w:p w14:paraId="5F68DC0D">
            <w:pPr>
              <w:tabs>
                <w:tab w:val="clear" w:pos="480"/>
              </w:tabs>
              <w:snapToGrid w:val="0"/>
              <w:spacing w:line="240" w:lineRule="auto"/>
              <w:ind w:firstLine="0" w:firstLineChars="0"/>
              <w:jc w:val="center"/>
              <w:rPr>
                <w:sz w:val="18"/>
                <w:szCs w:val="18"/>
              </w:rPr>
            </w:pPr>
            <w:r>
              <w:rPr>
                <w:sz w:val="18"/>
                <w:szCs w:val="18"/>
              </w:rPr>
              <w:t>60</w:t>
            </w:r>
          </w:p>
        </w:tc>
        <w:tc>
          <w:tcPr>
            <w:tcW w:w="699" w:type="pct"/>
          </w:tcPr>
          <w:p w14:paraId="54CEBC28">
            <w:pPr>
              <w:tabs>
                <w:tab w:val="clear" w:pos="480"/>
              </w:tabs>
              <w:snapToGrid w:val="0"/>
              <w:spacing w:line="240" w:lineRule="auto"/>
              <w:ind w:firstLine="0" w:firstLineChars="0"/>
              <w:jc w:val="center"/>
              <w:rPr>
                <w:sz w:val="18"/>
                <w:szCs w:val="18"/>
              </w:rPr>
            </w:pPr>
            <w:r>
              <w:rPr>
                <w:sz w:val="18"/>
                <w:szCs w:val="18"/>
              </w:rPr>
              <w:t>50</w:t>
            </w:r>
          </w:p>
        </w:tc>
        <w:tc>
          <w:tcPr>
            <w:tcW w:w="698" w:type="pct"/>
          </w:tcPr>
          <w:p w14:paraId="1A1537C8">
            <w:pPr>
              <w:tabs>
                <w:tab w:val="clear" w:pos="480"/>
              </w:tabs>
              <w:snapToGrid w:val="0"/>
              <w:spacing w:line="240" w:lineRule="auto"/>
              <w:ind w:firstLine="0" w:firstLineChars="0"/>
              <w:jc w:val="center"/>
              <w:rPr>
                <w:sz w:val="18"/>
                <w:szCs w:val="18"/>
              </w:rPr>
            </w:pPr>
            <w:r>
              <w:rPr>
                <w:sz w:val="18"/>
                <w:szCs w:val="18"/>
              </w:rPr>
              <w:t>达标</w:t>
            </w:r>
          </w:p>
        </w:tc>
        <w:tc>
          <w:tcPr>
            <w:tcW w:w="699" w:type="pct"/>
          </w:tcPr>
          <w:p w14:paraId="3B09A0B0">
            <w:pPr>
              <w:tabs>
                <w:tab w:val="clear" w:pos="480"/>
              </w:tabs>
              <w:snapToGrid w:val="0"/>
              <w:spacing w:line="240" w:lineRule="auto"/>
              <w:ind w:firstLine="0" w:firstLineChars="0"/>
              <w:jc w:val="center"/>
              <w:rPr>
                <w:sz w:val="18"/>
                <w:szCs w:val="18"/>
              </w:rPr>
            </w:pPr>
            <w:r>
              <w:rPr>
                <w:sz w:val="18"/>
                <w:szCs w:val="18"/>
              </w:rPr>
              <w:t>达标</w:t>
            </w:r>
          </w:p>
        </w:tc>
      </w:tr>
    </w:tbl>
    <w:p w14:paraId="21834DF9">
      <w:pPr>
        <w:adjustRightInd w:val="0"/>
        <w:snapToGrid w:val="0"/>
        <w:ind w:firstLine="480"/>
      </w:pPr>
      <w:r>
        <w:t>根据上表的预测和评价结果：升压站厂界噪声均满足《工业企业厂界环境噪声排放标准》（GB12348-2008）2类标准：昼间60dB(A)、夜间50dB(A)的要求。风电场运行期基本无物资运输，因此风电场运行不会对进场道路沿线居民声环境产生不利影响。</w:t>
      </w:r>
    </w:p>
    <w:p w14:paraId="45531DE7">
      <w:pPr>
        <w:adjustRightInd w:val="0"/>
        <w:snapToGrid w:val="0"/>
        <w:ind w:firstLine="480"/>
      </w:pPr>
      <w:r>
        <w:rPr>
          <w:rFonts w:hint="eastAsia"/>
        </w:rPr>
        <w:t>（</w:t>
      </w:r>
      <w:r>
        <w:t>8</w:t>
      </w:r>
      <w:r>
        <w:rPr>
          <w:rFonts w:hint="eastAsia"/>
        </w:rPr>
        <w:t>）噪声控规距离</w:t>
      </w:r>
    </w:p>
    <w:p w14:paraId="20AEF598">
      <w:pPr>
        <w:adjustRightInd w:val="0"/>
        <w:snapToGrid w:val="0"/>
        <w:ind w:firstLine="480"/>
      </w:pPr>
      <w:bookmarkStart w:id="182" w:name="_Hlk116115143"/>
      <w:r>
        <w:rPr>
          <w:rFonts w:hint="eastAsia"/>
        </w:rPr>
        <w:t>根据上述预测结果及相关要求，环评建议以风机安装平台边界外延</w:t>
      </w:r>
      <w:r>
        <w:t>350m</w:t>
      </w:r>
      <w:r>
        <w:rPr>
          <w:rFonts w:hint="eastAsia"/>
        </w:rPr>
        <w:t>范围的区域划定为风电机组的噪声影响控制区，在该区域范围内，不得新建居民住宅、学校、医院等噪声敏感建筑物。</w:t>
      </w:r>
    </w:p>
    <w:bookmarkEnd w:id="182"/>
    <w:p w14:paraId="7310976A">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6.2.4</w:t>
      </w:r>
      <w:r>
        <w:rPr>
          <w:rFonts w:hint="eastAsia" w:ascii="Times New Roman" w:eastAsia="宋体"/>
          <w:sz w:val="28"/>
          <w:szCs w:val="28"/>
          <w:lang w:val="en-US"/>
        </w:rPr>
        <w:t>运营期固体废物环境影响分析</w:t>
      </w:r>
    </w:p>
    <w:p w14:paraId="5E8DBD7C">
      <w:pPr>
        <w:tabs>
          <w:tab w:val="clear" w:pos="480"/>
        </w:tabs>
        <w:adjustRightInd w:val="0"/>
        <w:snapToGrid w:val="0"/>
        <w:ind w:firstLine="0" w:firstLineChars="0"/>
        <w:outlineLvl w:val="3"/>
        <w:rPr>
          <w:b/>
          <w:kern w:val="0"/>
          <w:lang w:val="zh-CN"/>
        </w:rPr>
      </w:pPr>
      <w:r>
        <w:rPr>
          <w:b/>
          <w:kern w:val="0"/>
        </w:rPr>
        <w:t>6</w:t>
      </w:r>
      <w:r>
        <w:rPr>
          <w:b/>
          <w:kern w:val="0"/>
          <w:lang w:val="zh-CN"/>
        </w:rPr>
        <w:t>.2.4.1</w:t>
      </w:r>
      <w:r>
        <w:rPr>
          <w:rFonts w:hint="eastAsia"/>
          <w:b/>
          <w:kern w:val="0"/>
          <w:lang w:val="zh-CN"/>
        </w:rPr>
        <w:t>固体废物处置原则</w:t>
      </w:r>
    </w:p>
    <w:p w14:paraId="7EAB212C">
      <w:pPr>
        <w:adjustRightInd w:val="0"/>
        <w:snapToGrid w:val="0"/>
        <w:ind w:firstLine="480"/>
      </w:pPr>
      <w:r>
        <w:rPr>
          <w:rFonts w:hint="eastAsia"/>
        </w:rPr>
        <w:t>为防止固体废物污染环境，保障人体健康，对固体废物的处置首先考虑合理使用资源，充分回收，尽可能减少固体废物产生量，其次考虑对其安全、合理、卫生的处置，力图以最经济和最可靠的方式将废物量减量化、无害化和资源化，最大限度降低对环境的不利影响。</w:t>
      </w:r>
    </w:p>
    <w:p w14:paraId="0624A11B">
      <w:pPr>
        <w:tabs>
          <w:tab w:val="clear" w:pos="480"/>
        </w:tabs>
        <w:adjustRightInd w:val="0"/>
        <w:snapToGrid w:val="0"/>
        <w:ind w:firstLine="0" w:firstLineChars="0"/>
        <w:outlineLvl w:val="3"/>
        <w:rPr>
          <w:b/>
          <w:kern w:val="0"/>
          <w:lang w:val="zh-CN"/>
        </w:rPr>
      </w:pPr>
      <w:r>
        <w:rPr>
          <w:b/>
          <w:kern w:val="0"/>
        </w:rPr>
        <w:t>6</w:t>
      </w:r>
      <w:r>
        <w:rPr>
          <w:b/>
          <w:kern w:val="0"/>
          <w:lang w:val="zh-CN"/>
        </w:rPr>
        <w:t>.2.4.2</w:t>
      </w:r>
      <w:r>
        <w:rPr>
          <w:rFonts w:hint="eastAsia"/>
          <w:b/>
          <w:kern w:val="0"/>
          <w:lang w:val="zh-CN"/>
        </w:rPr>
        <w:t>固体废物产生及处置情况</w:t>
      </w:r>
    </w:p>
    <w:p w14:paraId="46452FB2">
      <w:pPr>
        <w:adjustRightInd w:val="0"/>
        <w:snapToGrid w:val="0"/>
        <w:ind w:firstLine="480"/>
      </w:pPr>
      <w:r>
        <w:rPr>
          <w:rFonts w:hint="eastAsia"/>
        </w:rPr>
        <w:t>本项目新建一座1</w:t>
      </w:r>
      <w:r>
        <w:t>10</w:t>
      </w:r>
      <w:r>
        <w:rPr>
          <w:rFonts w:hint="eastAsia"/>
        </w:rPr>
        <w:t>k</w:t>
      </w:r>
      <w:r>
        <w:t>V</w:t>
      </w:r>
      <w:r>
        <w:rPr>
          <w:rFonts w:hint="eastAsia"/>
        </w:rPr>
        <w:t>升压站，运行期产生的固体废物主要为运行期升压站工作人员生活垃圾、风力发电机组产生的废机油、风机叶片废液压油以及主变压器产生的废变压器油、检修垃圾及报废设备和配件以及废铅酸蓄电池。</w:t>
      </w:r>
    </w:p>
    <w:p w14:paraId="6743A3EB">
      <w:pPr>
        <w:adjustRightInd w:val="0"/>
        <w:snapToGrid w:val="0"/>
        <w:ind w:firstLine="480"/>
      </w:pPr>
      <w:r>
        <w:rPr>
          <w:rFonts w:hint="eastAsia"/>
        </w:rPr>
        <w:t>运行期升压站工作人员生活垃圾由升压站内的生活垃圾桶进行收集后定期委托环卫部门清运，不会对场区环境造成影响。</w:t>
      </w:r>
    </w:p>
    <w:p w14:paraId="28F44990">
      <w:pPr>
        <w:adjustRightInd w:val="0"/>
        <w:snapToGrid w:val="0"/>
        <w:ind w:firstLine="480"/>
      </w:pPr>
      <w:r>
        <w:rPr>
          <w:rFonts w:hint="eastAsia"/>
        </w:rPr>
        <w:t>根据《国家危险废物名录》（</w:t>
      </w:r>
      <w:r>
        <w:t>2021</w:t>
      </w:r>
      <w:r>
        <w:rPr>
          <w:rFonts w:hint="eastAsia"/>
        </w:rPr>
        <w:t>年），风力发电机组产生的废机油类别为H</w:t>
      </w:r>
      <w:r>
        <w:t>W08</w:t>
      </w:r>
      <w:r>
        <w:rPr>
          <w:rFonts w:hint="eastAsia"/>
        </w:rPr>
        <w:t>，代码为9</w:t>
      </w:r>
      <w:r>
        <w:t>00</w:t>
      </w:r>
      <w:r>
        <w:rPr>
          <w:rFonts w:hint="eastAsia"/>
        </w:rPr>
        <w:t>-</w:t>
      </w:r>
      <w:r>
        <w:t>214</w:t>
      </w:r>
      <w:r>
        <w:rPr>
          <w:rFonts w:hint="eastAsia"/>
        </w:rPr>
        <w:t>-</w:t>
      </w:r>
      <w:r>
        <w:t>08</w:t>
      </w:r>
      <w:r>
        <w:rPr>
          <w:rFonts w:hint="eastAsia"/>
        </w:rPr>
        <w:t>；废液压油类别为H</w:t>
      </w:r>
      <w:r>
        <w:t>W08</w:t>
      </w:r>
      <w:r>
        <w:rPr>
          <w:rFonts w:hint="eastAsia"/>
        </w:rPr>
        <w:t>，代码为9</w:t>
      </w:r>
      <w:r>
        <w:t>00</w:t>
      </w:r>
      <w:r>
        <w:rPr>
          <w:rFonts w:hint="eastAsia"/>
        </w:rPr>
        <w:t>-</w:t>
      </w:r>
      <w:r>
        <w:t>218</w:t>
      </w:r>
      <w:r>
        <w:rPr>
          <w:rFonts w:hint="eastAsia"/>
        </w:rPr>
        <w:t>-</w:t>
      </w:r>
      <w:r>
        <w:t>08</w:t>
      </w:r>
      <w:r>
        <w:rPr>
          <w:rFonts w:hint="eastAsia"/>
        </w:rPr>
        <w:t>；废变压器油类别为H</w:t>
      </w:r>
      <w:r>
        <w:t>W08</w:t>
      </w:r>
      <w:r>
        <w:rPr>
          <w:rFonts w:hint="eastAsia"/>
        </w:rPr>
        <w:t>，代码为</w:t>
      </w:r>
      <w:r>
        <w:t>900</w:t>
      </w:r>
      <w:r>
        <w:rPr>
          <w:rFonts w:hint="eastAsia"/>
        </w:rPr>
        <w:t>-</w:t>
      </w:r>
      <w:r>
        <w:t>220</w:t>
      </w:r>
      <w:r>
        <w:rPr>
          <w:rFonts w:hint="eastAsia"/>
        </w:rPr>
        <w:t>-</w:t>
      </w:r>
      <w:r>
        <w:t>08</w:t>
      </w:r>
      <w:r>
        <w:rPr>
          <w:rFonts w:hint="eastAsia"/>
        </w:rPr>
        <w:t>；废蓄电池废物类别为</w:t>
      </w:r>
      <w:r>
        <w:t>HW31</w:t>
      </w:r>
      <w:r>
        <w:rPr>
          <w:rFonts w:hint="eastAsia"/>
        </w:rPr>
        <w:t>，行业来源为非特定行业，废物代码为</w:t>
      </w:r>
      <w:r>
        <w:t>900-052-31</w:t>
      </w:r>
      <w:r>
        <w:rPr>
          <w:rFonts w:hint="eastAsia"/>
        </w:rPr>
        <w:t>，危险特性为毒性。本项目产生的危险废物在升压站内危废暂存间暂存后交由有资质的单位处理。</w:t>
      </w:r>
    </w:p>
    <w:p w14:paraId="3EB6CEF6">
      <w:pPr>
        <w:adjustRightInd w:val="0"/>
        <w:snapToGrid w:val="0"/>
        <w:ind w:firstLine="480"/>
      </w:pPr>
      <w:r>
        <w:rPr>
          <w:rFonts w:hint="eastAsia"/>
        </w:rPr>
        <w:t>检修时产生的检修垃圾和报废的设备、配件，且量很少。报废的设备及配件全部统一回收，检修垃圾交由乡镇环卫部门统一收集处置。</w:t>
      </w:r>
    </w:p>
    <w:p w14:paraId="062E8F4F">
      <w:pPr>
        <w:adjustRightInd w:val="0"/>
        <w:snapToGrid w:val="0"/>
        <w:ind w:firstLine="480"/>
      </w:pPr>
      <w:r>
        <w:t>由于变压器油存在泄漏风险，根据工程设计要求，箱式变压器下方设有集油池，升压站内设有事故油池。根据《火力发电厂与变电站设计防火规范》（GB50229-2019）中“总事故贮油池的容量应按其接入的油量最大的一台设备确定”规定，当变压器发生事故时，变压器油排入自建事故油池进行收集，由有资质的危险废物收集部门收集处理。每台风机配套安装一台的箱变，一般箱变检修期在半年以上，为预防箱变在检修过程中发油泄漏，主体工程设计在箱变底部设置一个容积为1.5m</w:t>
      </w:r>
      <w:r>
        <w:rPr>
          <w:vertAlign w:val="superscript"/>
        </w:rPr>
        <w:t>3</w:t>
      </w:r>
      <w:r>
        <w:t xml:space="preserve"> 的集油盘，集油盘应注意加盖防雨措施。当发生油泄漏时，废油可进入集油盘，由有资质的危险废物收集部门收集处理，避免流入附近水体。</w:t>
      </w:r>
    </w:p>
    <w:p w14:paraId="433C784E">
      <w:pPr>
        <w:adjustRightInd w:val="0"/>
        <w:snapToGrid w:val="0"/>
        <w:ind w:firstLine="480"/>
      </w:pPr>
      <w:r>
        <w:rPr>
          <w:rFonts w:hint="eastAsia"/>
        </w:rPr>
        <w:t>此外，</w:t>
      </w:r>
      <w:r>
        <w:t>本项目在110kV升压站主变压器四周设置了排油槽，站内设置了事故油池（30m</w:t>
      </w:r>
      <w:r>
        <w:rPr>
          <w:vertAlign w:val="superscript"/>
        </w:rPr>
        <w:t>3</w:t>
      </w:r>
      <w:r>
        <w:t>），事故油经排油槽排入事故油池，随即委托有资质的单位进行处理。事故油池正常情况下需保持空置状态，保证事故情况下变压器油全部流入事故油池。事故油产生后立即委托有资质单位进行收集处置。废油按《危险废物收集贮存运输技术规范》（HJ2025-2012）、《危险废物贮存污染控制标准》（GB18597-2023）的要求进行管理。</w:t>
      </w:r>
    </w:p>
    <w:p w14:paraId="01E0216E">
      <w:pPr>
        <w:adjustRightInd w:val="0"/>
        <w:snapToGrid w:val="0"/>
        <w:ind w:firstLine="480"/>
      </w:pPr>
      <w:r>
        <w:rPr>
          <w:rFonts w:hint="eastAsia"/>
        </w:rPr>
        <w:t>本项目升压站内设置了一座占地1</w:t>
      </w:r>
      <w:r>
        <w:t>0</w:t>
      </w:r>
      <w:r>
        <w:rPr>
          <w:rFonts w:hint="eastAsia"/>
        </w:rPr>
        <w:t>m</w:t>
      </w:r>
      <w:r>
        <w:rPr>
          <w:vertAlign w:val="superscript"/>
        </w:rPr>
        <w:t>2</w:t>
      </w:r>
      <w:r>
        <w:rPr>
          <w:rFonts w:hint="eastAsia"/>
        </w:rPr>
        <w:t>的危废暂存间。危险废物</w:t>
      </w:r>
      <w:r>
        <w:t>应设置符合《危险废物贮存污染控制标准》（GB18597-2023）要求的专用危废贮存场所和贮存容器，严禁与其他固废混合存放。可购置加盖危险废物收集箱对危险废物进行收集并单独存放。堆放时宜按危废种类分类堆放。对危险废物进行密闭包装，减少无组织排放。危险废物贮存场所应起到防风、防雨、防晒、防渗漏的作用。放置危险废物收集箱的硬化地面应没有裂缝，保证危险废物暂存场地的渗透系数应≤10</w:t>
      </w:r>
      <w:r>
        <w:rPr>
          <w:vertAlign w:val="superscript"/>
        </w:rPr>
        <w:t>-10</w:t>
      </w:r>
      <w:r>
        <w:t>cm/s。无法装入常用容器的危险废物可用防漏胶袋等盛放。盛装危险废物的容器上必须粘贴符合《危险废物贮存污染控制标准》（GB18597-2023）附录A所示的标签。</w:t>
      </w:r>
    </w:p>
    <w:p w14:paraId="0E6F2B51">
      <w:pPr>
        <w:adjustRightInd w:val="0"/>
        <w:snapToGrid w:val="0"/>
        <w:ind w:firstLine="480"/>
      </w:pPr>
      <w:r>
        <w:rPr>
          <w:rFonts w:hint="eastAsia"/>
        </w:rPr>
        <w:t>综上，若建设单位严格按照环评建议落实固废防治措施，本项目危险废物均得到妥善处置，不会对环境产生不利影响。</w:t>
      </w:r>
    </w:p>
    <w:p w14:paraId="59DD784D">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6.2.5</w:t>
      </w:r>
      <w:r>
        <w:rPr>
          <w:rFonts w:hint="eastAsia" w:ascii="Times New Roman" w:eastAsia="宋体"/>
          <w:sz w:val="28"/>
          <w:szCs w:val="28"/>
          <w:lang w:val="en-US"/>
        </w:rPr>
        <w:t>运营期地下水、土壤环境影响分析</w:t>
      </w:r>
    </w:p>
    <w:p w14:paraId="205D0375">
      <w:pPr>
        <w:adjustRightInd w:val="0"/>
        <w:snapToGrid w:val="0"/>
        <w:ind w:firstLine="480"/>
      </w:pPr>
      <w:r>
        <w:rPr>
          <w:rFonts w:hint="eastAsia"/>
        </w:rPr>
        <w:t>本项目为风力发电项目，项目运营期对地下水和土壤的环境影响很小。根据前述分析，本项目无需进行地下水和土壤环境影响分析</w:t>
      </w:r>
    </w:p>
    <w:p w14:paraId="2B5A5F0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6.2.6</w:t>
      </w:r>
      <w:r>
        <w:rPr>
          <w:rFonts w:hint="eastAsia" w:ascii="Times New Roman" w:eastAsia="宋体"/>
          <w:sz w:val="28"/>
          <w:szCs w:val="28"/>
          <w:lang w:val="en-US"/>
        </w:rPr>
        <w:t>运营期生态环境影响分析</w:t>
      </w:r>
    </w:p>
    <w:p w14:paraId="44FD0409">
      <w:pPr>
        <w:tabs>
          <w:tab w:val="clear" w:pos="480"/>
        </w:tabs>
        <w:adjustRightInd w:val="0"/>
        <w:snapToGrid w:val="0"/>
        <w:ind w:firstLine="0" w:firstLineChars="0"/>
        <w:outlineLvl w:val="3"/>
        <w:rPr>
          <w:b/>
          <w:kern w:val="0"/>
          <w:lang w:val="zh-CN"/>
        </w:rPr>
      </w:pPr>
      <w:r>
        <w:rPr>
          <w:b/>
          <w:kern w:val="0"/>
          <w:lang w:val="zh-CN"/>
        </w:rPr>
        <w:t>6.2.6.1</w:t>
      </w:r>
      <w:r>
        <w:rPr>
          <w:rFonts w:hint="eastAsia"/>
          <w:b/>
          <w:kern w:val="0"/>
          <w:lang w:val="zh-CN"/>
        </w:rPr>
        <w:t>运营期对植物及植被的影响</w:t>
      </w:r>
    </w:p>
    <w:p w14:paraId="39909B58">
      <w:pPr>
        <w:adjustRightInd w:val="0"/>
        <w:snapToGrid w:val="0"/>
        <w:ind w:firstLine="480"/>
      </w:pPr>
      <w:r>
        <w:rPr>
          <w:rFonts w:hint="eastAsia"/>
        </w:rPr>
        <w:t>工程运营期不会新增占地、破坏植被，相反随着临时占地区植被的恢复，工程对评价区植物及植被的影响将逐渐降低。但运营期由于道路系统的完善，风电场区运营，人为活动、管理区生产生活等产生的废水及固废等可能会对评价区植物及植被产生不利影响。根据工程布置，运营期，本工程将安排相关人员进行运行管理，主要负责风电机组巡视、日常维护和值班等，运营期，管理人员较少，人为活动范围较小，废水、固废的产生量较小，且这种影响可通过加强宣传教育活动等措施进行缓解，在相关措施得到落实后，运营期，工程对区域植物及植被的影响较小。</w:t>
      </w:r>
    </w:p>
    <w:p w14:paraId="7BA46325">
      <w:pPr>
        <w:tabs>
          <w:tab w:val="clear" w:pos="480"/>
        </w:tabs>
        <w:adjustRightInd w:val="0"/>
        <w:snapToGrid w:val="0"/>
        <w:ind w:firstLine="0" w:firstLineChars="0"/>
        <w:outlineLvl w:val="3"/>
        <w:rPr>
          <w:b/>
          <w:kern w:val="0"/>
          <w:lang w:val="zh-CN"/>
        </w:rPr>
      </w:pPr>
      <w:r>
        <w:rPr>
          <w:b/>
          <w:kern w:val="0"/>
          <w:lang w:val="zh-CN"/>
        </w:rPr>
        <w:t>6.2.6.2</w:t>
      </w:r>
      <w:r>
        <w:rPr>
          <w:rFonts w:hint="eastAsia"/>
          <w:b/>
          <w:kern w:val="0"/>
          <w:lang w:val="zh-CN"/>
        </w:rPr>
        <w:t>运营期对陆生动物的影响</w:t>
      </w:r>
    </w:p>
    <w:p w14:paraId="6C7C7D06">
      <w:pPr>
        <w:adjustRightInd w:val="0"/>
        <w:snapToGrid w:val="0"/>
        <w:ind w:firstLine="480"/>
      </w:pPr>
      <w:r>
        <w:rPr>
          <w:rFonts w:hint="eastAsia"/>
        </w:rPr>
        <w:t>（</w:t>
      </w:r>
      <w:r>
        <w:t>1</w:t>
      </w:r>
      <w:r>
        <w:rPr>
          <w:rFonts w:hint="eastAsia"/>
        </w:rPr>
        <w:t>）风电场对野生动物的影响</w:t>
      </w:r>
    </w:p>
    <w:p w14:paraId="7ED52F4F">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lang w:eastAsia="zh-CN"/>
        </w:rPr>
        <w:t>环境</w:t>
      </w:r>
      <w:r>
        <w:rPr>
          <w:rFonts w:hint="eastAsia"/>
        </w:rPr>
        <w:t>质量下降对动物的影响</w:t>
      </w:r>
    </w:p>
    <w:p w14:paraId="5384EBB3">
      <w:pPr>
        <w:adjustRightInd w:val="0"/>
        <w:snapToGrid w:val="0"/>
        <w:ind w:firstLine="480"/>
      </w:pPr>
      <w:r>
        <w:rPr>
          <w:rFonts w:hint="eastAsia"/>
        </w:rPr>
        <w:t>工程永久占地（包括升压站和风机及箱变基础占地）会导致动物原有栖息地面积的缩小，尤其是灌丛和树木的砍伐使动物活动场所和食物资源的减少，风电设施运转、维护人员的活动等也会干扰影响部分动物的活动栖息地、觅食地。项目竣工后，新修的道路会对道路两边的两栖类、爬行类以及哺乳类动物的正常活动增加阻隔作用，同时使原来一些不易到达的地方（如山岭上部、山脊山顶）的可到达性增加，这些因素的叠加会造成风电场区动物栖息地质量下降。</w:t>
      </w:r>
    </w:p>
    <w:p w14:paraId="2D531190">
      <w:pPr>
        <w:adjustRightInd w:val="0"/>
        <w:snapToGrid w:val="0"/>
        <w:ind w:firstLine="480"/>
      </w:pPr>
      <w:r>
        <w:rPr>
          <w:rFonts w:hint="eastAsia"/>
        </w:rPr>
        <w:t>栖息地质量下降有可能导致部分动物种群数量下降，同时也造成风电场区的生物多样性降低，部分对栖息地变化极端敏感的种类甚至有可能离开评价范围，转移至较远的栖息地活动。</w:t>
      </w:r>
    </w:p>
    <w:p w14:paraId="66D58B7D">
      <w:pPr>
        <w:adjustRightInd w:val="0"/>
        <w:snapToGrid w:val="0"/>
        <w:ind w:firstLine="480"/>
      </w:pPr>
      <w:r>
        <w:rPr>
          <w:rFonts w:hint="eastAsia"/>
        </w:rPr>
        <w:t>根据现场调查，从动物活动分布分析，项目区的动物种类和数量的分布都以山体谷地低处和山丘中下部为最多，向上逐步递减，至山丘顶部活动动物相对较少。本工程对山丘上部和山顶部的植被破坏相对较大，而对山丘下部和中部主要是新修道路造成的破坏，其程度相对较小。</w:t>
      </w:r>
    </w:p>
    <w:p w14:paraId="295533DF">
      <w:pPr>
        <w:adjustRightInd w:val="0"/>
        <w:snapToGrid w:val="0"/>
        <w:ind w:firstLine="480"/>
      </w:pPr>
      <w:r>
        <w:rPr>
          <w:rFonts w:hint="eastAsia"/>
        </w:rPr>
        <w:t>以上分析表明，可以预测工程导致的栖息地质量下降会对动物数量造成一定的影响，尤其是鸟类，在运营初期有一段时间数量是下降的，但随着植被的逐渐恢复，动物种类，鸟类种群数量可逐渐上升，恢复到接近原来水平；由于当地现存动物大部分是一些分布广泛、适应能力强或者本身就是已经适应人类干扰环境的种类，评价区内栖息地质量下降不会导致有物种消失。</w:t>
      </w:r>
    </w:p>
    <w:p w14:paraId="44B3B659">
      <w:pPr>
        <w:adjustRightInd w:val="0"/>
        <w:snapToGrid w:val="0"/>
        <w:ind w:firstLine="480"/>
      </w:pPr>
      <w:r>
        <w:rPr>
          <w:rFonts w:hint="eastAsia"/>
        </w:rPr>
        <w:t>（</w:t>
      </w:r>
      <w:r>
        <w:t>2</w:t>
      </w:r>
      <w:r>
        <w:rPr>
          <w:rFonts w:hint="eastAsia"/>
        </w:rPr>
        <w:t>）集电线路对野生动物的影响</w:t>
      </w:r>
    </w:p>
    <w:p w14:paraId="3D6740FC">
      <w:pPr>
        <w:adjustRightInd w:val="0"/>
        <w:snapToGrid w:val="0"/>
        <w:ind w:firstLine="480"/>
      </w:pPr>
      <w:r>
        <w:t>本工程集电线路采用35kV电缆直埋</w:t>
      </w:r>
      <w:r>
        <w:rPr>
          <w:rFonts w:hint="eastAsia"/>
        </w:rPr>
        <w:t>与架空混合</w:t>
      </w:r>
      <w:r>
        <w:t>方案，其对陆生动物的影响主要是工频电磁</w:t>
      </w:r>
      <w:r>
        <w:rPr>
          <w:rFonts w:hint="eastAsia"/>
        </w:rPr>
        <w:t>噪声和架空线路对鸟类的</w:t>
      </w:r>
      <w:r>
        <w:t>影响。</w:t>
      </w:r>
    </w:p>
    <w:p w14:paraId="3D34D66B">
      <w:pPr>
        <w:adjustRightInd w:val="0"/>
        <w:snapToGrid w:val="0"/>
        <w:ind w:firstLine="480"/>
      </w:pPr>
      <w:r>
        <w:t>本项目直埋电缆开槽底宽0.8m，深1m。由于地下电缆外护套和铠装层对工频电场起到了一定的屏蔽作用，电缆周围的工频电场不大，加之土壤和电缆隧道起到的屏蔽作用，地表上的工频电场与建设前当地工频电场的环境背景相当。同时工频电场和工频磁场属于感应场，感应场的特点是随着距离的增加其场强快速衰减，高压电缆线路产生的工频磁场经过距离的衰减，对动物影响甚微。</w:t>
      </w:r>
      <w:r>
        <w:rPr>
          <w:rFonts w:hint="eastAsia"/>
        </w:rPr>
        <w:t>另外，本工程局部采用架空线路连接，鸟类飞行过程中可能有撞击架空线路的风险，由于评价区内分布的鸟类多为在该区域繁殖的雀形目鸟类，主要生活于林地下层及灌丛，不做远距离迁徙，其活动高度较低，且鸟类反应灵敏，具有较强的躲避障碍物的能力，因此运行期鸟类撞击架空线路的可能性较小。</w:t>
      </w:r>
    </w:p>
    <w:p w14:paraId="2F129CAA">
      <w:pPr>
        <w:adjustRightInd w:val="0"/>
        <w:snapToGrid w:val="0"/>
        <w:ind w:firstLine="480"/>
      </w:pPr>
      <w:r>
        <w:rPr>
          <w:rFonts w:hint="eastAsia"/>
        </w:rPr>
        <w:t>总的来说，本工程集电线路对动物的影响较小。</w:t>
      </w:r>
    </w:p>
    <w:p w14:paraId="7810FEC5">
      <w:pPr>
        <w:adjustRightInd w:val="0"/>
        <w:snapToGrid w:val="0"/>
        <w:ind w:firstLine="480"/>
      </w:pPr>
      <w:r>
        <w:rPr>
          <w:rFonts w:hint="eastAsia"/>
        </w:rPr>
        <w:t>（</w:t>
      </w:r>
      <w:r>
        <w:t>3</w:t>
      </w:r>
      <w:r>
        <w:rPr>
          <w:rFonts w:hint="eastAsia"/>
        </w:rPr>
        <w:t>）升压站及施工生活区对野生动物的影响</w:t>
      </w:r>
    </w:p>
    <w:p w14:paraId="3F0AC3AD">
      <w:pPr>
        <w:adjustRightInd w:val="0"/>
        <w:snapToGrid w:val="0"/>
        <w:ind w:firstLine="480"/>
      </w:pPr>
      <w:r>
        <w:rPr>
          <w:rFonts w:hint="eastAsia"/>
        </w:rPr>
        <w:t>本项目新建一座1</w:t>
      </w:r>
      <w:r>
        <w:t>10</w:t>
      </w:r>
      <w:r>
        <w:rPr>
          <w:rFonts w:hint="eastAsia"/>
        </w:rPr>
        <w:t>k</w:t>
      </w:r>
      <w:r>
        <w:t>V</w:t>
      </w:r>
      <w:r>
        <w:rPr>
          <w:rFonts w:hint="eastAsia"/>
        </w:rPr>
        <w:t>升压站，升压站内的主要电气设备为主变压器、</w:t>
      </w:r>
      <w:r>
        <w:t>35kV</w:t>
      </w:r>
      <w:r>
        <w:rPr>
          <w:rFonts w:hint="eastAsia"/>
        </w:rPr>
        <w:t>线路等，运行期升压站对动物的影响为电磁影响、噪声和管理人员生产生活的影响。电磁影响、噪声的影响与集电线路的影响类似，影响较小。升压站中设置有生产生活办公区，运行期工作人员正常生产生活产生的垃圾及污水不当处理，将污染升压站周围野生动物</w:t>
      </w:r>
      <w:r>
        <w:rPr>
          <w:rFonts w:hint="eastAsia"/>
          <w:lang w:eastAsia="zh-CN"/>
        </w:rPr>
        <w:t>环境</w:t>
      </w:r>
      <w:r>
        <w:rPr>
          <w:rFonts w:hint="eastAsia"/>
        </w:rPr>
        <w:t>，迫使野生动物远离该地区。由于升压站内工作人员数量少，只要采取合理的生活垃圾及污水管理措施，可把影响降到最低。总体来说，升压站对野生动物的影响较小。</w:t>
      </w:r>
    </w:p>
    <w:p w14:paraId="1B01A448">
      <w:pPr>
        <w:adjustRightInd w:val="0"/>
        <w:snapToGrid w:val="0"/>
        <w:ind w:firstLine="480"/>
      </w:pPr>
      <w:r>
        <w:rPr>
          <w:rFonts w:hint="eastAsia"/>
        </w:rPr>
        <w:t>（</w:t>
      </w:r>
      <w:r>
        <w:t>4</w:t>
      </w:r>
      <w:r>
        <w:rPr>
          <w:rFonts w:hint="eastAsia"/>
        </w:rPr>
        <w:t>）道路对野生动物的影响</w:t>
      </w:r>
    </w:p>
    <w:p w14:paraId="29082F3B">
      <w:pPr>
        <w:adjustRightInd w:val="0"/>
        <w:snapToGrid w:val="0"/>
        <w:ind w:firstLine="480"/>
      </w:pPr>
      <w:r>
        <w:rPr>
          <w:rFonts w:hint="eastAsia"/>
        </w:rPr>
        <w:t>施工、检修道路对评价区内野生动物的影响主要在于栖息地的破碎使野生动物的活动范围受到限制和提高野生动物在新建道路上穿行的死亡概率，但这种影响主要是对迁移能力较差的两栖类和爬行类的影响相对较大。由于新建道路是泥结碎石路面，道路上车、人流量有限，且一定时间后一些草本植被可以自然生长，因而道路对动物的阻隔作用和导致动物穿行死亡的影响较小。</w:t>
      </w:r>
    </w:p>
    <w:p w14:paraId="3A08B271">
      <w:pPr>
        <w:adjustRightInd w:val="0"/>
        <w:snapToGrid w:val="0"/>
        <w:ind w:firstLine="480"/>
      </w:pPr>
      <w:r>
        <w:rPr>
          <w:rFonts w:hint="eastAsia"/>
        </w:rPr>
        <w:t>（4）对重点保护野生动物的影响</w:t>
      </w:r>
    </w:p>
    <w:p w14:paraId="7AB261E1">
      <w:pPr>
        <w:adjustRightInd w:val="0"/>
        <w:snapToGrid w:val="0"/>
        <w:ind w:firstLine="480"/>
      </w:pPr>
      <w:r>
        <w:rPr>
          <w:rFonts w:hint="eastAsia"/>
        </w:rPr>
        <w:t>评价区范围内陆生脊椎动物中，未发现国家Ⅰ级重点保护野生动物分布，有国家Ⅱ级重点保护野生动物</w:t>
      </w:r>
      <w:r>
        <w:t>5</w:t>
      </w:r>
      <w:r>
        <w:rPr>
          <w:rFonts w:hint="eastAsia"/>
        </w:rPr>
        <w:t>种，湖南省重点保护动物</w:t>
      </w:r>
      <w:r>
        <w:t>85</w:t>
      </w:r>
      <w:r>
        <w:rPr>
          <w:rFonts w:hint="eastAsia"/>
        </w:rPr>
        <w:t>种。工程施工对其影响主要是噪声影响和占地影响，施工噪声干扰会使他们远离施工区，在其他地方寻找新的活动觅食场所、工程占地也会导致野生动物的栖息地和活动范围减小或者割裂。工程影响区附近的</w:t>
      </w:r>
      <w:r>
        <w:rPr>
          <w:rFonts w:hint="eastAsia"/>
          <w:lang w:eastAsia="zh-CN"/>
        </w:rPr>
        <w:t>环境</w:t>
      </w:r>
      <w:r>
        <w:rPr>
          <w:rFonts w:hint="eastAsia"/>
        </w:rPr>
        <w:t>类似，这些野生动物很容易在其他区域寻找到新的活动场所，因此工程对其影响较小。</w:t>
      </w:r>
    </w:p>
    <w:p w14:paraId="2861E3DC">
      <w:pPr>
        <w:adjustRightInd w:val="0"/>
        <w:snapToGrid w:val="0"/>
        <w:ind w:firstLine="480"/>
      </w:pPr>
      <w:r>
        <w:rPr>
          <w:rFonts w:hint="eastAsia"/>
        </w:rPr>
        <w:t>（5）风机运营期对鸟类的影响</w:t>
      </w:r>
    </w:p>
    <w:p w14:paraId="4E6F30C9">
      <w:pPr>
        <w:adjustRightInd w:val="0"/>
        <w:snapToGrid w:val="0"/>
        <w:ind w:firstLine="480"/>
      </w:pPr>
      <w:r>
        <w:rPr>
          <w:rFonts w:hint="eastAsia"/>
        </w:rPr>
        <w:t>本项目</w:t>
      </w:r>
      <w:r>
        <w:t>建成后，原来的环境发生了一些变化，鸟类群落结构也会有所调整，经过1年左右，原来的鸟类群落结构将被新的鸟类群落结构取代，形成风电场特有的鸟类群落。</w:t>
      </w:r>
    </w:p>
    <w:p w14:paraId="1AAF5BE6">
      <w:pPr>
        <w:adjustRightInd w:val="0"/>
        <w:snapToGrid w:val="0"/>
        <w:ind w:firstLine="480"/>
      </w:pPr>
      <w:r>
        <w:rPr>
          <w:rFonts w:hint="eastAsia"/>
        </w:rPr>
        <w:t>①</w:t>
      </w:r>
      <w:r>
        <w:t xml:space="preserve"> 对鸟类栖息和觅食的影响</w:t>
      </w:r>
    </w:p>
    <w:p w14:paraId="546547F7">
      <w:pPr>
        <w:adjustRightInd w:val="0"/>
        <w:snapToGrid w:val="0"/>
        <w:ind w:firstLine="480"/>
      </w:pPr>
      <w:r>
        <w:t>风机对评价区鸟类栖息和觅食的影响，主要包括两个方面。一方面是风机运行时叶片运动和叶片运转时的噪音等对鸟类的干扰，另一方面是鸟类飞行时可能碰撞风机。</w:t>
      </w:r>
    </w:p>
    <w:p w14:paraId="4C86BE86">
      <w:pPr>
        <w:adjustRightInd w:val="0"/>
        <w:snapToGrid w:val="0"/>
        <w:ind w:firstLine="480"/>
      </w:pPr>
      <w:r>
        <w:t>风电机在运转过程中会产生叶片扫风噪声和机械运转噪声，由于大多数鸟类和兽类对噪声具有较高的敏感性，而两栖类和爬行类动物对噪音的敏感度较低，在该噪声环境条件下，大多数鸟类和兽类会选择回避，这将造成鸟类和兽类活动范围的缩减。但野生动物对长期持续而无害的噪音会产生一定的适应性，随着运行时间的延长，部分野生动物会回到原来栖息地，这种影响会逐渐减小甚至消失。</w:t>
      </w:r>
    </w:p>
    <w:p w14:paraId="6847F4D1">
      <w:pPr>
        <w:adjustRightInd w:val="0"/>
        <w:snapToGrid w:val="0"/>
        <w:ind w:firstLine="480"/>
      </w:pPr>
      <w:r>
        <w:t>风力发电场对鸟类最严重的影响是鸟类飞行中由于不能避让正在旋转中的风机叶片而致死或致伤，这种影响主要表现在风机转速和恶劣天气与鸟类撞击的关系。有研究说明，鸟类与风机发生撞击而造成死亡与风机的运转速度呈一定的线性关系，一般变速的风机对鸟类的影响较大（Percival，2003）。参照GB/T 18710-2002《风电场风能资源评估方法》中推荐的参考值，</w:t>
      </w:r>
      <w:r>
        <w:rPr>
          <w:rFonts w:hint="eastAsia"/>
        </w:rPr>
        <w:t>本风电场</w:t>
      </w:r>
      <w:r>
        <w:t>风功率密度等级为1级。满负荷运转时，风机运转速度</w:t>
      </w:r>
      <w:r>
        <w:rPr>
          <w:rFonts w:hint="eastAsia"/>
        </w:rPr>
        <w:t>约</w:t>
      </w:r>
      <w:r>
        <w:t>为14r/min转速较慢，在这种速度下，区域内发生鸟类碰撞风机致死的可能性较小（贺志明，2008），风电场的鸟类均能正常回避。此外，有研究表明，恶劣天气条件下</w:t>
      </w:r>
      <w:r>
        <w:rPr>
          <w:rFonts w:hint="eastAsia"/>
        </w:rPr>
        <w:t>，</w:t>
      </w:r>
      <w:r>
        <w:t>如雾</w:t>
      </w:r>
      <w:r>
        <w:rPr>
          <w:rFonts w:hint="eastAsia"/>
        </w:rPr>
        <w:t>天</w:t>
      </w:r>
      <w:r>
        <w:t>或雨天能见度低，增加了鸟类撞击的可能性。很强的逆风也会使鸟类降低飞行高度，从而增加相撞的几率。</w:t>
      </w:r>
    </w:p>
    <w:p w14:paraId="2B87E379">
      <w:pPr>
        <w:adjustRightInd w:val="0"/>
        <w:snapToGrid w:val="0"/>
        <w:ind w:firstLine="480"/>
      </w:pPr>
      <w:r>
        <w:rPr>
          <w:rFonts w:hint="eastAsia"/>
        </w:rPr>
        <w:t>②</w:t>
      </w:r>
      <w:r>
        <w:t xml:space="preserve"> 对鸟类</w:t>
      </w:r>
      <w:r>
        <w:rPr>
          <w:rFonts w:hint="eastAsia"/>
          <w:lang w:eastAsia="zh-CN"/>
        </w:rPr>
        <w:t>迁徙</w:t>
      </w:r>
      <w:r>
        <w:t>的影响</w:t>
      </w:r>
    </w:p>
    <w:p w14:paraId="172E61DD">
      <w:pPr>
        <w:adjustRightInd w:val="0"/>
        <w:snapToGrid w:val="0"/>
        <w:ind w:firstLine="480"/>
      </w:pPr>
      <w:r>
        <w:t>鸟类迁徙通道泛指鸟类中的某些种类，每年春季和秋季，有规律的、沿相对固定的路线、定时地在繁殖地区和越冬地区之间进行的长距离的往返移居的行为现象。</w:t>
      </w:r>
    </w:p>
    <w:p w14:paraId="696D2B02">
      <w:pPr>
        <w:adjustRightInd w:val="0"/>
        <w:snapToGrid w:val="0"/>
        <w:ind w:firstLine="480"/>
      </w:pPr>
      <w:r>
        <w:t>风电机的风叶在旋转发电过程中，可能与飞行的鸟类相撞，一旦产生撞击，必然造成鸟类的死亡。基于目前风电机的性能，风电机</w:t>
      </w:r>
      <w:r>
        <w:rPr>
          <w:rFonts w:hint="eastAsia"/>
        </w:rPr>
        <w:t>最大</w:t>
      </w:r>
      <w:r>
        <w:t>转速</w:t>
      </w:r>
      <w:r>
        <w:rPr>
          <w:rFonts w:hint="eastAsia"/>
        </w:rPr>
        <w:t>约</w:t>
      </w:r>
      <w:r>
        <w:t>为14r/min，风机叶尖速度在88.65m/s左右，在这种速度下，鸟类均能正常回避。但是遇到异常天气，在突发气流的推动下，可鸟类可能与运行的风电机叶片相撞，造成鸟类的死亡。</w:t>
      </w:r>
    </w:p>
    <w:p w14:paraId="1C17CFC2">
      <w:pPr>
        <w:adjustRightInd w:val="0"/>
        <w:snapToGrid w:val="0"/>
        <w:ind w:firstLine="480"/>
      </w:pPr>
      <w:r>
        <w:t>国内外开展了风电场工程对鸟类迁徙的研究，通过雷达对世界上最大风力发电场Horns Rev电场地区鸟类迁徙行为的观察、监测发现，春季向北迁飞的鸟群在距离风力发电场400m左右开始变换飞行的方向，向北改为向西飞行。这种行为说明鸟类对风力发电场这类障碍物有一定的避让能力。雷达对丹麦Nysted海上风电场鸟类迁徙监测说明，白天鸟类在3000m外，夜间鸟类在1000m外绕开风力发电场飞行，改变飞行方向。还有研究表明水禽在距离风力发电场100m-3000m的地方就对风力发电场有所避让。</w:t>
      </w:r>
    </w:p>
    <w:p w14:paraId="588A0BC2">
      <w:pPr>
        <w:adjustRightInd w:val="0"/>
        <w:snapToGrid w:val="0"/>
        <w:ind w:firstLine="480"/>
      </w:pPr>
      <w:r>
        <w:t>我国鸟类学界一般认为我国有三条迁徙通道：西部通道、中部通道和东部通道。西部通道包括在内蒙西部干旱草原、甘肃、青海、宁夏等地的干旱或荒漠、半荒漠草原地带和高原草甸等</w:t>
      </w:r>
      <w:r>
        <w:rPr>
          <w:rFonts w:hint="eastAsia"/>
          <w:lang w:eastAsia="zh-CN"/>
        </w:rPr>
        <w:t>环境</w:t>
      </w:r>
      <w:r>
        <w:t>中繁殖的夏候鸟，它们迁飞时可沿阿尼玛卿、巴颜喀拉、邛崃等山脉向南沿横断山脉至四川盆地西部、云贵高原直至印支越冬，西藏地区候鸟除东部可沿唐古拉山和喜马拉雅山向东南方向迁徙外，估计大部分大中型候鸟亦可能飞越西马拉雅山脉至印度、尼泊尔等地区越冬。中部通道包括在内蒙东部、中部草原，华北西部地区及陕西地区繁殖的候鸟，冬季可沿太行山、吕梁山越过秦岭和大巴山区进入四川盆地以及经大巴山东部到华中地区越冬。东部通道包括在东北地区、华北东部繁殖的候鸟，如鸳鸯、中华秋沙鸭、鸻鹬类等。它们可能沿海岸向南迁飞至华中或华南，甚至迁到东南亚各国；或由海岸直接到日本、马来西亚、菲律宾及澳大利亚等国越冬。</w:t>
      </w:r>
    </w:p>
    <w:p w14:paraId="42F1F9DA">
      <w:pPr>
        <w:adjustRightInd w:val="0"/>
        <w:snapToGrid w:val="0"/>
        <w:ind w:firstLine="480"/>
      </w:pPr>
      <w:r>
        <w:rPr>
          <w:rFonts w:hint="eastAsia"/>
        </w:rPr>
        <w:t>本</w:t>
      </w:r>
      <w:r>
        <w:t>评价区</w:t>
      </w:r>
      <w:r>
        <w:rPr>
          <w:rFonts w:hint="eastAsia"/>
        </w:rPr>
        <w:t>内</w:t>
      </w:r>
      <w:r>
        <w:t>的鸟类中，繁殖鸟类（包括留鸟和夏候鸟）所占比例最大，有64种，占评价区</w:t>
      </w:r>
      <w:r>
        <w:rPr>
          <w:rFonts w:hint="eastAsia"/>
        </w:rPr>
        <w:t>内</w:t>
      </w:r>
      <w:r>
        <w:t>鸟类总数的83.12%，迁徙鸟类（包括冬候鸟、夏候鸟和旅鸟）有25种，占评价区</w:t>
      </w:r>
      <w:r>
        <w:rPr>
          <w:rFonts w:hint="eastAsia"/>
        </w:rPr>
        <w:t>内</w:t>
      </w:r>
      <w:r>
        <w:t>鸟类总数的32.47%，种类较少，主要包括鹭科、杜鹃科、鹰科、佛法僧科的鸟类和部分雀形目的鸟类；这些迁徙鸟类中，鹭科主要是在评价区内水库、河流、农田等湿地周边活动，与风机距离相对较远，对其</w:t>
      </w:r>
      <w:r>
        <w:rPr>
          <w:rFonts w:hint="eastAsia"/>
          <w:lang w:eastAsia="zh-CN"/>
        </w:rPr>
        <w:t>迁徙</w:t>
      </w:r>
      <w:r>
        <w:t>影响较小；其余鸟类除</w:t>
      </w:r>
      <w:r>
        <w:rPr>
          <w:rFonts w:hint="eastAsia"/>
        </w:rPr>
        <w:t>雀鹰</w:t>
      </w:r>
      <w:r>
        <w:t>以外均为小型鸟类，飞行高度低，迁徙中与风机相撞的可能性较小；</w:t>
      </w:r>
      <w:r>
        <w:rPr>
          <w:rFonts w:hint="eastAsia"/>
        </w:rPr>
        <w:t>雀鹰</w:t>
      </w:r>
      <w:r>
        <w:t>为猛禽，其飞行能力强，敏感性高，能够很好的避开风机，因而对其影响较小。</w:t>
      </w:r>
    </w:p>
    <w:p w14:paraId="580AFB02">
      <w:pPr>
        <w:tabs>
          <w:tab w:val="clear" w:pos="480"/>
        </w:tabs>
        <w:adjustRightInd w:val="0"/>
        <w:snapToGrid w:val="0"/>
        <w:ind w:firstLineChars="0"/>
        <w:outlineLvl w:val="3"/>
        <w:rPr>
          <w:b/>
          <w:kern w:val="0"/>
          <w:lang w:val="zh-CN"/>
        </w:rPr>
      </w:pPr>
      <w:r>
        <w:rPr>
          <w:b/>
          <w:kern w:val="0"/>
          <w:lang w:val="zh-CN"/>
        </w:rPr>
        <w:t>6.2.6.3</w:t>
      </w:r>
      <w:r>
        <w:rPr>
          <w:rFonts w:hint="eastAsia"/>
          <w:b/>
          <w:kern w:val="0"/>
          <w:lang w:val="zh-CN"/>
        </w:rPr>
        <w:t>景观影响</w:t>
      </w:r>
    </w:p>
    <w:p w14:paraId="384C5B43">
      <w:pPr>
        <w:adjustRightInd w:val="0"/>
        <w:snapToGrid w:val="0"/>
        <w:ind w:firstLine="480"/>
      </w:pPr>
      <w:bookmarkStart w:id="183" w:name="_Toc137151557"/>
      <w:r>
        <w:rPr>
          <w:rFonts w:hint="eastAsia"/>
        </w:rPr>
        <w:t>（1）</w:t>
      </w:r>
      <w:r>
        <w:t>土地利用变化</w:t>
      </w:r>
      <w:bookmarkEnd w:id="183"/>
    </w:p>
    <w:p w14:paraId="6455E384">
      <w:pPr>
        <w:adjustRightInd w:val="0"/>
        <w:snapToGrid w:val="0"/>
        <w:ind w:firstLine="480"/>
      </w:pPr>
      <w:r>
        <w:rPr>
          <w:rFonts w:hint="eastAsia"/>
        </w:rPr>
        <w:t>本风电场工程永久占地为</w:t>
      </w:r>
      <w:r>
        <w:t>1.163hm</w:t>
      </w:r>
      <w:r>
        <w:rPr>
          <w:vertAlign w:val="superscript"/>
        </w:rPr>
        <w:t>2</w:t>
      </w:r>
      <w:r>
        <w:rPr>
          <w:rFonts w:hint="eastAsia"/>
        </w:rPr>
        <w:t>，占地类型主要为林地、灌草地。永久占地改变了原有土地利用性质，对土地利用的影响是不可逆的。工程建设前后各类拼块数量以及面积的变化具体见下表。</w:t>
      </w:r>
    </w:p>
    <w:p w14:paraId="4E063869">
      <w:pPr>
        <w:tabs>
          <w:tab w:val="clear" w:pos="480"/>
        </w:tabs>
        <w:spacing w:line="240" w:lineRule="auto"/>
        <w:ind w:firstLine="0" w:firstLineChars="0"/>
        <w:jc w:val="center"/>
        <w:rPr>
          <w:b/>
          <w:bCs/>
          <w:kern w:val="0"/>
          <w:szCs w:val="22"/>
        </w:rPr>
      </w:pPr>
      <w:r>
        <w:rPr>
          <w:rFonts w:hint="eastAsia"/>
          <w:b/>
          <w:bCs/>
          <w:kern w:val="0"/>
          <w:szCs w:val="22"/>
        </w:rPr>
        <w:t>表</w:t>
      </w:r>
      <w:r>
        <w:rPr>
          <w:b/>
          <w:bCs/>
          <w:kern w:val="0"/>
          <w:szCs w:val="22"/>
        </w:rPr>
        <w:t xml:space="preserve">6.2-7  </w:t>
      </w:r>
      <w:r>
        <w:rPr>
          <w:rFonts w:hint="eastAsia"/>
          <w:b/>
          <w:bCs/>
          <w:kern w:val="0"/>
          <w:szCs w:val="22"/>
        </w:rPr>
        <w:t>工程建设前后评价区主要拼块类型数目和面积变化表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2"/>
        <w:gridCol w:w="1123"/>
        <w:gridCol w:w="1191"/>
        <w:gridCol w:w="1123"/>
        <w:gridCol w:w="1191"/>
        <w:gridCol w:w="1123"/>
        <w:gridCol w:w="1191"/>
      </w:tblGrid>
      <w:tr w14:paraId="50C247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vMerge w:val="restart"/>
            <w:tcBorders>
              <w:top w:val="single" w:color="auto" w:sz="12" w:space="0"/>
              <w:left w:val="single" w:color="auto" w:sz="12" w:space="0"/>
              <w:bottom w:val="single" w:color="auto" w:sz="4" w:space="0"/>
              <w:right w:val="single" w:color="auto" w:sz="4" w:space="0"/>
            </w:tcBorders>
            <w:vAlign w:val="center"/>
          </w:tcPr>
          <w:p w14:paraId="5FAEFED7">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斑块类型</w:t>
            </w:r>
          </w:p>
        </w:tc>
        <w:tc>
          <w:tcPr>
            <w:tcW w:w="2314" w:type="dxa"/>
            <w:gridSpan w:val="2"/>
            <w:tcBorders>
              <w:top w:val="single" w:color="auto" w:sz="12" w:space="0"/>
              <w:left w:val="single" w:color="auto" w:sz="4" w:space="0"/>
              <w:bottom w:val="single" w:color="auto" w:sz="4" w:space="0"/>
              <w:right w:val="single" w:color="auto" w:sz="4" w:space="0"/>
            </w:tcBorders>
            <w:vAlign w:val="center"/>
          </w:tcPr>
          <w:p w14:paraId="5773711F">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工程建设前</w:t>
            </w:r>
          </w:p>
        </w:tc>
        <w:tc>
          <w:tcPr>
            <w:tcW w:w="2314" w:type="dxa"/>
            <w:gridSpan w:val="2"/>
            <w:tcBorders>
              <w:top w:val="single" w:color="auto" w:sz="12" w:space="0"/>
              <w:left w:val="single" w:color="auto" w:sz="4" w:space="0"/>
              <w:bottom w:val="single" w:color="auto" w:sz="4" w:space="0"/>
              <w:right w:val="single" w:color="auto" w:sz="4" w:space="0"/>
            </w:tcBorders>
            <w:vAlign w:val="center"/>
          </w:tcPr>
          <w:p w14:paraId="02C78523">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工程建设后</w:t>
            </w:r>
          </w:p>
        </w:tc>
        <w:tc>
          <w:tcPr>
            <w:tcW w:w="2314" w:type="dxa"/>
            <w:gridSpan w:val="2"/>
            <w:tcBorders>
              <w:top w:val="single" w:color="auto" w:sz="12" w:space="0"/>
              <w:left w:val="single" w:color="auto" w:sz="4" w:space="0"/>
              <w:bottom w:val="single" w:color="auto" w:sz="4" w:space="0"/>
              <w:right w:val="single" w:color="auto" w:sz="12" w:space="0"/>
            </w:tcBorders>
            <w:vAlign w:val="center"/>
          </w:tcPr>
          <w:p w14:paraId="3B4B3F25">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变化情况</w:t>
            </w:r>
          </w:p>
        </w:tc>
      </w:tr>
      <w:tr w14:paraId="760D7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vMerge w:val="continue"/>
            <w:tcBorders>
              <w:top w:val="single" w:color="auto" w:sz="12" w:space="0"/>
              <w:left w:val="single" w:color="auto" w:sz="12" w:space="0"/>
              <w:bottom w:val="single" w:color="auto" w:sz="4" w:space="0"/>
              <w:right w:val="single" w:color="auto" w:sz="4" w:space="0"/>
            </w:tcBorders>
            <w:vAlign w:val="center"/>
          </w:tcPr>
          <w:p w14:paraId="483C3C41">
            <w:pPr>
              <w:widowControl/>
              <w:tabs>
                <w:tab w:val="clear" w:pos="480"/>
              </w:tabs>
              <w:spacing w:line="240" w:lineRule="auto"/>
              <w:ind w:firstLine="0" w:firstLineChars="0"/>
              <w:jc w:val="left"/>
              <w:rPr>
                <w:b/>
                <w:kern w:val="0"/>
                <w:sz w:val="21"/>
                <w:szCs w:val="21"/>
              </w:rPr>
            </w:pPr>
          </w:p>
        </w:tc>
        <w:tc>
          <w:tcPr>
            <w:tcW w:w="1123" w:type="dxa"/>
            <w:tcBorders>
              <w:top w:val="single" w:color="auto" w:sz="4" w:space="0"/>
              <w:left w:val="single" w:color="auto" w:sz="4" w:space="0"/>
              <w:bottom w:val="single" w:color="auto" w:sz="4" w:space="0"/>
              <w:right w:val="single" w:color="auto" w:sz="4" w:space="0"/>
            </w:tcBorders>
            <w:vAlign w:val="center"/>
          </w:tcPr>
          <w:p w14:paraId="49E060E8">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面积</w:t>
            </w:r>
          </w:p>
        </w:tc>
        <w:tc>
          <w:tcPr>
            <w:tcW w:w="1191" w:type="dxa"/>
            <w:tcBorders>
              <w:top w:val="single" w:color="auto" w:sz="4" w:space="0"/>
              <w:left w:val="single" w:color="auto" w:sz="4" w:space="0"/>
              <w:bottom w:val="single" w:color="auto" w:sz="4" w:space="0"/>
              <w:right w:val="single" w:color="auto" w:sz="4" w:space="0"/>
            </w:tcBorders>
            <w:vAlign w:val="center"/>
          </w:tcPr>
          <w:p w14:paraId="3FF26F36">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斑块数目</w:t>
            </w:r>
          </w:p>
        </w:tc>
        <w:tc>
          <w:tcPr>
            <w:tcW w:w="1123" w:type="dxa"/>
            <w:tcBorders>
              <w:top w:val="single" w:color="auto" w:sz="4" w:space="0"/>
              <w:left w:val="single" w:color="auto" w:sz="4" w:space="0"/>
              <w:bottom w:val="single" w:color="auto" w:sz="4" w:space="0"/>
              <w:right w:val="single" w:color="auto" w:sz="4" w:space="0"/>
            </w:tcBorders>
            <w:vAlign w:val="center"/>
          </w:tcPr>
          <w:p w14:paraId="52A136AB">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面积</w:t>
            </w:r>
          </w:p>
        </w:tc>
        <w:tc>
          <w:tcPr>
            <w:tcW w:w="1191" w:type="dxa"/>
            <w:tcBorders>
              <w:top w:val="single" w:color="auto" w:sz="4" w:space="0"/>
              <w:left w:val="single" w:color="auto" w:sz="4" w:space="0"/>
              <w:bottom w:val="single" w:color="auto" w:sz="4" w:space="0"/>
              <w:right w:val="single" w:color="auto" w:sz="4" w:space="0"/>
            </w:tcBorders>
            <w:vAlign w:val="center"/>
          </w:tcPr>
          <w:p w14:paraId="0DBB25FA">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斑块数目</w:t>
            </w:r>
          </w:p>
        </w:tc>
        <w:tc>
          <w:tcPr>
            <w:tcW w:w="1123" w:type="dxa"/>
            <w:tcBorders>
              <w:top w:val="single" w:color="auto" w:sz="4" w:space="0"/>
              <w:left w:val="single" w:color="auto" w:sz="4" w:space="0"/>
              <w:bottom w:val="single" w:color="auto" w:sz="4" w:space="0"/>
              <w:right w:val="single" w:color="auto" w:sz="4" w:space="0"/>
            </w:tcBorders>
            <w:vAlign w:val="center"/>
          </w:tcPr>
          <w:p w14:paraId="5FAC91DA">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面积</w:t>
            </w:r>
          </w:p>
        </w:tc>
        <w:tc>
          <w:tcPr>
            <w:tcW w:w="1191" w:type="dxa"/>
            <w:tcBorders>
              <w:top w:val="single" w:color="auto" w:sz="4" w:space="0"/>
              <w:left w:val="single" w:color="auto" w:sz="4" w:space="0"/>
              <w:bottom w:val="single" w:color="auto" w:sz="4" w:space="0"/>
              <w:right w:val="single" w:color="auto" w:sz="12" w:space="0"/>
            </w:tcBorders>
            <w:vAlign w:val="center"/>
          </w:tcPr>
          <w:p w14:paraId="7A645493">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斑块数目</w:t>
            </w:r>
          </w:p>
        </w:tc>
      </w:tr>
      <w:tr w14:paraId="3E3D02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vMerge w:val="continue"/>
            <w:tcBorders>
              <w:top w:val="single" w:color="auto" w:sz="12" w:space="0"/>
              <w:left w:val="single" w:color="auto" w:sz="12" w:space="0"/>
              <w:bottom w:val="single" w:color="auto" w:sz="4" w:space="0"/>
              <w:right w:val="single" w:color="auto" w:sz="4" w:space="0"/>
            </w:tcBorders>
            <w:vAlign w:val="center"/>
          </w:tcPr>
          <w:p w14:paraId="7DF42A9C">
            <w:pPr>
              <w:widowControl/>
              <w:tabs>
                <w:tab w:val="clear" w:pos="480"/>
              </w:tabs>
              <w:spacing w:line="240" w:lineRule="auto"/>
              <w:ind w:firstLine="0" w:firstLineChars="0"/>
              <w:jc w:val="left"/>
              <w:rPr>
                <w:b/>
                <w:kern w:val="0"/>
                <w:sz w:val="21"/>
                <w:szCs w:val="21"/>
              </w:rPr>
            </w:pPr>
          </w:p>
        </w:tc>
        <w:tc>
          <w:tcPr>
            <w:tcW w:w="1123" w:type="dxa"/>
            <w:tcBorders>
              <w:top w:val="single" w:color="auto" w:sz="4" w:space="0"/>
              <w:left w:val="single" w:color="auto" w:sz="4" w:space="0"/>
              <w:bottom w:val="single" w:color="auto" w:sz="4" w:space="0"/>
              <w:right w:val="single" w:color="auto" w:sz="4" w:space="0"/>
            </w:tcBorders>
            <w:vAlign w:val="center"/>
          </w:tcPr>
          <w:p w14:paraId="1B138B33">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w:t>
            </w:r>
            <w:r>
              <w:rPr>
                <w:b/>
                <w:kern w:val="0"/>
                <w:sz w:val="21"/>
                <w:szCs w:val="21"/>
              </w:rPr>
              <w:t>hm</w:t>
            </w:r>
            <w:r>
              <w:rPr>
                <w:b/>
                <w:kern w:val="0"/>
                <w:sz w:val="21"/>
                <w:szCs w:val="21"/>
                <w:vertAlign w:val="superscript"/>
              </w:rPr>
              <w:t>2</w:t>
            </w:r>
            <w:r>
              <w:rPr>
                <w:rFonts w:hint="eastAsia"/>
                <w:b/>
                <w:kern w:val="0"/>
                <w:sz w:val="21"/>
                <w:szCs w:val="21"/>
              </w:rPr>
              <w:t>）</w:t>
            </w:r>
          </w:p>
        </w:tc>
        <w:tc>
          <w:tcPr>
            <w:tcW w:w="1191" w:type="dxa"/>
            <w:tcBorders>
              <w:top w:val="single" w:color="auto" w:sz="4" w:space="0"/>
              <w:left w:val="single" w:color="auto" w:sz="4" w:space="0"/>
              <w:bottom w:val="single" w:color="auto" w:sz="4" w:space="0"/>
              <w:right w:val="single" w:color="auto" w:sz="4" w:space="0"/>
            </w:tcBorders>
            <w:vAlign w:val="center"/>
          </w:tcPr>
          <w:p w14:paraId="57CFE5FD">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（块）</w:t>
            </w:r>
          </w:p>
        </w:tc>
        <w:tc>
          <w:tcPr>
            <w:tcW w:w="1123" w:type="dxa"/>
            <w:tcBorders>
              <w:top w:val="single" w:color="auto" w:sz="4" w:space="0"/>
              <w:left w:val="single" w:color="auto" w:sz="4" w:space="0"/>
              <w:bottom w:val="single" w:color="auto" w:sz="4" w:space="0"/>
              <w:right w:val="single" w:color="auto" w:sz="4" w:space="0"/>
            </w:tcBorders>
            <w:vAlign w:val="center"/>
          </w:tcPr>
          <w:p w14:paraId="5DB6F92B">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w:t>
            </w:r>
            <w:r>
              <w:rPr>
                <w:b/>
                <w:kern w:val="0"/>
                <w:sz w:val="21"/>
                <w:szCs w:val="21"/>
              </w:rPr>
              <w:t>hm</w:t>
            </w:r>
            <w:r>
              <w:rPr>
                <w:b/>
                <w:kern w:val="0"/>
                <w:sz w:val="21"/>
                <w:szCs w:val="21"/>
                <w:vertAlign w:val="superscript"/>
              </w:rPr>
              <w:t>2</w:t>
            </w:r>
            <w:r>
              <w:rPr>
                <w:rFonts w:hint="eastAsia"/>
                <w:b/>
                <w:kern w:val="0"/>
                <w:sz w:val="21"/>
                <w:szCs w:val="21"/>
              </w:rPr>
              <w:t>）</w:t>
            </w:r>
          </w:p>
        </w:tc>
        <w:tc>
          <w:tcPr>
            <w:tcW w:w="1191" w:type="dxa"/>
            <w:tcBorders>
              <w:top w:val="single" w:color="auto" w:sz="4" w:space="0"/>
              <w:left w:val="single" w:color="auto" w:sz="4" w:space="0"/>
              <w:bottom w:val="single" w:color="auto" w:sz="4" w:space="0"/>
              <w:right w:val="single" w:color="auto" w:sz="4" w:space="0"/>
            </w:tcBorders>
            <w:vAlign w:val="center"/>
          </w:tcPr>
          <w:p w14:paraId="4F81D3CA">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（块）</w:t>
            </w:r>
          </w:p>
        </w:tc>
        <w:tc>
          <w:tcPr>
            <w:tcW w:w="1123" w:type="dxa"/>
            <w:tcBorders>
              <w:top w:val="single" w:color="auto" w:sz="4" w:space="0"/>
              <w:left w:val="single" w:color="auto" w:sz="4" w:space="0"/>
              <w:bottom w:val="single" w:color="auto" w:sz="4" w:space="0"/>
              <w:right w:val="single" w:color="auto" w:sz="4" w:space="0"/>
            </w:tcBorders>
            <w:vAlign w:val="center"/>
          </w:tcPr>
          <w:p w14:paraId="42A6DF2C">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w:t>
            </w:r>
            <w:r>
              <w:rPr>
                <w:b/>
                <w:kern w:val="0"/>
                <w:sz w:val="21"/>
                <w:szCs w:val="21"/>
              </w:rPr>
              <w:t>hm</w:t>
            </w:r>
            <w:r>
              <w:rPr>
                <w:b/>
                <w:kern w:val="0"/>
                <w:sz w:val="21"/>
                <w:szCs w:val="21"/>
                <w:vertAlign w:val="superscript"/>
              </w:rPr>
              <w:t>2</w:t>
            </w:r>
            <w:r>
              <w:rPr>
                <w:rFonts w:hint="eastAsia"/>
                <w:b/>
                <w:kern w:val="0"/>
                <w:sz w:val="21"/>
                <w:szCs w:val="21"/>
              </w:rPr>
              <w:t>）</w:t>
            </w:r>
          </w:p>
        </w:tc>
        <w:tc>
          <w:tcPr>
            <w:tcW w:w="1191" w:type="dxa"/>
            <w:tcBorders>
              <w:top w:val="single" w:color="auto" w:sz="4" w:space="0"/>
              <w:left w:val="single" w:color="auto" w:sz="4" w:space="0"/>
              <w:bottom w:val="single" w:color="auto" w:sz="4" w:space="0"/>
              <w:right w:val="single" w:color="auto" w:sz="12" w:space="0"/>
            </w:tcBorders>
            <w:vAlign w:val="center"/>
          </w:tcPr>
          <w:p w14:paraId="16CC7F51">
            <w:pPr>
              <w:tabs>
                <w:tab w:val="clear" w:pos="480"/>
              </w:tabs>
              <w:adjustRightInd w:val="0"/>
              <w:snapToGrid w:val="0"/>
              <w:spacing w:line="240" w:lineRule="auto"/>
              <w:ind w:firstLine="0" w:firstLineChars="0"/>
              <w:jc w:val="center"/>
              <w:rPr>
                <w:b/>
                <w:kern w:val="0"/>
                <w:sz w:val="21"/>
                <w:szCs w:val="21"/>
              </w:rPr>
            </w:pPr>
            <w:r>
              <w:rPr>
                <w:rFonts w:hint="eastAsia"/>
                <w:b/>
                <w:kern w:val="0"/>
                <w:sz w:val="21"/>
                <w:szCs w:val="21"/>
              </w:rPr>
              <w:t>（块）</w:t>
            </w:r>
          </w:p>
        </w:tc>
      </w:tr>
      <w:tr w14:paraId="79C2A1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tcBorders>
              <w:top w:val="single" w:color="auto" w:sz="4" w:space="0"/>
              <w:left w:val="single" w:color="auto" w:sz="12" w:space="0"/>
              <w:bottom w:val="single" w:color="auto" w:sz="4" w:space="0"/>
              <w:right w:val="single" w:color="auto" w:sz="4" w:space="0"/>
            </w:tcBorders>
            <w:vAlign w:val="center"/>
          </w:tcPr>
          <w:p w14:paraId="458AF63C">
            <w:pPr>
              <w:tabs>
                <w:tab w:val="clear" w:pos="480"/>
              </w:tabs>
              <w:adjustRightInd w:val="0"/>
              <w:snapToGrid w:val="0"/>
              <w:spacing w:line="240" w:lineRule="auto"/>
              <w:ind w:firstLine="0" w:firstLineChars="0"/>
              <w:jc w:val="center"/>
              <w:rPr>
                <w:b/>
                <w:sz w:val="21"/>
                <w:szCs w:val="21"/>
              </w:rPr>
            </w:pPr>
            <w:r>
              <w:rPr>
                <w:rFonts w:hint="eastAsia"/>
                <w:b/>
                <w:sz w:val="21"/>
                <w:szCs w:val="21"/>
              </w:rPr>
              <w:t>林地</w:t>
            </w:r>
          </w:p>
        </w:tc>
        <w:tc>
          <w:tcPr>
            <w:tcW w:w="1123" w:type="dxa"/>
            <w:tcBorders>
              <w:top w:val="single" w:color="auto" w:sz="4" w:space="0"/>
              <w:left w:val="single" w:color="auto" w:sz="4" w:space="0"/>
              <w:bottom w:val="single" w:color="auto" w:sz="4" w:space="0"/>
              <w:right w:val="single" w:color="auto" w:sz="4" w:space="0"/>
            </w:tcBorders>
            <w:vAlign w:val="center"/>
          </w:tcPr>
          <w:p w14:paraId="7F15381B">
            <w:pPr>
              <w:widowControl/>
              <w:tabs>
                <w:tab w:val="clear" w:pos="480"/>
              </w:tabs>
              <w:adjustRightInd w:val="0"/>
              <w:snapToGrid w:val="0"/>
              <w:spacing w:line="240" w:lineRule="auto"/>
              <w:ind w:firstLine="0" w:firstLineChars="0"/>
              <w:jc w:val="center"/>
              <w:rPr>
                <w:kern w:val="0"/>
                <w:sz w:val="21"/>
                <w:szCs w:val="21"/>
              </w:rPr>
            </w:pPr>
            <w:r>
              <w:rPr>
                <w:sz w:val="21"/>
                <w:szCs w:val="21"/>
              </w:rPr>
              <w:t>352.52</w:t>
            </w:r>
          </w:p>
        </w:tc>
        <w:tc>
          <w:tcPr>
            <w:tcW w:w="1191" w:type="dxa"/>
            <w:tcBorders>
              <w:top w:val="single" w:color="auto" w:sz="4" w:space="0"/>
              <w:left w:val="single" w:color="auto" w:sz="4" w:space="0"/>
              <w:bottom w:val="single" w:color="auto" w:sz="4" w:space="0"/>
              <w:right w:val="single" w:color="auto" w:sz="4" w:space="0"/>
            </w:tcBorders>
            <w:vAlign w:val="center"/>
          </w:tcPr>
          <w:p w14:paraId="6C165B9E">
            <w:pPr>
              <w:tabs>
                <w:tab w:val="clear" w:pos="480"/>
              </w:tabs>
              <w:adjustRightInd w:val="0"/>
              <w:snapToGrid w:val="0"/>
              <w:spacing w:line="240" w:lineRule="auto"/>
              <w:ind w:firstLine="0" w:firstLineChars="0"/>
              <w:jc w:val="center"/>
              <w:rPr>
                <w:sz w:val="21"/>
                <w:szCs w:val="21"/>
              </w:rPr>
            </w:pPr>
            <w:r>
              <w:rPr>
                <w:sz w:val="21"/>
                <w:szCs w:val="21"/>
              </w:rPr>
              <w:t>646</w:t>
            </w:r>
          </w:p>
        </w:tc>
        <w:tc>
          <w:tcPr>
            <w:tcW w:w="1123" w:type="dxa"/>
            <w:tcBorders>
              <w:top w:val="single" w:color="auto" w:sz="4" w:space="0"/>
              <w:left w:val="single" w:color="auto" w:sz="4" w:space="0"/>
              <w:bottom w:val="single" w:color="auto" w:sz="4" w:space="0"/>
              <w:right w:val="single" w:color="auto" w:sz="4" w:space="0"/>
            </w:tcBorders>
            <w:vAlign w:val="center"/>
          </w:tcPr>
          <w:p w14:paraId="30C5A753">
            <w:pPr>
              <w:widowControl/>
              <w:tabs>
                <w:tab w:val="clear" w:pos="480"/>
              </w:tabs>
              <w:adjustRightInd w:val="0"/>
              <w:snapToGrid w:val="0"/>
              <w:spacing w:line="240" w:lineRule="auto"/>
              <w:ind w:firstLine="0" w:firstLineChars="0"/>
              <w:jc w:val="center"/>
              <w:rPr>
                <w:kern w:val="0"/>
                <w:sz w:val="21"/>
                <w:szCs w:val="21"/>
              </w:rPr>
            </w:pPr>
            <w:r>
              <w:rPr>
                <w:kern w:val="0"/>
                <w:sz w:val="21"/>
                <w:szCs w:val="21"/>
              </w:rPr>
              <w:t>346.43</w:t>
            </w:r>
          </w:p>
        </w:tc>
        <w:tc>
          <w:tcPr>
            <w:tcW w:w="1191" w:type="dxa"/>
            <w:tcBorders>
              <w:top w:val="single" w:color="auto" w:sz="4" w:space="0"/>
              <w:left w:val="single" w:color="auto" w:sz="4" w:space="0"/>
              <w:bottom w:val="single" w:color="auto" w:sz="4" w:space="0"/>
              <w:right w:val="single" w:color="auto" w:sz="4" w:space="0"/>
            </w:tcBorders>
            <w:vAlign w:val="center"/>
          </w:tcPr>
          <w:p w14:paraId="29B0D66C">
            <w:pPr>
              <w:tabs>
                <w:tab w:val="clear" w:pos="480"/>
              </w:tabs>
              <w:adjustRightInd w:val="0"/>
              <w:snapToGrid w:val="0"/>
              <w:spacing w:line="240" w:lineRule="auto"/>
              <w:ind w:firstLine="0" w:firstLineChars="0"/>
              <w:jc w:val="center"/>
              <w:rPr>
                <w:sz w:val="21"/>
                <w:szCs w:val="21"/>
              </w:rPr>
            </w:pPr>
            <w:r>
              <w:rPr>
                <w:sz w:val="21"/>
                <w:szCs w:val="21"/>
              </w:rPr>
              <w:t>652</w:t>
            </w:r>
          </w:p>
        </w:tc>
        <w:tc>
          <w:tcPr>
            <w:tcW w:w="1123" w:type="dxa"/>
            <w:tcBorders>
              <w:top w:val="single" w:color="auto" w:sz="4" w:space="0"/>
              <w:left w:val="single" w:color="auto" w:sz="4" w:space="0"/>
              <w:bottom w:val="single" w:color="auto" w:sz="4" w:space="0"/>
              <w:right w:val="single" w:color="auto" w:sz="4" w:space="0"/>
            </w:tcBorders>
            <w:vAlign w:val="center"/>
          </w:tcPr>
          <w:p w14:paraId="001EBAB7">
            <w:pPr>
              <w:widowControl/>
              <w:tabs>
                <w:tab w:val="clear" w:pos="480"/>
              </w:tabs>
              <w:adjustRightInd w:val="0"/>
              <w:snapToGrid w:val="0"/>
              <w:spacing w:line="240" w:lineRule="auto"/>
              <w:ind w:firstLine="0" w:firstLineChars="0"/>
              <w:jc w:val="center"/>
              <w:rPr>
                <w:kern w:val="0"/>
                <w:sz w:val="21"/>
                <w:szCs w:val="21"/>
              </w:rPr>
            </w:pPr>
            <w:r>
              <w:rPr>
                <w:sz w:val="21"/>
                <w:szCs w:val="21"/>
              </w:rPr>
              <w:t>-6.09</w:t>
            </w:r>
          </w:p>
        </w:tc>
        <w:tc>
          <w:tcPr>
            <w:tcW w:w="1191" w:type="dxa"/>
            <w:tcBorders>
              <w:top w:val="single" w:color="auto" w:sz="4" w:space="0"/>
              <w:left w:val="single" w:color="auto" w:sz="4" w:space="0"/>
              <w:bottom w:val="single" w:color="auto" w:sz="4" w:space="0"/>
              <w:right w:val="single" w:color="auto" w:sz="12" w:space="0"/>
            </w:tcBorders>
            <w:vAlign w:val="center"/>
          </w:tcPr>
          <w:p w14:paraId="35EDAAEA">
            <w:pPr>
              <w:widowControl/>
              <w:tabs>
                <w:tab w:val="clear" w:pos="480"/>
              </w:tabs>
              <w:adjustRightInd w:val="0"/>
              <w:snapToGrid w:val="0"/>
              <w:spacing w:line="240" w:lineRule="auto"/>
              <w:ind w:firstLine="0" w:firstLineChars="0"/>
              <w:jc w:val="center"/>
              <w:rPr>
                <w:kern w:val="0"/>
                <w:sz w:val="21"/>
                <w:szCs w:val="21"/>
              </w:rPr>
            </w:pPr>
            <w:r>
              <w:rPr>
                <w:sz w:val="21"/>
                <w:szCs w:val="21"/>
              </w:rPr>
              <w:t>+6</w:t>
            </w:r>
          </w:p>
        </w:tc>
      </w:tr>
      <w:tr w14:paraId="6B400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tcBorders>
              <w:top w:val="single" w:color="auto" w:sz="4" w:space="0"/>
              <w:left w:val="single" w:color="auto" w:sz="12" w:space="0"/>
              <w:bottom w:val="single" w:color="auto" w:sz="4" w:space="0"/>
              <w:right w:val="single" w:color="auto" w:sz="4" w:space="0"/>
            </w:tcBorders>
            <w:vAlign w:val="center"/>
          </w:tcPr>
          <w:p w14:paraId="3AC753E7">
            <w:pPr>
              <w:tabs>
                <w:tab w:val="clear" w:pos="480"/>
              </w:tabs>
              <w:adjustRightInd w:val="0"/>
              <w:snapToGrid w:val="0"/>
              <w:spacing w:line="240" w:lineRule="auto"/>
              <w:ind w:firstLine="0" w:firstLineChars="0"/>
              <w:jc w:val="center"/>
              <w:rPr>
                <w:b/>
                <w:sz w:val="21"/>
                <w:szCs w:val="21"/>
              </w:rPr>
            </w:pPr>
            <w:r>
              <w:rPr>
                <w:rFonts w:hint="eastAsia"/>
                <w:b/>
                <w:sz w:val="21"/>
                <w:szCs w:val="21"/>
              </w:rPr>
              <w:t>灌草地</w:t>
            </w:r>
          </w:p>
        </w:tc>
        <w:tc>
          <w:tcPr>
            <w:tcW w:w="1123" w:type="dxa"/>
            <w:tcBorders>
              <w:top w:val="single" w:color="auto" w:sz="4" w:space="0"/>
              <w:left w:val="single" w:color="auto" w:sz="4" w:space="0"/>
              <w:bottom w:val="single" w:color="auto" w:sz="4" w:space="0"/>
              <w:right w:val="single" w:color="auto" w:sz="4" w:space="0"/>
            </w:tcBorders>
            <w:vAlign w:val="center"/>
          </w:tcPr>
          <w:p w14:paraId="0BEA9193">
            <w:pPr>
              <w:widowControl/>
              <w:tabs>
                <w:tab w:val="clear" w:pos="480"/>
              </w:tabs>
              <w:adjustRightInd w:val="0"/>
              <w:snapToGrid w:val="0"/>
              <w:spacing w:line="240" w:lineRule="auto"/>
              <w:ind w:firstLine="0" w:firstLineChars="0"/>
              <w:jc w:val="center"/>
              <w:rPr>
                <w:kern w:val="0"/>
                <w:sz w:val="21"/>
                <w:szCs w:val="21"/>
              </w:rPr>
            </w:pPr>
            <w:r>
              <w:rPr>
                <w:sz w:val="21"/>
                <w:szCs w:val="21"/>
              </w:rPr>
              <w:t>538.16</w:t>
            </w:r>
          </w:p>
        </w:tc>
        <w:tc>
          <w:tcPr>
            <w:tcW w:w="1191" w:type="dxa"/>
            <w:tcBorders>
              <w:top w:val="single" w:color="auto" w:sz="4" w:space="0"/>
              <w:left w:val="single" w:color="auto" w:sz="4" w:space="0"/>
              <w:bottom w:val="single" w:color="auto" w:sz="4" w:space="0"/>
              <w:right w:val="single" w:color="auto" w:sz="4" w:space="0"/>
            </w:tcBorders>
            <w:vAlign w:val="center"/>
          </w:tcPr>
          <w:p w14:paraId="40DF60E9">
            <w:pPr>
              <w:widowControl/>
              <w:tabs>
                <w:tab w:val="clear" w:pos="480"/>
              </w:tabs>
              <w:adjustRightInd w:val="0"/>
              <w:snapToGrid w:val="0"/>
              <w:spacing w:line="240" w:lineRule="auto"/>
              <w:ind w:firstLine="0" w:firstLineChars="0"/>
              <w:jc w:val="center"/>
              <w:rPr>
                <w:kern w:val="0"/>
                <w:sz w:val="21"/>
                <w:szCs w:val="21"/>
              </w:rPr>
            </w:pPr>
            <w:r>
              <w:rPr>
                <w:sz w:val="21"/>
                <w:szCs w:val="21"/>
              </w:rPr>
              <w:t>540</w:t>
            </w:r>
          </w:p>
        </w:tc>
        <w:tc>
          <w:tcPr>
            <w:tcW w:w="1123" w:type="dxa"/>
            <w:tcBorders>
              <w:top w:val="single" w:color="auto" w:sz="4" w:space="0"/>
              <w:left w:val="single" w:color="auto" w:sz="4" w:space="0"/>
              <w:bottom w:val="single" w:color="auto" w:sz="4" w:space="0"/>
              <w:right w:val="single" w:color="auto" w:sz="4" w:space="0"/>
            </w:tcBorders>
            <w:vAlign w:val="center"/>
          </w:tcPr>
          <w:p w14:paraId="5495A070">
            <w:pPr>
              <w:tabs>
                <w:tab w:val="clear" w:pos="480"/>
              </w:tabs>
              <w:adjustRightInd w:val="0"/>
              <w:snapToGrid w:val="0"/>
              <w:spacing w:line="240" w:lineRule="auto"/>
              <w:ind w:firstLine="0" w:firstLineChars="0"/>
              <w:jc w:val="center"/>
              <w:rPr>
                <w:sz w:val="21"/>
                <w:szCs w:val="21"/>
              </w:rPr>
            </w:pPr>
            <w:r>
              <w:rPr>
                <w:sz w:val="21"/>
                <w:szCs w:val="21"/>
              </w:rPr>
              <w:t>528.42</w:t>
            </w:r>
          </w:p>
        </w:tc>
        <w:tc>
          <w:tcPr>
            <w:tcW w:w="1191" w:type="dxa"/>
            <w:tcBorders>
              <w:top w:val="single" w:color="auto" w:sz="4" w:space="0"/>
              <w:left w:val="single" w:color="auto" w:sz="4" w:space="0"/>
              <w:bottom w:val="single" w:color="auto" w:sz="4" w:space="0"/>
              <w:right w:val="single" w:color="auto" w:sz="4" w:space="0"/>
            </w:tcBorders>
            <w:vAlign w:val="center"/>
          </w:tcPr>
          <w:p w14:paraId="0B38C1B5">
            <w:pPr>
              <w:tabs>
                <w:tab w:val="clear" w:pos="480"/>
              </w:tabs>
              <w:adjustRightInd w:val="0"/>
              <w:snapToGrid w:val="0"/>
              <w:spacing w:line="240" w:lineRule="auto"/>
              <w:ind w:firstLine="0" w:firstLineChars="0"/>
              <w:jc w:val="center"/>
              <w:rPr>
                <w:sz w:val="21"/>
                <w:szCs w:val="21"/>
              </w:rPr>
            </w:pPr>
            <w:r>
              <w:rPr>
                <w:sz w:val="21"/>
                <w:szCs w:val="21"/>
              </w:rPr>
              <w:t>544</w:t>
            </w:r>
          </w:p>
        </w:tc>
        <w:tc>
          <w:tcPr>
            <w:tcW w:w="1123" w:type="dxa"/>
            <w:tcBorders>
              <w:top w:val="single" w:color="auto" w:sz="4" w:space="0"/>
              <w:left w:val="single" w:color="auto" w:sz="4" w:space="0"/>
              <w:bottom w:val="single" w:color="auto" w:sz="4" w:space="0"/>
              <w:right w:val="single" w:color="auto" w:sz="4" w:space="0"/>
            </w:tcBorders>
            <w:vAlign w:val="center"/>
          </w:tcPr>
          <w:p w14:paraId="1B6BE824">
            <w:pPr>
              <w:tabs>
                <w:tab w:val="clear" w:pos="480"/>
              </w:tabs>
              <w:adjustRightInd w:val="0"/>
              <w:snapToGrid w:val="0"/>
              <w:spacing w:line="240" w:lineRule="auto"/>
              <w:ind w:firstLine="0" w:firstLineChars="0"/>
              <w:jc w:val="center"/>
              <w:rPr>
                <w:sz w:val="21"/>
                <w:szCs w:val="21"/>
              </w:rPr>
            </w:pPr>
            <w:r>
              <w:rPr>
                <w:sz w:val="21"/>
                <w:szCs w:val="21"/>
              </w:rPr>
              <w:t>-9.74</w:t>
            </w:r>
          </w:p>
        </w:tc>
        <w:tc>
          <w:tcPr>
            <w:tcW w:w="1191" w:type="dxa"/>
            <w:tcBorders>
              <w:top w:val="single" w:color="auto" w:sz="4" w:space="0"/>
              <w:left w:val="single" w:color="auto" w:sz="4" w:space="0"/>
              <w:bottom w:val="single" w:color="auto" w:sz="4" w:space="0"/>
              <w:right w:val="single" w:color="auto" w:sz="12" w:space="0"/>
            </w:tcBorders>
            <w:vAlign w:val="center"/>
          </w:tcPr>
          <w:p w14:paraId="15B56713">
            <w:pPr>
              <w:tabs>
                <w:tab w:val="clear" w:pos="480"/>
              </w:tabs>
              <w:adjustRightInd w:val="0"/>
              <w:snapToGrid w:val="0"/>
              <w:spacing w:line="240" w:lineRule="auto"/>
              <w:ind w:firstLine="0" w:firstLineChars="0"/>
              <w:jc w:val="center"/>
              <w:rPr>
                <w:sz w:val="21"/>
                <w:szCs w:val="21"/>
              </w:rPr>
            </w:pPr>
            <w:r>
              <w:rPr>
                <w:sz w:val="21"/>
                <w:szCs w:val="21"/>
              </w:rPr>
              <w:t>+4</w:t>
            </w:r>
          </w:p>
        </w:tc>
      </w:tr>
      <w:tr w14:paraId="574F47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tcBorders>
              <w:top w:val="single" w:color="auto" w:sz="4" w:space="0"/>
              <w:left w:val="single" w:color="auto" w:sz="12" w:space="0"/>
              <w:bottom w:val="single" w:color="auto" w:sz="4" w:space="0"/>
              <w:right w:val="single" w:color="auto" w:sz="4" w:space="0"/>
            </w:tcBorders>
            <w:vAlign w:val="center"/>
          </w:tcPr>
          <w:p w14:paraId="13662EDB">
            <w:pPr>
              <w:tabs>
                <w:tab w:val="clear" w:pos="480"/>
              </w:tabs>
              <w:adjustRightInd w:val="0"/>
              <w:snapToGrid w:val="0"/>
              <w:spacing w:line="240" w:lineRule="auto"/>
              <w:ind w:firstLine="0" w:firstLineChars="0"/>
              <w:jc w:val="center"/>
              <w:rPr>
                <w:b/>
                <w:sz w:val="21"/>
                <w:szCs w:val="21"/>
              </w:rPr>
            </w:pPr>
            <w:r>
              <w:rPr>
                <w:rFonts w:hint="eastAsia"/>
                <w:b/>
                <w:sz w:val="21"/>
                <w:szCs w:val="21"/>
              </w:rPr>
              <w:t>水域</w:t>
            </w:r>
          </w:p>
        </w:tc>
        <w:tc>
          <w:tcPr>
            <w:tcW w:w="1123" w:type="dxa"/>
            <w:tcBorders>
              <w:top w:val="single" w:color="auto" w:sz="4" w:space="0"/>
              <w:left w:val="single" w:color="auto" w:sz="4" w:space="0"/>
              <w:bottom w:val="single" w:color="auto" w:sz="4" w:space="0"/>
              <w:right w:val="single" w:color="auto" w:sz="4" w:space="0"/>
            </w:tcBorders>
            <w:vAlign w:val="center"/>
          </w:tcPr>
          <w:p w14:paraId="52205003">
            <w:pPr>
              <w:tabs>
                <w:tab w:val="clear" w:pos="480"/>
              </w:tabs>
              <w:adjustRightInd w:val="0"/>
              <w:snapToGrid w:val="0"/>
              <w:spacing w:line="240" w:lineRule="auto"/>
              <w:ind w:firstLine="0" w:firstLineChars="0"/>
              <w:jc w:val="center"/>
              <w:rPr>
                <w:sz w:val="21"/>
                <w:szCs w:val="21"/>
              </w:rPr>
            </w:pPr>
            <w:r>
              <w:rPr>
                <w:sz w:val="21"/>
                <w:szCs w:val="21"/>
              </w:rPr>
              <w:t>0.86</w:t>
            </w:r>
          </w:p>
        </w:tc>
        <w:tc>
          <w:tcPr>
            <w:tcW w:w="1191" w:type="dxa"/>
            <w:tcBorders>
              <w:top w:val="single" w:color="auto" w:sz="4" w:space="0"/>
              <w:left w:val="single" w:color="auto" w:sz="4" w:space="0"/>
              <w:bottom w:val="single" w:color="auto" w:sz="4" w:space="0"/>
              <w:right w:val="single" w:color="auto" w:sz="4" w:space="0"/>
            </w:tcBorders>
            <w:vAlign w:val="center"/>
          </w:tcPr>
          <w:p w14:paraId="3CAA75BB">
            <w:pPr>
              <w:tabs>
                <w:tab w:val="clear" w:pos="480"/>
              </w:tabs>
              <w:adjustRightInd w:val="0"/>
              <w:snapToGrid w:val="0"/>
              <w:spacing w:line="240" w:lineRule="auto"/>
              <w:ind w:firstLine="0" w:firstLineChars="0"/>
              <w:jc w:val="center"/>
              <w:rPr>
                <w:sz w:val="21"/>
                <w:szCs w:val="21"/>
              </w:rPr>
            </w:pPr>
            <w:r>
              <w:rPr>
                <w:sz w:val="21"/>
                <w:szCs w:val="21"/>
              </w:rPr>
              <w:t>4</w:t>
            </w:r>
          </w:p>
        </w:tc>
        <w:tc>
          <w:tcPr>
            <w:tcW w:w="1123" w:type="dxa"/>
            <w:tcBorders>
              <w:top w:val="single" w:color="auto" w:sz="4" w:space="0"/>
              <w:left w:val="single" w:color="auto" w:sz="4" w:space="0"/>
              <w:bottom w:val="single" w:color="auto" w:sz="4" w:space="0"/>
              <w:right w:val="single" w:color="auto" w:sz="4" w:space="0"/>
            </w:tcBorders>
            <w:vAlign w:val="center"/>
          </w:tcPr>
          <w:p w14:paraId="72735D53">
            <w:pPr>
              <w:tabs>
                <w:tab w:val="clear" w:pos="480"/>
              </w:tabs>
              <w:adjustRightInd w:val="0"/>
              <w:snapToGrid w:val="0"/>
              <w:spacing w:line="240" w:lineRule="auto"/>
              <w:ind w:firstLine="0" w:firstLineChars="0"/>
              <w:jc w:val="center"/>
              <w:rPr>
                <w:sz w:val="21"/>
                <w:szCs w:val="21"/>
              </w:rPr>
            </w:pPr>
            <w:r>
              <w:rPr>
                <w:sz w:val="21"/>
                <w:szCs w:val="21"/>
              </w:rPr>
              <w:t>0.86</w:t>
            </w:r>
          </w:p>
        </w:tc>
        <w:tc>
          <w:tcPr>
            <w:tcW w:w="1191" w:type="dxa"/>
            <w:tcBorders>
              <w:top w:val="single" w:color="auto" w:sz="4" w:space="0"/>
              <w:left w:val="single" w:color="auto" w:sz="4" w:space="0"/>
              <w:bottom w:val="single" w:color="auto" w:sz="4" w:space="0"/>
              <w:right w:val="single" w:color="auto" w:sz="4" w:space="0"/>
            </w:tcBorders>
            <w:vAlign w:val="center"/>
          </w:tcPr>
          <w:p w14:paraId="4ED0238D">
            <w:pPr>
              <w:tabs>
                <w:tab w:val="clear" w:pos="480"/>
              </w:tabs>
              <w:adjustRightInd w:val="0"/>
              <w:snapToGrid w:val="0"/>
              <w:spacing w:line="240" w:lineRule="auto"/>
              <w:ind w:firstLine="0" w:firstLineChars="0"/>
              <w:jc w:val="center"/>
              <w:rPr>
                <w:sz w:val="21"/>
                <w:szCs w:val="21"/>
              </w:rPr>
            </w:pPr>
            <w:r>
              <w:rPr>
                <w:sz w:val="21"/>
                <w:szCs w:val="21"/>
              </w:rPr>
              <w:t>4</w:t>
            </w:r>
          </w:p>
        </w:tc>
        <w:tc>
          <w:tcPr>
            <w:tcW w:w="1123" w:type="dxa"/>
            <w:tcBorders>
              <w:top w:val="single" w:color="auto" w:sz="4" w:space="0"/>
              <w:left w:val="single" w:color="auto" w:sz="4" w:space="0"/>
              <w:bottom w:val="single" w:color="auto" w:sz="4" w:space="0"/>
              <w:right w:val="single" w:color="auto" w:sz="4" w:space="0"/>
            </w:tcBorders>
            <w:vAlign w:val="center"/>
          </w:tcPr>
          <w:p w14:paraId="21F0AF5E">
            <w:pPr>
              <w:tabs>
                <w:tab w:val="clear" w:pos="480"/>
              </w:tabs>
              <w:adjustRightInd w:val="0"/>
              <w:snapToGrid w:val="0"/>
              <w:spacing w:line="240" w:lineRule="auto"/>
              <w:ind w:firstLine="0" w:firstLineChars="0"/>
              <w:jc w:val="center"/>
              <w:rPr>
                <w:sz w:val="21"/>
                <w:szCs w:val="21"/>
              </w:rPr>
            </w:pPr>
            <w:r>
              <w:rPr>
                <w:sz w:val="21"/>
                <w:szCs w:val="21"/>
              </w:rPr>
              <w:t>0</w:t>
            </w:r>
          </w:p>
        </w:tc>
        <w:tc>
          <w:tcPr>
            <w:tcW w:w="1191" w:type="dxa"/>
            <w:tcBorders>
              <w:top w:val="single" w:color="auto" w:sz="4" w:space="0"/>
              <w:left w:val="single" w:color="auto" w:sz="4" w:space="0"/>
              <w:bottom w:val="single" w:color="auto" w:sz="4" w:space="0"/>
              <w:right w:val="single" w:color="auto" w:sz="12" w:space="0"/>
            </w:tcBorders>
            <w:vAlign w:val="center"/>
          </w:tcPr>
          <w:p w14:paraId="29846624">
            <w:pPr>
              <w:tabs>
                <w:tab w:val="clear" w:pos="480"/>
              </w:tabs>
              <w:adjustRightInd w:val="0"/>
              <w:snapToGrid w:val="0"/>
              <w:spacing w:line="240" w:lineRule="auto"/>
              <w:ind w:firstLine="0" w:firstLineChars="0"/>
              <w:jc w:val="center"/>
              <w:rPr>
                <w:sz w:val="21"/>
                <w:szCs w:val="21"/>
              </w:rPr>
            </w:pPr>
            <w:r>
              <w:rPr>
                <w:sz w:val="21"/>
                <w:szCs w:val="21"/>
              </w:rPr>
              <w:t>0</w:t>
            </w:r>
          </w:p>
        </w:tc>
      </w:tr>
      <w:tr w14:paraId="6D1D36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tcBorders>
              <w:top w:val="single" w:color="auto" w:sz="4" w:space="0"/>
              <w:left w:val="single" w:color="auto" w:sz="12" w:space="0"/>
              <w:bottom w:val="single" w:color="auto" w:sz="4" w:space="0"/>
              <w:right w:val="single" w:color="auto" w:sz="4" w:space="0"/>
            </w:tcBorders>
            <w:vAlign w:val="center"/>
          </w:tcPr>
          <w:p w14:paraId="1771EE9E">
            <w:pPr>
              <w:tabs>
                <w:tab w:val="clear" w:pos="480"/>
              </w:tabs>
              <w:adjustRightInd w:val="0"/>
              <w:snapToGrid w:val="0"/>
              <w:spacing w:line="240" w:lineRule="auto"/>
              <w:ind w:firstLine="0" w:firstLineChars="0"/>
              <w:jc w:val="center"/>
              <w:rPr>
                <w:b/>
                <w:sz w:val="21"/>
                <w:szCs w:val="21"/>
              </w:rPr>
            </w:pPr>
            <w:r>
              <w:rPr>
                <w:rFonts w:hint="eastAsia"/>
                <w:b/>
                <w:sz w:val="21"/>
                <w:szCs w:val="21"/>
              </w:rPr>
              <w:t>建设用地</w:t>
            </w:r>
          </w:p>
        </w:tc>
        <w:tc>
          <w:tcPr>
            <w:tcW w:w="1123" w:type="dxa"/>
            <w:tcBorders>
              <w:top w:val="single" w:color="auto" w:sz="4" w:space="0"/>
              <w:left w:val="single" w:color="auto" w:sz="4" w:space="0"/>
              <w:bottom w:val="single" w:color="auto" w:sz="4" w:space="0"/>
              <w:right w:val="single" w:color="auto" w:sz="4" w:space="0"/>
            </w:tcBorders>
            <w:vAlign w:val="center"/>
          </w:tcPr>
          <w:p w14:paraId="08DBD47B">
            <w:pPr>
              <w:tabs>
                <w:tab w:val="clear" w:pos="480"/>
              </w:tabs>
              <w:adjustRightInd w:val="0"/>
              <w:snapToGrid w:val="0"/>
              <w:spacing w:line="240" w:lineRule="auto"/>
              <w:ind w:firstLine="0" w:firstLineChars="0"/>
              <w:jc w:val="center"/>
              <w:rPr>
                <w:sz w:val="21"/>
                <w:szCs w:val="21"/>
              </w:rPr>
            </w:pPr>
            <w:r>
              <w:rPr>
                <w:sz w:val="21"/>
                <w:szCs w:val="21"/>
              </w:rPr>
              <w:t>8.56</w:t>
            </w:r>
          </w:p>
        </w:tc>
        <w:tc>
          <w:tcPr>
            <w:tcW w:w="1191" w:type="dxa"/>
            <w:tcBorders>
              <w:top w:val="single" w:color="auto" w:sz="4" w:space="0"/>
              <w:left w:val="single" w:color="auto" w:sz="4" w:space="0"/>
              <w:bottom w:val="single" w:color="auto" w:sz="4" w:space="0"/>
              <w:right w:val="single" w:color="auto" w:sz="4" w:space="0"/>
            </w:tcBorders>
            <w:vAlign w:val="center"/>
          </w:tcPr>
          <w:p w14:paraId="7473252F">
            <w:pPr>
              <w:tabs>
                <w:tab w:val="clear" w:pos="480"/>
              </w:tabs>
              <w:adjustRightInd w:val="0"/>
              <w:snapToGrid w:val="0"/>
              <w:spacing w:line="240" w:lineRule="auto"/>
              <w:ind w:firstLine="0" w:firstLineChars="0"/>
              <w:jc w:val="center"/>
              <w:rPr>
                <w:sz w:val="21"/>
                <w:szCs w:val="21"/>
              </w:rPr>
            </w:pPr>
            <w:r>
              <w:rPr>
                <w:sz w:val="21"/>
                <w:szCs w:val="21"/>
              </w:rPr>
              <w:t>10</w:t>
            </w:r>
          </w:p>
        </w:tc>
        <w:tc>
          <w:tcPr>
            <w:tcW w:w="1123" w:type="dxa"/>
            <w:tcBorders>
              <w:top w:val="single" w:color="auto" w:sz="4" w:space="0"/>
              <w:left w:val="single" w:color="auto" w:sz="4" w:space="0"/>
              <w:bottom w:val="single" w:color="auto" w:sz="4" w:space="0"/>
              <w:right w:val="single" w:color="auto" w:sz="4" w:space="0"/>
            </w:tcBorders>
            <w:vAlign w:val="center"/>
          </w:tcPr>
          <w:p w14:paraId="00666640">
            <w:pPr>
              <w:widowControl/>
              <w:tabs>
                <w:tab w:val="clear" w:pos="480"/>
              </w:tabs>
              <w:adjustRightInd w:val="0"/>
              <w:snapToGrid w:val="0"/>
              <w:spacing w:line="240" w:lineRule="auto"/>
              <w:ind w:firstLine="0" w:firstLineChars="0"/>
              <w:jc w:val="center"/>
              <w:rPr>
                <w:kern w:val="0"/>
                <w:sz w:val="21"/>
                <w:szCs w:val="21"/>
              </w:rPr>
            </w:pPr>
            <w:r>
              <w:rPr>
                <w:sz w:val="21"/>
                <w:szCs w:val="21"/>
              </w:rPr>
              <w:t>9.723</w:t>
            </w:r>
          </w:p>
        </w:tc>
        <w:tc>
          <w:tcPr>
            <w:tcW w:w="1191" w:type="dxa"/>
            <w:tcBorders>
              <w:top w:val="single" w:color="auto" w:sz="4" w:space="0"/>
              <w:left w:val="single" w:color="auto" w:sz="4" w:space="0"/>
              <w:bottom w:val="single" w:color="auto" w:sz="4" w:space="0"/>
              <w:right w:val="single" w:color="auto" w:sz="4" w:space="0"/>
            </w:tcBorders>
            <w:vAlign w:val="center"/>
          </w:tcPr>
          <w:p w14:paraId="736D678F">
            <w:pPr>
              <w:tabs>
                <w:tab w:val="clear" w:pos="480"/>
              </w:tabs>
              <w:adjustRightInd w:val="0"/>
              <w:snapToGrid w:val="0"/>
              <w:spacing w:line="240" w:lineRule="auto"/>
              <w:ind w:firstLine="0" w:firstLineChars="0"/>
              <w:jc w:val="center"/>
              <w:rPr>
                <w:sz w:val="21"/>
                <w:szCs w:val="21"/>
              </w:rPr>
            </w:pPr>
            <w:r>
              <w:rPr>
                <w:sz w:val="21"/>
                <w:szCs w:val="21"/>
              </w:rPr>
              <w:t>28</w:t>
            </w:r>
          </w:p>
        </w:tc>
        <w:tc>
          <w:tcPr>
            <w:tcW w:w="1123" w:type="dxa"/>
            <w:tcBorders>
              <w:top w:val="single" w:color="auto" w:sz="4" w:space="0"/>
              <w:left w:val="single" w:color="auto" w:sz="4" w:space="0"/>
              <w:bottom w:val="single" w:color="auto" w:sz="4" w:space="0"/>
              <w:right w:val="single" w:color="auto" w:sz="4" w:space="0"/>
            </w:tcBorders>
            <w:vAlign w:val="center"/>
          </w:tcPr>
          <w:p w14:paraId="472ACFA3">
            <w:pPr>
              <w:tabs>
                <w:tab w:val="clear" w:pos="480"/>
              </w:tabs>
              <w:adjustRightInd w:val="0"/>
              <w:snapToGrid w:val="0"/>
              <w:spacing w:line="240" w:lineRule="auto"/>
              <w:ind w:firstLine="0" w:firstLineChars="0"/>
              <w:jc w:val="center"/>
              <w:rPr>
                <w:sz w:val="21"/>
                <w:szCs w:val="21"/>
              </w:rPr>
            </w:pPr>
            <w:r>
              <w:rPr>
                <w:sz w:val="21"/>
                <w:szCs w:val="21"/>
              </w:rPr>
              <w:t>+1.163</w:t>
            </w:r>
          </w:p>
        </w:tc>
        <w:tc>
          <w:tcPr>
            <w:tcW w:w="1191" w:type="dxa"/>
            <w:tcBorders>
              <w:top w:val="single" w:color="auto" w:sz="4" w:space="0"/>
              <w:left w:val="single" w:color="auto" w:sz="4" w:space="0"/>
              <w:bottom w:val="single" w:color="auto" w:sz="4" w:space="0"/>
              <w:right w:val="single" w:color="auto" w:sz="12" w:space="0"/>
            </w:tcBorders>
            <w:vAlign w:val="center"/>
          </w:tcPr>
          <w:p w14:paraId="506C7DA6">
            <w:pPr>
              <w:tabs>
                <w:tab w:val="clear" w:pos="480"/>
              </w:tabs>
              <w:adjustRightInd w:val="0"/>
              <w:snapToGrid w:val="0"/>
              <w:spacing w:line="240" w:lineRule="auto"/>
              <w:ind w:firstLine="0" w:firstLineChars="0"/>
              <w:jc w:val="center"/>
              <w:rPr>
                <w:sz w:val="21"/>
                <w:szCs w:val="21"/>
              </w:rPr>
            </w:pPr>
            <w:r>
              <w:rPr>
                <w:sz w:val="21"/>
                <w:szCs w:val="21"/>
              </w:rPr>
              <w:t>+18</w:t>
            </w:r>
          </w:p>
        </w:tc>
      </w:tr>
      <w:tr w14:paraId="791B3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tcBorders>
              <w:top w:val="single" w:color="auto" w:sz="4" w:space="0"/>
              <w:left w:val="single" w:color="auto" w:sz="12" w:space="0"/>
              <w:bottom w:val="single" w:color="auto" w:sz="4" w:space="0"/>
              <w:right w:val="single" w:color="auto" w:sz="4" w:space="0"/>
            </w:tcBorders>
            <w:vAlign w:val="center"/>
          </w:tcPr>
          <w:p w14:paraId="14C2929F">
            <w:pPr>
              <w:tabs>
                <w:tab w:val="clear" w:pos="480"/>
              </w:tabs>
              <w:adjustRightInd w:val="0"/>
              <w:snapToGrid w:val="0"/>
              <w:spacing w:line="240" w:lineRule="auto"/>
              <w:ind w:firstLine="0" w:firstLineChars="0"/>
              <w:jc w:val="center"/>
              <w:rPr>
                <w:b/>
                <w:sz w:val="21"/>
                <w:szCs w:val="21"/>
              </w:rPr>
            </w:pPr>
            <w:r>
              <w:rPr>
                <w:rFonts w:hint="eastAsia"/>
                <w:b/>
                <w:sz w:val="21"/>
                <w:szCs w:val="21"/>
              </w:rPr>
              <w:t>耕地</w:t>
            </w:r>
          </w:p>
        </w:tc>
        <w:tc>
          <w:tcPr>
            <w:tcW w:w="1123" w:type="dxa"/>
            <w:tcBorders>
              <w:top w:val="single" w:color="auto" w:sz="4" w:space="0"/>
              <w:left w:val="single" w:color="auto" w:sz="4" w:space="0"/>
              <w:bottom w:val="single" w:color="auto" w:sz="4" w:space="0"/>
              <w:right w:val="single" w:color="auto" w:sz="4" w:space="0"/>
            </w:tcBorders>
            <w:vAlign w:val="center"/>
          </w:tcPr>
          <w:p w14:paraId="077F97AF">
            <w:pPr>
              <w:tabs>
                <w:tab w:val="clear" w:pos="480"/>
              </w:tabs>
              <w:adjustRightInd w:val="0"/>
              <w:snapToGrid w:val="0"/>
              <w:spacing w:line="240" w:lineRule="auto"/>
              <w:ind w:firstLine="0" w:firstLineChars="0"/>
              <w:jc w:val="center"/>
              <w:rPr>
                <w:sz w:val="21"/>
                <w:szCs w:val="21"/>
              </w:rPr>
            </w:pPr>
            <w:r>
              <w:rPr>
                <w:sz w:val="21"/>
                <w:szCs w:val="21"/>
              </w:rPr>
              <w:t>18.42</w:t>
            </w:r>
          </w:p>
        </w:tc>
        <w:tc>
          <w:tcPr>
            <w:tcW w:w="1191" w:type="dxa"/>
            <w:tcBorders>
              <w:top w:val="single" w:color="auto" w:sz="4" w:space="0"/>
              <w:left w:val="single" w:color="auto" w:sz="4" w:space="0"/>
              <w:bottom w:val="single" w:color="auto" w:sz="4" w:space="0"/>
              <w:right w:val="single" w:color="auto" w:sz="4" w:space="0"/>
            </w:tcBorders>
            <w:vAlign w:val="center"/>
          </w:tcPr>
          <w:p w14:paraId="44EAD7B6">
            <w:pPr>
              <w:tabs>
                <w:tab w:val="clear" w:pos="480"/>
              </w:tabs>
              <w:adjustRightInd w:val="0"/>
              <w:snapToGrid w:val="0"/>
              <w:spacing w:line="240" w:lineRule="auto"/>
              <w:ind w:firstLine="0" w:firstLineChars="0"/>
              <w:jc w:val="center"/>
              <w:rPr>
                <w:sz w:val="21"/>
                <w:szCs w:val="21"/>
              </w:rPr>
            </w:pPr>
            <w:r>
              <w:rPr>
                <w:sz w:val="21"/>
                <w:szCs w:val="21"/>
              </w:rPr>
              <w:t>118</w:t>
            </w:r>
          </w:p>
        </w:tc>
        <w:tc>
          <w:tcPr>
            <w:tcW w:w="1123" w:type="dxa"/>
            <w:tcBorders>
              <w:top w:val="single" w:color="auto" w:sz="4" w:space="0"/>
              <w:left w:val="single" w:color="auto" w:sz="4" w:space="0"/>
              <w:bottom w:val="single" w:color="auto" w:sz="4" w:space="0"/>
              <w:right w:val="single" w:color="auto" w:sz="4" w:space="0"/>
            </w:tcBorders>
            <w:vAlign w:val="center"/>
          </w:tcPr>
          <w:p w14:paraId="0062315F">
            <w:pPr>
              <w:tabs>
                <w:tab w:val="clear" w:pos="480"/>
              </w:tabs>
              <w:adjustRightInd w:val="0"/>
              <w:snapToGrid w:val="0"/>
              <w:spacing w:line="240" w:lineRule="auto"/>
              <w:ind w:firstLine="0" w:firstLineChars="0"/>
              <w:jc w:val="center"/>
              <w:rPr>
                <w:sz w:val="21"/>
                <w:szCs w:val="21"/>
              </w:rPr>
            </w:pPr>
            <w:r>
              <w:rPr>
                <w:sz w:val="21"/>
                <w:szCs w:val="21"/>
              </w:rPr>
              <w:t>18.42</w:t>
            </w:r>
          </w:p>
        </w:tc>
        <w:tc>
          <w:tcPr>
            <w:tcW w:w="1191" w:type="dxa"/>
            <w:tcBorders>
              <w:top w:val="single" w:color="auto" w:sz="4" w:space="0"/>
              <w:left w:val="single" w:color="auto" w:sz="4" w:space="0"/>
              <w:bottom w:val="single" w:color="auto" w:sz="4" w:space="0"/>
              <w:right w:val="single" w:color="auto" w:sz="4" w:space="0"/>
            </w:tcBorders>
            <w:vAlign w:val="center"/>
          </w:tcPr>
          <w:p w14:paraId="520CAB3B">
            <w:pPr>
              <w:tabs>
                <w:tab w:val="clear" w:pos="480"/>
              </w:tabs>
              <w:adjustRightInd w:val="0"/>
              <w:snapToGrid w:val="0"/>
              <w:spacing w:line="240" w:lineRule="auto"/>
              <w:ind w:firstLine="0" w:firstLineChars="0"/>
              <w:jc w:val="center"/>
              <w:rPr>
                <w:sz w:val="21"/>
                <w:szCs w:val="21"/>
              </w:rPr>
            </w:pPr>
            <w:r>
              <w:rPr>
                <w:sz w:val="21"/>
                <w:szCs w:val="21"/>
              </w:rPr>
              <w:t>118</w:t>
            </w:r>
          </w:p>
        </w:tc>
        <w:tc>
          <w:tcPr>
            <w:tcW w:w="1123" w:type="dxa"/>
            <w:tcBorders>
              <w:top w:val="single" w:color="auto" w:sz="4" w:space="0"/>
              <w:left w:val="single" w:color="auto" w:sz="4" w:space="0"/>
              <w:bottom w:val="single" w:color="auto" w:sz="4" w:space="0"/>
              <w:right w:val="single" w:color="auto" w:sz="4" w:space="0"/>
            </w:tcBorders>
            <w:vAlign w:val="center"/>
          </w:tcPr>
          <w:p w14:paraId="4B11C63C">
            <w:pPr>
              <w:tabs>
                <w:tab w:val="clear" w:pos="480"/>
              </w:tabs>
              <w:adjustRightInd w:val="0"/>
              <w:snapToGrid w:val="0"/>
              <w:spacing w:line="240" w:lineRule="auto"/>
              <w:ind w:firstLine="0" w:firstLineChars="0"/>
              <w:jc w:val="center"/>
              <w:rPr>
                <w:sz w:val="21"/>
                <w:szCs w:val="21"/>
              </w:rPr>
            </w:pPr>
            <w:r>
              <w:rPr>
                <w:sz w:val="21"/>
                <w:szCs w:val="21"/>
              </w:rPr>
              <w:t>0</w:t>
            </w:r>
          </w:p>
        </w:tc>
        <w:tc>
          <w:tcPr>
            <w:tcW w:w="1191" w:type="dxa"/>
            <w:tcBorders>
              <w:top w:val="single" w:color="auto" w:sz="4" w:space="0"/>
              <w:left w:val="single" w:color="auto" w:sz="4" w:space="0"/>
              <w:bottom w:val="single" w:color="auto" w:sz="4" w:space="0"/>
              <w:right w:val="single" w:color="auto" w:sz="12" w:space="0"/>
            </w:tcBorders>
            <w:vAlign w:val="center"/>
          </w:tcPr>
          <w:p w14:paraId="03EEBED2">
            <w:pPr>
              <w:tabs>
                <w:tab w:val="clear" w:pos="480"/>
              </w:tabs>
              <w:adjustRightInd w:val="0"/>
              <w:snapToGrid w:val="0"/>
              <w:spacing w:line="240" w:lineRule="auto"/>
              <w:ind w:firstLine="0" w:firstLineChars="0"/>
              <w:jc w:val="center"/>
              <w:rPr>
                <w:sz w:val="21"/>
                <w:szCs w:val="21"/>
              </w:rPr>
            </w:pPr>
            <w:r>
              <w:rPr>
                <w:sz w:val="21"/>
                <w:szCs w:val="21"/>
              </w:rPr>
              <w:t>0</w:t>
            </w:r>
          </w:p>
        </w:tc>
      </w:tr>
      <w:tr w14:paraId="19566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2" w:type="dxa"/>
            <w:tcBorders>
              <w:top w:val="single" w:color="auto" w:sz="4" w:space="0"/>
              <w:left w:val="single" w:color="auto" w:sz="12" w:space="0"/>
              <w:bottom w:val="single" w:color="auto" w:sz="12" w:space="0"/>
              <w:right w:val="single" w:color="auto" w:sz="4" w:space="0"/>
            </w:tcBorders>
            <w:vAlign w:val="center"/>
          </w:tcPr>
          <w:p w14:paraId="24CC6CCE">
            <w:pPr>
              <w:tabs>
                <w:tab w:val="clear" w:pos="480"/>
              </w:tabs>
              <w:adjustRightInd w:val="0"/>
              <w:snapToGrid w:val="0"/>
              <w:spacing w:line="240" w:lineRule="auto"/>
              <w:ind w:firstLine="0" w:firstLineChars="0"/>
              <w:jc w:val="center"/>
              <w:rPr>
                <w:b/>
                <w:sz w:val="21"/>
                <w:szCs w:val="21"/>
              </w:rPr>
            </w:pPr>
            <w:r>
              <w:rPr>
                <w:rFonts w:hint="eastAsia"/>
                <w:b/>
                <w:sz w:val="21"/>
                <w:szCs w:val="21"/>
              </w:rPr>
              <w:t>合计</w:t>
            </w:r>
          </w:p>
        </w:tc>
        <w:tc>
          <w:tcPr>
            <w:tcW w:w="1123" w:type="dxa"/>
            <w:tcBorders>
              <w:top w:val="single" w:color="auto" w:sz="4" w:space="0"/>
              <w:left w:val="single" w:color="auto" w:sz="4" w:space="0"/>
              <w:bottom w:val="single" w:color="auto" w:sz="12" w:space="0"/>
              <w:right w:val="single" w:color="auto" w:sz="4" w:space="0"/>
            </w:tcBorders>
            <w:vAlign w:val="center"/>
          </w:tcPr>
          <w:p w14:paraId="5176ED7B">
            <w:pPr>
              <w:tabs>
                <w:tab w:val="clear" w:pos="480"/>
              </w:tabs>
              <w:adjustRightInd w:val="0"/>
              <w:snapToGrid w:val="0"/>
              <w:spacing w:line="240" w:lineRule="auto"/>
              <w:ind w:firstLine="0" w:firstLineChars="0"/>
              <w:jc w:val="center"/>
              <w:rPr>
                <w:sz w:val="21"/>
                <w:szCs w:val="21"/>
              </w:rPr>
            </w:pPr>
            <w:r>
              <w:rPr>
                <w:sz w:val="21"/>
                <w:szCs w:val="21"/>
              </w:rPr>
              <w:t>2520.91</w:t>
            </w:r>
          </w:p>
        </w:tc>
        <w:tc>
          <w:tcPr>
            <w:tcW w:w="1191" w:type="dxa"/>
            <w:tcBorders>
              <w:top w:val="single" w:color="auto" w:sz="4" w:space="0"/>
              <w:left w:val="single" w:color="auto" w:sz="4" w:space="0"/>
              <w:bottom w:val="single" w:color="auto" w:sz="12" w:space="0"/>
              <w:right w:val="single" w:color="auto" w:sz="4" w:space="0"/>
            </w:tcBorders>
            <w:vAlign w:val="center"/>
          </w:tcPr>
          <w:p w14:paraId="5A816EEF">
            <w:pPr>
              <w:tabs>
                <w:tab w:val="clear" w:pos="480"/>
              </w:tabs>
              <w:adjustRightInd w:val="0"/>
              <w:snapToGrid w:val="0"/>
              <w:spacing w:line="240" w:lineRule="auto"/>
              <w:ind w:firstLine="0" w:firstLineChars="0"/>
              <w:jc w:val="center"/>
              <w:rPr>
                <w:sz w:val="21"/>
                <w:szCs w:val="21"/>
              </w:rPr>
            </w:pPr>
            <w:r>
              <w:rPr>
                <w:sz w:val="21"/>
                <w:szCs w:val="21"/>
              </w:rPr>
              <w:t>3851</w:t>
            </w:r>
          </w:p>
        </w:tc>
        <w:tc>
          <w:tcPr>
            <w:tcW w:w="1123" w:type="dxa"/>
            <w:tcBorders>
              <w:top w:val="single" w:color="auto" w:sz="4" w:space="0"/>
              <w:left w:val="single" w:color="auto" w:sz="4" w:space="0"/>
              <w:bottom w:val="single" w:color="auto" w:sz="12" w:space="0"/>
              <w:right w:val="single" w:color="auto" w:sz="4" w:space="0"/>
            </w:tcBorders>
            <w:vAlign w:val="center"/>
          </w:tcPr>
          <w:p w14:paraId="3289AC34">
            <w:pPr>
              <w:tabs>
                <w:tab w:val="clear" w:pos="480"/>
              </w:tabs>
              <w:adjustRightInd w:val="0"/>
              <w:snapToGrid w:val="0"/>
              <w:spacing w:line="240" w:lineRule="auto"/>
              <w:ind w:firstLine="0" w:firstLineChars="0"/>
              <w:jc w:val="center"/>
              <w:rPr>
                <w:sz w:val="21"/>
                <w:szCs w:val="21"/>
              </w:rPr>
            </w:pPr>
            <w:r>
              <w:rPr>
                <w:sz w:val="21"/>
                <w:szCs w:val="21"/>
              </w:rPr>
              <w:t>2520.91</w:t>
            </w:r>
          </w:p>
        </w:tc>
        <w:tc>
          <w:tcPr>
            <w:tcW w:w="1191" w:type="dxa"/>
            <w:tcBorders>
              <w:top w:val="single" w:color="auto" w:sz="4" w:space="0"/>
              <w:left w:val="single" w:color="auto" w:sz="4" w:space="0"/>
              <w:bottom w:val="single" w:color="auto" w:sz="12" w:space="0"/>
              <w:right w:val="single" w:color="auto" w:sz="4" w:space="0"/>
            </w:tcBorders>
            <w:vAlign w:val="center"/>
          </w:tcPr>
          <w:p w14:paraId="66A01783">
            <w:pPr>
              <w:widowControl/>
              <w:tabs>
                <w:tab w:val="clear" w:pos="480"/>
              </w:tabs>
              <w:adjustRightInd w:val="0"/>
              <w:snapToGrid w:val="0"/>
              <w:spacing w:line="240" w:lineRule="auto"/>
              <w:ind w:firstLine="0" w:firstLineChars="0"/>
              <w:jc w:val="center"/>
              <w:rPr>
                <w:kern w:val="0"/>
                <w:sz w:val="21"/>
                <w:szCs w:val="21"/>
              </w:rPr>
            </w:pPr>
            <w:r>
              <w:rPr>
                <w:sz w:val="21"/>
                <w:szCs w:val="21"/>
              </w:rPr>
              <w:t>3896</w:t>
            </w:r>
          </w:p>
        </w:tc>
        <w:tc>
          <w:tcPr>
            <w:tcW w:w="1123" w:type="dxa"/>
            <w:tcBorders>
              <w:top w:val="single" w:color="auto" w:sz="4" w:space="0"/>
              <w:left w:val="single" w:color="auto" w:sz="4" w:space="0"/>
              <w:bottom w:val="single" w:color="auto" w:sz="12" w:space="0"/>
              <w:right w:val="single" w:color="auto" w:sz="4" w:space="0"/>
            </w:tcBorders>
            <w:vAlign w:val="center"/>
          </w:tcPr>
          <w:p w14:paraId="26B2E784">
            <w:pPr>
              <w:tabs>
                <w:tab w:val="clear" w:pos="480"/>
              </w:tabs>
              <w:adjustRightInd w:val="0"/>
              <w:snapToGrid w:val="0"/>
              <w:spacing w:line="240" w:lineRule="auto"/>
              <w:ind w:firstLine="0" w:firstLineChars="0"/>
              <w:jc w:val="center"/>
              <w:rPr>
                <w:sz w:val="21"/>
                <w:szCs w:val="21"/>
              </w:rPr>
            </w:pPr>
            <w:r>
              <w:rPr>
                <w:sz w:val="21"/>
                <w:szCs w:val="21"/>
              </w:rPr>
              <w:t>0</w:t>
            </w:r>
          </w:p>
        </w:tc>
        <w:tc>
          <w:tcPr>
            <w:tcW w:w="1191" w:type="dxa"/>
            <w:tcBorders>
              <w:top w:val="single" w:color="auto" w:sz="4" w:space="0"/>
              <w:left w:val="single" w:color="auto" w:sz="4" w:space="0"/>
              <w:bottom w:val="single" w:color="auto" w:sz="12" w:space="0"/>
              <w:right w:val="single" w:color="auto" w:sz="12" w:space="0"/>
            </w:tcBorders>
            <w:vAlign w:val="center"/>
          </w:tcPr>
          <w:p w14:paraId="38686E26">
            <w:pPr>
              <w:tabs>
                <w:tab w:val="clear" w:pos="480"/>
              </w:tabs>
              <w:adjustRightInd w:val="0"/>
              <w:snapToGrid w:val="0"/>
              <w:spacing w:line="240" w:lineRule="auto"/>
              <w:ind w:firstLine="0" w:firstLineChars="0"/>
              <w:jc w:val="center"/>
              <w:rPr>
                <w:sz w:val="21"/>
                <w:szCs w:val="21"/>
              </w:rPr>
            </w:pPr>
            <w:r>
              <w:rPr>
                <w:sz w:val="21"/>
                <w:szCs w:val="21"/>
              </w:rPr>
              <w:t>+28</w:t>
            </w:r>
          </w:p>
        </w:tc>
      </w:tr>
    </w:tbl>
    <w:p w14:paraId="23D2C9FB">
      <w:pPr>
        <w:adjustRightInd w:val="0"/>
        <w:snapToGrid w:val="0"/>
        <w:ind w:firstLine="480"/>
      </w:pPr>
      <w:r>
        <w:rPr>
          <w:rFonts w:hint="eastAsia"/>
        </w:rPr>
        <w:t>由上表可知，工程建设后，评价区林地、灌草地、其他用地等将有不同程度的减少，建设用地的面积增加</w:t>
      </w:r>
      <w:r>
        <w:t>1.163hm</w:t>
      </w:r>
      <w:r>
        <w:rPr>
          <w:vertAlign w:val="superscript"/>
        </w:rPr>
        <w:t>2</w:t>
      </w:r>
      <w:r>
        <w:rPr>
          <w:rFonts w:hint="eastAsia"/>
        </w:rPr>
        <w:t>。永久占地改变了原有土地利用性质，对土地利用的影响是不可逆的。工程建设前后，评价区土地利用格局发生了变化，由于本工程永久占地面积较小，因此，工程建设对评价区土地利用变化的影响较小。</w:t>
      </w:r>
    </w:p>
    <w:p w14:paraId="689B70A2">
      <w:pPr>
        <w:adjustRightInd w:val="0"/>
        <w:snapToGrid w:val="0"/>
        <w:ind w:firstLine="480"/>
      </w:pPr>
      <w:r>
        <w:rPr>
          <w:rFonts w:hint="eastAsia"/>
        </w:rPr>
        <w:t>（2）自然体系生物量的变化</w:t>
      </w:r>
    </w:p>
    <w:p w14:paraId="2E3CD783">
      <w:pPr>
        <w:adjustRightInd w:val="0"/>
        <w:snapToGrid w:val="0"/>
        <w:ind w:firstLine="480"/>
      </w:pPr>
      <w:r>
        <w:rPr>
          <w:rFonts w:hint="eastAsia"/>
        </w:rPr>
        <w:t>对区域自然体系生态完整性的影响是由工程占地引起的，工程永久占地</w:t>
      </w:r>
      <w:r>
        <w:t>1.163hm</w:t>
      </w:r>
      <w:r>
        <w:rPr>
          <w:vertAlign w:val="superscript"/>
        </w:rPr>
        <w:t>2</w:t>
      </w:r>
      <w:r>
        <w:rPr>
          <w:rFonts w:hint="eastAsia"/>
        </w:rPr>
        <w:t>，临时占地</w:t>
      </w:r>
      <w:r>
        <w:t>42.00hm</w:t>
      </w:r>
      <w:r>
        <w:rPr>
          <w:vertAlign w:val="superscript"/>
        </w:rPr>
        <w:t>2</w:t>
      </w:r>
      <w:r>
        <w:rPr>
          <w:rFonts w:hint="eastAsia"/>
        </w:rPr>
        <w:t>，主要为林地和灌草地。永久占地区植被占用后的生物量损失是永久损失，临时占地区在区域内工程建设完成后尽快进行植被恢复，缓解生物量的损失，并逐渐恢复。评价区在项目建设时总损失生物量约</w:t>
      </w:r>
      <w:r>
        <w:t>910.59t</w:t>
      </w:r>
      <w:r>
        <w:rPr>
          <w:rFonts w:hint="eastAsia"/>
        </w:rPr>
        <w:t>，其中永久占地（升压站、风机基础和箱变）造成的生物量损失</w:t>
      </w:r>
      <w:r>
        <w:t>28.72t</w:t>
      </w:r>
      <w:r>
        <w:rPr>
          <w:rFonts w:hint="eastAsia"/>
        </w:rPr>
        <w:t>，临时占地（道路、风机施工占地、弃渣场、施工生产生活区等）造成的临时性生物量损失为</w:t>
      </w:r>
      <w:r>
        <w:t>881.87t</w:t>
      </w:r>
      <w:r>
        <w:rPr>
          <w:rFonts w:hint="eastAsia"/>
        </w:rPr>
        <w:t>。</w:t>
      </w:r>
    </w:p>
    <w:p w14:paraId="6F247C34">
      <w:pPr>
        <w:adjustRightInd w:val="0"/>
        <w:snapToGrid w:val="0"/>
        <w:ind w:firstLine="480"/>
      </w:pPr>
      <w:r>
        <w:rPr>
          <w:rFonts w:hint="eastAsia"/>
        </w:rPr>
        <w:t>本工程永久占地面积</w:t>
      </w:r>
      <w:r>
        <w:t>1.163hm</w:t>
      </w:r>
      <w:r>
        <w:rPr>
          <w:vertAlign w:val="superscript"/>
        </w:rPr>
        <w:t>2</w:t>
      </w:r>
      <w:r>
        <w:rPr>
          <w:rFonts w:hint="eastAsia"/>
        </w:rPr>
        <w:t>，占用土地类型主要包括林地和灌草地。本工程建成后，各种缀块类型面积发生少许变化，导致区域自然生态体系生产能力和稳定状况发生改变，对本区域生态完整性具有一定影响。</w:t>
      </w:r>
    </w:p>
    <w:p w14:paraId="65BDB8E5">
      <w:pPr>
        <w:adjustRightInd w:val="0"/>
        <w:snapToGrid w:val="0"/>
        <w:ind w:firstLine="480"/>
      </w:pPr>
      <w:r>
        <w:rPr>
          <w:rFonts w:hint="eastAsia"/>
        </w:rPr>
        <w:t>本工程建设后，评价区内生态类型生物量仍然以针叶林、阔叶林占优势，优势种植被生物量不会发生明显变化。因此，本工程建设完成后对评价区自然体系生物量的影响较小。</w:t>
      </w:r>
    </w:p>
    <w:p w14:paraId="3A6B1982">
      <w:pPr>
        <w:adjustRightInd w:val="0"/>
        <w:snapToGrid w:val="0"/>
        <w:ind w:firstLine="480"/>
      </w:pPr>
      <w:bookmarkStart w:id="184" w:name="_Hlk143784033"/>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bookmarkEnd w:id="184"/>
      <w:r>
        <w:rPr>
          <w:rFonts w:hint="eastAsia"/>
        </w:rPr>
        <w:t>风电机组建设需损失的生物量</w:t>
      </w:r>
    </w:p>
    <w:p w14:paraId="39BE74C8">
      <w:pPr>
        <w:adjustRightInd w:val="0"/>
        <w:snapToGrid w:val="0"/>
        <w:ind w:firstLine="480"/>
      </w:pPr>
      <w:r>
        <w:rPr>
          <w:rFonts w:hint="eastAsia"/>
        </w:rPr>
        <w:t>评价区内各风机建设区生物量损失见下表。</w:t>
      </w:r>
    </w:p>
    <w:p w14:paraId="5A92ED5A">
      <w:pPr>
        <w:adjustRightInd w:val="0"/>
        <w:snapToGrid w:val="0"/>
        <w:spacing w:line="240" w:lineRule="auto"/>
        <w:ind w:firstLine="0" w:firstLineChars="0"/>
        <w:jc w:val="center"/>
        <w:rPr>
          <w:b/>
          <w:sz w:val="21"/>
          <w:szCs w:val="21"/>
        </w:rPr>
      </w:pPr>
      <w:r>
        <w:rPr>
          <w:rFonts w:hint="eastAsia"/>
          <w:b/>
          <w:sz w:val="21"/>
          <w:szCs w:val="21"/>
        </w:rPr>
        <w:t>表</w:t>
      </w:r>
      <w:r>
        <w:rPr>
          <w:b/>
          <w:sz w:val="21"/>
          <w:szCs w:val="21"/>
        </w:rPr>
        <w:t>6.2-8</w:t>
      </w:r>
      <w:r>
        <w:rPr>
          <w:rFonts w:hint="eastAsia"/>
          <w:b/>
          <w:sz w:val="21"/>
          <w:szCs w:val="21"/>
        </w:rPr>
        <w:t>风电机组建设区生物量损失</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21"/>
        <w:gridCol w:w="824"/>
        <w:gridCol w:w="925"/>
        <w:gridCol w:w="1598"/>
        <w:gridCol w:w="1226"/>
        <w:gridCol w:w="1406"/>
        <w:gridCol w:w="1327"/>
      </w:tblGrid>
      <w:tr w14:paraId="615DAF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vMerge w:val="restart"/>
            <w:tcBorders>
              <w:top w:val="single" w:color="auto" w:sz="12" w:space="0"/>
              <w:left w:val="single" w:color="auto" w:sz="12" w:space="0"/>
              <w:bottom w:val="single" w:color="auto" w:sz="4" w:space="0"/>
              <w:right w:val="single" w:color="auto" w:sz="4" w:space="0"/>
            </w:tcBorders>
            <w:vAlign w:val="center"/>
          </w:tcPr>
          <w:p w14:paraId="51A88796">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工程占地区</w:t>
            </w:r>
          </w:p>
        </w:tc>
        <w:tc>
          <w:tcPr>
            <w:tcW w:w="483" w:type="pct"/>
            <w:vMerge w:val="restart"/>
            <w:tcBorders>
              <w:top w:val="single" w:color="auto" w:sz="12" w:space="0"/>
              <w:left w:val="single" w:color="auto" w:sz="4" w:space="0"/>
              <w:bottom w:val="single" w:color="auto" w:sz="4" w:space="0"/>
              <w:right w:val="single" w:color="auto" w:sz="4" w:space="0"/>
            </w:tcBorders>
            <w:vAlign w:val="center"/>
          </w:tcPr>
          <w:p w14:paraId="496662ED">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植被覆盖率</w:t>
            </w:r>
          </w:p>
        </w:tc>
        <w:tc>
          <w:tcPr>
            <w:tcW w:w="542" w:type="pct"/>
            <w:vMerge w:val="restart"/>
            <w:tcBorders>
              <w:top w:val="single" w:color="auto" w:sz="12" w:space="0"/>
              <w:left w:val="single" w:color="auto" w:sz="4" w:space="0"/>
              <w:bottom w:val="single" w:color="auto" w:sz="4" w:space="0"/>
              <w:right w:val="single" w:color="auto" w:sz="4" w:space="0"/>
            </w:tcBorders>
            <w:vAlign w:val="center"/>
          </w:tcPr>
          <w:p w14:paraId="77EE0B57">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林地郁闭度</w:t>
            </w:r>
          </w:p>
        </w:tc>
        <w:tc>
          <w:tcPr>
            <w:tcW w:w="937" w:type="pct"/>
            <w:vMerge w:val="restart"/>
            <w:tcBorders>
              <w:top w:val="single" w:color="auto" w:sz="12" w:space="0"/>
              <w:left w:val="single" w:color="auto" w:sz="4" w:space="0"/>
              <w:bottom w:val="single" w:color="auto" w:sz="4" w:space="0"/>
              <w:right w:val="single" w:color="auto" w:sz="4" w:space="0"/>
            </w:tcBorders>
            <w:vAlign w:val="center"/>
          </w:tcPr>
          <w:p w14:paraId="0236025E">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单位面积林地蓄积量（</w:t>
            </w:r>
            <w:r>
              <w:rPr>
                <w:b/>
                <w:bCs/>
                <w:sz w:val="18"/>
                <w:szCs w:val="18"/>
              </w:rPr>
              <w:t>m</w:t>
            </w:r>
            <w:r>
              <w:rPr>
                <w:b/>
                <w:bCs/>
                <w:sz w:val="18"/>
                <w:szCs w:val="18"/>
                <w:vertAlign w:val="superscript"/>
              </w:rPr>
              <w:t>3</w:t>
            </w:r>
            <w:r>
              <w:rPr>
                <w:b/>
                <w:bCs/>
                <w:sz w:val="18"/>
                <w:szCs w:val="18"/>
              </w:rPr>
              <w:t>/hm</w:t>
            </w:r>
            <w:r>
              <w:rPr>
                <w:b/>
                <w:bCs/>
                <w:sz w:val="18"/>
                <w:szCs w:val="18"/>
                <w:vertAlign w:val="superscript"/>
              </w:rPr>
              <w:t>2</w:t>
            </w:r>
            <w:r>
              <w:rPr>
                <w:rFonts w:hint="eastAsia"/>
                <w:b/>
                <w:bCs/>
                <w:sz w:val="18"/>
                <w:szCs w:val="18"/>
              </w:rPr>
              <w:t>）</w:t>
            </w:r>
          </w:p>
        </w:tc>
        <w:tc>
          <w:tcPr>
            <w:tcW w:w="719" w:type="pct"/>
            <w:vMerge w:val="restart"/>
            <w:tcBorders>
              <w:top w:val="single" w:color="auto" w:sz="12" w:space="0"/>
              <w:left w:val="single" w:color="auto" w:sz="4" w:space="0"/>
              <w:bottom w:val="single" w:color="auto" w:sz="4" w:space="0"/>
              <w:right w:val="single" w:color="auto" w:sz="4" w:space="0"/>
            </w:tcBorders>
            <w:vAlign w:val="center"/>
          </w:tcPr>
          <w:p w14:paraId="6D058A11">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平均生物量（</w:t>
            </w:r>
            <w:r>
              <w:rPr>
                <w:b/>
                <w:bCs/>
                <w:sz w:val="18"/>
                <w:szCs w:val="18"/>
              </w:rPr>
              <w:t>t/hm</w:t>
            </w:r>
            <w:r>
              <w:rPr>
                <w:b/>
                <w:bCs/>
                <w:sz w:val="18"/>
                <w:szCs w:val="18"/>
                <w:vertAlign w:val="superscript"/>
              </w:rPr>
              <w:t>2</w:t>
            </w:r>
            <w:r>
              <w:rPr>
                <w:rFonts w:hint="eastAsia"/>
                <w:b/>
                <w:bCs/>
                <w:sz w:val="18"/>
                <w:szCs w:val="18"/>
              </w:rPr>
              <w:t>）</w:t>
            </w:r>
          </w:p>
        </w:tc>
        <w:tc>
          <w:tcPr>
            <w:tcW w:w="1602" w:type="pct"/>
            <w:gridSpan w:val="2"/>
            <w:tcBorders>
              <w:top w:val="single" w:color="auto" w:sz="12" w:space="0"/>
              <w:left w:val="single" w:color="auto" w:sz="4" w:space="0"/>
              <w:bottom w:val="single" w:color="auto" w:sz="4" w:space="0"/>
              <w:right w:val="single" w:color="auto" w:sz="12" w:space="0"/>
            </w:tcBorders>
            <w:vAlign w:val="center"/>
          </w:tcPr>
          <w:p w14:paraId="088E97AE">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生物量损失</w:t>
            </w:r>
          </w:p>
        </w:tc>
      </w:tr>
      <w:tr w14:paraId="539353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vMerge w:val="continue"/>
            <w:tcBorders>
              <w:top w:val="single" w:color="auto" w:sz="12" w:space="0"/>
              <w:left w:val="single" w:color="auto" w:sz="12" w:space="0"/>
              <w:bottom w:val="single" w:color="auto" w:sz="4" w:space="0"/>
              <w:right w:val="single" w:color="auto" w:sz="4" w:space="0"/>
            </w:tcBorders>
            <w:vAlign w:val="center"/>
          </w:tcPr>
          <w:p w14:paraId="62161754">
            <w:pPr>
              <w:widowControl/>
              <w:tabs>
                <w:tab w:val="clear" w:pos="480"/>
              </w:tabs>
              <w:spacing w:line="240" w:lineRule="auto"/>
              <w:ind w:firstLine="0" w:firstLineChars="0"/>
              <w:jc w:val="left"/>
              <w:rPr>
                <w:b/>
                <w:bCs/>
                <w:sz w:val="18"/>
                <w:szCs w:val="18"/>
              </w:rPr>
            </w:pPr>
          </w:p>
        </w:tc>
        <w:tc>
          <w:tcPr>
            <w:tcW w:w="483" w:type="pct"/>
            <w:vMerge w:val="continue"/>
            <w:tcBorders>
              <w:top w:val="single" w:color="auto" w:sz="12" w:space="0"/>
              <w:left w:val="single" w:color="auto" w:sz="4" w:space="0"/>
              <w:bottom w:val="single" w:color="auto" w:sz="4" w:space="0"/>
              <w:right w:val="single" w:color="auto" w:sz="4" w:space="0"/>
            </w:tcBorders>
            <w:vAlign w:val="center"/>
          </w:tcPr>
          <w:p w14:paraId="0489E462">
            <w:pPr>
              <w:widowControl/>
              <w:tabs>
                <w:tab w:val="clear" w:pos="480"/>
              </w:tabs>
              <w:spacing w:line="240" w:lineRule="auto"/>
              <w:ind w:firstLine="0" w:firstLineChars="0"/>
              <w:jc w:val="left"/>
              <w:rPr>
                <w:b/>
                <w:bCs/>
                <w:sz w:val="18"/>
                <w:szCs w:val="18"/>
              </w:rPr>
            </w:pPr>
          </w:p>
        </w:tc>
        <w:tc>
          <w:tcPr>
            <w:tcW w:w="542" w:type="pct"/>
            <w:vMerge w:val="continue"/>
            <w:tcBorders>
              <w:top w:val="single" w:color="auto" w:sz="12" w:space="0"/>
              <w:left w:val="single" w:color="auto" w:sz="4" w:space="0"/>
              <w:bottom w:val="single" w:color="auto" w:sz="4" w:space="0"/>
              <w:right w:val="single" w:color="auto" w:sz="4" w:space="0"/>
            </w:tcBorders>
            <w:vAlign w:val="center"/>
          </w:tcPr>
          <w:p w14:paraId="390B4889">
            <w:pPr>
              <w:widowControl/>
              <w:tabs>
                <w:tab w:val="clear" w:pos="480"/>
              </w:tabs>
              <w:spacing w:line="240" w:lineRule="auto"/>
              <w:ind w:firstLine="0" w:firstLineChars="0"/>
              <w:jc w:val="left"/>
              <w:rPr>
                <w:b/>
                <w:bCs/>
                <w:sz w:val="18"/>
                <w:szCs w:val="18"/>
              </w:rPr>
            </w:pPr>
          </w:p>
        </w:tc>
        <w:tc>
          <w:tcPr>
            <w:tcW w:w="937" w:type="pct"/>
            <w:vMerge w:val="continue"/>
            <w:tcBorders>
              <w:top w:val="single" w:color="auto" w:sz="12" w:space="0"/>
              <w:left w:val="single" w:color="auto" w:sz="4" w:space="0"/>
              <w:bottom w:val="single" w:color="auto" w:sz="4" w:space="0"/>
              <w:right w:val="single" w:color="auto" w:sz="4" w:space="0"/>
            </w:tcBorders>
            <w:vAlign w:val="center"/>
          </w:tcPr>
          <w:p w14:paraId="00EA8DCF">
            <w:pPr>
              <w:widowControl/>
              <w:tabs>
                <w:tab w:val="clear" w:pos="480"/>
              </w:tabs>
              <w:spacing w:line="240" w:lineRule="auto"/>
              <w:ind w:firstLine="0" w:firstLineChars="0"/>
              <w:jc w:val="left"/>
              <w:rPr>
                <w:b/>
                <w:bCs/>
                <w:sz w:val="18"/>
                <w:szCs w:val="18"/>
              </w:rPr>
            </w:pPr>
          </w:p>
        </w:tc>
        <w:tc>
          <w:tcPr>
            <w:tcW w:w="719" w:type="pct"/>
            <w:vMerge w:val="continue"/>
            <w:tcBorders>
              <w:top w:val="single" w:color="auto" w:sz="12" w:space="0"/>
              <w:left w:val="single" w:color="auto" w:sz="4" w:space="0"/>
              <w:bottom w:val="single" w:color="auto" w:sz="4" w:space="0"/>
              <w:right w:val="single" w:color="auto" w:sz="4" w:space="0"/>
            </w:tcBorders>
            <w:vAlign w:val="center"/>
          </w:tcPr>
          <w:p w14:paraId="414EF01A">
            <w:pPr>
              <w:widowControl/>
              <w:tabs>
                <w:tab w:val="clear" w:pos="480"/>
              </w:tabs>
              <w:spacing w:line="240" w:lineRule="auto"/>
              <w:ind w:firstLine="0" w:firstLineChars="0"/>
              <w:jc w:val="left"/>
              <w:rPr>
                <w:b/>
                <w:bCs/>
                <w:sz w:val="18"/>
                <w:szCs w:val="18"/>
              </w:rPr>
            </w:pPr>
          </w:p>
        </w:tc>
        <w:tc>
          <w:tcPr>
            <w:tcW w:w="824" w:type="pct"/>
            <w:tcBorders>
              <w:top w:val="single" w:color="auto" w:sz="4" w:space="0"/>
              <w:left w:val="single" w:color="auto" w:sz="4" w:space="0"/>
              <w:bottom w:val="single" w:color="auto" w:sz="4" w:space="0"/>
              <w:right w:val="single" w:color="auto" w:sz="4" w:space="0"/>
            </w:tcBorders>
            <w:vAlign w:val="center"/>
          </w:tcPr>
          <w:p w14:paraId="0C5DEE3D">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永久占地损失量（</w:t>
            </w:r>
            <w:r>
              <w:rPr>
                <w:b/>
                <w:bCs/>
                <w:sz w:val="18"/>
                <w:szCs w:val="18"/>
              </w:rPr>
              <w:t>t</w:t>
            </w:r>
            <w:r>
              <w:rPr>
                <w:rFonts w:hint="eastAsia"/>
                <w:b/>
                <w:bCs/>
                <w:sz w:val="18"/>
                <w:szCs w:val="18"/>
              </w:rPr>
              <w:t>）</w:t>
            </w:r>
          </w:p>
        </w:tc>
        <w:tc>
          <w:tcPr>
            <w:tcW w:w="778" w:type="pct"/>
            <w:tcBorders>
              <w:top w:val="single" w:color="auto" w:sz="4" w:space="0"/>
              <w:left w:val="single" w:color="auto" w:sz="4" w:space="0"/>
              <w:bottom w:val="single" w:color="auto" w:sz="4" w:space="0"/>
              <w:right w:val="single" w:color="auto" w:sz="12" w:space="0"/>
            </w:tcBorders>
            <w:vAlign w:val="center"/>
          </w:tcPr>
          <w:p w14:paraId="0A896278">
            <w:pPr>
              <w:widowControl/>
              <w:tabs>
                <w:tab w:val="clear" w:pos="480"/>
              </w:tabs>
              <w:adjustRightInd w:val="0"/>
              <w:snapToGrid w:val="0"/>
              <w:spacing w:line="240" w:lineRule="auto"/>
              <w:ind w:firstLine="0" w:firstLineChars="0"/>
              <w:jc w:val="center"/>
              <w:rPr>
                <w:b/>
                <w:bCs/>
                <w:sz w:val="18"/>
                <w:szCs w:val="18"/>
              </w:rPr>
            </w:pPr>
            <w:r>
              <w:rPr>
                <w:rFonts w:hint="eastAsia"/>
                <w:b/>
                <w:bCs/>
                <w:sz w:val="18"/>
                <w:szCs w:val="18"/>
              </w:rPr>
              <w:t>临时占地损失量（</w:t>
            </w:r>
            <w:r>
              <w:rPr>
                <w:b/>
                <w:bCs/>
                <w:sz w:val="18"/>
                <w:szCs w:val="18"/>
              </w:rPr>
              <w:t>t</w:t>
            </w:r>
            <w:r>
              <w:rPr>
                <w:rFonts w:hint="eastAsia"/>
                <w:b/>
                <w:bCs/>
                <w:sz w:val="18"/>
                <w:szCs w:val="18"/>
              </w:rPr>
              <w:t>）</w:t>
            </w:r>
          </w:p>
        </w:tc>
      </w:tr>
      <w:tr w14:paraId="253311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5607D675">
            <w:pPr>
              <w:tabs>
                <w:tab w:val="clear" w:pos="480"/>
              </w:tabs>
              <w:adjustRightInd w:val="0"/>
              <w:snapToGrid w:val="0"/>
              <w:spacing w:line="240" w:lineRule="auto"/>
              <w:ind w:firstLine="0" w:firstLineChars="0"/>
              <w:jc w:val="center"/>
              <w:rPr>
                <w:kern w:val="0"/>
                <w:sz w:val="18"/>
                <w:szCs w:val="18"/>
              </w:rPr>
            </w:pPr>
            <w:bookmarkStart w:id="185" w:name="_Hlk118748185"/>
            <w:r>
              <w:rPr>
                <w:kern w:val="0"/>
                <w:sz w:val="18"/>
                <w:szCs w:val="18"/>
              </w:rPr>
              <w:t>1#</w:t>
            </w:r>
          </w:p>
        </w:tc>
        <w:tc>
          <w:tcPr>
            <w:tcW w:w="483" w:type="pct"/>
            <w:tcBorders>
              <w:top w:val="single" w:color="auto" w:sz="4" w:space="0"/>
              <w:left w:val="single" w:color="auto" w:sz="4" w:space="0"/>
              <w:bottom w:val="single" w:color="auto" w:sz="4" w:space="0"/>
              <w:right w:val="single" w:color="auto" w:sz="4" w:space="0"/>
            </w:tcBorders>
            <w:vAlign w:val="center"/>
          </w:tcPr>
          <w:p w14:paraId="05BB3028">
            <w:pPr>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75%</w:t>
            </w:r>
          </w:p>
        </w:tc>
        <w:tc>
          <w:tcPr>
            <w:tcW w:w="542" w:type="pct"/>
            <w:tcBorders>
              <w:top w:val="single" w:color="auto" w:sz="4" w:space="0"/>
              <w:left w:val="single" w:color="auto" w:sz="4" w:space="0"/>
              <w:bottom w:val="single" w:color="auto" w:sz="4" w:space="0"/>
              <w:right w:val="single" w:color="auto" w:sz="4" w:space="0"/>
            </w:tcBorders>
            <w:vAlign w:val="center"/>
          </w:tcPr>
          <w:p w14:paraId="7933265A">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0.6</w:t>
            </w:r>
          </w:p>
        </w:tc>
        <w:tc>
          <w:tcPr>
            <w:tcW w:w="937" w:type="pct"/>
            <w:tcBorders>
              <w:top w:val="single" w:color="auto" w:sz="4" w:space="0"/>
              <w:left w:val="single" w:color="auto" w:sz="4" w:space="0"/>
              <w:bottom w:val="single" w:color="auto" w:sz="4" w:space="0"/>
              <w:right w:val="single" w:color="auto" w:sz="4" w:space="0"/>
            </w:tcBorders>
            <w:vAlign w:val="center"/>
          </w:tcPr>
          <w:p w14:paraId="3A5330E6">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40.2</w:t>
            </w:r>
          </w:p>
        </w:tc>
        <w:tc>
          <w:tcPr>
            <w:tcW w:w="719" w:type="pct"/>
            <w:tcBorders>
              <w:top w:val="single" w:color="auto" w:sz="4" w:space="0"/>
              <w:left w:val="single" w:color="auto" w:sz="4" w:space="0"/>
              <w:bottom w:val="single" w:color="auto" w:sz="4" w:space="0"/>
              <w:right w:val="single" w:color="auto" w:sz="4" w:space="0"/>
            </w:tcBorders>
            <w:vAlign w:val="center"/>
          </w:tcPr>
          <w:p w14:paraId="2487B81B">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24.52</w:t>
            </w:r>
          </w:p>
        </w:tc>
        <w:tc>
          <w:tcPr>
            <w:tcW w:w="824" w:type="pct"/>
            <w:tcBorders>
              <w:top w:val="single" w:color="auto" w:sz="4" w:space="0"/>
              <w:left w:val="single" w:color="auto" w:sz="4" w:space="0"/>
              <w:bottom w:val="single" w:color="auto" w:sz="4" w:space="0"/>
              <w:right w:val="single" w:color="auto" w:sz="4" w:space="0"/>
            </w:tcBorders>
            <w:vAlign w:val="center"/>
          </w:tcPr>
          <w:p w14:paraId="05AEA167">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1.1</w:t>
            </w:r>
          </w:p>
        </w:tc>
        <w:tc>
          <w:tcPr>
            <w:tcW w:w="778" w:type="pct"/>
            <w:tcBorders>
              <w:top w:val="single" w:color="auto" w:sz="4" w:space="0"/>
              <w:left w:val="single" w:color="auto" w:sz="4" w:space="0"/>
              <w:bottom w:val="single" w:color="auto" w:sz="4" w:space="0"/>
              <w:right w:val="single" w:color="auto" w:sz="12" w:space="0"/>
            </w:tcBorders>
            <w:vAlign w:val="center"/>
          </w:tcPr>
          <w:p w14:paraId="1772ABBC">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7.36</w:t>
            </w:r>
          </w:p>
        </w:tc>
      </w:tr>
      <w:tr w14:paraId="194592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33308367">
            <w:pPr>
              <w:tabs>
                <w:tab w:val="clear" w:pos="480"/>
              </w:tabs>
              <w:adjustRightInd w:val="0"/>
              <w:snapToGrid w:val="0"/>
              <w:spacing w:line="240" w:lineRule="auto"/>
              <w:ind w:firstLine="0" w:firstLineChars="0"/>
              <w:jc w:val="center"/>
              <w:rPr>
                <w:kern w:val="0"/>
                <w:sz w:val="18"/>
                <w:szCs w:val="18"/>
              </w:rPr>
            </w:pPr>
            <w:r>
              <w:rPr>
                <w:kern w:val="0"/>
                <w:sz w:val="18"/>
                <w:szCs w:val="18"/>
              </w:rPr>
              <w:t>2#</w:t>
            </w:r>
          </w:p>
        </w:tc>
        <w:tc>
          <w:tcPr>
            <w:tcW w:w="483" w:type="pct"/>
            <w:tcBorders>
              <w:top w:val="single" w:color="auto" w:sz="4" w:space="0"/>
              <w:left w:val="single" w:color="auto" w:sz="4" w:space="0"/>
              <w:bottom w:val="single" w:color="auto" w:sz="4" w:space="0"/>
              <w:right w:val="single" w:color="auto" w:sz="4" w:space="0"/>
            </w:tcBorders>
            <w:vAlign w:val="center"/>
          </w:tcPr>
          <w:p w14:paraId="672DC31C">
            <w:pPr>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70%</w:t>
            </w:r>
          </w:p>
        </w:tc>
        <w:tc>
          <w:tcPr>
            <w:tcW w:w="542" w:type="pct"/>
            <w:tcBorders>
              <w:top w:val="single" w:color="auto" w:sz="4" w:space="0"/>
              <w:left w:val="single" w:color="auto" w:sz="4" w:space="0"/>
              <w:bottom w:val="single" w:color="auto" w:sz="4" w:space="0"/>
              <w:right w:val="single" w:color="auto" w:sz="4" w:space="0"/>
            </w:tcBorders>
            <w:vAlign w:val="center"/>
          </w:tcPr>
          <w:p w14:paraId="61A2E7F4">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0.6</w:t>
            </w:r>
          </w:p>
        </w:tc>
        <w:tc>
          <w:tcPr>
            <w:tcW w:w="937" w:type="pct"/>
            <w:tcBorders>
              <w:top w:val="single" w:color="auto" w:sz="4" w:space="0"/>
              <w:left w:val="single" w:color="auto" w:sz="4" w:space="0"/>
              <w:bottom w:val="single" w:color="auto" w:sz="4" w:space="0"/>
              <w:right w:val="single" w:color="auto" w:sz="4" w:space="0"/>
            </w:tcBorders>
            <w:vAlign w:val="center"/>
          </w:tcPr>
          <w:p w14:paraId="41A9733A">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38.4</w:t>
            </w:r>
          </w:p>
        </w:tc>
        <w:tc>
          <w:tcPr>
            <w:tcW w:w="719" w:type="pct"/>
            <w:tcBorders>
              <w:top w:val="single" w:color="auto" w:sz="4" w:space="0"/>
              <w:left w:val="single" w:color="auto" w:sz="4" w:space="0"/>
              <w:bottom w:val="single" w:color="auto" w:sz="4" w:space="0"/>
              <w:right w:val="single" w:color="auto" w:sz="4" w:space="0"/>
            </w:tcBorders>
            <w:vAlign w:val="center"/>
          </w:tcPr>
          <w:p w14:paraId="1CB64E04">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25.48</w:t>
            </w:r>
          </w:p>
        </w:tc>
        <w:tc>
          <w:tcPr>
            <w:tcW w:w="824" w:type="pct"/>
            <w:tcBorders>
              <w:top w:val="single" w:color="auto" w:sz="4" w:space="0"/>
              <w:left w:val="single" w:color="auto" w:sz="4" w:space="0"/>
              <w:bottom w:val="single" w:color="auto" w:sz="4" w:space="0"/>
              <w:right w:val="single" w:color="auto" w:sz="4" w:space="0"/>
            </w:tcBorders>
            <w:vAlign w:val="center"/>
          </w:tcPr>
          <w:p w14:paraId="18DBB00B">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1.15</w:t>
            </w:r>
          </w:p>
        </w:tc>
        <w:tc>
          <w:tcPr>
            <w:tcW w:w="778" w:type="pct"/>
            <w:tcBorders>
              <w:top w:val="single" w:color="auto" w:sz="4" w:space="0"/>
              <w:left w:val="single" w:color="auto" w:sz="4" w:space="0"/>
              <w:bottom w:val="single" w:color="auto" w:sz="4" w:space="0"/>
              <w:right w:val="single" w:color="auto" w:sz="12" w:space="0"/>
            </w:tcBorders>
            <w:vAlign w:val="center"/>
          </w:tcPr>
          <w:p w14:paraId="3EFD5F80">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7.64</w:t>
            </w:r>
          </w:p>
        </w:tc>
      </w:tr>
      <w:tr w14:paraId="3C6BB8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1D162DBC">
            <w:pPr>
              <w:tabs>
                <w:tab w:val="clear" w:pos="480"/>
              </w:tabs>
              <w:adjustRightInd w:val="0"/>
              <w:snapToGrid w:val="0"/>
              <w:spacing w:line="240" w:lineRule="auto"/>
              <w:ind w:firstLine="0" w:firstLineChars="0"/>
              <w:jc w:val="center"/>
              <w:rPr>
                <w:kern w:val="0"/>
                <w:sz w:val="18"/>
                <w:szCs w:val="18"/>
              </w:rPr>
            </w:pPr>
            <w:r>
              <w:rPr>
                <w:kern w:val="0"/>
                <w:sz w:val="18"/>
                <w:szCs w:val="18"/>
              </w:rPr>
              <w:t>3#</w:t>
            </w:r>
          </w:p>
        </w:tc>
        <w:tc>
          <w:tcPr>
            <w:tcW w:w="483" w:type="pct"/>
            <w:tcBorders>
              <w:top w:val="single" w:color="auto" w:sz="4" w:space="0"/>
              <w:left w:val="single" w:color="auto" w:sz="4" w:space="0"/>
              <w:bottom w:val="single" w:color="auto" w:sz="4" w:space="0"/>
              <w:right w:val="single" w:color="auto" w:sz="4" w:space="0"/>
            </w:tcBorders>
            <w:vAlign w:val="center"/>
          </w:tcPr>
          <w:p w14:paraId="76E54E93">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75%</w:t>
            </w:r>
          </w:p>
        </w:tc>
        <w:tc>
          <w:tcPr>
            <w:tcW w:w="542" w:type="pct"/>
            <w:tcBorders>
              <w:top w:val="single" w:color="auto" w:sz="4" w:space="0"/>
              <w:left w:val="single" w:color="auto" w:sz="4" w:space="0"/>
              <w:bottom w:val="single" w:color="auto" w:sz="4" w:space="0"/>
              <w:right w:val="single" w:color="auto" w:sz="4" w:space="0"/>
            </w:tcBorders>
            <w:vAlign w:val="center"/>
          </w:tcPr>
          <w:p w14:paraId="56044FF7">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0.6</w:t>
            </w:r>
          </w:p>
        </w:tc>
        <w:tc>
          <w:tcPr>
            <w:tcW w:w="937" w:type="pct"/>
            <w:tcBorders>
              <w:top w:val="single" w:color="auto" w:sz="4" w:space="0"/>
              <w:left w:val="single" w:color="auto" w:sz="4" w:space="0"/>
              <w:bottom w:val="single" w:color="auto" w:sz="4" w:space="0"/>
              <w:right w:val="single" w:color="auto" w:sz="4" w:space="0"/>
            </w:tcBorders>
            <w:vAlign w:val="center"/>
          </w:tcPr>
          <w:p w14:paraId="7E7CAC97">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40.2</w:t>
            </w:r>
          </w:p>
        </w:tc>
        <w:tc>
          <w:tcPr>
            <w:tcW w:w="719" w:type="pct"/>
            <w:tcBorders>
              <w:top w:val="single" w:color="auto" w:sz="4" w:space="0"/>
              <w:left w:val="single" w:color="auto" w:sz="4" w:space="0"/>
              <w:bottom w:val="single" w:color="auto" w:sz="4" w:space="0"/>
              <w:right w:val="single" w:color="auto" w:sz="4" w:space="0"/>
            </w:tcBorders>
            <w:vAlign w:val="center"/>
          </w:tcPr>
          <w:p w14:paraId="0FF61259">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26.37</w:t>
            </w:r>
          </w:p>
        </w:tc>
        <w:tc>
          <w:tcPr>
            <w:tcW w:w="824" w:type="pct"/>
            <w:tcBorders>
              <w:top w:val="single" w:color="auto" w:sz="4" w:space="0"/>
              <w:left w:val="single" w:color="auto" w:sz="4" w:space="0"/>
              <w:bottom w:val="single" w:color="auto" w:sz="4" w:space="0"/>
              <w:right w:val="single" w:color="auto" w:sz="4" w:space="0"/>
            </w:tcBorders>
            <w:vAlign w:val="center"/>
          </w:tcPr>
          <w:p w14:paraId="6E2A8C9D">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1.19</w:t>
            </w:r>
          </w:p>
        </w:tc>
        <w:tc>
          <w:tcPr>
            <w:tcW w:w="778" w:type="pct"/>
            <w:tcBorders>
              <w:top w:val="single" w:color="auto" w:sz="4" w:space="0"/>
              <w:left w:val="single" w:color="auto" w:sz="4" w:space="0"/>
              <w:bottom w:val="single" w:color="auto" w:sz="4" w:space="0"/>
              <w:right w:val="single" w:color="auto" w:sz="12" w:space="0"/>
            </w:tcBorders>
            <w:vAlign w:val="center"/>
          </w:tcPr>
          <w:p w14:paraId="71614A49">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7.91</w:t>
            </w:r>
          </w:p>
        </w:tc>
      </w:tr>
      <w:tr w14:paraId="7AD77F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0B8082FF">
            <w:pPr>
              <w:tabs>
                <w:tab w:val="clear" w:pos="480"/>
              </w:tabs>
              <w:adjustRightInd w:val="0"/>
              <w:snapToGrid w:val="0"/>
              <w:spacing w:line="240" w:lineRule="auto"/>
              <w:ind w:firstLine="0" w:firstLineChars="0"/>
              <w:jc w:val="center"/>
              <w:rPr>
                <w:kern w:val="0"/>
                <w:sz w:val="18"/>
                <w:szCs w:val="18"/>
              </w:rPr>
            </w:pPr>
            <w:r>
              <w:rPr>
                <w:kern w:val="0"/>
                <w:sz w:val="18"/>
                <w:szCs w:val="18"/>
              </w:rPr>
              <w:t>4#</w:t>
            </w:r>
          </w:p>
        </w:tc>
        <w:tc>
          <w:tcPr>
            <w:tcW w:w="483" w:type="pct"/>
            <w:tcBorders>
              <w:top w:val="single" w:color="auto" w:sz="4" w:space="0"/>
              <w:left w:val="single" w:color="auto" w:sz="4" w:space="0"/>
              <w:bottom w:val="single" w:color="auto" w:sz="4" w:space="0"/>
              <w:right w:val="single" w:color="auto" w:sz="4" w:space="0"/>
            </w:tcBorders>
            <w:vAlign w:val="center"/>
          </w:tcPr>
          <w:p w14:paraId="5C2E33EC">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70%</w:t>
            </w:r>
          </w:p>
        </w:tc>
        <w:tc>
          <w:tcPr>
            <w:tcW w:w="542" w:type="pct"/>
            <w:tcBorders>
              <w:top w:val="single" w:color="auto" w:sz="4" w:space="0"/>
              <w:left w:val="single" w:color="auto" w:sz="4" w:space="0"/>
              <w:bottom w:val="single" w:color="auto" w:sz="4" w:space="0"/>
              <w:right w:val="single" w:color="auto" w:sz="4" w:space="0"/>
            </w:tcBorders>
            <w:vAlign w:val="center"/>
          </w:tcPr>
          <w:p w14:paraId="738AC2EB">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0.6</w:t>
            </w:r>
          </w:p>
        </w:tc>
        <w:tc>
          <w:tcPr>
            <w:tcW w:w="937" w:type="pct"/>
            <w:tcBorders>
              <w:top w:val="single" w:color="auto" w:sz="4" w:space="0"/>
              <w:left w:val="single" w:color="auto" w:sz="4" w:space="0"/>
              <w:bottom w:val="single" w:color="auto" w:sz="4" w:space="0"/>
              <w:right w:val="single" w:color="auto" w:sz="4" w:space="0"/>
            </w:tcBorders>
            <w:vAlign w:val="center"/>
          </w:tcPr>
          <w:p w14:paraId="2D649793">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38.4</w:t>
            </w:r>
          </w:p>
        </w:tc>
        <w:tc>
          <w:tcPr>
            <w:tcW w:w="719" w:type="pct"/>
            <w:tcBorders>
              <w:top w:val="single" w:color="auto" w:sz="4" w:space="0"/>
              <w:left w:val="single" w:color="auto" w:sz="4" w:space="0"/>
              <w:bottom w:val="single" w:color="auto" w:sz="4" w:space="0"/>
              <w:right w:val="single" w:color="auto" w:sz="4" w:space="0"/>
            </w:tcBorders>
            <w:vAlign w:val="center"/>
          </w:tcPr>
          <w:p w14:paraId="0717B2F4">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28.56</w:t>
            </w:r>
          </w:p>
        </w:tc>
        <w:tc>
          <w:tcPr>
            <w:tcW w:w="824" w:type="pct"/>
            <w:tcBorders>
              <w:top w:val="single" w:color="auto" w:sz="4" w:space="0"/>
              <w:left w:val="single" w:color="auto" w:sz="4" w:space="0"/>
              <w:bottom w:val="single" w:color="auto" w:sz="4" w:space="0"/>
              <w:right w:val="single" w:color="auto" w:sz="4" w:space="0"/>
            </w:tcBorders>
            <w:vAlign w:val="center"/>
          </w:tcPr>
          <w:p w14:paraId="3338F83C">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1.29</w:t>
            </w:r>
          </w:p>
        </w:tc>
        <w:tc>
          <w:tcPr>
            <w:tcW w:w="778" w:type="pct"/>
            <w:tcBorders>
              <w:top w:val="single" w:color="auto" w:sz="4" w:space="0"/>
              <w:left w:val="single" w:color="auto" w:sz="4" w:space="0"/>
              <w:bottom w:val="single" w:color="auto" w:sz="4" w:space="0"/>
              <w:right w:val="single" w:color="auto" w:sz="12" w:space="0"/>
            </w:tcBorders>
            <w:vAlign w:val="center"/>
          </w:tcPr>
          <w:p w14:paraId="2B97D51D">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8.57</w:t>
            </w:r>
          </w:p>
        </w:tc>
      </w:tr>
      <w:tr w14:paraId="713DCD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38499D8F">
            <w:pPr>
              <w:tabs>
                <w:tab w:val="clear" w:pos="480"/>
              </w:tabs>
              <w:adjustRightInd w:val="0"/>
              <w:snapToGrid w:val="0"/>
              <w:spacing w:line="240" w:lineRule="auto"/>
              <w:ind w:firstLine="0" w:firstLineChars="0"/>
              <w:jc w:val="center"/>
              <w:rPr>
                <w:kern w:val="0"/>
                <w:sz w:val="18"/>
                <w:szCs w:val="18"/>
              </w:rPr>
            </w:pPr>
            <w:r>
              <w:rPr>
                <w:kern w:val="0"/>
                <w:sz w:val="18"/>
                <w:szCs w:val="18"/>
              </w:rPr>
              <w:t>5#</w:t>
            </w:r>
          </w:p>
        </w:tc>
        <w:tc>
          <w:tcPr>
            <w:tcW w:w="483" w:type="pct"/>
            <w:tcBorders>
              <w:top w:val="single" w:color="auto" w:sz="4" w:space="0"/>
              <w:left w:val="single" w:color="auto" w:sz="4" w:space="0"/>
              <w:bottom w:val="single" w:color="auto" w:sz="4" w:space="0"/>
              <w:right w:val="single" w:color="auto" w:sz="4" w:space="0"/>
            </w:tcBorders>
            <w:vAlign w:val="center"/>
          </w:tcPr>
          <w:p w14:paraId="7B2E5A13">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70%</w:t>
            </w:r>
          </w:p>
        </w:tc>
        <w:tc>
          <w:tcPr>
            <w:tcW w:w="542" w:type="pct"/>
            <w:tcBorders>
              <w:top w:val="single" w:color="auto" w:sz="4" w:space="0"/>
              <w:left w:val="single" w:color="auto" w:sz="4" w:space="0"/>
              <w:bottom w:val="single" w:color="auto" w:sz="4" w:space="0"/>
              <w:right w:val="single" w:color="auto" w:sz="4" w:space="0"/>
            </w:tcBorders>
            <w:vAlign w:val="center"/>
          </w:tcPr>
          <w:p w14:paraId="3C429705">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0.6</w:t>
            </w:r>
          </w:p>
        </w:tc>
        <w:tc>
          <w:tcPr>
            <w:tcW w:w="937" w:type="pct"/>
            <w:tcBorders>
              <w:top w:val="single" w:color="auto" w:sz="4" w:space="0"/>
              <w:left w:val="single" w:color="auto" w:sz="4" w:space="0"/>
              <w:bottom w:val="single" w:color="auto" w:sz="4" w:space="0"/>
              <w:right w:val="single" w:color="auto" w:sz="4" w:space="0"/>
            </w:tcBorders>
            <w:vAlign w:val="center"/>
          </w:tcPr>
          <w:p w14:paraId="61A86811">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38.4</w:t>
            </w:r>
          </w:p>
        </w:tc>
        <w:tc>
          <w:tcPr>
            <w:tcW w:w="719" w:type="pct"/>
            <w:tcBorders>
              <w:top w:val="single" w:color="auto" w:sz="4" w:space="0"/>
              <w:left w:val="single" w:color="auto" w:sz="4" w:space="0"/>
              <w:bottom w:val="single" w:color="auto" w:sz="4" w:space="0"/>
              <w:right w:val="single" w:color="auto" w:sz="4" w:space="0"/>
            </w:tcBorders>
            <w:vAlign w:val="center"/>
          </w:tcPr>
          <w:p w14:paraId="14AD386F">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25.64</w:t>
            </w:r>
          </w:p>
        </w:tc>
        <w:tc>
          <w:tcPr>
            <w:tcW w:w="824" w:type="pct"/>
            <w:tcBorders>
              <w:top w:val="single" w:color="auto" w:sz="4" w:space="0"/>
              <w:left w:val="single" w:color="auto" w:sz="4" w:space="0"/>
              <w:bottom w:val="single" w:color="auto" w:sz="4" w:space="0"/>
              <w:right w:val="single" w:color="auto" w:sz="4" w:space="0"/>
            </w:tcBorders>
            <w:vAlign w:val="center"/>
          </w:tcPr>
          <w:p w14:paraId="545AAF26">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1.15</w:t>
            </w:r>
          </w:p>
        </w:tc>
        <w:tc>
          <w:tcPr>
            <w:tcW w:w="778" w:type="pct"/>
            <w:tcBorders>
              <w:top w:val="single" w:color="auto" w:sz="4" w:space="0"/>
              <w:left w:val="single" w:color="auto" w:sz="4" w:space="0"/>
              <w:bottom w:val="single" w:color="auto" w:sz="4" w:space="0"/>
              <w:right w:val="single" w:color="auto" w:sz="12" w:space="0"/>
            </w:tcBorders>
            <w:vAlign w:val="center"/>
          </w:tcPr>
          <w:p w14:paraId="35FE20D1">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7.69</w:t>
            </w:r>
          </w:p>
        </w:tc>
      </w:tr>
      <w:tr w14:paraId="45B230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6B0F6C40">
            <w:pPr>
              <w:tabs>
                <w:tab w:val="clear" w:pos="480"/>
              </w:tabs>
              <w:adjustRightInd w:val="0"/>
              <w:snapToGrid w:val="0"/>
              <w:spacing w:line="240" w:lineRule="auto"/>
              <w:ind w:firstLine="0" w:firstLineChars="0"/>
              <w:jc w:val="center"/>
              <w:rPr>
                <w:kern w:val="0"/>
                <w:sz w:val="18"/>
                <w:szCs w:val="18"/>
              </w:rPr>
            </w:pPr>
            <w:r>
              <w:rPr>
                <w:kern w:val="0"/>
                <w:sz w:val="18"/>
                <w:szCs w:val="18"/>
              </w:rPr>
              <w:t>6#</w:t>
            </w:r>
          </w:p>
        </w:tc>
        <w:tc>
          <w:tcPr>
            <w:tcW w:w="483" w:type="pct"/>
            <w:tcBorders>
              <w:top w:val="single" w:color="auto" w:sz="4" w:space="0"/>
              <w:left w:val="single" w:color="auto" w:sz="4" w:space="0"/>
              <w:bottom w:val="single" w:color="auto" w:sz="4" w:space="0"/>
              <w:right w:val="single" w:color="auto" w:sz="4" w:space="0"/>
            </w:tcBorders>
            <w:vAlign w:val="center"/>
          </w:tcPr>
          <w:p w14:paraId="49B8D2DA">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75%</w:t>
            </w:r>
          </w:p>
        </w:tc>
        <w:tc>
          <w:tcPr>
            <w:tcW w:w="542" w:type="pct"/>
            <w:tcBorders>
              <w:top w:val="single" w:color="auto" w:sz="4" w:space="0"/>
              <w:left w:val="single" w:color="auto" w:sz="4" w:space="0"/>
              <w:bottom w:val="single" w:color="auto" w:sz="4" w:space="0"/>
              <w:right w:val="single" w:color="auto" w:sz="4" w:space="0"/>
            </w:tcBorders>
            <w:vAlign w:val="center"/>
          </w:tcPr>
          <w:p w14:paraId="527DDBEC">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0.6</w:t>
            </w:r>
          </w:p>
        </w:tc>
        <w:tc>
          <w:tcPr>
            <w:tcW w:w="937" w:type="pct"/>
            <w:tcBorders>
              <w:top w:val="single" w:color="auto" w:sz="4" w:space="0"/>
              <w:left w:val="single" w:color="auto" w:sz="4" w:space="0"/>
              <w:bottom w:val="single" w:color="auto" w:sz="4" w:space="0"/>
              <w:right w:val="single" w:color="auto" w:sz="4" w:space="0"/>
            </w:tcBorders>
            <w:vAlign w:val="center"/>
          </w:tcPr>
          <w:p w14:paraId="416AC7B3">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40.2</w:t>
            </w:r>
          </w:p>
        </w:tc>
        <w:tc>
          <w:tcPr>
            <w:tcW w:w="719" w:type="pct"/>
            <w:tcBorders>
              <w:top w:val="single" w:color="auto" w:sz="4" w:space="0"/>
              <w:left w:val="single" w:color="auto" w:sz="4" w:space="0"/>
              <w:bottom w:val="single" w:color="auto" w:sz="4" w:space="0"/>
              <w:right w:val="single" w:color="auto" w:sz="4" w:space="0"/>
            </w:tcBorders>
            <w:vAlign w:val="center"/>
          </w:tcPr>
          <w:p w14:paraId="387BE523">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26.78</w:t>
            </w:r>
          </w:p>
        </w:tc>
        <w:tc>
          <w:tcPr>
            <w:tcW w:w="824" w:type="pct"/>
            <w:tcBorders>
              <w:top w:val="single" w:color="auto" w:sz="4" w:space="0"/>
              <w:left w:val="single" w:color="auto" w:sz="4" w:space="0"/>
              <w:bottom w:val="single" w:color="auto" w:sz="4" w:space="0"/>
              <w:right w:val="single" w:color="auto" w:sz="4" w:space="0"/>
            </w:tcBorders>
            <w:vAlign w:val="center"/>
          </w:tcPr>
          <w:p w14:paraId="041231A8">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1.21</w:t>
            </w:r>
          </w:p>
        </w:tc>
        <w:tc>
          <w:tcPr>
            <w:tcW w:w="778" w:type="pct"/>
            <w:tcBorders>
              <w:top w:val="single" w:color="auto" w:sz="4" w:space="0"/>
              <w:left w:val="single" w:color="auto" w:sz="4" w:space="0"/>
              <w:bottom w:val="single" w:color="auto" w:sz="4" w:space="0"/>
              <w:right w:val="single" w:color="auto" w:sz="12" w:space="0"/>
            </w:tcBorders>
            <w:vAlign w:val="center"/>
          </w:tcPr>
          <w:p w14:paraId="4907A783">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8.03</w:t>
            </w:r>
          </w:p>
        </w:tc>
      </w:tr>
      <w:tr w14:paraId="278FC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5FF1AAB1">
            <w:pPr>
              <w:tabs>
                <w:tab w:val="clear" w:pos="480"/>
              </w:tabs>
              <w:adjustRightInd w:val="0"/>
              <w:snapToGrid w:val="0"/>
              <w:spacing w:line="240" w:lineRule="auto"/>
              <w:ind w:firstLine="0" w:firstLineChars="0"/>
              <w:jc w:val="center"/>
              <w:rPr>
                <w:kern w:val="0"/>
                <w:sz w:val="18"/>
                <w:szCs w:val="18"/>
              </w:rPr>
            </w:pPr>
            <w:r>
              <w:rPr>
                <w:kern w:val="0"/>
                <w:sz w:val="18"/>
                <w:szCs w:val="18"/>
              </w:rPr>
              <w:t>7#</w:t>
            </w:r>
          </w:p>
        </w:tc>
        <w:tc>
          <w:tcPr>
            <w:tcW w:w="483" w:type="pct"/>
            <w:tcBorders>
              <w:top w:val="single" w:color="auto" w:sz="4" w:space="0"/>
              <w:left w:val="single" w:color="auto" w:sz="4" w:space="0"/>
              <w:bottom w:val="single" w:color="auto" w:sz="4" w:space="0"/>
              <w:right w:val="single" w:color="auto" w:sz="4" w:space="0"/>
            </w:tcBorders>
            <w:vAlign w:val="center"/>
          </w:tcPr>
          <w:p w14:paraId="552E1EEB">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65%</w:t>
            </w:r>
          </w:p>
        </w:tc>
        <w:tc>
          <w:tcPr>
            <w:tcW w:w="542" w:type="pct"/>
            <w:tcBorders>
              <w:top w:val="single" w:color="auto" w:sz="4" w:space="0"/>
              <w:left w:val="single" w:color="auto" w:sz="4" w:space="0"/>
              <w:bottom w:val="single" w:color="auto" w:sz="4" w:space="0"/>
              <w:right w:val="single" w:color="auto" w:sz="4" w:space="0"/>
            </w:tcBorders>
            <w:vAlign w:val="center"/>
          </w:tcPr>
          <w:p w14:paraId="6564F64F">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0.55</w:t>
            </w:r>
          </w:p>
        </w:tc>
        <w:tc>
          <w:tcPr>
            <w:tcW w:w="937" w:type="pct"/>
            <w:tcBorders>
              <w:top w:val="single" w:color="auto" w:sz="4" w:space="0"/>
              <w:left w:val="single" w:color="auto" w:sz="4" w:space="0"/>
              <w:bottom w:val="single" w:color="auto" w:sz="4" w:space="0"/>
              <w:right w:val="single" w:color="auto" w:sz="4" w:space="0"/>
            </w:tcBorders>
            <w:vAlign w:val="center"/>
          </w:tcPr>
          <w:p w14:paraId="6D4A25D7">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35.6</w:t>
            </w:r>
          </w:p>
        </w:tc>
        <w:tc>
          <w:tcPr>
            <w:tcW w:w="719" w:type="pct"/>
            <w:tcBorders>
              <w:top w:val="single" w:color="auto" w:sz="4" w:space="0"/>
              <w:left w:val="single" w:color="auto" w:sz="4" w:space="0"/>
              <w:bottom w:val="single" w:color="auto" w:sz="4" w:space="0"/>
              <w:right w:val="single" w:color="auto" w:sz="4" w:space="0"/>
            </w:tcBorders>
            <w:vAlign w:val="center"/>
          </w:tcPr>
          <w:p w14:paraId="509A8D95">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28.32</w:t>
            </w:r>
          </w:p>
        </w:tc>
        <w:tc>
          <w:tcPr>
            <w:tcW w:w="824" w:type="pct"/>
            <w:tcBorders>
              <w:top w:val="single" w:color="auto" w:sz="4" w:space="0"/>
              <w:left w:val="single" w:color="auto" w:sz="4" w:space="0"/>
              <w:bottom w:val="single" w:color="auto" w:sz="4" w:space="0"/>
              <w:right w:val="single" w:color="auto" w:sz="4" w:space="0"/>
            </w:tcBorders>
            <w:vAlign w:val="center"/>
          </w:tcPr>
          <w:p w14:paraId="54367D4C">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1.27</w:t>
            </w:r>
          </w:p>
        </w:tc>
        <w:tc>
          <w:tcPr>
            <w:tcW w:w="778" w:type="pct"/>
            <w:tcBorders>
              <w:top w:val="single" w:color="auto" w:sz="4" w:space="0"/>
              <w:left w:val="single" w:color="auto" w:sz="4" w:space="0"/>
              <w:bottom w:val="single" w:color="auto" w:sz="4" w:space="0"/>
              <w:right w:val="single" w:color="auto" w:sz="12" w:space="0"/>
            </w:tcBorders>
            <w:vAlign w:val="center"/>
          </w:tcPr>
          <w:p w14:paraId="4971A33A">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8.5</w:t>
            </w:r>
          </w:p>
        </w:tc>
      </w:tr>
      <w:tr w14:paraId="446DF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50EC5ADE">
            <w:pPr>
              <w:tabs>
                <w:tab w:val="clear" w:pos="480"/>
              </w:tabs>
              <w:adjustRightInd w:val="0"/>
              <w:snapToGrid w:val="0"/>
              <w:spacing w:line="240" w:lineRule="auto"/>
              <w:ind w:firstLine="0" w:firstLineChars="0"/>
              <w:jc w:val="center"/>
              <w:rPr>
                <w:kern w:val="0"/>
                <w:sz w:val="18"/>
                <w:szCs w:val="18"/>
              </w:rPr>
            </w:pPr>
            <w:r>
              <w:rPr>
                <w:kern w:val="0"/>
                <w:sz w:val="18"/>
                <w:szCs w:val="18"/>
              </w:rPr>
              <w:t>8#</w:t>
            </w:r>
          </w:p>
        </w:tc>
        <w:tc>
          <w:tcPr>
            <w:tcW w:w="483" w:type="pct"/>
            <w:tcBorders>
              <w:top w:val="single" w:color="auto" w:sz="4" w:space="0"/>
              <w:left w:val="single" w:color="auto" w:sz="4" w:space="0"/>
              <w:bottom w:val="single" w:color="auto" w:sz="4" w:space="0"/>
              <w:right w:val="single" w:color="auto" w:sz="4" w:space="0"/>
            </w:tcBorders>
            <w:vAlign w:val="center"/>
          </w:tcPr>
          <w:p w14:paraId="1666DB21">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65%</w:t>
            </w:r>
          </w:p>
        </w:tc>
        <w:tc>
          <w:tcPr>
            <w:tcW w:w="542" w:type="pct"/>
            <w:tcBorders>
              <w:top w:val="single" w:color="auto" w:sz="4" w:space="0"/>
              <w:left w:val="single" w:color="auto" w:sz="4" w:space="0"/>
              <w:bottom w:val="single" w:color="auto" w:sz="4" w:space="0"/>
              <w:right w:val="single" w:color="auto" w:sz="4" w:space="0"/>
            </w:tcBorders>
            <w:vAlign w:val="center"/>
          </w:tcPr>
          <w:p w14:paraId="02F14AB9">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0.55</w:t>
            </w:r>
          </w:p>
        </w:tc>
        <w:tc>
          <w:tcPr>
            <w:tcW w:w="937" w:type="pct"/>
            <w:tcBorders>
              <w:top w:val="single" w:color="auto" w:sz="4" w:space="0"/>
              <w:left w:val="single" w:color="auto" w:sz="4" w:space="0"/>
              <w:bottom w:val="single" w:color="auto" w:sz="4" w:space="0"/>
              <w:right w:val="single" w:color="auto" w:sz="4" w:space="0"/>
            </w:tcBorders>
            <w:vAlign w:val="center"/>
          </w:tcPr>
          <w:p w14:paraId="7DCC447D">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35.6</w:t>
            </w:r>
          </w:p>
        </w:tc>
        <w:tc>
          <w:tcPr>
            <w:tcW w:w="719" w:type="pct"/>
            <w:tcBorders>
              <w:top w:val="single" w:color="auto" w:sz="4" w:space="0"/>
              <w:left w:val="single" w:color="auto" w:sz="4" w:space="0"/>
              <w:bottom w:val="single" w:color="auto" w:sz="4" w:space="0"/>
              <w:right w:val="single" w:color="auto" w:sz="4" w:space="0"/>
            </w:tcBorders>
            <w:vAlign w:val="center"/>
          </w:tcPr>
          <w:p w14:paraId="206C72D7">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27.48</w:t>
            </w:r>
          </w:p>
        </w:tc>
        <w:tc>
          <w:tcPr>
            <w:tcW w:w="824" w:type="pct"/>
            <w:tcBorders>
              <w:top w:val="single" w:color="auto" w:sz="4" w:space="0"/>
              <w:left w:val="single" w:color="auto" w:sz="4" w:space="0"/>
              <w:bottom w:val="single" w:color="auto" w:sz="4" w:space="0"/>
              <w:right w:val="single" w:color="auto" w:sz="4" w:space="0"/>
            </w:tcBorders>
            <w:vAlign w:val="center"/>
          </w:tcPr>
          <w:p w14:paraId="7B7E5D38">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1.24</w:t>
            </w:r>
          </w:p>
        </w:tc>
        <w:tc>
          <w:tcPr>
            <w:tcW w:w="778" w:type="pct"/>
            <w:tcBorders>
              <w:top w:val="single" w:color="auto" w:sz="4" w:space="0"/>
              <w:left w:val="single" w:color="auto" w:sz="4" w:space="0"/>
              <w:bottom w:val="single" w:color="auto" w:sz="4" w:space="0"/>
              <w:right w:val="single" w:color="auto" w:sz="12" w:space="0"/>
            </w:tcBorders>
            <w:vAlign w:val="center"/>
          </w:tcPr>
          <w:p w14:paraId="39CB399C">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8.24</w:t>
            </w:r>
          </w:p>
        </w:tc>
      </w:tr>
      <w:tr w14:paraId="609E4A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48B84431">
            <w:pPr>
              <w:tabs>
                <w:tab w:val="clear" w:pos="480"/>
              </w:tabs>
              <w:adjustRightInd w:val="0"/>
              <w:snapToGrid w:val="0"/>
              <w:spacing w:line="240" w:lineRule="auto"/>
              <w:ind w:firstLine="0" w:firstLineChars="0"/>
              <w:jc w:val="center"/>
              <w:rPr>
                <w:kern w:val="0"/>
                <w:sz w:val="18"/>
                <w:szCs w:val="18"/>
              </w:rPr>
            </w:pPr>
            <w:r>
              <w:rPr>
                <w:kern w:val="0"/>
                <w:sz w:val="18"/>
                <w:szCs w:val="18"/>
              </w:rPr>
              <w:t>9#</w:t>
            </w:r>
          </w:p>
        </w:tc>
        <w:tc>
          <w:tcPr>
            <w:tcW w:w="483" w:type="pct"/>
            <w:tcBorders>
              <w:top w:val="single" w:color="auto" w:sz="4" w:space="0"/>
              <w:left w:val="single" w:color="auto" w:sz="4" w:space="0"/>
              <w:bottom w:val="single" w:color="auto" w:sz="4" w:space="0"/>
              <w:right w:val="single" w:color="auto" w:sz="4" w:space="0"/>
            </w:tcBorders>
            <w:vAlign w:val="center"/>
          </w:tcPr>
          <w:p w14:paraId="601CEFFA">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65%</w:t>
            </w:r>
          </w:p>
        </w:tc>
        <w:tc>
          <w:tcPr>
            <w:tcW w:w="542" w:type="pct"/>
            <w:tcBorders>
              <w:top w:val="single" w:color="auto" w:sz="4" w:space="0"/>
              <w:left w:val="single" w:color="auto" w:sz="4" w:space="0"/>
              <w:bottom w:val="single" w:color="auto" w:sz="4" w:space="0"/>
              <w:right w:val="single" w:color="auto" w:sz="4" w:space="0"/>
            </w:tcBorders>
            <w:vAlign w:val="center"/>
          </w:tcPr>
          <w:p w14:paraId="512F4467">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0.55</w:t>
            </w:r>
          </w:p>
        </w:tc>
        <w:tc>
          <w:tcPr>
            <w:tcW w:w="937" w:type="pct"/>
            <w:tcBorders>
              <w:top w:val="single" w:color="auto" w:sz="4" w:space="0"/>
              <w:left w:val="single" w:color="auto" w:sz="4" w:space="0"/>
              <w:bottom w:val="single" w:color="auto" w:sz="4" w:space="0"/>
              <w:right w:val="single" w:color="auto" w:sz="4" w:space="0"/>
            </w:tcBorders>
            <w:vAlign w:val="center"/>
          </w:tcPr>
          <w:p w14:paraId="1D60038E">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35.6</w:t>
            </w:r>
          </w:p>
        </w:tc>
        <w:tc>
          <w:tcPr>
            <w:tcW w:w="719" w:type="pct"/>
            <w:tcBorders>
              <w:top w:val="single" w:color="auto" w:sz="4" w:space="0"/>
              <w:left w:val="single" w:color="auto" w:sz="4" w:space="0"/>
              <w:bottom w:val="single" w:color="auto" w:sz="4" w:space="0"/>
              <w:right w:val="single" w:color="auto" w:sz="4" w:space="0"/>
            </w:tcBorders>
            <w:vAlign w:val="center"/>
          </w:tcPr>
          <w:p w14:paraId="077513CA">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26.54</w:t>
            </w:r>
          </w:p>
        </w:tc>
        <w:tc>
          <w:tcPr>
            <w:tcW w:w="824" w:type="pct"/>
            <w:tcBorders>
              <w:top w:val="single" w:color="auto" w:sz="4" w:space="0"/>
              <w:left w:val="single" w:color="auto" w:sz="4" w:space="0"/>
              <w:bottom w:val="single" w:color="auto" w:sz="4" w:space="0"/>
              <w:right w:val="single" w:color="auto" w:sz="4" w:space="0"/>
            </w:tcBorders>
            <w:vAlign w:val="center"/>
          </w:tcPr>
          <w:p w14:paraId="3184DE83">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1.19</w:t>
            </w:r>
          </w:p>
        </w:tc>
        <w:tc>
          <w:tcPr>
            <w:tcW w:w="778" w:type="pct"/>
            <w:tcBorders>
              <w:top w:val="single" w:color="auto" w:sz="4" w:space="0"/>
              <w:left w:val="single" w:color="auto" w:sz="4" w:space="0"/>
              <w:bottom w:val="single" w:color="auto" w:sz="4" w:space="0"/>
              <w:right w:val="single" w:color="auto" w:sz="12" w:space="0"/>
            </w:tcBorders>
            <w:vAlign w:val="center"/>
          </w:tcPr>
          <w:p w14:paraId="51590EEC">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7.96</w:t>
            </w:r>
          </w:p>
        </w:tc>
      </w:tr>
      <w:tr w14:paraId="163181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4" w:space="0"/>
              <w:right w:val="single" w:color="auto" w:sz="4" w:space="0"/>
            </w:tcBorders>
            <w:vAlign w:val="center"/>
          </w:tcPr>
          <w:p w14:paraId="339FD740">
            <w:pPr>
              <w:tabs>
                <w:tab w:val="clear" w:pos="480"/>
              </w:tabs>
              <w:adjustRightInd w:val="0"/>
              <w:snapToGrid w:val="0"/>
              <w:spacing w:line="240" w:lineRule="auto"/>
              <w:ind w:firstLine="0" w:firstLineChars="0"/>
              <w:jc w:val="center"/>
              <w:rPr>
                <w:kern w:val="0"/>
                <w:sz w:val="18"/>
                <w:szCs w:val="18"/>
              </w:rPr>
            </w:pPr>
            <w:r>
              <w:rPr>
                <w:kern w:val="0"/>
                <w:sz w:val="18"/>
                <w:szCs w:val="18"/>
              </w:rPr>
              <w:t>10#</w:t>
            </w:r>
          </w:p>
        </w:tc>
        <w:tc>
          <w:tcPr>
            <w:tcW w:w="483" w:type="pct"/>
            <w:tcBorders>
              <w:top w:val="single" w:color="auto" w:sz="4" w:space="0"/>
              <w:left w:val="single" w:color="auto" w:sz="4" w:space="0"/>
              <w:bottom w:val="single" w:color="auto" w:sz="4" w:space="0"/>
              <w:right w:val="single" w:color="auto" w:sz="4" w:space="0"/>
            </w:tcBorders>
            <w:vAlign w:val="center"/>
          </w:tcPr>
          <w:p w14:paraId="161170AB">
            <w:pPr>
              <w:widowControl/>
              <w:tabs>
                <w:tab w:val="clear" w:pos="480"/>
              </w:tabs>
              <w:adjustRightInd w:val="0"/>
              <w:snapToGrid w:val="0"/>
              <w:spacing w:line="240" w:lineRule="auto"/>
              <w:ind w:firstLine="0" w:firstLineChars="0"/>
              <w:jc w:val="center"/>
              <w:rPr>
                <w:kern w:val="0"/>
                <w:sz w:val="18"/>
                <w:szCs w:val="18"/>
              </w:rPr>
            </w:pPr>
            <w:r>
              <w:rPr>
                <w:rFonts w:eastAsia="等线"/>
                <w:sz w:val="18"/>
                <w:szCs w:val="18"/>
                <w14:ligatures w14:val="standardContextual"/>
              </w:rPr>
              <w:t>60%</w:t>
            </w:r>
          </w:p>
        </w:tc>
        <w:tc>
          <w:tcPr>
            <w:tcW w:w="542" w:type="pct"/>
            <w:tcBorders>
              <w:top w:val="single" w:color="auto" w:sz="4" w:space="0"/>
              <w:left w:val="single" w:color="auto" w:sz="4" w:space="0"/>
              <w:bottom w:val="single" w:color="auto" w:sz="4" w:space="0"/>
              <w:right w:val="single" w:color="auto" w:sz="4" w:space="0"/>
            </w:tcBorders>
            <w:vAlign w:val="center"/>
          </w:tcPr>
          <w:p w14:paraId="361C0F5D">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0.5</w:t>
            </w:r>
          </w:p>
        </w:tc>
        <w:tc>
          <w:tcPr>
            <w:tcW w:w="937" w:type="pct"/>
            <w:tcBorders>
              <w:top w:val="single" w:color="auto" w:sz="4" w:space="0"/>
              <w:left w:val="single" w:color="auto" w:sz="4" w:space="0"/>
              <w:bottom w:val="single" w:color="auto" w:sz="4" w:space="0"/>
              <w:right w:val="single" w:color="auto" w:sz="4" w:space="0"/>
            </w:tcBorders>
            <w:vAlign w:val="center"/>
          </w:tcPr>
          <w:p w14:paraId="6D8621F2">
            <w:pPr>
              <w:widowControl/>
              <w:tabs>
                <w:tab w:val="clear" w:pos="480"/>
              </w:tabs>
              <w:adjustRightInd w:val="0"/>
              <w:snapToGrid w:val="0"/>
              <w:spacing w:line="240" w:lineRule="auto"/>
              <w:ind w:firstLine="0" w:firstLineChars="0"/>
              <w:jc w:val="center"/>
              <w:rPr>
                <w:sz w:val="18"/>
                <w:szCs w:val="18"/>
              </w:rPr>
            </w:pPr>
            <w:r>
              <w:rPr>
                <w:rFonts w:eastAsia="等线"/>
                <w:sz w:val="18"/>
                <w:szCs w:val="18"/>
                <w14:ligatures w14:val="standardContextual"/>
              </w:rPr>
              <w:t>32.8</w:t>
            </w:r>
          </w:p>
        </w:tc>
        <w:tc>
          <w:tcPr>
            <w:tcW w:w="719" w:type="pct"/>
            <w:tcBorders>
              <w:top w:val="single" w:color="auto" w:sz="4" w:space="0"/>
              <w:left w:val="single" w:color="auto" w:sz="4" w:space="0"/>
              <w:bottom w:val="single" w:color="auto" w:sz="4" w:space="0"/>
              <w:right w:val="single" w:color="auto" w:sz="4" w:space="0"/>
            </w:tcBorders>
            <w:vAlign w:val="center"/>
          </w:tcPr>
          <w:p w14:paraId="4DD145D6">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26.83</w:t>
            </w:r>
          </w:p>
        </w:tc>
        <w:tc>
          <w:tcPr>
            <w:tcW w:w="824" w:type="pct"/>
            <w:tcBorders>
              <w:top w:val="single" w:color="auto" w:sz="4" w:space="0"/>
              <w:left w:val="single" w:color="auto" w:sz="4" w:space="0"/>
              <w:bottom w:val="single" w:color="auto" w:sz="4" w:space="0"/>
              <w:right w:val="single" w:color="auto" w:sz="4" w:space="0"/>
            </w:tcBorders>
            <w:vAlign w:val="center"/>
          </w:tcPr>
          <w:p w14:paraId="70710592">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1.21</w:t>
            </w:r>
          </w:p>
        </w:tc>
        <w:tc>
          <w:tcPr>
            <w:tcW w:w="778" w:type="pct"/>
            <w:tcBorders>
              <w:top w:val="single" w:color="auto" w:sz="4" w:space="0"/>
              <w:left w:val="single" w:color="auto" w:sz="4" w:space="0"/>
              <w:bottom w:val="single" w:color="auto" w:sz="4" w:space="0"/>
              <w:right w:val="single" w:color="auto" w:sz="12" w:space="0"/>
            </w:tcBorders>
            <w:vAlign w:val="center"/>
          </w:tcPr>
          <w:p w14:paraId="3AEFA248">
            <w:pPr>
              <w:widowControl/>
              <w:tabs>
                <w:tab w:val="clear" w:pos="480"/>
              </w:tabs>
              <w:adjustRightInd w:val="0"/>
              <w:snapToGrid w:val="0"/>
              <w:spacing w:line="240" w:lineRule="auto"/>
              <w:ind w:firstLine="0" w:firstLineChars="0"/>
              <w:jc w:val="center"/>
              <w:rPr>
                <w:bCs/>
                <w:sz w:val="18"/>
                <w:szCs w:val="18"/>
              </w:rPr>
            </w:pPr>
            <w:r>
              <w:rPr>
                <w:rFonts w:eastAsia="等线"/>
                <w:sz w:val="18"/>
                <w:szCs w:val="18"/>
                <w14:ligatures w14:val="standardContextual"/>
              </w:rPr>
              <w:t>8.05</w:t>
            </w:r>
          </w:p>
        </w:tc>
      </w:tr>
      <w:tr w14:paraId="46FFD7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6" w:type="pct"/>
            <w:tcBorders>
              <w:top w:val="single" w:color="auto" w:sz="4" w:space="0"/>
              <w:left w:val="single" w:color="auto" w:sz="12" w:space="0"/>
              <w:bottom w:val="single" w:color="auto" w:sz="12" w:space="0"/>
              <w:right w:val="single" w:color="auto" w:sz="4" w:space="0"/>
            </w:tcBorders>
            <w:vAlign w:val="center"/>
          </w:tcPr>
          <w:p w14:paraId="0450EA96">
            <w:pPr>
              <w:widowControl/>
              <w:tabs>
                <w:tab w:val="clear" w:pos="480"/>
              </w:tabs>
              <w:adjustRightInd w:val="0"/>
              <w:snapToGrid w:val="0"/>
              <w:spacing w:line="240" w:lineRule="auto"/>
              <w:ind w:firstLine="0" w:firstLineChars="0"/>
              <w:jc w:val="center"/>
              <w:rPr>
                <w:kern w:val="0"/>
                <w:sz w:val="18"/>
                <w:szCs w:val="18"/>
              </w:rPr>
            </w:pPr>
            <w:r>
              <w:rPr>
                <w:rFonts w:hint="eastAsia"/>
                <w:kern w:val="0"/>
                <w:sz w:val="18"/>
                <w:szCs w:val="18"/>
              </w:rPr>
              <w:t>合计</w:t>
            </w:r>
          </w:p>
        </w:tc>
        <w:tc>
          <w:tcPr>
            <w:tcW w:w="483" w:type="pct"/>
            <w:tcBorders>
              <w:top w:val="single" w:color="auto" w:sz="4" w:space="0"/>
              <w:left w:val="single" w:color="auto" w:sz="4" w:space="0"/>
              <w:bottom w:val="single" w:color="auto" w:sz="12" w:space="0"/>
              <w:right w:val="single" w:color="auto" w:sz="4" w:space="0"/>
            </w:tcBorders>
            <w:vAlign w:val="center"/>
          </w:tcPr>
          <w:p w14:paraId="2F443F68">
            <w:pPr>
              <w:widowControl/>
              <w:tabs>
                <w:tab w:val="clear" w:pos="480"/>
              </w:tabs>
              <w:adjustRightInd w:val="0"/>
              <w:snapToGrid w:val="0"/>
              <w:spacing w:line="240" w:lineRule="auto"/>
              <w:ind w:firstLine="0" w:firstLineChars="0"/>
              <w:jc w:val="center"/>
              <w:rPr>
                <w:kern w:val="0"/>
                <w:sz w:val="18"/>
                <w:szCs w:val="18"/>
              </w:rPr>
            </w:pPr>
          </w:p>
        </w:tc>
        <w:tc>
          <w:tcPr>
            <w:tcW w:w="542" w:type="pct"/>
            <w:tcBorders>
              <w:top w:val="single" w:color="auto" w:sz="4" w:space="0"/>
              <w:left w:val="single" w:color="auto" w:sz="4" w:space="0"/>
              <w:bottom w:val="single" w:color="auto" w:sz="12" w:space="0"/>
              <w:right w:val="single" w:color="auto" w:sz="4" w:space="0"/>
            </w:tcBorders>
            <w:vAlign w:val="center"/>
          </w:tcPr>
          <w:p w14:paraId="6841341F">
            <w:pPr>
              <w:widowControl/>
              <w:tabs>
                <w:tab w:val="clear" w:pos="480"/>
              </w:tabs>
              <w:adjustRightInd w:val="0"/>
              <w:snapToGrid w:val="0"/>
              <w:spacing w:line="240" w:lineRule="auto"/>
              <w:ind w:firstLine="0" w:firstLineChars="0"/>
              <w:jc w:val="center"/>
              <w:rPr>
                <w:sz w:val="18"/>
                <w:szCs w:val="18"/>
              </w:rPr>
            </w:pPr>
          </w:p>
        </w:tc>
        <w:tc>
          <w:tcPr>
            <w:tcW w:w="937" w:type="pct"/>
            <w:tcBorders>
              <w:top w:val="single" w:color="auto" w:sz="4" w:space="0"/>
              <w:left w:val="single" w:color="auto" w:sz="4" w:space="0"/>
              <w:bottom w:val="single" w:color="auto" w:sz="12" w:space="0"/>
              <w:right w:val="single" w:color="auto" w:sz="4" w:space="0"/>
            </w:tcBorders>
            <w:vAlign w:val="center"/>
          </w:tcPr>
          <w:p w14:paraId="28798412">
            <w:pPr>
              <w:widowControl/>
              <w:tabs>
                <w:tab w:val="clear" w:pos="480"/>
              </w:tabs>
              <w:adjustRightInd w:val="0"/>
              <w:snapToGrid w:val="0"/>
              <w:spacing w:line="240" w:lineRule="auto"/>
              <w:ind w:firstLine="0" w:firstLineChars="0"/>
              <w:jc w:val="center"/>
              <w:rPr>
                <w:bCs/>
                <w:sz w:val="18"/>
                <w:szCs w:val="18"/>
              </w:rPr>
            </w:pPr>
          </w:p>
        </w:tc>
        <w:tc>
          <w:tcPr>
            <w:tcW w:w="719" w:type="pct"/>
            <w:tcBorders>
              <w:top w:val="single" w:color="auto" w:sz="4" w:space="0"/>
              <w:left w:val="single" w:color="auto" w:sz="4" w:space="0"/>
              <w:bottom w:val="single" w:color="auto" w:sz="12" w:space="0"/>
              <w:right w:val="single" w:color="auto" w:sz="4" w:space="0"/>
            </w:tcBorders>
            <w:vAlign w:val="center"/>
          </w:tcPr>
          <w:p w14:paraId="58CC7536">
            <w:pPr>
              <w:widowControl/>
              <w:tabs>
                <w:tab w:val="clear" w:pos="480"/>
              </w:tabs>
              <w:adjustRightInd w:val="0"/>
              <w:snapToGrid w:val="0"/>
              <w:spacing w:line="240" w:lineRule="auto"/>
              <w:ind w:firstLine="0" w:firstLineChars="0"/>
              <w:jc w:val="center"/>
              <w:rPr>
                <w:bCs/>
                <w:sz w:val="18"/>
                <w:szCs w:val="18"/>
              </w:rPr>
            </w:pPr>
            <w:r>
              <w:rPr>
                <w:rFonts w:hint="eastAsia" w:eastAsia="等线"/>
                <w:sz w:val="18"/>
                <w:szCs w:val="18"/>
              </w:rPr>
              <w:t>　</w:t>
            </w:r>
          </w:p>
        </w:tc>
        <w:tc>
          <w:tcPr>
            <w:tcW w:w="824" w:type="pct"/>
            <w:tcBorders>
              <w:top w:val="single" w:color="auto" w:sz="4" w:space="0"/>
              <w:left w:val="single" w:color="auto" w:sz="4" w:space="0"/>
              <w:bottom w:val="single" w:color="auto" w:sz="12" w:space="0"/>
              <w:right w:val="single" w:color="auto" w:sz="4" w:space="0"/>
            </w:tcBorders>
            <w:vAlign w:val="center"/>
          </w:tcPr>
          <w:p w14:paraId="36B98E2E">
            <w:pPr>
              <w:widowControl/>
              <w:tabs>
                <w:tab w:val="clear" w:pos="480"/>
              </w:tabs>
              <w:adjustRightInd w:val="0"/>
              <w:snapToGrid w:val="0"/>
              <w:spacing w:line="240" w:lineRule="auto"/>
              <w:ind w:firstLine="0" w:firstLineChars="0"/>
              <w:jc w:val="center"/>
              <w:rPr>
                <w:rFonts w:eastAsia="等线"/>
                <w:sz w:val="18"/>
                <w:szCs w:val="18"/>
                <w14:ligatures w14:val="standardContextual"/>
              </w:rPr>
            </w:pPr>
            <w:r>
              <w:rPr>
                <w:rFonts w:eastAsia="等线"/>
                <w:sz w:val="18"/>
                <w:szCs w:val="18"/>
                <w14:ligatures w14:val="standardContextual"/>
              </w:rPr>
              <w:t>12.0</w:t>
            </w:r>
          </w:p>
        </w:tc>
        <w:tc>
          <w:tcPr>
            <w:tcW w:w="778" w:type="pct"/>
            <w:tcBorders>
              <w:top w:val="single" w:color="auto" w:sz="4" w:space="0"/>
              <w:left w:val="single" w:color="auto" w:sz="4" w:space="0"/>
              <w:bottom w:val="single" w:color="auto" w:sz="12" w:space="0"/>
              <w:right w:val="single" w:color="auto" w:sz="12" w:space="0"/>
            </w:tcBorders>
            <w:vAlign w:val="center"/>
          </w:tcPr>
          <w:p w14:paraId="07905454">
            <w:pPr>
              <w:widowControl/>
              <w:tabs>
                <w:tab w:val="clear" w:pos="480"/>
              </w:tabs>
              <w:adjustRightInd w:val="0"/>
              <w:snapToGrid w:val="0"/>
              <w:spacing w:line="240" w:lineRule="auto"/>
              <w:ind w:firstLine="0" w:firstLineChars="0"/>
              <w:jc w:val="center"/>
              <w:rPr>
                <w:rFonts w:eastAsia="等线"/>
                <w:sz w:val="18"/>
                <w:szCs w:val="18"/>
                <w14:ligatures w14:val="standardContextual"/>
              </w:rPr>
            </w:pPr>
            <w:r>
              <w:rPr>
                <w:rFonts w:eastAsia="等线"/>
                <w:sz w:val="18"/>
                <w:szCs w:val="18"/>
                <w14:ligatures w14:val="standardContextual"/>
              </w:rPr>
              <w:t>79.95</w:t>
            </w:r>
          </w:p>
        </w:tc>
      </w:tr>
      <w:bookmarkEnd w:id="185"/>
    </w:tbl>
    <w:p w14:paraId="5FF2CAE8">
      <w:pPr>
        <w:adjustRightInd w:val="0"/>
        <w:snapToGrid w:val="0"/>
        <w:ind w:firstLine="480"/>
      </w:pPr>
      <w:bookmarkStart w:id="186" w:name="_Hlk143784039"/>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bookmarkEnd w:id="186"/>
      <w:r>
        <w:rPr>
          <w:rFonts w:hint="eastAsia"/>
        </w:rPr>
        <w:t>弃渣场生物量损失</w:t>
      </w:r>
    </w:p>
    <w:p w14:paraId="005F19C0">
      <w:pPr>
        <w:adjustRightInd w:val="0"/>
        <w:snapToGrid w:val="0"/>
        <w:ind w:firstLine="480"/>
      </w:pPr>
      <w:r>
        <w:rPr>
          <w:rFonts w:hint="eastAsia"/>
        </w:rPr>
        <w:t>根据工程总布置，本工程共8个弃渣场，临时占地面为</w:t>
      </w:r>
      <w:r>
        <w:t>5.0hm</w:t>
      </w:r>
      <w:r>
        <w:rPr>
          <w:vertAlign w:val="superscript"/>
        </w:rPr>
        <w:t>2</w:t>
      </w:r>
      <w:r>
        <w:rPr>
          <w:rFonts w:hint="eastAsia"/>
        </w:rPr>
        <w:t>，临时损失生物量</w:t>
      </w:r>
      <w:r>
        <w:t>102.65</w:t>
      </w:r>
      <w:r>
        <w:rPr>
          <w:rFonts w:hint="eastAsia"/>
        </w:rPr>
        <w:t>。工程建设完成后，会对弃渣场进行植被恢复，随着植被恢复措施的实施，植被生物量会逐渐恢复。</w:t>
      </w:r>
    </w:p>
    <w:p w14:paraId="5B6B8AB4">
      <w:pPr>
        <w:adjustRightInd w:val="0"/>
        <w:snapToGrid w:val="0"/>
        <w:ind w:firstLine="480"/>
      </w:pPr>
      <w:bookmarkStart w:id="187" w:name="_Hlk143784044"/>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bookmarkEnd w:id="187"/>
      <w:r>
        <w:rPr>
          <w:rFonts w:hint="eastAsia"/>
        </w:rPr>
        <w:t>道路工程区生物量损失</w:t>
      </w:r>
    </w:p>
    <w:p w14:paraId="47B4FED2">
      <w:pPr>
        <w:adjustRightInd w:val="0"/>
        <w:snapToGrid w:val="0"/>
        <w:ind w:firstLine="480"/>
      </w:pPr>
      <w:r>
        <w:rPr>
          <w:rFonts w:hint="eastAsia"/>
        </w:rPr>
        <w:t>本工程新建场内检修道路和弃渣场施工道路占地总面积为</w:t>
      </w:r>
      <w:r>
        <w:t>33.52hm</w:t>
      </w:r>
      <w:r>
        <w:rPr>
          <w:vertAlign w:val="superscript"/>
        </w:rPr>
        <w:t>2</w:t>
      </w:r>
      <w:r>
        <w:rPr>
          <w:rFonts w:hint="eastAsia"/>
        </w:rPr>
        <w:t>，全部为临时占地。在工程建设期损失的生物量约</w:t>
      </w:r>
      <w:r>
        <w:t>688.17t</w:t>
      </w:r>
      <w:r>
        <w:rPr>
          <w:rFonts w:hint="eastAsia"/>
        </w:rPr>
        <w:t>，临时占地在施工完成后会进行植被恢复，建设期损失的生物量会逐渐恢复至原状。</w:t>
      </w:r>
    </w:p>
    <w:p w14:paraId="05A0A7F1">
      <w:pPr>
        <w:adjustRightInd w:val="0"/>
        <w:snapToGrid w:val="0"/>
        <w:ind w:firstLine="480"/>
      </w:pPr>
      <w:bookmarkStart w:id="188" w:name="_Hlk143784049"/>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bookmarkEnd w:id="188"/>
      <w:r>
        <w:rPr>
          <w:rFonts w:hint="eastAsia"/>
        </w:rPr>
        <w:t>升压站生物量损失</w:t>
      </w:r>
    </w:p>
    <w:p w14:paraId="7F57805E">
      <w:pPr>
        <w:adjustRightInd w:val="0"/>
        <w:snapToGrid w:val="0"/>
        <w:ind w:firstLine="480"/>
      </w:pPr>
      <w:r>
        <w:rPr>
          <w:rFonts w:hint="eastAsia"/>
        </w:rPr>
        <w:t>根据工程总布置，本工程升压站（含进站道路）永久占地</w:t>
      </w:r>
      <w:r>
        <w:t>0.663hm</w:t>
      </w:r>
      <w:r>
        <w:rPr>
          <w:vertAlign w:val="superscript"/>
        </w:rPr>
        <w:t>2</w:t>
      </w:r>
      <w:r>
        <w:rPr>
          <w:rFonts w:hint="eastAsia"/>
        </w:rPr>
        <w:t>，永久损失生物量</w:t>
      </w:r>
      <w:r>
        <w:t>15.69t</w:t>
      </w:r>
      <w:r>
        <w:rPr>
          <w:rFonts w:hint="eastAsia"/>
        </w:rPr>
        <w:t>。</w:t>
      </w:r>
    </w:p>
    <w:p w14:paraId="5AE4A2B6">
      <w:pPr>
        <w:adjustRightInd w:val="0"/>
        <w:snapToGrid w:val="0"/>
        <w:ind w:firstLine="480"/>
      </w:pPr>
      <w:bookmarkStart w:id="189" w:name="_Hlk143784053"/>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bookmarkEnd w:id="189"/>
      <w:r>
        <w:rPr>
          <w:rFonts w:hint="eastAsia"/>
        </w:rPr>
        <w:t>施工生产生活区生物量损失</w:t>
      </w:r>
    </w:p>
    <w:p w14:paraId="10431708">
      <w:pPr>
        <w:adjustRightInd w:val="0"/>
        <w:snapToGrid w:val="0"/>
        <w:ind w:firstLine="480"/>
      </w:pPr>
      <w:r>
        <w:rPr>
          <w:rFonts w:hint="eastAsia"/>
        </w:rPr>
        <w:t>根据工程设计，施工生产生活区共占地</w:t>
      </w:r>
      <w:r>
        <w:t>0.4hm</w:t>
      </w:r>
      <w:r>
        <w:rPr>
          <w:vertAlign w:val="superscript"/>
        </w:rPr>
        <w:t>2</w:t>
      </w:r>
      <w:r>
        <w:rPr>
          <w:rFonts w:hint="eastAsia"/>
        </w:rPr>
        <w:t>，全部为临时占地，临时损失生物量为</w:t>
      </w:r>
      <w:r>
        <w:t>9.47t</w:t>
      </w:r>
      <w:r>
        <w:rPr>
          <w:rFonts w:hint="eastAsia"/>
        </w:rPr>
        <w:t>。随着工程施工结束，临时占地区会使用本土植被进行复绿，且该区域内植被丰富度高，自然恢复能力强，因而短时间内生物量会逐渐恢复至原状。</w:t>
      </w:r>
    </w:p>
    <w:p w14:paraId="78D74B7F">
      <w:pPr>
        <w:adjustRightInd w:val="0"/>
        <w:snapToGrid w:val="0"/>
        <w:ind w:firstLine="480"/>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rPr>
          <w:rFonts w:hint="eastAsia"/>
        </w:rPr>
        <w:t>集电线路</w:t>
      </w:r>
    </w:p>
    <w:p w14:paraId="76782CD0">
      <w:pPr>
        <w:adjustRightInd w:val="0"/>
        <w:snapToGrid w:val="0"/>
        <w:ind w:firstLine="480"/>
      </w:pPr>
      <w:r>
        <w:rPr>
          <w:rFonts w:hint="eastAsia"/>
        </w:rPr>
        <w:t>根据工程设计，施工生产生活区共占地</w:t>
      </w:r>
      <w:r>
        <w:t>0.13hm</w:t>
      </w:r>
      <w:r>
        <w:rPr>
          <w:vertAlign w:val="superscript"/>
        </w:rPr>
        <w:t>2</w:t>
      </w:r>
      <w:r>
        <w:rPr>
          <w:rFonts w:hint="eastAsia"/>
        </w:rPr>
        <w:t>，其中</w:t>
      </w:r>
      <w:r>
        <w:t>0.08hm</w:t>
      </w:r>
      <w:r>
        <w:rPr>
          <w:vertAlign w:val="superscript"/>
        </w:rPr>
        <w:t>2</w:t>
      </w:r>
      <w:r>
        <w:rPr>
          <w:rFonts w:hint="eastAsia"/>
        </w:rPr>
        <w:t>为临时用地，</w:t>
      </w:r>
      <w:r>
        <w:t>0.13hm</w:t>
      </w:r>
      <w:r>
        <w:rPr>
          <w:vertAlign w:val="superscript"/>
        </w:rPr>
        <w:t>2</w:t>
      </w:r>
      <w:r>
        <w:rPr>
          <w:rFonts w:hint="eastAsia"/>
        </w:rPr>
        <w:t>为永久用地，集电线路临时损失生物量为</w:t>
      </w:r>
      <w:r>
        <w:t>1.64t</w:t>
      </w:r>
      <w:r>
        <w:rPr>
          <w:rFonts w:hint="eastAsia"/>
        </w:rPr>
        <w:t>，集电线路永久损失生物量</w:t>
      </w:r>
      <w:r>
        <w:t>1.03t</w:t>
      </w:r>
      <w:r>
        <w:rPr>
          <w:rFonts w:hint="eastAsia"/>
        </w:rPr>
        <w:t>。随着工程施工结束，临时占地区会使用本土植被进行复绿，且该区域内植被丰富度高，自然恢复能力强，因而短时间内生物量会逐渐恢复至原状。</w:t>
      </w:r>
    </w:p>
    <w:p w14:paraId="7B5C1421">
      <w:pPr>
        <w:adjustRightInd w:val="0"/>
        <w:snapToGrid w:val="0"/>
        <w:ind w:firstLine="480"/>
      </w:pPr>
      <w:r>
        <w:rPr>
          <w:rFonts w:hint="eastAsia"/>
        </w:rPr>
        <w:t>综上所述，该工程建设会使该区域内的一定量植被破坏，并造成一定生物量的损失，但出于生态环境保护与工程建设并行的角度考虑，风机、施工生产生活区、弃渣场、施工道路等选址选线均已在可研阶段进行过现场地质勘查，已避开土层较薄、植被恢复难以进行的区域。另由于项目区域所处的湿润气候，植物生长季较长，利于植被恢复措施的开展，并能保证一定的恢复效率。按照目前选址，本风电工程从生态环境角度是可行的。</w:t>
      </w:r>
    </w:p>
    <w:p w14:paraId="167D3DD6">
      <w:pPr>
        <w:tabs>
          <w:tab w:val="clear" w:pos="480"/>
        </w:tabs>
        <w:adjustRightInd w:val="0"/>
        <w:snapToGrid w:val="0"/>
        <w:ind w:firstLine="0" w:firstLineChars="0"/>
        <w:outlineLvl w:val="3"/>
        <w:rPr>
          <w:b/>
          <w:kern w:val="0"/>
          <w:lang w:val="zh-CN"/>
        </w:rPr>
      </w:pPr>
      <w:r>
        <w:rPr>
          <w:b/>
          <w:kern w:val="0"/>
          <w:lang w:val="zh-CN"/>
        </w:rPr>
        <w:t>6.2.6.4</w:t>
      </w:r>
      <w:r>
        <w:rPr>
          <w:rFonts w:hint="eastAsia"/>
          <w:b/>
          <w:kern w:val="0"/>
          <w:lang w:val="zh-CN"/>
        </w:rPr>
        <w:t>景观生态体系质量综合评价</w:t>
      </w:r>
    </w:p>
    <w:p w14:paraId="5DB9FA5B">
      <w:pPr>
        <w:adjustRightInd w:val="0"/>
        <w:snapToGrid w:val="0"/>
        <w:ind w:firstLine="480"/>
      </w:pPr>
      <w:r>
        <w:rPr>
          <w:rFonts w:hint="eastAsia"/>
        </w:rPr>
        <w:t>工程建设前后该区域内的景观生态体系有一定变化，评价区内各景观斑块的密度（</w:t>
      </w:r>
      <w:r>
        <w:t>Rd</w:t>
      </w:r>
      <w:r>
        <w:rPr>
          <w:rFonts w:hint="eastAsia"/>
        </w:rPr>
        <w:t>）、频率（</w:t>
      </w:r>
      <w:r>
        <w:t>Rf</w:t>
      </w:r>
      <w:r>
        <w:rPr>
          <w:rFonts w:hint="eastAsia"/>
        </w:rPr>
        <w:t>）、景观比例（</w:t>
      </w:r>
      <w:r>
        <w:t>Lp</w:t>
      </w:r>
      <w:r>
        <w:rPr>
          <w:rFonts w:hint="eastAsia"/>
        </w:rPr>
        <w:t>）及优势度（</w:t>
      </w:r>
      <w:r>
        <w:t>Do</w:t>
      </w:r>
      <w:r>
        <w:rPr>
          <w:rFonts w:hint="eastAsia"/>
        </w:rPr>
        <w:t>）均会有一定的变化，但变化范围较小，详见下表。</w:t>
      </w:r>
    </w:p>
    <w:p w14:paraId="42C65711">
      <w:pPr>
        <w:tabs>
          <w:tab w:val="clear" w:pos="480"/>
        </w:tabs>
        <w:spacing w:line="240" w:lineRule="auto"/>
        <w:ind w:firstLine="0" w:firstLineChars="0"/>
        <w:jc w:val="center"/>
        <w:rPr>
          <w:b/>
          <w:bCs/>
          <w:kern w:val="0"/>
          <w:szCs w:val="22"/>
        </w:rPr>
      </w:pPr>
      <w:r>
        <w:rPr>
          <w:rFonts w:hint="eastAsia"/>
          <w:b/>
          <w:bCs/>
          <w:kern w:val="0"/>
          <w:szCs w:val="22"/>
        </w:rPr>
        <w:t>表</w:t>
      </w:r>
      <w:r>
        <w:rPr>
          <w:b/>
          <w:bCs/>
          <w:kern w:val="0"/>
          <w:szCs w:val="22"/>
        </w:rPr>
        <w:t>6.2-9</w:t>
      </w:r>
      <w:r>
        <w:rPr>
          <w:rFonts w:hint="eastAsia"/>
          <w:b/>
          <w:bCs/>
          <w:kern w:val="0"/>
          <w:szCs w:val="22"/>
        </w:rPr>
        <w:t>工程建设前后评价区各类景观斑块指数对比表</w:t>
      </w:r>
    </w:p>
    <w:tbl>
      <w:tblPr>
        <w:tblStyle w:val="88"/>
        <w:tblW w:w="87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898"/>
        <w:gridCol w:w="898"/>
        <w:gridCol w:w="942"/>
        <w:gridCol w:w="944"/>
        <w:gridCol w:w="1024"/>
        <w:gridCol w:w="1026"/>
        <w:gridCol w:w="949"/>
        <w:gridCol w:w="947"/>
      </w:tblGrid>
      <w:tr w14:paraId="6CE5D7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vMerge w:val="restart"/>
            <w:tcBorders>
              <w:top w:val="single" w:color="auto" w:sz="12" w:space="0"/>
              <w:left w:val="single" w:color="auto" w:sz="12" w:space="0"/>
              <w:bottom w:val="single" w:color="auto" w:sz="4" w:space="0"/>
              <w:right w:val="single" w:color="auto" w:sz="4" w:space="0"/>
            </w:tcBorders>
            <w:vAlign w:val="center"/>
          </w:tcPr>
          <w:p w14:paraId="4E06F121">
            <w:pPr>
              <w:widowControl/>
              <w:tabs>
                <w:tab w:val="clear" w:pos="480"/>
              </w:tabs>
              <w:spacing w:line="240" w:lineRule="auto"/>
              <w:ind w:firstLine="0" w:firstLineChars="0"/>
              <w:jc w:val="center"/>
              <w:rPr>
                <w:b/>
                <w:bCs/>
                <w:kern w:val="0"/>
                <w:sz w:val="21"/>
                <w:szCs w:val="21"/>
              </w:rPr>
            </w:pPr>
            <w:r>
              <w:rPr>
                <w:rFonts w:hint="eastAsia"/>
                <w:b/>
                <w:bCs/>
                <w:kern w:val="0"/>
                <w:sz w:val="21"/>
                <w:szCs w:val="21"/>
              </w:rPr>
              <w:t>拼块类型</w:t>
            </w:r>
          </w:p>
        </w:tc>
        <w:tc>
          <w:tcPr>
            <w:tcW w:w="1794" w:type="dxa"/>
            <w:gridSpan w:val="2"/>
            <w:tcBorders>
              <w:top w:val="single" w:color="auto" w:sz="12" w:space="0"/>
              <w:left w:val="single" w:color="auto" w:sz="4" w:space="0"/>
              <w:bottom w:val="single" w:color="auto" w:sz="4" w:space="0"/>
              <w:right w:val="single" w:color="auto" w:sz="4" w:space="0"/>
            </w:tcBorders>
            <w:vAlign w:val="center"/>
          </w:tcPr>
          <w:p w14:paraId="7B5D638A">
            <w:pPr>
              <w:widowControl/>
              <w:tabs>
                <w:tab w:val="clear" w:pos="480"/>
              </w:tabs>
              <w:spacing w:line="240" w:lineRule="auto"/>
              <w:ind w:firstLine="0" w:firstLineChars="0"/>
              <w:jc w:val="center"/>
              <w:rPr>
                <w:b/>
                <w:bCs/>
                <w:kern w:val="0"/>
                <w:sz w:val="21"/>
                <w:szCs w:val="21"/>
              </w:rPr>
            </w:pPr>
            <w:r>
              <w:rPr>
                <w:b/>
                <w:bCs/>
                <w:kern w:val="0"/>
                <w:sz w:val="21"/>
                <w:szCs w:val="21"/>
              </w:rPr>
              <w:t>R</w:t>
            </w:r>
            <w:r>
              <w:rPr>
                <w:b/>
                <w:bCs/>
                <w:kern w:val="0"/>
                <w:sz w:val="21"/>
                <w:szCs w:val="21"/>
                <w:vertAlign w:val="subscript"/>
              </w:rPr>
              <w:t>d</w:t>
            </w:r>
            <w:r>
              <w:rPr>
                <w:rFonts w:hint="eastAsia"/>
                <w:b/>
                <w:bCs/>
                <w:kern w:val="0"/>
                <w:sz w:val="21"/>
                <w:szCs w:val="21"/>
              </w:rPr>
              <w:t>（</w:t>
            </w:r>
            <w:r>
              <w:rPr>
                <w:b/>
                <w:bCs/>
                <w:kern w:val="0"/>
                <w:sz w:val="21"/>
                <w:szCs w:val="21"/>
              </w:rPr>
              <w:t>%</w:t>
            </w:r>
            <w:r>
              <w:rPr>
                <w:rFonts w:hint="eastAsia"/>
                <w:b/>
                <w:bCs/>
                <w:kern w:val="0"/>
                <w:sz w:val="21"/>
                <w:szCs w:val="21"/>
              </w:rPr>
              <w:t>）</w:t>
            </w:r>
          </w:p>
        </w:tc>
        <w:tc>
          <w:tcPr>
            <w:tcW w:w="1886" w:type="dxa"/>
            <w:gridSpan w:val="2"/>
            <w:tcBorders>
              <w:top w:val="single" w:color="auto" w:sz="12" w:space="0"/>
              <w:left w:val="single" w:color="auto" w:sz="4" w:space="0"/>
              <w:bottom w:val="single" w:color="auto" w:sz="4" w:space="0"/>
              <w:right w:val="single" w:color="auto" w:sz="4" w:space="0"/>
            </w:tcBorders>
            <w:vAlign w:val="center"/>
          </w:tcPr>
          <w:p w14:paraId="48C09C32">
            <w:pPr>
              <w:widowControl/>
              <w:tabs>
                <w:tab w:val="clear" w:pos="480"/>
              </w:tabs>
              <w:spacing w:line="240" w:lineRule="auto"/>
              <w:ind w:firstLine="0" w:firstLineChars="0"/>
              <w:jc w:val="center"/>
              <w:rPr>
                <w:b/>
                <w:bCs/>
                <w:kern w:val="0"/>
                <w:sz w:val="21"/>
                <w:szCs w:val="21"/>
              </w:rPr>
            </w:pPr>
            <w:r>
              <w:rPr>
                <w:b/>
                <w:bCs/>
                <w:kern w:val="0"/>
                <w:sz w:val="21"/>
                <w:szCs w:val="21"/>
              </w:rPr>
              <w:t>R</w:t>
            </w:r>
            <w:r>
              <w:rPr>
                <w:b/>
                <w:bCs/>
                <w:kern w:val="0"/>
                <w:sz w:val="21"/>
                <w:szCs w:val="21"/>
                <w:vertAlign w:val="subscript"/>
              </w:rPr>
              <w:t>f</w:t>
            </w:r>
            <w:r>
              <w:rPr>
                <w:rFonts w:hint="eastAsia"/>
                <w:b/>
                <w:bCs/>
                <w:kern w:val="0"/>
                <w:sz w:val="21"/>
                <w:szCs w:val="21"/>
              </w:rPr>
              <w:t>（</w:t>
            </w:r>
            <w:r>
              <w:rPr>
                <w:b/>
                <w:bCs/>
                <w:kern w:val="0"/>
                <w:sz w:val="21"/>
                <w:szCs w:val="21"/>
              </w:rPr>
              <w:t>%</w:t>
            </w:r>
            <w:r>
              <w:rPr>
                <w:rFonts w:hint="eastAsia"/>
                <w:b/>
                <w:bCs/>
                <w:kern w:val="0"/>
                <w:sz w:val="21"/>
                <w:szCs w:val="21"/>
              </w:rPr>
              <w:t>）</w:t>
            </w:r>
          </w:p>
        </w:tc>
        <w:tc>
          <w:tcPr>
            <w:tcW w:w="2050" w:type="dxa"/>
            <w:gridSpan w:val="2"/>
            <w:tcBorders>
              <w:top w:val="single" w:color="auto" w:sz="12" w:space="0"/>
              <w:left w:val="single" w:color="auto" w:sz="4" w:space="0"/>
              <w:bottom w:val="single" w:color="auto" w:sz="4" w:space="0"/>
              <w:right w:val="single" w:color="auto" w:sz="4" w:space="0"/>
            </w:tcBorders>
            <w:vAlign w:val="center"/>
          </w:tcPr>
          <w:p w14:paraId="2034F5C5">
            <w:pPr>
              <w:widowControl/>
              <w:tabs>
                <w:tab w:val="clear" w:pos="480"/>
              </w:tabs>
              <w:spacing w:line="240" w:lineRule="auto"/>
              <w:ind w:firstLine="0" w:firstLineChars="0"/>
              <w:jc w:val="center"/>
              <w:rPr>
                <w:b/>
                <w:bCs/>
                <w:kern w:val="0"/>
                <w:sz w:val="21"/>
                <w:szCs w:val="21"/>
              </w:rPr>
            </w:pPr>
            <w:r>
              <w:rPr>
                <w:b/>
                <w:bCs/>
                <w:kern w:val="0"/>
                <w:sz w:val="21"/>
                <w:szCs w:val="21"/>
              </w:rPr>
              <w:t>L</w:t>
            </w:r>
            <w:r>
              <w:rPr>
                <w:b/>
                <w:bCs/>
                <w:kern w:val="0"/>
                <w:sz w:val="21"/>
                <w:szCs w:val="21"/>
                <w:vertAlign w:val="subscript"/>
              </w:rPr>
              <w:t>p</w:t>
            </w:r>
            <w:r>
              <w:rPr>
                <w:rFonts w:hint="eastAsia"/>
                <w:b/>
                <w:bCs/>
                <w:kern w:val="0"/>
                <w:sz w:val="21"/>
                <w:szCs w:val="21"/>
              </w:rPr>
              <w:t>（</w:t>
            </w:r>
            <w:r>
              <w:rPr>
                <w:b/>
                <w:bCs/>
                <w:kern w:val="0"/>
                <w:sz w:val="21"/>
                <w:szCs w:val="21"/>
              </w:rPr>
              <w:t>%</w:t>
            </w:r>
            <w:r>
              <w:rPr>
                <w:rFonts w:hint="eastAsia"/>
                <w:b/>
                <w:bCs/>
                <w:kern w:val="0"/>
                <w:sz w:val="21"/>
                <w:szCs w:val="21"/>
              </w:rPr>
              <w:t>）</w:t>
            </w:r>
          </w:p>
        </w:tc>
        <w:tc>
          <w:tcPr>
            <w:tcW w:w="1896" w:type="dxa"/>
            <w:gridSpan w:val="2"/>
            <w:tcBorders>
              <w:top w:val="single" w:color="auto" w:sz="12" w:space="0"/>
              <w:left w:val="single" w:color="auto" w:sz="4" w:space="0"/>
              <w:bottom w:val="single" w:color="auto" w:sz="4" w:space="0"/>
              <w:right w:val="single" w:color="auto" w:sz="12" w:space="0"/>
            </w:tcBorders>
            <w:vAlign w:val="center"/>
          </w:tcPr>
          <w:p w14:paraId="2AC5449C">
            <w:pPr>
              <w:widowControl/>
              <w:tabs>
                <w:tab w:val="clear" w:pos="480"/>
              </w:tabs>
              <w:spacing w:line="240" w:lineRule="auto"/>
              <w:ind w:firstLine="0" w:firstLineChars="0"/>
              <w:jc w:val="center"/>
              <w:rPr>
                <w:b/>
                <w:bCs/>
                <w:kern w:val="0"/>
                <w:sz w:val="21"/>
                <w:szCs w:val="21"/>
              </w:rPr>
            </w:pPr>
            <w:r>
              <w:rPr>
                <w:b/>
                <w:bCs/>
                <w:kern w:val="0"/>
                <w:sz w:val="21"/>
                <w:szCs w:val="21"/>
              </w:rPr>
              <w:t>D</w:t>
            </w:r>
            <w:r>
              <w:rPr>
                <w:b/>
                <w:bCs/>
                <w:kern w:val="0"/>
                <w:sz w:val="21"/>
                <w:szCs w:val="21"/>
                <w:vertAlign w:val="subscript"/>
              </w:rPr>
              <w:t>o</w:t>
            </w:r>
            <w:r>
              <w:rPr>
                <w:rFonts w:hint="eastAsia"/>
                <w:b/>
                <w:bCs/>
                <w:kern w:val="0"/>
                <w:sz w:val="21"/>
                <w:szCs w:val="21"/>
              </w:rPr>
              <w:t>（</w:t>
            </w:r>
            <w:r>
              <w:rPr>
                <w:b/>
                <w:bCs/>
                <w:kern w:val="0"/>
                <w:sz w:val="21"/>
                <w:szCs w:val="21"/>
              </w:rPr>
              <w:t>%</w:t>
            </w:r>
            <w:r>
              <w:rPr>
                <w:rFonts w:hint="eastAsia"/>
                <w:b/>
                <w:bCs/>
                <w:kern w:val="0"/>
                <w:sz w:val="21"/>
                <w:szCs w:val="21"/>
              </w:rPr>
              <w:t>）</w:t>
            </w:r>
          </w:p>
        </w:tc>
      </w:tr>
      <w:tr w14:paraId="083CAD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vMerge w:val="continue"/>
            <w:tcBorders>
              <w:top w:val="single" w:color="auto" w:sz="12" w:space="0"/>
              <w:left w:val="single" w:color="auto" w:sz="12" w:space="0"/>
              <w:bottom w:val="single" w:color="auto" w:sz="4" w:space="0"/>
              <w:right w:val="single" w:color="auto" w:sz="4" w:space="0"/>
            </w:tcBorders>
            <w:vAlign w:val="center"/>
          </w:tcPr>
          <w:p w14:paraId="48869118">
            <w:pPr>
              <w:widowControl/>
              <w:tabs>
                <w:tab w:val="clear" w:pos="480"/>
              </w:tabs>
              <w:spacing w:line="240" w:lineRule="auto"/>
              <w:ind w:firstLine="0" w:firstLineChars="0"/>
              <w:jc w:val="left"/>
              <w:rPr>
                <w:b/>
                <w:bCs/>
                <w:kern w:val="0"/>
                <w:sz w:val="21"/>
                <w:szCs w:val="21"/>
              </w:rPr>
            </w:pPr>
          </w:p>
        </w:tc>
        <w:tc>
          <w:tcPr>
            <w:tcW w:w="897" w:type="dxa"/>
            <w:tcBorders>
              <w:top w:val="single" w:color="auto" w:sz="4" w:space="0"/>
              <w:left w:val="single" w:color="auto" w:sz="4" w:space="0"/>
              <w:bottom w:val="single" w:color="auto" w:sz="4" w:space="0"/>
              <w:right w:val="single" w:color="auto" w:sz="4" w:space="0"/>
            </w:tcBorders>
            <w:vAlign w:val="center"/>
          </w:tcPr>
          <w:p w14:paraId="6D79228D">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建设前</w:t>
            </w:r>
          </w:p>
        </w:tc>
        <w:tc>
          <w:tcPr>
            <w:tcW w:w="897" w:type="dxa"/>
            <w:tcBorders>
              <w:top w:val="single" w:color="auto" w:sz="4" w:space="0"/>
              <w:left w:val="single" w:color="auto" w:sz="4" w:space="0"/>
              <w:bottom w:val="single" w:color="auto" w:sz="4" w:space="0"/>
              <w:right w:val="single" w:color="auto" w:sz="4" w:space="0"/>
            </w:tcBorders>
            <w:vAlign w:val="center"/>
          </w:tcPr>
          <w:p w14:paraId="5B2F7D72">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建设后</w:t>
            </w:r>
          </w:p>
        </w:tc>
        <w:tc>
          <w:tcPr>
            <w:tcW w:w="942" w:type="dxa"/>
            <w:tcBorders>
              <w:top w:val="single" w:color="auto" w:sz="4" w:space="0"/>
              <w:left w:val="single" w:color="auto" w:sz="4" w:space="0"/>
              <w:bottom w:val="single" w:color="auto" w:sz="4" w:space="0"/>
              <w:right w:val="single" w:color="auto" w:sz="4" w:space="0"/>
            </w:tcBorders>
            <w:vAlign w:val="center"/>
          </w:tcPr>
          <w:p w14:paraId="47EC72ED">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建设前</w:t>
            </w:r>
          </w:p>
        </w:tc>
        <w:tc>
          <w:tcPr>
            <w:tcW w:w="944" w:type="dxa"/>
            <w:tcBorders>
              <w:top w:val="single" w:color="auto" w:sz="4" w:space="0"/>
              <w:left w:val="single" w:color="auto" w:sz="4" w:space="0"/>
              <w:bottom w:val="single" w:color="auto" w:sz="4" w:space="0"/>
              <w:right w:val="single" w:color="auto" w:sz="4" w:space="0"/>
            </w:tcBorders>
            <w:vAlign w:val="center"/>
          </w:tcPr>
          <w:p w14:paraId="5501D93F">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建设后</w:t>
            </w:r>
          </w:p>
        </w:tc>
        <w:tc>
          <w:tcPr>
            <w:tcW w:w="1024" w:type="dxa"/>
            <w:tcBorders>
              <w:top w:val="single" w:color="auto" w:sz="4" w:space="0"/>
              <w:left w:val="single" w:color="auto" w:sz="4" w:space="0"/>
              <w:bottom w:val="single" w:color="auto" w:sz="4" w:space="0"/>
              <w:right w:val="single" w:color="auto" w:sz="4" w:space="0"/>
            </w:tcBorders>
            <w:vAlign w:val="center"/>
          </w:tcPr>
          <w:p w14:paraId="42F815FC">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建设前</w:t>
            </w:r>
          </w:p>
        </w:tc>
        <w:tc>
          <w:tcPr>
            <w:tcW w:w="1026" w:type="dxa"/>
            <w:tcBorders>
              <w:top w:val="single" w:color="auto" w:sz="4" w:space="0"/>
              <w:left w:val="single" w:color="auto" w:sz="4" w:space="0"/>
              <w:bottom w:val="single" w:color="auto" w:sz="4" w:space="0"/>
              <w:right w:val="single" w:color="auto" w:sz="4" w:space="0"/>
            </w:tcBorders>
            <w:vAlign w:val="center"/>
          </w:tcPr>
          <w:p w14:paraId="4270450E">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建设后</w:t>
            </w:r>
          </w:p>
        </w:tc>
        <w:tc>
          <w:tcPr>
            <w:tcW w:w="949" w:type="dxa"/>
            <w:tcBorders>
              <w:top w:val="single" w:color="auto" w:sz="4" w:space="0"/>
              <w:left w:val="single" w:color="auto" w:sz="4" w:space="0"/>
              <w:bottom w:val="single" w:color="auto" w:sz="4" w:space="0"/>
              <w:right w:val="single" w:color="auto" w:sz="4" w:space="0"/>
            </w:tcBorders>
            <w:vAlign w:val="center"/>
          </w:tcPr>
          <w:p w14:paraId="68160220">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建设前</w:t>
            </w:r>
          </w:p>
        </w:tc>
        <w:tc>
          <w:tcPr>
            <w:tcW w:w="947" w:type="dxa"/>
            <w:tcBorders>
              <w:top w:val="single" w:color="auto" w:sz="4" w:space="0"/>
              <w:left w:val="single" w:color="auto" w:sz="4" w:space="0"/>
              <w:bottom w:val="single" w:color="auto" w:sz="4" w:space="0"/>
              <w:right w:val="single" w:color="auto" w:sz="12" w:space="0"/>
            </w:tcBorders>
            <w:vAlign w:val="center"/>
          </w:tcPr>
          <w:p w14:paraId="2F5C6FE0">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建设后</w:t>
            </w:r>
          </w:p>
        </w:tc>
      </w:tr>
      <w:tr w14:paraId="7BDE9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tcBorders>
              <w:top w:val="single" w:color="auto" w:sz="4" w:space="0"/>
              <w:left w:val="single" w:color="auto" w:sz="12" w:space="0"/>
              <w:bottom w:val="single" w:color="auto" w:sz="4" w:space="0"/>
              <w:right w:val="single" w:color="auto" w:sz="4" w:space="0"/>
            </w:tcBorders>
            <w:vAlign w:val="center"/>
          </w:tcPr>
          <w:p w14:paraId="1ADBF25E">
            <w:pPr>
              <w:widowControl/>
              <w:tabs>
                <w:tab w:val="clear" w:pos="480"/>
              </w:tabs>
              <w:spacing w:line="240" w:lineRule="auto"/>
              <w:ind w:firstLine="0" w:firstLineChars="0"/>
              <w:jc w:val="center"/>
              <w:rPr>
                <w:b/>
                <w:bCs/>
                <w:kern w:val="0"/>
                <w:sz w:val="21"/>
                <w:szCs w:val="21"/>
              </w:rPr>
            </w:pPr>
            <w:r>
              <w:rPr>
                <w:rFonts w:hint="eastAsia"/>
                <w:b/>
                <w:bCs/>
                <w:kern w:val="0"/>
                <w:sz w:val="21"/>
                <w:szCs w:val="21"/>
              </w:rPr>
              <w:t>林地</w:t>
            </w:r>
          </w:p>
        </w:tc>
        <w:tc>
          <w:tcPr>
            <w:tcW w:w="897" w:type="dxa"/>
            <w:tcBorders>
              <w:top w:val="single" w:color="auto" w:sz="4" w:space="0"/>
              <w:left w:val="single" w:color="auto" w:sz="4" w:space="0"/>
              <w:bottom w:val="single" w:color="auto" w:sz="4" w:space="0"/>
              <w:right w:val="single" w:color="auto" w:sz="4" w:space="0"/>
            </w:tcBorders>
            <w:vAlign w:val="center"/>
          </w:tcPr>
          <w:p w14:paraId="02EDAD56">
            <w:pPr>
              <w:widowControl/>
              <w:tabs>
                <w:tab w:val="clear" w:pos="480"/>
              </w:tabs>
              <w:spacing w:line="240" w:lineRule="auto"/>
              <w:ind w:firstLine="0" w:firstLineChars="0"/>
              <w:jc w:val="center"/>
              <w:rPr>
                <w:kern w:val="0"/>
                <w:sz w:val="21"/>
                <w:szCs w:val="21"/>
              </w:rPr>
            </w:pPr>
            <w:r>
              <w:rPr>
                <w:kern w:val="0"/>
                <w:sz w:val="21"/>
                <w:szCs w:val="21"/>
              </w:rPr>
              <w:t>43.68</w:t>
            </w:r>
          </w:p>
        </w:tc>
        <w:tc>
          <w:tcPr>
            <w:tcW w:w="897" w:type="dxa"/>
            <w:tcBorders>
              <w:top w:val="single" w:color="auto" w:sz="4" w:space="0"/>
              <w:left w:val="single" w:color="auto" w:sz="4" w:space="0"/>
              <w:bottom w:val="single" w:color="auto" w:sz="4" w:space="0"/>
              <w:right w:val="single" w:color="auto" w:sz="4" w:space="0"/>
            </w:tcBorders>
            <w:vAlign w:val="bottom"/>
          </w:tcPr>
          <w:p w14:paraId="731F5DA8">
            <w:pPr>
              <w:widowControl/>
              <w:tabs>
                <w:tab w:val="clear" w:pos="480"/>
              </w:tabs>
              <w:spacing w:line="240" w:lineRule="auto"/>
              <w:ind w:firstLine="0" w:firstLineChars="0"/>
              <w:jc w:val="center"/>
              <w:rPr>
                <w:kern w:val="0"/>
                <w:sz w:val="21"/>
                <w:szCs w:val="21"/>
              </w:rPr>
            </w:pPr>
            <w:r>
              <w:rPr>
                <w:kern w:val="0"/>
                <w:sz w:val="21"/>
                <w:szCs w:val="21"/>
              </w:rPr>
              <w:t>43.52</w:t>
            </w:r>
          </w:p>
        </w:tc>
        <w:tc>
          <w:tcPr>
            <w:tcW w:w="942" w:type="dxa"/>
            <w:tcBorders>
              <w:top w:val="single" w:color="auto" w:sz="4" w:space="0"/>
              <w:left w:val="single" w:color="auto" w:sz="4" w:space="0"/>
              <w:bottom w:val="single" w:color="auto" w:sz="4" w:space="0"/>
              <w:right w:val="single" w:color="auto" w:sz="4" w:space="0"/>
            </w:tcBorders>
            <w:vAlign w:val="center"/>
          </w:tcPr>
          <w:p w14:paraId="1558F6B0">
            <w:pPr>
              <w:widowControl/>
              <w:tabs>
                <w:tab w:val="clear" w:pos="480"/>
              </w:tabs>
              <w:spacing w:line="240" w:lineRule="auto"/>
              <w:ind w:firstLine="0" w:firstLineChars="0"/>
              <w:jc w:val="center"/>
              <w:rPr>
                <w:kern w:val="0"/>
                <w:sz w:val="21"/>
                <w:szCs w:val="21"/>
              </w:rPr>
            </w:pPr>
            <w:r>
              <w:rPr>
                <w:kern w:val="0"/>
                <w:sz w:val="21"/>
                <w:szCs w:val="21"/>
              </w:rPr>
              <w:t>24.46</w:t>
            </w:r>
          </w:p>
        </w:tc>
        <w:tc>
          <w:tcPr>
            <w:tcW w:w="944" w:type="dxa"/>
            <w:tcBorders>
              <w:top w:val="single" w:color="auto" w:sz="4" w:space="0"/>
              <w:left w:val="single" w:color="auto" w:sz="4" w:space="0"/>
              <w:bottom w:val="single" w:color="auto" w:sz="4" w:space="0"/>
              <w:right w:val="single" w:color="auto" w:sz="4" w:space="0"/>
            </w:tcBorders>
            <w:shd w:val="clear" w:color="auto" w:fill="FFFFFF"/>
            <w:vAlign w:val="center"/>
          </w:tcPr>
          <w:p w14:paraId="10FC83B3">
            <w:pPr>
              <w:widowControl/>
              <w:tabs>
                <w:tab w:val="clear" w:pos="480"/>
              </w:tabs>
              <w:spacing w:line="240" w:lineRule="auto"/>
              <w:ind w:firstLine="0" w:firstLineChars="0"/>
              <w:jc w:val="center"/>
              <w:rPr>
                <w:kern w:val="0"/>
                <w:sz w:val="21"/>
                <w:szCs w:val="21"/>
              </w:rPr>
            </w:pPr>
            <w:r>
              <w:rPr>
                <w:kern w:val="0"/>
                <w:sz w:val="21"/>
                <w:szCs w:val="21"/>
              </w:rPr>
              <w:t>23.62</w:t>
            </w:r>
          </w:p>
        </w:tc>
        <w:tc>
          <w:tcPr>
            <w:tcW w:w="1024" w:type="dxa"/>
            <w:tcBorders>
              <w:top w:val="single" w:color="auto" w:sz="4" w:space="0"/>
              <w:left w:val="single" w:color="auto" w:sz="4" w:space="0"/>
              <w:bottom w:val="single" w:color="auto" w:sz="4" w:space="0"/>
              <w:right w:val="single" w:color="auto" w:sz="4" w:space="0"/>
            </w:tcBorders>
            <w:vAlign w:val="center"/>
          </w:tcPr>
          <w:p w14:paraId="425521A0">
            <w:pPr>
              <w:widowControl/>
              <w:tabs>
                <w:tab w:val="clear" w:pos="480"/>
              </w:tabs>
              <w:spacing w:line="240" w:lineRule="auto"/>
              <w:ind w:firstLine="0" w:firstLineChars="0"/>
              <w:jc w:val="center"/>
              <w:rPr>
                <w:kern w:val="0"/>
                <w:sz w:val="21"/>
                <w:szCs w:val="21"/>
              </w:rPr>
            </w:pPr>
            <w:r>
              <w:rPr>
                <w:kern w:val="0"/>
                <w:sz w:val="21"/>
                <w:szCs w:val="21"/>
              </w:rPr>
              <w:t>25.52</w:t>
            </w:r>
          </w:p>
        </w:tc>
        <w:tc>
          <w:tcPr>
            <w:tcW w:w="1026" w:type="dxa"/>
            <w:tcBorders>
              <w:top w:val="single" w:color="auto" w:sz="4" w:space="0"/>
              <w:left w:val="single" w:color="auto" w:sz="4" w:space="0"/>
              <w:bottom w:val="single" w:color="auto" w:sz="4" w:space="0"/>
              <w:right w:val="single" w:color="auto" w:sz="4" w:space="0"/>
            </w:tcBorders>
            <w:vAlign w:val="center"/>
          </w:tcPr>
          <w:p w14:paraId="56F7C86C">
            <w:pPr>
              <w:widowControl/>
              <w:tabs>
                <w:tab w:val="clear" w:pos="480"/>
              </w:tabs>
              <w:spacing w:line="240" w:lineRule="auto"/>
              <w:ind w:firstLine="0" w:firstLineChars="0"/>
              <w:jc w:val="center"/>
              <w:rPr>
                <w:kern w:val="0"/>
                <w:sz w:val="21"/>
                <w:szCs w:val="21"/>
              </w:rPr>
            </w:pPr>
            <w:r>
              <w:rPr>
                <w:kern w:val="0"/>
                <w:sz w:val="21"/>
                <w:szCs w:val="21"/>
              </w:rPr>
              <w:t>25.38</w:t>
            </w:r>
          </w:p>
        </w:tc>
        <w:tc>
          <w:tcPr>
            <w:tcW w:w="949" w:type="dxa"/>
            <w:tcBorders>
              <w:top w:val="single" w:color="auto" w:sz="4" w:space="0"/>
              <w:left w:val="single" w:color="auto" w:sz="4" w:space="0"/>
              <w:bottom w:val="single" w:color="auto" w:sz="4" w:space="0"/>
              <w:right w:val="single" w:color="auto" w:sz="4" w:space="0"/>
            </w:tcBorders>
            <w:vAlign w:val="bottom"/>
          </w:tcPr>
          <w:p w14:paraId="7AD0B424">
            <w:pPr>
              <w:widowControl/>
              <w:tabs>
                <w:tab w:val="clear" w:pos="480"/>
              </w:tabs>
              <w:spacing w:line="240" w:lineRule="auto"/>
              <w:ind w:firstLine="0" w:firstLineChars="0"/>
              <w:jc w:val="center"/>
              <w:rPr>
                <w:kern w:val="0"/>
                <w:sz w:val="21"/>
                <w:szCs w:val="21"/>
              </w:rPr>
            </w:pPr>
            <w:r>
              <w:rPr>
                <w:kern w:val="0"/>
                <w:sz w:val="21"/>
                <w:szCs w:val="21"/>
              </w:rPr>
              <w:t xml:space="preserve">29.80 </w:t>
            </w:r>
          </w:p>
        </w:tc>
        <w:tc>
          <w:tcPr>
            <w:tcW w:w="947" w:type="dxa"/>
            <w:tcBorders>
              <w:top w:val="single" w:color="auto" w:sz="4" w:space="0"/>
              <w:left w:val="single" w:color="auto" w:sz="4" w:space="0"/>
              <w:bottom w:val="single" w:color="auto" w:sz="4" w:space="0"/>
              <w:right w:val="single" w:color="auto" w:sz="12" w:space="0"/>
            </w:tcBorders>
            <w:vAlign w:val="bottom"/>
          </w:tcPr>
          <w:p w14:paraId="339BD246">
            <w:pPr>
              <w:widowControl/>
              <w:tabs>
                <w:tab w:val="clear" w:pos="480"/>
              </w:tabs>
              <w:spacing w:line="240" w:lineRule="auto"/>
              <w:ind w:firstLine="0" w:firstLineChars="0"/>
              <w:jc w:val="center"/>
              <w:rPr>
                <w:kern w:val="0"/>
                <w:sz w:val="21"/>
                <w:szCs w:val="21"/>
              </w:rPr>
            </w:pPr>
            <w:r>
              <w:rPr>
                <w:kern w:val="0"/>
                <w:sz w:val="21"/>
                <w:szCs w:val="21"/>
              </w:rPr>
              <w:t xml:space="preserve">29.48 </w:t>
            </w:r>
          </w:p>
        </w:tc>
      </w:tr>
      <w:tr w14:paraId="4C3405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tcBorders>
              <w:top w:val="single" w:color="auto" w:sz="4" w:space="0"/>
              <w:left w:val="single" w:color="auto" w:sz="12" w:space="0"/>
              <w:bottom w:val="single" w:color="auto" w:sz="4" w:space="0"/>
              <w:right w:val="single" w:color="auto" w:sz="4" w:space="0"/>
            </w:tcBorders>
            <w:vAlign w:val="center"/>
          </w:tcPr>
          <w:p w14:paraId="247C4128">
            <w:pPr>
              <w:widowControl/>
              <w:tabs>
                <w:tab w:val="clear" w:pos="480"/>
              </w:tabs>
              <w:spacing w:line="240" w:lineRule="auto"/>
              <w:ind w:firstLine="0" w:firstLineChars="0"/>
              <w:jc w:val="center"/>
              <w:rPr>
                <w:b/>
                <w:bCs/>
                <w:kern w:val="0"/>
                <w:sz w:val="21"/>
                <w:szCs w:val="21"/>
              </w:rPr>
            </w:pPr>
            <w:r>
              <w:rPr>
                <w:rFonts w:hint="eastAsia"/>
                <w:b/>
                <w:bCs/>
                <w:kern w:val="0"/>
                <w:sz w:val="21"/>
                <w:szCs w:val="21"/>
              </w:rPr>
              <w:t>灌草地</w:t>
            </w:r>
          </w:p>
        </w:tc>
        <w:tc>
          <w:tcPr>
            <w:tcW w:w="897" w:type="dxa"/>
            <w:tcBorders>
              <w:top w:val="single" w:color="auto" w:sz="4" w:space="0"/>
              <w:left w:val="single" w:color="auto" w:sz="4" w:space="0"/>
              <w:bottom w:val="single" w:color="auto" w:sz="4" w:space="0"/>
              <w:right w:val="single" w:color="auto" w:sz="4" w:space="0"/>
            </w:tcBorders>
            <w:vAlign w:val="center"/>
          </w:tcPr>
          <w:p w14:paraId="4DDC6C61">
            <w:pPr>
              <w:widowControl/>
              <w:tabs>
                <w:tab w:val="clear" w:pos="480"/>
              </w:tabs>
              <w:spacing w:line="240" w:lineRule="auto"/>
              <w:ind w:firstLine="0" w:firstLineChars="0"/>
              <w:jc w:val="center"/>
              <w:rPr>
                <w:kern w:val="0"/>
                <w:sz w:val="21"/>
                <w:szCs w:val="21"/>
              </w:rPr>
            </w:pPr>
            <w:r>
              <w:rPr>
                <w:kern w:val="0"/>
                <w:sz w:val="21"/>
                <w:szCs w:val="21"/>
              </w:rPr>
              <w:t>52.84</w:t>
            </w:r>
          </w:p>
        </w:tc>
        <w:tc>
          <w:tcPr>
            <w:tcW w:w="897" w:type="dxa"/>
            <w:tcBorders>
              <w:top w:val="single" w:color="auto" w:sz="4" w:space="0"/>
              <w:left w:val="single" w:color="auto" w:sz="4" w:space="0"/>
              <w:bottom w:val="single" w:color="auto" w:sz="4" w:space="0"/>
              <w:right w:val="single" w:color="auto" w:sz="4" w:space="0"/>
            </w:tcBorders>
            <w:vAlign w:val="bottom"/>
          </w:tcPr>
          <w:p w14:paraId="1C369EB5">
            <w:pPr>
              <w:widowControl/>
              <w:tabs>
                <w:tab w:val="clear" w:pos="480"/>
              </w:tabs>
              <w:spacing w:line="240" w:lineRule="auto"/>
              <w:ind w:firstLine="0" w:firstLineChars="0"/>
              <w:jc w:val="center"/>
              <w:rPr>
                <w:kern w:val="0"/>
                <w:sz w:val="21"/>
                <w:szCs w:val="21"/>
              </w:rPr>
            </w:pPr>
            <w:r>
              <w:rPr>
                <w:kern w:val="0"/>
                <w:sz w:val="21"/>
                <w:szCs w:val="21"/>
              </w:rPr>
              <w:t>52.42</w:t>
            </w:r>
          </w:p>
        </w:tc>
        <w:tc>
          <w:tcPr>
            <w:tcW w:w="942" w:type="dxa"/>
            <w:tcBorders>
              <w:top w:val="single" w:color="auto" w:sz="4" w:space="0"/>
              <w:left w:val="single" w:color="auto" w:sz="4" w:space="0"/>
              <w:bottom w:val="single" w:color="auto" w:sz="4" w:space="0"/>
              <w:right w:val="single" w:color="auto" w:sz="4" w:space="0"/>
            </w:tcBorders>
            <w:vAlign w:val="center"/>
          </w:tcPr>
          <w:p w14:paraId="76733495">
            <w:pPr>
              <w:widowControl/>
              <w:tabs>
                <w:tab w:val="clear" w:pos="480"/>
              </w:tabs>
              <w:spacing w:line="240" w:lineRule="auto"/>
              <w:ind w:firstLine="0" w:firstLineChars="0"/>
              <w:jc w:val="center"/>
              <w:rPr>
                <w:kern w:val="0"/>
                <w:sz w:val="21"/>
                <w:szCs w:val="21"/>
              </w:rPr>
            </w:pPr>
            <w:r>
              <w:rPr>
                <w:kern w:val="0"/>
                <w:sz w:val="21"/>
                <w:szCs w:val="21"/>
              </w:rPr>
              <w:t>71.32</w:t>
            </w:r>
          </w:p>
        </w:tc>
        <w:tc>
          <w:tcPr>
            <w:tcW w:w="944" w:type="dxa"/>
            <w:tcBorders>
              <w:top w:val="single" w:color="auto" w:sz="4" w:space="0"/>
              <w:left w:val="single" w:color="auto" w:sz="4" w:space="0"/>
              <w:bottom w:val="single" w:color="auto" w:sz="4" w:space="0"/>
              <w:right w:val="single" w:color="auto" w:sz="4" w:space="0"/>
            </w:tcBorders>
            <w:shd w:val="clear" w:color="auto" w:fill="FFFFFF"/>
            <w:vAlign w:val="center"/>
          </w:tcPr>
          <w:p w14:paraId="3CB52620">
            <w:pPr>
              <w:widowControl/>
              <w:tabs>
                <w:tab w:val="clear" w:pos="480"/>
              </w:tabs>
              <w:spacing w:line="240" w:lineRule="auto"/>
              <w:ind w:firstLine="0" w:firstLineChars="0"/>
              <w:jc w:val="center"/>
              <w:rPr>
                <w:kern w:val="0"/>
                <w:sz w:val="21"/>
                <w:szCs w:val="21"/>
              </w:rPr>
            </w:pPr>
            <w:r>
              <w:rPr>
                <w:kern w:val="0"/>
                <w:sz w:val="21"/>
                <w:szCs w:val="21"/>
              </w:rPr>
              <w:t>70.56</w:t>
            </w:r>
          </w:p>
        </w:tc>
        <w:tc>
          <w:tcPr>
            <w:tcW w:w="1024" w:type="dxa"/>
            <w:tcBorders>
              <w:top w:val="single" w:color="auto" w:sz="4" w:space="0"/>
              <w:left w:val="single" w:color="auto" w:sz="4" w:space="0"/>
              <w:bottom w:val="single" w:color="auto" w:sz="4" w:space="0"/>
              <w:right w:val="single" w:color="auto" w:sz="4" w:space="0"/>
            </w:tcBorders>
            <w:vAlign w:val="center"/>
          </w:tcPr>
          <w:p w14:paraId="0C8465FB">
            <w:pPr>
              <w:widowControl/>
              <w:tabs>
                <w:tab w:val="clear" w:pos="480"/>
              </w:tabs>
              <w:spacing w:line="240" w:lineRule="auto"/>
              <w:ind w:firstLine="0" w:firstLineChars="0"/>
              <w:jc w:val="center"/>
              <w:rPr>
                <w:kern w:val="0"/>
                <w:sz w:val="21"/>
                <w:szCs w:val="21"/>
              </w:rPr>
            </w:pPr>
            <w:r>
              <w:rPr>
                <w:kern w:val="0"/>
                <w:sz w:val="21"/>
                <w:szCs w:val="21"/>
              </w:rPr>
              <w:t>72.88</w:t>
            </w:r>
          </w:p>
        </w:tc>
        <w:tc>
          <w:tcPr>
            <w:tcW w:w="1026" w:type="dxa"/>
            <w:tcBorders>
              <w:top w:val="single" w:color="auto" w:sz="4" w:space="0"/>
              <w:left w:val="single" w:color="auto" w:sz="4" w:space="0"/>
              <w:bottom w:val="single" w:color="auto" w:sz="4" w:space="0"/>
              <w:right w:val="single" w:color="auto" w:sz="4" w:space="0"/>
            </w:tcBorders>
            <w:vAlign w:val="center"/>
          </w:tcPr>
          <w:p w14:paraId="4E49052E">
            <w:pPr>
              <w:widowControl/>
              <w:tabs>
                <w:tab w:val="clear" w:pos="480"/>
              </w:tabs>
              <w:spacing w:line="240" w:lineRule="auto"/>
              <w:ind w:firstLine="0" w:firstLineChars="0"/>
              <w:jc w:val="center"/>
              <w:rPr>
                <w:kern w:val="0"/>
                <w:sz w:val="21"/>
                <w:szCs w:val="21"/>
              </w:rPr>
            </w:pPr>
            <w:r>
              <w:rPr>
                <w:kern w:val="0"/>
                <w:sz w:val="21"/>
                <w:szCs w:val="21"/>
              </w:rPr>
              <w:t>72.06</w:t>
            </w:r>
          </w:p>
        </w:tc>
        <w:tc>
          <w:tcPr>
            <w:tcW w:w="949" w:type="dxa"/>
            <w:tcBorders>
              <w:top w:val="single" w:color="auto" w:sz="4" w:space="0"/>
              <w:left w:val="single" w:color="auto" w:sz="4" w:space="0"/>
              <w:bottom w:val="single" w:color="auto" w:sz="4" w:space="0"/>
              <w:right w:val="single" w:color="auto" w:sz="4" w:space="0"/>
            </w:tcBorders>
            <w:vAlign w:val="bottom"/>
          </w:tcPr>
          <w:p w14:paraId="62589BFC">
            <w:pPr>
              <w:widowControl/>
              <w:tabs>
                <w:tab w:val="clear" w:pos="480"/>
              </w:tabs>
              <w:spacing w:line="240" w:lineRule="auto"/>
              <w:ind w:firstLine="0" w:firstLineChars="0"/>
              <w:jc w:val="center"/>
              <w:rPr>
                <w:kern w:val="0"/>
                <w:sz w:val="21"/>
                <w:szCs w:val="21"/>
              </w:rPr>
            </w:pPr>
            <w:r>
              <w:rPr>
                <w:kern w:val="0"/>
                <w:sz w:val="21"/>
                <w:szCs w:val="21"/>
              </w:rPr>
              <w:t xml:space="preserve">67.48 </w:t>
            </w:r>
          </w:p>
        </w:tc>
        <w:tc>
          <w:tcPr>
            <w:tcW w:w="947" w:type="dxa"/>
            <w:tcBorders>
              <w:top w:val="single" w:color="auto" w:sz="4" w:space="0"/>
              <w:left w:val="single" w:color="auto" w:sz="4" w:space="0"/>
              <w:bottom w:val="single" w:color="auto" w:sz="4" w:space="0"/>
              <w:right w:val="single" w:color="auto" w:sz="12" w:space="0"/>
            </w:tcBorders>
            <w:vAlign w:val="bottom"/>
          </w:tcPr>
          <w:p w14:paraId="7C65106C">
            <w:pPr>
              <w:widowControl/>
              <w:tabs>
                <w:tab w:val="clear" w:pos="480"/>
              </w:tabs>
              <w:spacing w:line="240" w:lineRule="auto"/>
              <w:ind w:firstLine="0" w:firstLineChars="0"/>
              <w:jc w:val="center"/>
              <w:rPr>
                <w:kern w:val="0"/>
                <w:sz w:val="21"/>
                <w:szCs w:val="21"/>
              </w:rPr>
            </w:pPr>
            <w:r>
              <w:rPr>
                <w:kern w:val="0"/>
                <w:sz w:val="21"/>
                <w:szCs w:val="21"/>
              </w:rPr>
              <w:t xml:space="preserve">66.78 </w:t>
            </w:r>
          </w:p>
        </w:tc>
      </w:tr>
      <w:tr w14:paraId="3EFA1A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tcBorders>
              <w:top w:val="single" w:color="auto" w:sz="4" w:space="0"/>
              <w:left w:val="single" w:color="auto" w:sz="12" w:space="0"/>
              <w:bottom w:val="single" w:color="auto" w:sz="4" w:space="0"/>
              <w:right w:val="single" w:color="auto" w:sz="4" w:space="0"/>
            </w:tcBorders>
            <w:vAlign w:val="center"/>
          </w:tcPr>
          <w:p w14:paraId="02C13318">
            <w:pPr>
              <w:widowControl/>
              <w:tabs>
                <w:tab w:val="clear" w:pos="480"/>
              </w:tabs>
              <w:spacing w:line="240" w:lineRule="auto"/>
              <w:ind w:firstLine="0" w:firstLineChars="0"/>
              <w:jc w:val="center"/>
              <w:rPr>
                <w:b/>
                <w:bCs/>
                <w:kern w:val="0"/>
                <w:sz w:val="21"/>
                <w:szCs w:val="21"/>
              </w:rPr>
            </w:pPr>
            <w:r>
              <w:rPr>
                <w:rFonts w:hint="eastAsia"/>
                <w:b/>
                <w:bCs/>
                <w:kern w:val="0"/>
                <w:sz w:val="21"/>
                <w:szCs w:val="21"/>
              </w:rPr>
              <w:t>水域</w:t>
            </w:r>
          </w:p>
        </w:tc>
        <w:tc>
          <w:tcPr>
            <w:tcW w:w="897" w:type="dxa"/>
            <w:tcBorders>
              <w:top w:val="single" w:color="auto" w:sz="4" w:space="0"/>
              <w:left w:val="single" w:color="auto" w:sz="4" w:space="0"/>
              <w:bottom w:val="single" w:color="auto" w:sz="4" w:space="0"/>
              <w:right w:val="single" w:color="auto" w:sz="4" w:space="0"/>
            </w:tcBorders>
            <w:vAlign w:val="center"/>
          </w:tcPr>
          <w:p w14:paraId="48D1C2EF">
            <w:pPr>
              <w:widowControl/>
              <w:tabs>
                <w:tab w:val="clear" w:pos="480"/>
              </w:tabs>
              <w:spacing w:line="240" w:lineRule="auto"/>
              <w:ind w:firstLine="0" w:firstLineChars="0"/>
              <w:jc w:val="center"/>
              <w:rPr>
                <w:kern w:val="0"/>
                <w:sz w:val="21"/>
                <w:szCs w:val="21"/>
              </w:rPr>
            </w:pPr>
            <w:r>
              <w:rPr>
                <w:kern w:val="0"/>
                <w:sz w:val="21"/>
                <w:szCs w:val="21"/>
              </w:rPr>
              <w:t>0.1</w:t>
            </w:r>
          </w:p>
        </w:tc>
        <w:tc>
          <w:tcPr>
            <w:tcW w:w="897" w:type="dxa"/>
            <w:tcBorders>
              <w:top w:val="single" w:color="auto" w:sz="4" w:space="0"/>
              <w:left w:val="single" w:color="auto" w:sz="4" w:space="0"/>
              <w:bottom w:val="single" w:color="auto" w:sz="4" w:space="0"/>
              <w:right w:val="single" w:color="auto" w:sz="4" w:space="0"/>
            </w:tcBorders>
            <w:vAlign w:val="bottom"/>
          </w:tcPr>
          <w:p w14:paraId="323032E7">
            <w:pPr>
              <w:widowControl/>
              <w:tabs>
                <w:tab w:val="clear" w:pos="480"/>
              </w:tabs>
              <w:spacing w:line="240" w:lineRule="auto"/>
              <w:ind w:firstLine="0" w:firstLineChars="0"/>
              <w:jc w:val="center"/>
              <w:rPr>
                <w:kern w:val="0"/>
                <w:sz w:val="21"/>
                <w:szCs w:val="21"/>
              </w:rPr>
            </w:pPr>
            <w:r>
              <w:rPr>
                <w:kern w:val="0"/>
                <w:sz w:val="21"/>
                <w:szCs w:val="21"/>
              </w:rPr>
              <w:t>0.1</w:t>
            </w:r>
          </w:p>
        </w:tc>
        <w:tc>
          <w:tcPr>
            <w:tcW w:w="942" w:type="dxa"/>
            <w:tcBorders>
              <w:top w:val="single" w:color="auto" w:sz="4" w:space="0"/>
              <w:left w:val="single" w:color="auto" w:sz="4" w:space="0"/>
              <w:bottom w:val="single" w:color="auto" w:sz="4" w:space="0"/>
              <w:right w:val="single" w:color="auto" w:sz="4" w:space="0"/>
            </w:tcBorders>
            <w:vAlign w:val="center"/>
          </w:tcPr>
          <w:p w14:paraId="7E1D9DDB">
            <w:pPr>
              <w:widowControl/>
              <w:tabs>
                <w:tab w:val="clear" w:pos="480"/>
              </w:tabs>
              <w:spacing w:line="240" w:lineRule="auto"/>
              <w:ind w:firstLine="0" w:firstLineChars="0"/>
              <w:jc w:val="center"/>
              <w:rPr>
                <w:kern w:val="0"/>
                <w:sz w:val="21"/>
                <w:szCs w:val="21"/>
              </w:rPr>
            </w:pPr>
            <w:r>
              <w:rPr>
                <w:kern w:val="0"/>
                <w:sz w:val="21"/>
                <w:szCs w:val="21"/>
              </w:rPr>
              <w:t>0.54</w:t>
            </w:r>
          </w:p>
        </w:tc>
        <w:tc>
          <w:tcPr>
            <w:tcW w:w="944" w:type="dxa"/>
            <w:tcBorders>
              <w:top w:val="single" w:color="auto" w:sz="4" w:space="0"/>
              <w:left w:val="single" w:color="auto" w:sz="4" w:space="0"/>
              <w:bottom w:val="single" w:color="auto" w:sz="4" w:space="0"/>
              <w:right w:val="single" w:color="auto" w:sz="4" w:space="0"/>
            </w:tcBorders>
            <w:shd w:val="clear" w:color="auto" w:fill="FFFFFF"/>
            <w:vAlign w:val="center"/>
          </w:tcPr>
          <w:p w14:paraId="513DE7DF">
            <w:pPr>
              <w:widowControl/>
              <w:tabs>
                <w:tab w:val="clear" w:pos="480"/>
              </w:tabs>
              <w:spacing w:line="240" w:lineRule="auto"/>
              <w:ind w:firstLine="0" w:firstLineChars="0"/>
              <w:jc w:val="center"/>
              <w:rPr>
                <w:kern w:val="0"/>
                <w:sz w:val="21"/>
                <w:szCs w:val="21"/>
              </w:rPr>
            </w:pPr>
            <w:r>
              <w:rPr>
                <w:kern w:val="0"/>
                <w:sz w:val="21"/>
                <w:szCs w:val="21"/>
              </w:rPr>
              <w:t>0.54</w:t>
            </w:r>
          </w:p>
        </w:tc>
        <w:tc>
          <w:tcPr>
            <w:tcW w:w="1024" w:type="dxa"/>
            <w:tcBorders>
              <w:top w:val="single" w:color="auto" w:sz="4" w:space="0"/>
              <w:left w:val="single" w:color="auto" w:sz="4" w:space="0"/>
              <w:bottom w:val="single" w:color="auto" w:sz="4" w:space="0"/>
              <w:right w:val="single" w:color="auto" w:sz="4" w:space="0"/>
            </w:tcBorders>
            <w:vAlign w:val="center"/>
          </w:tcPr>
          <w:p w14:paraId="4EF54607">
            <w:pPr>
              <w:widowControl/>
              <w:tabs>
                <w:tab w:val="clear" w:pos="480"/>
              </w:tabs>
              <w:spacing w:line="240" w:lineRule="auto"/>
              <w:ind w:firstLine="0" w:firstLineChars="0"/>
              <w:jc w:val="center"/>
              <w:rPr>
                <w:kern w:val="0"/>
                <w:sz w:val="21"/>
                <w:szCs w:val="21"/>
              </w:rPr>
            </w:pPr>
            <w:r>
              <w:rPr>
                <w:kern w:val="0"/>
                <w:sz w:val="21"/>
                <w:szCs w:val="21"/>
              </w:rPr>
              <w:t>0.08</w:t>
            </w:r>
          </w:p>
        </w:tc>
        <w:tc>
          <w:tcPr>
            <w:tcW w:w="1026" w:type="dxa"/>
            <w:tcBorders>
              <w:top w:val="single" w:color="auto" w:sz="4" w:space="0"/>
              <w:left w:val="single" w:color="auto" w:sz="4" w:space="0"/>
              <w:bottom w:val="single" w:color="auto" w:sz="4" w:space="0"/>
              <w:right w:val="single" w:color="auto" w:sz="4" w:space="0"/>
            </w:tcBorders>
            <w:vAlign w:val="center"/>
          </w:tcPr>
          <w:p w14:paraId="328C6996">
            <w:pPr>
              <w:widowControl/>
              <w:tabs>
                <w:tab w:val="clear" w:pos="480"/>
              </w:tabs>
              <w:spacing w:line="240" w:lineRule="auto"/>
              <w:ind w:firstLine="0" w:firstLineChars="0"/>
              <w:jc w:val="center"/>
              <w:rPr>
                <w:kern w:val="0"/>
                <w:sz w:val="21"/>
                <w:szCs w:val="21"/>
              </w:rPr>
            </w:pPr>
            <w:r>
              <w:rPr>
                <w:kern w:val="0"/>
                <w:sz w:val="21"/>
                <w:szCs w:val="21"/>
              </w:rPr>
              <w:t>0.08</w:t>
            </w:r>
          </w:p>
        </w:tc>
        <w:tc>
          <w:tcPr>
            <w:tcW w:w="949" w:type="dxa"/>
            <w:tcBorders>
              <w:top w:val="single" w:color="auto" w:sz="4" w:space="0"/>
              <w:left w:val="single" w:color="auto" w:sz="4" w:space="0"/>
              <w:bottom w:val="single" w:color="auto" w:sz="4" w:space="0"/>
              <w:right w:val="single" w:color="auto" w:sz="4" w:space="0"/>
            </w:tcBorders>
            <w:vAlign w:val="bottom"/>
          </w:tcPr>
          <w:p w14:paraId="4FBB80AC">
            <w:pPr>
              <w:widowControl/>
              <w:tabs>
                <w:tab w:val="clear" w:pos="480"/>
              </w:tabs>
              <w:spacing w:line="240" w:lineRule="auto"/>
              <w:ind w:firstLine="0" w:firstLineChars="0"/>
              <w:jc w:val="center"/>
              <w:rPr>
                <w:kern w:val="0"/>
                <w:sz w:val="21"/>
                <w:szCs w:val="21"/>
              </w:rPr>
            </w:pPr>
            <w:r>
              <w:rPr>
                <w:kern w:val="0"/>
                <w:sz w:val="21"/>
                <w:szCs w:val="21"/>
              </w:rPr>
              <w:t xml:space="preserve">0.20 </w:t>
            </w:r>
          </w:p>
        </w:tc>
        <w:tc>
          <w:tcPr>
            <w:tcW w:w="947" w:type="dxa"/>
            <w:tcBorders>
              <w:top w:val="single" w:color="auto" w:sz="4" w:space="0"/>
              <w:left w:val="single" w:color="auto" w:sz="4" w:space="0"/>
              <w:bottom w:val="single" w:color="auto" w:sz="4" w:space="0"/>
              <w:right w:val="single" w:color="auto" w:sz="12" w:space="0"/>
            </w:tcBorders>
            <w:vAlign w:val="bottom"/>
          </w:tcPr>
          <w:p w14:paraId="674436E0">
            <w:pPr>
              <w:widowControl/>
              <w:tabs>
                <w:tab w:val="clear" w:pos="480"/>
              </w:tabs>
              <w:spacing w:line="240" w:lineRule="auto"/>
              <w:ind w:firstLine="0" w:firstLineChars="0"/>
              <w:jc w:val="center"/>
              <w:rPr>
                <w:kern w:val="0"/>
                <w:sz w:val="21"/>
                <w:szCs w:val="21"/>
              </w:rPr>
            </w:pPr>
            <w:r>
              <w:rPr>
                <w:kern w:val="0"/>
                <w:sz w:val="21"/>
                <w:szCs w:val="21"/>
              </w:rPr>
              <w:t xml:space="preserve">0.20 </w:t>
            </w:r>
          </w:p>
        </w:tc>
      </w:tr>
      <w:tr w14:paraId="74EE54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tcBorders>
              <w:top w:val="single" w:color="auto" w:sz="4" w:space="0"/>
              <w:left w:val="single" w:color="auto" w:sz="12" w:space="0"/>
              <w:bottom w:val="single" w:color="auto" w:sz="4" w:space="0"/>
              <w:right w:val="single" w:color="auto" w:sz="4" w:space="0"/>
            </w:tcBorders>
            <w:vAlign w:val="center"/>
          </w:tcPr>
          <w:p w14:paraId="1BE6B622">
            <w:pPr>
              <w:widowControl/>
              <w:tabs>
                <w:tab w:val="clear" w:pos="480"/>
              </w:tabs>
              <w:spacing w:line="240" w:lineRule="auto"/>
              <w:ind w:firstLine="0" w:firstLineChars="0"/>
              <w:jc w:val="center"/>
              <w:rPr>
                <w:b/>
                <w:bCs/>
                <w:kern w:val="0"/>
                <w:sz w:val="21"/>
                <w:szCs w:val="21"/>
              </w:rPr>
            </w:pPr>
            <w:r>
              <w:rPr>
                <w:rFonts w:hint="eastAsia"/>
                <w:b/>
                <w:bCs/>
                <w:kern w:val="0"/>
                <w:sz w:val="21"/>
                <w:szCs w:val="21"/>
              </w:rPr>
              <w:t>建设用地</w:t>
            </w:r>
          </w:p>
        </w:tc>
        <w:tc>
          <w:tcPr>
            <w:tcW w:w="897" w:type="dxa"/>
            <w:tcBorders>
              <w:top w:val="single" w:color="auto" w:sz="4" w:space="0"/>
              <w:left w:val="single" w:color="auto" w:sz="4" w:space="0"/>
              <w:bottom w:val="single" w:color="auto" w:sz="4" w:space="0"/>
              <w:right w:val="single" w:color="auto" w:sz="4" w:space="0"/>
            </w:tcBorders>
            <w:vAlign w:val="center"/>
          </w:tcPr>
          <w:p w14:paraId="7CE60240">
            <w:pPr>
              <w:widowControl/>
              <w:tabs>
                <w:tab w:val="clear" w:pos="480"/>
              </w:tabs>
              <w:spacing w:line="240" w:lineRule="auto"/>
              <w:ind w:firstLine="0" w:firstLineChars="0"/>
              <w:jc w:val="center"/>
              <w:rPr>
                <w:kern w:val="0"/>
                <w:sz w:val="21"/>
                <w:szCs w:val="21"/>
              </w:rPr>
            </w:pPr>
            <w:r>
              <w:rPr>
                <w:kern w:val="0"/>
                <w:sz w:val="21"/>
                <w:szCs w:val="21"/>
              </w:rPr>
              <w:t>0.26</w:t>
            </w:r>
          </w:p>
        </w:tc>
        <w:tc>
          <w:tcPr>
            <w:tcW w:w="897" w:type="dxa"/>
            <w:tcBorders>
              <w:top w:val="single" w:color="auto" w:sz="4" w:space="0"/>
              <w:left w:val="single" w:color="auto" w:sz="4" w:space="0"/>
              <w:bottom w:val="single" w:color="auto" w:sz="4" w:space="0"/>
              <w:right w:val="single" w:color="auto" w:sz="4" w:space="0"/>
            </w:tcBorders>
            <w:vAlign w:val="bottom"/>
          </w:tcPr>
          <w:p w14:paraId="1EF15188">
            <w:pPr>
              <w:widowControl/>
              <w:tabs>
                <w:tab w:val="clear" w:pos="480"/>
              </w:tabs>
              <w:spacing w:line="240" w:lineRule="auto"/>
              <w:ind w:firstLine="0" w:firstLineChars="0"/>
              <w:jc w:val="center"/>
              <w:rPr>
                <w:kern w:val="0"/>
                <w:sz w:val="21"/>
                <w:szCs w:val="21"/>
              </w:rPr>
            </w:pPr>
            <w:r>
              <w:rPr>
                <w:kern w:val="0"/>
                <w:sz w:val="21"/>
                <w:szCs w:val="21"/>
              </w:rPr>
              <w:t>0.84</w:t>
            </w:r>
          </w:p>
        </w:tc>
        <w:tc>
          <w:tcPr>
            <w:tcW w:w="942" w:type="dxa"/>
            <w:tcBorders>
              <w:top w:val="single" w:color="auto" w:sz="4" w:space="0"/>
              <w:left w:val="single" w:color="auto" w:sz="4" w:space="0"/>
              <w:bottom w:val="single" w:color="auto" w:sz="4" w:space="0"/>
              <w:right w:val="single" w:color="auto" w:sz="4" w:space="0"/>
            </w:tcBorders>
            <w:vAlign w:val="center"/>
          </w:tcPr>
          <w:p w14:paraId="2AD180AF">
            <w:pPr>
              <w:widowControl/>
              <w:tabs>
                <w:tab w:val="clear" w:pos="480"/>
              </w:tabs>
              <w:spacing w:line="240" w:lineRule="auto"/>
              <w:ind w:firstLine="0" w:firstLineChars="0"/>
              <w:jc w:val="center"/>
              <w:rPr>
                <w:kern w:val="0"/>
                <w:sz w:val="21"/>
                <w:szCs w:val="21"/>
              </w:rPr>
            </w:pPr>
            <w:r>
              <w:rPr>
                <w:kern w:val="0"/>
                <w:sz w:val="21"/>
                <w:szCs w:val="21"/>
              </w:rPr>
              <w:t>2.52</w:t>
            </w:r>
          </w:p>
        </w:tc>
        <w:tc>
          <w:tcPr>
            <w:tcW w:w="944" w:type="dxa"/>
            <w:tcBorders>
              <w:top w:val="single" w:color="auto" w:sz="4" w:space="0"/>
              <w:left w:val="single" w:color="auto" w:sz="4" w:space="0"/>
              <w:bottom w:val="single" w:color="auto" w:sz="4" w:space="0"/>
              <w:right w:val="single" w:color="auto" w:sz="4" w:space="0"/>
            </w:tcBorders>
            <w:shd w:val="clear" w:color="auto" w:fill="FFFFFF"/>
            <w:vAlign w:val="center"/>
          </w:tcPr>
          <w:p w14:paraId="42428ED8">
            <w:pPr>
              <w:widowControl/>
              <w:tabs>
                <w:tab w:val="clear" w:pos="480"/>
              </w:tabs>
              <w:spacing w:line="240" w:lineRule="auto"/>
              <w:ind w:firstLine="0" w:firstLineChars="0"/>
              <w:jc w:val="center"/>
              <w:rPr>
                <w:kern w:val="0"/>
                <w:sz w:val="21"/>
                <w:szCs w:val="21"/>
              </w:rPr>
            </w:pPr>
            <w:r>
              <w:rPr>
                <w:kern w:val="0"/>
                <w:sz w:val="21"/>
                <w:szCs w:val="21"/>
              </w:rPr>
              <w:t>4.12</w:t>
            </w:r>
          </w:p>
        </w:tc>
        <w:tc>
          <w:tcPr>
            <w:tcW w:w="1024" w:type="dxa"/>
            <w:tcBorders>
              <w:top w:val="single" w:color="auto" w:sz="4" w:space="0"/>
              <w:left w:val="single" w:color="auto" w:sz="4" w:space="0"/>
              <w:bottom w:val="single" w:color="auto" w:sz="4" w:space="0"/>
              <w:right w:val="single" w:color="auto" w:sz="4" w:space="0"/>
            </w:tcBorders>
            <w:vAlign w:val="center"/>
          </w:tcPr>
          <w:p w14:paraId="0E6EC312">
            <w:pPr>
              <w:widowControl/>
              <w:tabs>
                <w:tab w:val="clear" w:pos="480"/>
              </w:tabs>
              <w:spacing w:line="240" w:lineRule="auto"/>
              <w:ind w:firstLine="0" w:firstLineChars="0"/>
              <w:jc w:val="center"/>
              <w:rPr>
                <w:kern w:val="0"/>
                <w:sz w:val="21"/>
                <w:szCs w:val="21"/>
              </w:rPr>
            </w:pPr>
            <w:r>
              <w:rPr>
                <w:kern w:val="0"/>
                <w:sz w:val="21"/>
                <w:szCs w:val="21"/>
              </w:rPr>
              <w:t>0.24</w:t>
            </w:r>
          </w:p>
        </w:tc>
        <w:tc>
          <w:tcPr>
            <w:tcW w:w="1026" w:type="dxa"/>
            <w:tcBorders>
              <w:top w:val="single" w:color="auto" w:sz="4" w:space="0"/>
              <w:left w:val="single" w:color="auto" w:sz="4" w:space="0"/>
              <w:bottom w:val="single" w:color="auto" w:sz="4" w:space="0"/>
              <w:right w:val="single" w:color="auto" w:sz="4" w:space="0"/>
            </w:tcBorders>
            <w:vAlign w:val="center"/>
          </w:tcPr>
          <w:p w14:paraId="4A3E51C5">
            <w:pPr>
              <w:widowControl/>
              <w:tabs>
                <w:tab w:val="clear" w:pos="480"/>
              </w:tabs>
              <w:spacing w:line="240" w:lineRule="auto"/>
              <w:ind w:firstLine="0" w:firstLineChars="0"/>
              <w:jc w:val="center"/>
              <w:rPr>
                <w:kern w:val="0"/>
                <w:sz w:val="21"/>
                <w:szCs w:val="21"/>
              </w:rPr>
            </w:pPr>
            <w:r>
              <w:rPr>
                <w:kern w:val="0"/>
                <w:sz w:val="21"/>
                <w:szCs w:val="21"/>
              </w:rPr>
              <w:t>1.2</w:t>
            </w:r>
          </w:p>
        </w:tc>
        <w:tc>
          <w:tcPr>
            <w:tcW w:w="949" w:type="dxa"/>
            <w:tcBorders>
              <w:top w:val="single" w:color="auto" w:sz="4" w:space="0"/>
              <w:left w:val="single" w:color="auto" w:sz="4" w:space="0"/>
              <w:bottom w:val="single" w:color="auto" w:sz="4" w:space="0"/>
              <w:right w:val="single" w:color="auto" w:sz="4" w:space="0"/>
            </w:tcBorders>
            <w:vAlign w:val="bottom"/>
          </w:tcPr>
          <w:p w14:paraId="53D3D04D">
            <w:pPr>
              <w:widowControl/>
              <w:tabs>
                <w:tab w:val="clear" w:pos="480"/>
              </w:tabs>
              <w:spacing w:line="240" w:lineRule="auto"/>
              <w:ind w:firstLine="0" w:firstLineChars="0"/>
              <w:jc w:val="center"/>
              <w:rPr>
                <w:kern w:val="0"/>
                <w:sz w:val="21"/>
                <w:szCs w:val="21"/>
              </w:rPr>
            </w:pPr>
            <w:r>
              <w:rPr>
                <w:kern w:val="0"/>
                <w:sz w:val="21"/>
                <w:szCs w:val="21"/>
              </w:rPr>
              <w:t xml:space="preserve">0.82 </w:t>
            </w:r>
          </w:p>
        </w:tc>
        <w:tc>
          <w:tcPr>
            <w:tcW w:w="947" w:type="dxa"/>
            <w:tcBorders>
              <w:top w:val="single" w:color="auto" w:sz="4" w:space="0"/>
              <w:left w:val="single" w:color="auto" w:sz="4" w:space="0"/>
              <w:bottom w:val="single" w:color="auto" w:sz="4" w:space="0"/>
              <w:right w:val="single" w:color="auto" w:sz="12" w:space="0"/>
            </w:tcBorders>
            <w:vAlign w:val="bottom"/>
          </w:tcPr>
          <w:p w14:paraId="7FEAFCB9">
            <w:pPr>
              <w:widowControl/>
              <w:tabs>
                <w:tab w:val="clear" w:pos="480"/>
              </w:tabs>
              <w:spacing w:line="240" w:lineRule="auto"/>
              <w:ind w:firstLine="0" w:firstLineChars="0"/>
              <w:jc w:val="center"/>
              <w:rPr>
                <w:kern w:val="0"/>
                <w:sz w:val="21"/>
                <w:szCs w:val="21"/>
              </w:rPr>
            </w:pPr>
            <w:r>
              <w:rPr>
                <w:kern w:val="0"/>
                <w:sz w:val="21"/>
                <w:szCs w:val="21"/>
              </w:rPr>
              <w:t xml:space="preserve">1.84 </w:t>
            </w:r>
          </w:p>
        </w:tc>
      </w:tr>
      <w:tr w14:paraId="5CD343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0" w:type="dxa"/>
            <w:tcBorders>
              <w:top w:val="single" w:color="auto" w:sz="4" w:space="0"/>
              <w:left w:val="single" w:color="auto" w:sz="12" w:space="0"/>
              <w:bottom w:val="single" w:color="auto" w:sz="12" w:space="0"/>
              <w:right w:val="single" w:color="auto" w:sz="4" w:space="0"/>
            </w:tcBorders>
            <w:vAlign w:val="center"/>
          </w:tcPr>
          <w:p w14:paraId="7639C43F">
            <w:pPr>
              <w:widowControl/>
              <w:tabs>
                <w:tab w:val="clear" w:pos="480"/>
              </w:tabs>
              <w:spacing w:line="240" w:lineRule="auto"/>
              <w:ind w:firstLine="0" w:firstLineChars="0"/>
              <w:jc w:val="center"/>
              <w:rPr>
                <w:b/>
                <w:bCs/>
                <w:kern w:val="0"/>
                <w:sz w:val="21"/>
                <w:szCs w:val="21"/>
              </w:rPr>
            </w:pPr>
            <w:r>
              <w:rPr>
                <w:rFonts w:hint="eastAsia"/>
                <w:b/>
                <w:bCs/>
                <w:kern w:val="0"/>
                <w:sz w:val="21"/>
                <w:szCs w:val="21"/>
              </w:rPr>
              <w:t>耕地</w:t>
            </w:r>
          </w:p>
        </w:tc>
        <w:tc>
          <w:tcPr>
            <w:tcW w:w="897" w:type="dxa"/>
            <w:tcBorders>
              <w:top w:val="single" w:color="auto" w:sz="4" w:space="0"/>
              <w:left w:val="single" w:color="auto" w:sz="4" w:space="0"/>
              <w:bottom w:val="single" w:color="auto" w:sz="12" w:space="0"/>
              <w:right w:val="single" w:color="auto" w:sz="4" w:space="0"/>
            </w:tcBorders>
            <w:vAlign w:val="center"/>
          </w:tcPr>
          <w:p w14:paraId="212AA6BD">
            <w:pPr>
              <w:widowControl/>
              <w:tabs>
                <w:tab w:val="clear" w:pos="480"/>
              </w:tabs>
              <w:spacing w:line="240" w:lineRule="auto"/>
              <w:ind w:firstLine="0" w:firstLineChars="0"/>
              <w:jc w:val="center"/>
              <w:rPr>
                <w:kern w:val="0"/>
                <w:sz w:val="21"/>
                <w:szCs w:val="21"/>
              </w:rPr>
            </w:pPr>
            <w:r>
              <w:rPr>
                <w:kern w:val="0"/>
                <w:sz w:val="21"/>
                <w:szCs w:val="21"/>
              </w:rPr>
              <w:t>3.12</w:t>
            </w:r>
          </w:p>
        </w:tc>
        <w:tc>
          <w:tcPr>
            <w:tcW w:w="897" w:type="dxa"/>
            <w:tcBorders>
              <w:top w:val="single" w:color="auto" w:sz="4" w:space="0"/>
              <w:left w:val="single" w:color="auto" w:sz="4" w:space="0"/>
              <w:bottom w:val="single" w:color="auto" w:sz="12" w:space="0"/>
              <w:right w:val="single" w:color="auto" w:sz="4" w:space="0"/>
            </w:tcBorders>
            <w:vAlign w:val="bottom"/>
          </w:tcPr>
          <w:p w14:paraId="7C4B7241">
            <w:pPr>
              <w:widowControl/>
              <w:tabs>
                <w:tab w:val="clear" w:pos="480"/>
              </w:tabs>
              <w:spacing w:line="240" w:lineRule="auto"/>
              <w:ind w:firstLine="0" w:firstLineChars="0"/>
              <w:jc w:val="center"/>
              <w:rPr>
                <w:kern w:val="0"/>
                <w:sz w:val="21"/>
                <w:szCs w:val="21"/>
              </w:rPr>
            </w:pPr>
            <w:r>
              <w:rPr>
                <w:kern w:val="0"/>
                <w:sz w:val="21"/>
                <w:szCs w:val="21"/>
              </w:rPr>
              <w:t>3.12</w:t>
            </w:r>
          </w:p>
        </w:tc>
        <w:tc>
          <w:tcPr>
            <w:tcW w:w="942" w:type="dxa"/>
            <w:tcBorders>
              <w:top w:val="single" w:color="auto" w:sz="4" w:space="0"/>
              <w:left w:val="single" w:color="auto" w:sz="4" w:space="0"/>
              <w:bottom w:val="single" w:color="auto" w:sz="12" w:space="0"/>
              <w:right w:val="single" w:color="auto" w:sz="4" w:space="0"/>
            </w:tcBorders>
            <w:vAlign w:val="center"/>
          </w:tcPr>
          <w:p w14:paraId="756B2065">
            <w:pPr>
              <w:widowControl/>
              <w:tabs>
                <w:tab w:val="clear" w:pos="480"/>
              </w:tabs>
              <w:spacing w:line="240" w:lineRule="auto"/>
              <w:ind w:firstLine="0" w:firstLineChars="0"/>
              <w:jc w:val="center"/>
              <w:rPr>
                <w:kern w:val="0"/>
                <w:sz w:val="21"/>
                <w:szCs w:val="21"/>
              </w:rPr>
            </w:pPr>
            <w:r>
              <w:rPr>
                <w:kern w:val="0"/>
                <w:sz w:val="21"/>
                <w:szCs w:val="21"/>
              </w:rPr>
              <w:t>1.16</w:t>
            </w:r>
          </w:p>
        </w:tc>
        <w:tc>
          <w:tcPr>
            <w:tcW w:w="944" w:type="dxa"/>
            <w:tcBorders>
              <w:top w:val="single" w:color="auto" w:sz="4" w:space="0"/>
              <w:left w:val="single" w:color="auto" w:sz="4" w:space="0"/>
              <w:bottom w:val="single" w:color="auto" w:sz="12" w:space="0"/>
              <w:right w:val="single" w:color="auto" w:sz="4" w:space="0"/>
            </w:tcBorders>
            <w:shd w:val="clear" w:color="auto" w:fill="FFFFFF"/>
            <w:vAlign w:val="center"/>
          </w:tcPr>
          <w:p w14:paraId="29C6BB67">
            <w:pPr>
              <w:widowControl/>
              <w:tabs>
                <w:tab w:val="clear" w:pos="480"/>
              </w:tabs>
              <w:spacing w:line="240" w:lineRule="auto"/>
              <w:ind w:firstLine="0" w:firstLineChars="0"/>
              <w:jc w:val="center"/>
              <w:rPr>
                <w:kern w:val="0"/>
                <w:sz w:val="21"/>
                <w:szCs w:val="21"/>
              </w:rPr>
            </w:pPr>
            <w:r>
              <w:rPr>
                <w:kern w:val="0"/>
                <w:sz w:val="21"/>
                <w:szCs w:val="21"/>
              </w:rPr>
              <w:t>1.16</w:t>
            </w:r>
          </w:p>
        </w:tc>
        <w:tc>
          <w:tcPr>
            <w:tcW w:w="1024" w:type="dxa"/>
            <w:tcBorders>
              <w:top w:val="single" w:color="auto" w:sz="4" w:space="0"/>
              <w:left w:val="single" w:color="auto" w:sz="4" w:space="0"/>
              <w:bottom w:val="single" w:color="auto" w:sz="12" w:space="0"/>
              <w:right w:val="single" w:color="auto" w:sz="4" w:space="0"/>
            </w:tcBorders>
            <w:vAlign w:val="center"/>
          </w:tcPr>
          <w:p w14:paraId="481029DF">
            <w:pPr>
              <w:widowControl/>
              <w:tabs>
                <w:tab w:val="clear" w:pos="480"/>
              </w:tabs>
              <w:spacing w:line="240" w:lineRule="auto"/>
              <w:ind w:firstLine="0" w:firstLineChars="0"/>
              <w:jc w:val="center"/>
              <w:rPr>
                <w:kern w:val="0"/>
                <w:sz w:val="21"/>
                <w:szCs w:val="21"/>
              </w:rPr>
            </w:pPr>
            <w:r>
              <w:rPr>
                <w:kern w:val="0"/>
                <w:sz w:val="21"/>
                <w:szCs w:val="21"/>
              </w:rPr>
              <w:t>1.28</w:t>
            </w:r>
          </w:p>
        </w:tc>
        <w:tc>
          <w:tcPr>
            <w:tcW w:w="1026" w:type="dxa"/>
            <w:tcBorders>
              <w:top w:val="single" w:color="auto" w:sz="4" w:space="0"/>
              <w:left w:val="single" w:color="auto" w:sz="4" w:space="0"/>
              <w:bottom w:val="single" w:color="auto" w:sz="12" w:space="0"/>
              <w:right w:val="single" w:color="auto" w:sz="4" w:space="0"/>
            </w:tcBorders>
            <w:vAlign w:val="center"/>
          </w:tcPr>
          <w:p w14:paraId="2F23267B">
            <w:pPr>
              <w:widowControl/>
              <w:tabs>
                <w:tab w:val="clear" w:pos="480"/>
              </w:tabs>
              <w:spacing w:line="240" w:lineRule="auto"/>
              <w:ind w:firstLine="0" w:firstLineChars="0"/>
              <w:jc w:val="center"/>
              <w:rPr>
                <w:kern w:val="0"/>
                <w:sz w:val="21"/>
                <w:szCs w:val="21"/>
              </w:rPr>
            </w:pPr>
            <w:r>
              <w:rPr>
                <w:kern w:val="0"/>
                <w:sz w:val="21"/>
                <w:szCs w:val="21"/>
              </w:rPr>
              <w:t>1.28</w:t>
            </w:r>
          </w:p>
        </w:tc>
        <w:tc>
          <w:tcPr>
            <w:tcW w:w="949" w:type="dxa"/>
            <w:tcBorders>
              <w:top w:val="single" w:color="auto" w:sz="4" w:space="0"/>
              <w:left w:val="single" w:color="auto" w:sz="4" w:space="0"/>
              <w:bottom w:val="single" w:color="auto" w:sz="12" w:space="0"/>
              <w:right w:val="single" w:color="auto" w:sz="4" w:space="0"/>
            </w:tcBorders>
            <w:vAlign w:val="bottom"/>
          </w:tcPr>
          <w:p w14:paraId="728807AF">
            <w:pPr>
              <w:widowControl/>
              <w:tabs>
                <w:tab w:val="clear" w:pos="480"/>
              </w:tabs>
              <w:spacing w:line="240" w:lineRule="auto"/>
              <w:ind w:firstLine="0" w:firstLineChars="0"/>
              <w:jc w:val="center"/>
              <w:rPr>
                <w:kern w:val="0"/>
                <w:sz w:val="21"/>
                <w:szCs w:val="21"/>
              </w:rPr>
            </w:pPr>
            <w:r>
              <w:rPr>
                <w:kern w:val="0"/>
                <w:sz w:val="21"/>
                <w:szCs w:val="21"/>
              </w:rPr>
              <w:t xml:space="preserve">1.71 </w:t>
            </w:r>
          </w:p>
        </w:tc>
        <w:tc>
          <w:tcPr>
            <w:tcW w:w="947" w:type="dxa"/>
            <w:tcBorders>
              <w:top w:val="single" w:color="auto" w:sz="4" w:space="0"/>
              <w:left w:val="single" w:color="auto" w:sz="4" w:space="0"/>
              <w:bottom w:val="single" w:color="auto" w:sz="12" w:space="0"/>
              <w:right w:val="single" w:color="auto" w:sz="12" w:space="0"/>
            </w:tcBorders>
            <w:vAlign w:val="bottom"/>
          </w:tcPr>
          <w:p w14:paraId="679BBDF5">
            <w:pPr>
              <w:widowControl/>
              <w:tabs>
                <w:tab w:val="clear" w:pos="480"/>
              </w:tabs>
              <w:spacing w:line="240" w:lineRule="auto"/>
              <w:ind w:firstLine="0" w:firstLineChars="0"/>
              <w:jc w:val="center"/>
              <w:rPr>
                <w:kern w:val="0"/>
                <w:sz w:val="21"/>
                <w:szCs w:val="21"/>
              </w:rPr>
            </w:pPr>
            <w:r>
              <w:rPr>
                <w:kern w:val="0"/>
                <w:sz w:val="21"/>
                <w:szCs w:val="21"/>
              </w:rPr>
              <w:t xml:space="preserve">1.71 </w:t>
            </w:r>
          </w:p>
        </w:tc>
      </w:tr>
    </w:tbl>
    <w:p w14:paraId="2FDA5412">
      <w:pPr>
        <w:adjustRightInd w:val="0"/>
        <w:snapToGrid w:val="0"/>
        <w:ind w:firstLine="480"/>
      </w:pPr>
      <w:r>
        <w:rPr>
          <w:rFonts w:hint="eastAsia"/>
        </w:rPr>
        <w:t>由上表可知，工程建设后，评价区内林地，灌草地、水域和建设用地的景观优势度均有变化，但是变化程度不大。工程建设后林地、灌草地景观优势度有所降低，但下降的幅度较小，这些多是由于工程建设永久占地，造成景观斑块数量变化导致。建设用地的优势度明显增加，由于风电机组区、施工道路等永久占地的建筑物，使评价区内建设用地增加。</w:t>
      </w:r>
    </w:p>
    <w:p w14:paraId="65D80908">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6.2.7</w:t>
      </w:r>
      <w:r>
        <w:rPr>
          <w:rFonts w:hint="eastAsia" w:ascii="Times New Roman" w:eastAsia="宋体"/>
          <w:sz w:val="28"/>
          <w:szCs w:val="28"/>
          <w:lang w:val="en-US"/>
        </w:rPr>
        <w:t>运营期电磁环境影响分析</w:t>
      </w:r>
    </w:p>
    <w:p w14:paraId="2BDF7796">
      <w:pPr>
        <w:adjustRightInd w:val="0"/>
        <w:snapToGrid w:val="0"/>
        <w:ind w:firstLine="480"/>
      </w:pPr>
      <w:r>
        <w:rPr>
          <w:rFonts w:hint="eastAsia"/>
        </w:rPr>
        <w:t>本项目新建一座1</w:t>
      </w:r>
      <w:r>
        <w:t>10</w:t>
      </w:r>
      <w:r>
        <w:rPr>
          <w:rFonts w:hint="eastAsia"/>
        </w:rPr>
        <w:t>k</w:t>
      </w:r>
      <w:r>
        <w:t>V</w:t>
      </w:r>
      <w:r>
        <w:rPr>
          <w:rFonts w:hint="eastAsia"/>
        </w:rPr>
        <w:t>升压站，升压站内安装一台</w:t>
      </w:r>
      <w:r>
        <w:t>50MVA</w:t>
      </w:r>
      <w:r>
        <w:rPr>
          <w:rFonts w:hint="eastAsia"/>
        </w:rPr>
        <w:t>主变压器。本项目电磁环境影响评价工作等级为“二级”，采用类比法进行分析。</w:t>
      </w:r>
    </w:p>
    <w:p w14:paraId="36FB7CC0">
      <w:pPr>
        <w:tabs>
          <w:tab w:val="clear" w:pos="480"/>
        </w:tabs>
        <w:adjustRightInd w:val="0"/>
        <w:snapToGrid w:val="0"/>
        <w:ind w:firstLine="0" w:firstLineChars="0"/>
        <w:outlineLvl w:val="3"/>
        <w:rPr>
          <w:b/>
          <w:kern w:val="0"/>
          <w:lang w:val="zh-CN"/>
        </w:rPr>
      </w:pPr>
      <w:r>
        <w:rPr>
          <w:b/>
          <w:kern w:val="0"/>
          <w:lang w:val="zh-CN"/>
        </w:rPr>
        <w:t>6.2.7.1</w:t>
      </w:r>
      <w:r>
        <w:rPr>
          <w:rFonts w:hint="eastAsia"/>
          <w:b/>
          <w:kern w:val="0"/>
          <w:lang w:val="zh-CN"/>
        </w:rPr>
        <w:t>类比对象</w:t>
      </w:r>
    </w:p>
    <w:p w14:paraId="68EDA19F">
      <w:pPr>
        <w:adjustRightInd w:val="0"/>
        <w:snapToGrid w:val="0"/>
        <w:ind w:firstLine="480"/>
      </w:pPr>
      <w:r>
        <w:rPr>
          <w:rFonts w:hint="eastAsia"/>
        </w:rPr>
        <w:t>（1）类比对象选择的原则</w:t>
      </w:r>
    </w:p>
    <w:p w14:paraId="7F5E42B9">
      <w:pPr>
        <w:adjustRightInd w:val="0"/>
        <w:snapToGrid w:val="0"/>
        <w:ind w:firstLine="480"/>
      </w:pPr>
      <w:r>
        <w:rPr>
          <w:rFonts w:hint="eastAsia"/>
        </w:rPr>
        <w:t>从严格意义讲，选取具有完全相同的主设备配置和布置情况的升压站进行电磁环境类比分析是最理想的，即：选取的类比升压站不仅有相同的主变数和容量，而且一次主接线也相同，布置情况及环境条件也相同。但是要满足这样的条件是很困难的，要解决这一实际困难，可以在关键部分相同，而达到进行类比的条件。所谓关键部分，就是主要的工频电场、工频磁场产生源。</w:t>
      </w:r>
    </w:p>
    <w:p w14:paraId="5E32BDF9">
      <w:pPr>
        <w:adjustRightInd w:val="0"/>
        <w:snapToGrid w:val="0"/>
        <w:ind w:firstLine="480"/>
      </w:pPr>
      <w:r>
        <w:rPr>
          <w:rFonts w:hint="eastAsia"/>
        </w:rPr>
        <w:t>根据电磁场理论：</w:t>
      </w:r>
    </w:p>
    <w:p w14:paraId="5BAEE294">
      <w:pPr>
        <w:adjustRightInd w:val="0"/>
        <w:snapToGrid w:val="0"/>
        <w:ind w:firstLine="480"/>
      </w:pPr>
      <w:r>
        <w:fldChar w:fldCharType="begin"/>
      </w:r>
      <w:r>
        <w:instrText xml:space="preserve"> = 1 \* GB3 </w:instrText>
      </w:r>
      <w:r>
        <w:fldChar w:fldCharType="separate"/>
      </w:r>
      <w:r>
        <w:rPr>
          <w:rFonts w:hint="eastAsia"/>
        </w:rPr>
        <w:t>①</w:t>
      </w:r>
      <w:r>
        <w:fldChar w:fldCharType="end"/>
      </w:r>
      <w:r>
        <w:rPr>
          <w:rFonts w:hint="eastAsia"/>
        </w:rPr>
        <w:t>电荷或者带电导体周围存在着电场；有规则地运动的电荷或者流过电流的导体周围存在着磁场。亦即电压产生电场而电流则产生磁场。</w:t>
      </w:r>
    </w:p>
    <w:p w14:paraId="5F3741E6">
      <w:pPr>
        <w:adjustRightInd w:val="0"/>
        <w:snapToGrid w:val="0"/>
        <w:ind w:firstLine="480"/>
      </w:pPr>
      <w:r>
        <w:fldChar w:fldCharType="begin"/>
      </w:r>
      <w:r>
        <w:instrText xml:space="preserve"> = 2 \* GB3 </w:instrText>
      </w:r>
      <w:r>
        <w:fldChar w:fldCharType="separate"/>
      </w:r>
      <w:r>
        <w:rPr>
          <w:rFonts w:hint="eastAsia"/>
        </w:rPr>
        <w:t>②</w:t>
      </w:r>
      <w:r>
        <w:fldChar w:fldCharType="end"/>
      </w:r>
      <w:r>
        <w:rPr>
          <w:rFonts w:hint="eastAsia"/>
        </w:rPr>
        <w:t>工频电场和工频磁场随距离衰减很快，即随距离的平方和三次方衰减，是工频电场和工频磁场的基本衰减特性。</w:t>
      </w:r>
    </w:p>
    <w:p w14:paraId="65E7F13D">
      <w:pPr>
        <w:adjustRightInd w:val="0"/>
        <w:snapToGrid w:val="0"/>
        <w:ind w:firstLine="480"/>
      </w:pPr>
      <w:r>
        <w:rPr>
          <w:rFonts w:hint="eastAsia"/>
        </w:rPr>
        <w:t>工频电场强度主要取决于电压等级及关心点与源的距离，并与环境湿度、植被及地理地形因子等屏蔽条件相关；工频磁场强度主要取决于电流及关心点与源的距离。</w:t>
      </w:r>
    </w:p>
    <w:p w14:paraId="0E1EA574">
      <w:pPr>
        <w:adjustRightInd w:val="0"/>
        <w:snapToGrid w:val="0"/>
        <w:ind w:firstLine="480"/>
      </w:pPr>
      <w:r>
        <w:rPr>
          <w:rFonts w:hint="eastAsia"/>
        </w:rPr>
        <w:t>对于升压站围墙外的工频电场，要求距离围墙最近的高压带电构架或电气设备布置一致、电压相同，此时就可以认为具有可比性；同样对于升压站围墙外的工频磁场，也要求最近的通流导体的布置和电流相同才具有可比性。实际情况是，工频电场的类比条件相对容易实现，因为升压站主设备和母线电压是基本稳定的，不会随时间和负荷的变化而产生大的变化；但是产生工频磁场的电流却是随负荷变化而有较大的变化。因此，对于升压站围墙外的工频电场，要求主变容量相同或相近、进出线形式相似、电压等级相同、变电站布置方式一致；而工频磁场，则要求通流导体的布置和电流相近才具有可比性，但是类比监测是类比站的实际电流往往与负荷大小相关，因此，工频磁场的预测结果还需要对类比监测值进行适当修正。</w:t>
      </w:r>
    </w:p>
    <w:p w14:paraId="48BE0305">
      <w:pPr>
        <w:adjustRightInd w:val="0"/>
        <w:snapToGrid w:val="0"/>
        <w:ind w:firstLine="480"/>
      </w:pPr>
      <w:r>
        <w:rPr>
          <w:rFonts w:hint="eastAsia"/>
        </w:rPr>
        <w:t>根据以往对诸多升压站的电磁环境的类比监测结果，升压站周围的工频磁感应强度远小于</w:t>
      </w:r>
      <w:r>
        <w:t>100μT</w:t>
      </w:r>
      <w:r>
        <w:rPr>
          <w:rFonts w:hint="eastAsia"/>
        </w:rPr>
        <w:t>的限值标准，因此本工程主要针对工频电场选取类比对象。</w:t>
      </w:r>
    </w:p>
    <w:p w14:paraId="3C86B347">
      <w:pPr>
        <w:adjustRightInd w:val="0"/>
        <w:snapToGrid w:val="0"/>
        <w:ind w:firstLine="480"/>
      </w:pPr>
      <w:r>
        <w:rPr>
          <w:rFonts w:hint="eastAsia"/>
        </w:rPr>
        <w:t>（2）类比对象</w:t>
      </w:r>
    </w:p>
    <w:p w14:paraId="16988A2E">
      <w:pPr>
        <w:adjustRightInd w:val="0"/>
        <w:snapToGrid w:val="0"/>
        <w:ind w:firstLine="480"/>
      </w:pPr>
      <w:r>
        <w:t>根据上述类比原则以及本工程的规模、电压等级、容量、平面布置等因素，本工程户外变电站选择</w:t>
      </w:r>
      <w:r>
        <w:rPr>
          <w:rFonts w:hint="eastAsia"/>
        </w:rPr>
        <w:t>湖南省沅陵县圣人山风电场项目</w:t>
      </w:r>
      <w:r>
        <w:t>110kV升压站作为类比监测对象。</w:t>
      </w:r>
      <w:r>
        <w:rPr>
          <w:rFonts w:hint="eastAsia"/>
        </w:rPr>
        <w:t>湖南省沅陵县圣人山风电场项目</w:t>
      </w:r>
      <w:r>
        <w:t>及其升压站均已通过竣工环保验收，目前运行稳定。</w:t>
      </w:r>
    </w:p>
    <w:p w14:paraId="74F9C2F3">
      <w:pPr>
        <w:adjustRightInd w:val="0"/>
        <w:snapToGrid w:val="0"/>
        <w:ind w:firstLine="480"/>
      </w:pPr>
      <w:r>
        <w:rPr>
          <w:rFonts w:hint="eastAsia"/>
        </w:rPr>
        <w:t>（3）类比对象可行性分析</w:t>
      </w:r>
    </w:p>
    <w:p w14:paraId="2CB8E5FB">
      <w:pPr>
        <w:adjustRightInd w:val="0"/>
        <w:snapToGrid w:val="0"/>
        <w:ind w:firstLine="480"/>
      </w:pPr>
      <w:r>
        <w:rPr>
          <w:rFonts w:hint="eastAsia"/>
        </w:rPr>
        <w:t>根据上述类比原则以及本工程的规模、电压等级、容量、平面布置等因素，本工程户外变电站选择湖南省沅陵县圣人山风电场项目110kV升压站作为类比监测对象。湖南省沅陵县圣人山风电场项目及其升压站均已通过竣工环保验收，目前运行稳定。</w:t>
      </w:r>
    </w:p>
    <w:p w14:paraId="4C5B91D8">
      <w:pPr>
        <w:tabs>
          <w:tab w:val="clear" w:pos="480"/>
        </w:tabs>
        <w:adjustRightInd w:val="0"/>
        <w:snapToGrid w:val="0"/>
        <w:spacing w:line="240" w:lineRule="auto"/>
        <w:ind w:firstLineChars="83"/>
        <w:jc w:val="center"/>
        <w:rPr>
          <w:b/>
          <w:bCs/>
        </w:rPr>
      </w:pPr>
      <w:r>
        <w:rPr>
          <w:b/>
          <w:bCs/>
        </w:rPr>
        <w:t>表6.2</w:t>
      </w:r>
      <w:r>
        <w:rPr>
          <w:rFonts w:hint="eastAsia"/>
          <w:b/>
          <w:bCs/>
        </w:rPr>
        <w:t>-</w:t>
      </w:r>
      <w:r>
        <w:rPr>
          <w:b/>
          <w:bCs/>
        </w:rPr>
        <w:t>10本项目升压站与类比对象情况对比</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96"/>
        <w:gridCol w:w="2822"/>
        <w:gridCol w:w="3009"/>
      </w:tblGrid>
      <w:tr w14:paraId="4FBAD8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12" w:space="0"/>
              <w:left w:val="single" w:color="auto" w:sz="12" w:space="0"/>
              <w:bottom w:val="single" w:color="auto" w:sz="4" w:space="0"/>
              <w:right w:val="single" w:color="auto" w:sz="4" w:space="0"/>
            </w:tcBorders>
            <w:vAlign w:val="center"/>
          </w:tcPr>
          <w:p w14:paraId="6FF6E621">
            <w:pPr>
              <w:tabs>
                <w:tab w:val="clear" w:pos="480"/>
              </w:tabs>
              <w:wordWrap w:val="0"/>
              <w:adjustRightInd w:val="0"/>
              <w:snapToGrid w:val="0"/>
              <w:spacing w:line="240" w:lineRule="auto"/>
              <w:ind w:firstLine="480" w:firstLineChars="0"/>
              <w:jc w:val="right"/>
              <w:rPr>
                <w:bCs/>
                <w:kern w:val="0"/>
                <w:sz w:val="21"/>
                <w:szCs w:val="21"/>
              </w:rPr>
            </w:pPr>
            <w:r>
              <w:rPr>
                <w:bCs/>
                <w:kern w:val="0"/>
                <w:sz w:val="21"/>
                <w:szCs w:val="21"/>
              </w:rPr>
              <w:t xml:space="preserve">             </w:t>
            </w:r>
            <w:r>
              <w:rPr>
                <w:rFonts w:ascii="宋体" w:hAnsi="宋体"/>
                <w:bCs/>
                <w:kern w:val="0"/>
                <w:sz w:val="21"/>
                <w:szCs w:val="21"/>
              </w:rPr>
              <w:t>变电站名称</w:t>
            </w:r>
            <w:r>
              <w:rPr>
                <w:bCs/>
                <w:kern w:val="0"/>
                <w:sz w:val="21"/>
                <w:szCs w:val="21"/>
              </w:rPr>
              <w:t xml:space="preserve"> </w:t>
            </w:r>
          </w:p>
          <w:p w14:paraId="6DE777F2">
            <w:pPr>
              <w:tabs>
                <w:tab w:val="clear" w:pos="480"/>
              </w:tabs>
              <w:adjustRightInd w:val="0"/>
              <w:snapToGrid w:val="0"/>
              <w:spacing w:line="240" w:lineRule="auto"/>
              <w:ind w:firstLine="315" w:firstLineChars="150"/>
              <w:jc w:val="left"/>
              <w:rPr>
                <w:bCs/>
                <w:kern w:val="0"/>
                <w:sz w:val="21"/>
                <w:szCs w:val="21"/>
              </w:rPr>
            </w:pPr>
            <w:r>
              <w:rPr>
                <w:rFonts w:ascii="宋体" w:hAnsi="宋体"/>
                <w:bCs/>
                <w:kern w:val="0"/>
                <w:sz w:val="21"/>
                <w:szCs w:val="21"/>
              </w:rPr>
              <w:t>比较项目</w:t>
            </w:r>
          </w:p>
        </w:tc>
        <w:tc>
          <w:tcPr>
            <w:tcW w:w="1655" w:type="pct"/>
            <w:tcBorders>
              <w:top w:val="single" w:color="auto" w:sz="12" w:space="0"/>
              <w:left w:val="single" w:color="auto" w:sz="4" w:space="0"/>
              <w:bottom w:val="single" w:color="auto" w:sz="4" w:space="0"/>
              <w:right w:val="single" w:color="auto" w:sz="4" w:space="0"/>
            </w:tcBorders>
            <w:vAlign w:val="center"/>
          </w:tcPr>
          <w:p w14:paraId="63F177C6">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衡阳县杉桥发电厂工程</w:t>
            </w:r>
            <w:r>
              <w:rPr>
                <w:bCs/>
                <w:kern w:val="0"/>
                <w:sz w:val="21"/>
                <w:szCs w:val="21"/>
              </w:rPr>
              <w:t>110kV</w:t>
            </w:r>
            <w:r>
              <w:rPr>
                <w:rFonts w:ascii="宋体" w:hAnsi="宋体"/>
                <w:bCs/>
                <w:kern w:val="0"/>
                <w:sz w:val="21"/>
                <w:szCs w:val="21"/>
              </w:rPr>
              <w:t>升压站</w:t>
            </w:r>
          </w:p>
        </w:tc>
        <w:tc>
          <w:tcPr>
            <w:tcW w:w="1764" w:type="pct"/>
            <w:tcBorders>
              <w:top w:val="single" w:color="auto" w:sz="12" w:space="0"/>
              <w:left w:val="single" w:color="auto" w:sz="4" w:space="0"/>
              <w:bottom w:val="single" w:color="auto" w:sz="4" w:space="0"/>
              <w:right w:val="single" w:color="auto" w:sz="12" w:space="0"/>
            </w:tcBorders>
            <w:vAlign w:val="center"/>
          </w:tcPr>
          <w:p w14:paraId="418CC052">
            <w:pPr>
              <w:tabs>
                <w:tab w:val="clear" w:pos="480"/>
              </w:tabs>
              <w:adjustRightInd w:val="0"/>
              <w:snapToGrid w:val="0"/>
              <w:spacing w:line="240" w:lineRule="auto"/>
              <w:ind w:firstLine="0" w:firstLineChars="0"/>
              <w:jc w:val="center"/>
              <w:rPr>
                <w:bCs/>
                <w:kern w:val="0"/>
                <w:sz w:val="21"/>
                <w:szCs w:val="21"/>
              </w:rPr>
            </w:pPr>
            <w:r>
              <w:rPr>
                <w:rFonts w:hint="eastAsia" w:ascii="宋体" w:hAnsi="宋体"/>
                <w:sz w:val="21"/>
                <w:szCs w:val="21"/>
              </w:rPr>
              <w:t>湖南省沅陵县圣人山风电场项目</w:t>
            </w:r>
            <w:r>
              <w:rPr>
                <w:rFonts w:hint="eastAsia"/>
                <w:sz w:val="21"/>
                <w:szCs w:val="21"/>
              </w:rPr>
              <w:t>1</w:t>
            </w:r>
            <w:r>
              <w:rPr>
                <w:sz w:val="21"/>
                <w:szCs w:val="21"/>
              </w:rPr>
              <w:t>10</w:t>
            </w:r>
            <w:r>
              <w:rPr>
                <w:rFonts w:hint="eastAsia"/>
                <w:sz w:val="21"/>
                <w:szCs w:val="21"/>
              </w:rPr>
              <w:t>k</w:t>
            </w:r>
            <w:r>
              <w:rPr>
                <w:sz w:val="21"/>
                <w:szCs w:val="21"/>
              </w:rPr>
              <w:t>V</w:t>
            </w:r>
            <w:r>
              <w:rPr>
                <w:rFonts w:hint="eastAsia" w:ascii="宋体" w:hAnsi="宋体"/>
                <w:sz w:val="21"/>
                <w:szCs w:val="21"/>
              </w:rPr>
              <w:t>升压站</w:t>
            </w:r>
          </w:p>
        </w:tc>
      </w:tr>
      <w:tr w14:paraId="42BB8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4" w:space="0"/>
              <w:left w:val="single" w:color="auto" w:sz="12" w:space="0"/>
              <w:bottom w:val="single" w:color="auto" w:sz="4" w:space="0"/>
              <w:right w:val="single" w:color="auto" w:sz="4" w:space="0"/>
            </w:tcBorders>
            <w:vAlign w:val="center"/>
          </w:tcPr>
          <w:p w14:paraId="4DFDDD35">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电压等级（</w:t>
            </w:r>
            <w:r>
              <w:rPr>
                <w:bCs/>
                <w:kern w:val="0"/>
                <w:sz w:val="21"/>
                <w:szCs w:val="21"/>
              </w:rPr>
              <w:t>kV</w:t>
            </w:r>
            <w:r>
              <w:rPr>
                <w:rFonts w:ascii="宋体" w:hAnsi="宋体"/>
                <w:bCs/>
                <w:kern w:val="0"/>
                <w:sz w:val="21"/>
                <w:szCs w:val="21"/>
              </w:rPr>
              <w:t>）</w:t>
            </w:r>
          </w:p>
        </w:tc>
        <w:tc>
          <w:tcPr>
            <w:tcW w:w="1655" w:type="pct"/>
            <w:tcBorders>
              <w:top w:val="single" w:color="auto" w:sz="4" w:space="0"/>
              <w:left w:val="single" w:color="auto" w:sz="4" w:space="0"/>
              <w:bottom w:val="single" w:color="auto" w:sz="4" w:space="0"/>
              <w:right w:val="single" w:color="auto" w:sz="4" w:space="0"/>
            </w:tcBorders>
            <w:vAlign w:val="center"/>
          </w:tcPr>
          <w:p w14:paraId="1F1C063C">
            <w:pPr>
              <w:tabs>
                <w:tab w:val="clear" w:pos="480"/>
              </w:tabs>
              <w:adjustRightInd w:val="0"/>
              <w:snapToGrid w:val="0"/>
              <w:spacing w:line="240" w:lineRule="auto"/>
              <w:ind w:firstLine="0" w:firstLineChars="0"/>
              <w:jc w:val="center"/>
              <w:rPr>
                <w:bCs/>
                <w:kern w:val="0"/>
                <w:sz w:val="21"/>
                <w:szCs w:val="21"/>
              </w:rPr>
            </w:pPr>
            <w:r>
              <w:rPr>
                <w:bCs/>
                <w:kern w:val="0"/>
                <w:sz w:val="21"/>
                <w:szCs w:val="21"/>
              </w:rPr>
              <w:t>110</w:t>
            </w:r>
          </w:p>
        </w:tc>
        <w:tc>
          <w:tcPr>
            <w:tcW w:w="1764" w:type="pct"/>
            <w:tcBorders>
              <w:top w:val="single" w:color="auto" w:sz="4" w:space="0"/>
              <w:left w:val="single" w:color="auto" w:sz="4" w:space="0"/>
              <w:bottom w:val="single" w:color="auto" w:sz="4" w:space="0"/>
              <w:right w:val="single" w:color="auto" w:sz="12" w:space="0"/>
            </w:tcBorders>
            <w:vAlign w:val="center"/>
          </w:tcPr>
          <w:p w14:paraId="1127E652">
            <w:pPr>
              <w:tabs>
                <w:tab w:val="clear" w:pos="480"/>
              </w:tabs>
              <w:adjustRightInd w:val="0"/>
              <w:snapToGrid w:val="0"/>
              <w:spacing w:line="240" w:lineRule="auto"/>
              <w:ind w:firstLine="0" w:firstLineChars="0"/>
              <w:jc w:val="center"/>
              <w:rPr>
                <w:bCs/>
                <w:kern w:val="0"/>
                <w:sz w:val="21"/>
                <w:szCs w:val="21"/>
              </w:rPr>
            </w:pPr>
            <w:r>
              <w:rPr>
                <w:bCs/>
                <w:kern w:val="0"/>
                <w:sz w:val="21"/>
                <w:szCs w:val="21"/>
              </w:rPr>
              <w:t>110</w:t>
            </w:r>
          </w:p>
        </w:tc>
      </w:tr>
      <w:tr w14:paraId="245DA2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4" w:space="0"/>
              <w:left w:val="single" w:color="auto" w:sz="12" w:space="0"/>
              <w:bottom w:val="single" w:color="auto" w:sz="4" w:space="0"/>
              <w:right w:val="single" w:color="auto" w:sz="4" w:space="0"/>
            </w:tcBorders>
            <w:vAlign w:val="center"/>
          </w:tcPr>
          <w:p w14:paraId="2F0E6A8F">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主变容量（</w:t>
            </w:r>
            <w:r>
              <w:rPr>
                <w:bCs/>
                <w:kern w:val="0"/>
                <w:sz w:val="21"/>
                <w:szCs w:val="21"/>
              </w:rPr>
              <w:t>MVA</w:t>
            </w:r>
            <w:r>
              <w:rPr>
                <w:rFonts w:ascii="宋体" w:hAnsi="宋体"/>
                <w:bCs/>
                <w:kern w:val="0"/>
                <w:sz w:val="21"/>
                <w:szCs w:val="21"/>
              </w:rPr>
              <w:t>）</w:t>
            </w:r>
          </w:p>
        </w:tc>
        <w:tc>
          <w:tcPr>
            <w:tcW w:w="1655" w:type="pct"/>
            <w:tcBorders>
              <w:top w:val="single" w:color="auto" w:sz="4" w:space="0"/>
              <w:left w:val="single" w:color="auto" w:sz="4" w:space="0"/>
              <w:bottom w:val="single" w:color="auto" w:sz="4" w:space="0"/>
              <w:right w:val="single" w:color="auto" w:sz="4" w:space="0"/>
            </w:tcBorders>
            <w:vAlign w:val="center"/>
          </w:tcPr>
          <w:p w14:paraId="571ABB07">
            <w:pPr>
              <w:tabs>
                <w:tab w:val="clear" w:pos="480"/>
              </w:tabs>
              <w:adjustRightInd w:val="0"/>
              <w:snapToGrid w:val="0"/>
              <w:spacing w:line="240" w:lineRule="auto"/>
              <w:ind w:firstLine="0" w:firstLineChars="0"/>
              <w:jc w:val="center"/>
              <w:rPr>
                <w:bCs/>
                <w:kern w:val="0"/>
                <w:sz w:val="21"/>
                <w:szCs w:val="21"/>
              </w:rPr>
            </w:pPr>
            <w:r>
              <w:rPr>
                <w:bCs/>
                <w:kern w:val="0"/>
                <w:sz w:val="21"/>
                <w:szCs w:val="21"/>
              </w:rPr>
              <w:t>1×50</w:t>
            </w:r>
          </w:p>
        </w:tc>
        <w:tc>
          <w:tcPr>
            <w:tcW w:w="1764" w:type="pct"/>
            <w:tcBorders>
              <w:top w:val="single" w:color="auto" w:sz="4" w:space="0"/>
              <w:left w:val="single" w:color="auto" w:sz="4" w:space="0"/>
              <w:bottom w:val="single" w:color="auto" w:sz="4" w:space="0"/>
              <w:right w:val="single" w:color="auto" w:sz="12" w:space="0"/>
            </w:tcBorders>
            <w:vAlign w:val="center"/>
          </w:tcPr>
          <w:p w14:paraId="3785D588">
            <w:pPr>
              <w:tabs>
                <w:tab w:val="clear" w:pos="480"/>
              </w:tabs>
              <w:adjustRightInd w:val="0"/>
              <w:snapToGrid w:val="0"/>
              <w:spacing w:line="240" w:lineRule="auto"/>
              <w:ind w:firstLine="0" w:firstLineChars="0"/>
              <w:jc w:val="center"/>
              <w:rPr>
                <w:bCs/>
                <w:kern w:val="0"/>
                <w:sz w:val="21"/>
                <w:szCs w:val="21"/>
              </w:rPr>
            </w:pPr>
            <w:r>
              <w:rPr>
                <w:bCs/>
                <w:kern w:val="0"/>
                <w:sz w:val="21"/>
                <w:szCs w:val="21"/>
              </w:rPr>
              <w:t>1×50</w:t>
            </w:r>
          </w:p>
        </w:tc>
      </w:tr>
      <w:tr w14:paraId="085EFE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4" w:space="0"/>
              <w:left w:val="single" w:color="auto" w:sz="12" w:space="0"/>
              <w:bottom w:val="single" w:color="auto" w:sz="4" w:space="0"/>
              <w:right w:val="single" w:color="auto" w:sz="4" w:space="0"/>
            </w:tcBorders>
            <w:vAlign w:val="center"/>
          </w:tcPr>
          <w:p w14:paraId="371D449A">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主变台数（台）</w:t>
            </w:r>
          </w:p>
        </w:tc>
        <w:tc>
          <w:tcPr>
            <w:tcW w:w="1655" w:type="pct"/>
            <w:tcBorders>
              <w:top w:val="single" w:color="auto" w:sz="4" w:space="0"/>
              <w:left w:val="single" w:color="auto" w:sz="4" w:space="0"/>
              <w:bottom w:val="single" w:color="auto" w:sz="4" w:space="0"/>
              <w:right w:val="single" w:color="auto" w:sz="4" w:space="0"/>
            </w:tcBorders>
            <w:vAlign w:val="center"/>
          </w:tcPr>
          <w:p w14:paraId="78DD96EB">
            <w:pPr>
              <w:tabs>
                <w:tab w:val="clear" w:pos="480"/>
              </w:tabs>
              <w:adjustRightInd w:val="0"/>
              <w:snapToGrid w:val="0"/>
              <w:spacing w:line="240" w:lineRule="auto"/>
              <w:ind w:firstLine="0" w:firstLineChars="0"/>
              <w:jc w:val="center"/>
              <w:rPr>
                <w:bCs/>
                <w:kern w:val="0"/>
                <w:sz w:val="21"/>
                <w:szCs w:val="21"/>
              </w:rPr>
            </w:pPr>
            <w:r>
              <w:rPr>
                <w:bCs/>
                <w:kern w:val="0"/>
                <w:sz w:val="21"/>
                <w:szCs w:val="21"/>
              </w:rPr>
              <w:t>1</w:t>
            </w:r>
          </w:p>
        </w:tc>
        <w:tc>
          <w:tcPr>
            <w:tcW w:w="1764" w:type="pct"/>
            <w:tcBorders>
              <w:top w:val="single" w:color="auto" w:sz="4" w:space="0"/>
              <w:left w:val="single" w:color="auto" w:sz="4" w:space="0"/>
              <w:bottom w:val="single" w:color="auto" w:sz="4" w:space="0"/>
              <w:right w:val="single" w:color="auto" w:sz="12" w:space="0"/>
            </w:tcBorders>
            <w:vAlign w:val="center"/>
          </w:tcPr>
          <w:p w14:paraId="67F3A071">
            <w:pPr>
              <w:tabs>
                <w:tab w:val="clear" w:pos="480"/>
              </w:tabs>
              <w:adjustRightInd w:val="0"/>
              <w:snapToGrid w:val="0"/>
              <w:spacing w:line="240" w:lineRule="auto"/>
              <w:ind w:firstLine="0" w:firstLineChars="0"/>
              <w:jc w:val="center"/>
              <w:rPr>
                <w:bCs/>
                <w:kern w:val="0"/>
                <w:sz w:val="21"/>
                <w:szCs w:val="21"/>
              </w:rPr>
            </w:pPr>
            <w:r>
              <w:rPr>
                <w:bCs/>
                <w:kern w:val="0"/>
                <w:sz w:val="21"/>
                <w:szCs w:val="21"/>
              </w:rPr>
              <w:t>1</w:t>
            </w:r>
          </w:p>
        </w:tc>
      </w:tr>
      <w:tr w14:paraId="163825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4" w:space="0"/>
              <w:left w:val="single" w:color="auto" w:sz="12" w:space="0"/>
              <w:bottom w:val="single" w:color="auto" w:sz="4" w:space="0"/>
              <w:right w:val="single" w:color="auto" w:sz="4" w:space="0"/>
            </w:tcBorders>
            <w:vAlign w:val="center"/>
          </w:tcPr>
          <w:p w14:paraId="3F5ADEFF">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布置型式</w:t>
            </w:r>
          </w:p>
        </w:tc>
        <w:tc>
          <w:tcPr>
            <w:tcW w:w="1655" w:type="pct"/>
            <w:tcBorders>
              <w:top w:val="single" w:color="auto" w:sz="4" w:space="0"/>
              <w:left w:val="single" w:color="auto" w:sz="4" w:space="0"/>
              <w:bottom w:val="single" w:color="auto" w:sz="4" w:space="0"/>
              <w:right w:val="single" w:color="auto" w:sz="4" w:space="0"/>
            </w:tcBorders>
            <w:vAlign w:val="center"/>
          </w:tcPr>
          <w:p w14:paraId="1C29B02F">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主变户外布置，</w:t>
            </w:r>
            <w:r>
              <w:rPr>
                <w:bCs/>
                <w:kern w:val="0"/>
                <w:sz w:val="21"/>
                <w:szCs w:val="21"/>
              </w:rPr>
              <w:t>110kV</w:t>
            </w:r>
            <w:r>
              <w:rPr>
                <w:rFonts w:ascii="宋体" w:hAnsi="宋体"/>
                <w:bCs/>
                <w:kern w:val="0"/>
                <w:sz w:val="21"/>
                <w:szCs w:val="21"/>
              </w:rPr>
              <w:t>配电装置户内</w:t>
            </w:r>
            <w:r>
              <w:rPr>
                <w:bCs/>
                <w:kern w:val="0"/>
                <w:sz w:val="21"/>
                <w:szCs w:val="21"/>
              </w:rPr>
              <w:t>GIS</w:t>
            </w:r>
            <w:r>
              <w:rPr>
                <w:rFonts w:ascii="宋体" w:hAnsi="宋体"/>
                <w:bCs/>
                <w:kern w:val="0"/>
                <w:sz w:val="21"/>
                <w:szCs w:val="21"/>
              </w:rPr>
              <w:t>布置</w:t>
            </w:r>
          </w:p>
        </w:tc>
        <w:tc>
          <w:tcPr>
            <w:tcW w:w="1764" w:type="pct"/>
            <w:tcBorders>
              <w:top w:val="single" w:color="auto" w:sz="4" w:space="0"/>
              <w:left w:val="single" w:color="auto" w:sz="4" w:space="0"/>
              <w:bottom w:val="single" w:color="auto" w:sz="4" w:space="0"/>
              <w:right w:val="single" w:color="auto" w:sz="12" w:space="0"/>
            </w:tcBorders>
            <w:vAlign w:val="center"/>
          </w:tcPr>
          <w:p w14:paraId="0658C2DC">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主变户外布置，</w:t>
            </w:r>
            <w:r>
              <w:rPr>
                <w:bCs/>
                <w:kern w:val="0"/>
                <w:sz w:val="21"/>
                <w:szCs w:val="21"/>
              </w:rPr>
              <w:t>110kV</w:t>
            </w:r>
            <w:r>
              <w:rPr>
                <w:rFonts w:ascii="宋体" w:hAnsi="宋体"/>
                <w:bCs/>
                <w:kern w:val="0"/>
                <w:sz w:val="21"/>
                <w:szCs w:val="21"/>
              </w:rPr>
              <w:t>配电装置户外</w:t>
            </w:r>
            <w:r>
              <w:rPr>
                <w:bCs/>
                <w:kern w:val="0"/>
                <w:sz w:val="21"/>
                <w:szCs w:val="21"/>
              </w:rPr>
              <w:t>AIS</w:t>
            </w:r>
            <w:r>
              <w:rPr>
                <w:rFonts w:ascii="宋体" w:hAnsi="宋体"/>
                <w:bCs/>
                <w:kern w:val="0"/>
                <w:sz w:val="21"/>
                <w:szCs w:val="21"/>
              </w:rPr>
              <w:t>布置</w:t>
            </w:r>
          </w:p>
        </w:tc>
      </w:tr>
      <w:tr w14:paraId="72BC04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4" w:space="0"/>
              <w:left w:val="single" w:color="auto" w:sz="12" w:space="0"/>
              <w:bottom w:val="single" w:color="auto" w:sz="4" w:space="0"/>
              <w:right w:val="single" w:color="auto" w:sz="4" w:space="0"/>
            </w:tcBorders>
            <w:vAlign w:val="center"/>
          </w:tcPr>
          <w:p w14:paraId="0310CAF4">
            <w:pPr>
              <w:tabs>
                <w:tab w:val="clear" w:pos="480"/>
              </w:tabs>
              <w:adjustRightInd w:val="0"/>
              <w:snapToGrid w:val="0"/>
              <w:spacing w:line="240" w:lineRule="auto"/>
              <w:ind w:firstLine="0" w:firstLineChars="0"/>
              <w:jc w:val="center"/>
              <w:rPr>
                <w:bCs/>
                <w:kern w:val="0"/>
                <w:sz w:val="21"/>
                <w:szCs w:val="21"/>
              </w:rPr>
            </w:pPr>
            <w:r>
              <w:rPr>
                <w:bCs/>
                <w:kern w:val="0"/>
                <w:sz w:val="21"/>
                <w:szCs w:val="21"/>
              </w:rPr>
              <w:t>110kV</w:t>
            </w:r>
            <w:r>
              <w:rPr>
                <w:rFonts w:ascii="宋体" w:hAnsi="宋体"/>
                <w:bCs/>
                <w:kern w:val="0"/>
                <w:sz w:val="21"/>
                <w:szCs w:val="21"/>
              </w:rPr>
              <w:t>出线数（回）</w:t>
            </w:r>
          </w:p>
        </w:tc>
        <w:tc>
          <w:tcPr>
            <w:tcW w:w="1655" w:type="pct"/>
            <w:tcBorders>
              <w:top w:val="single" w:color="auto" w:sz="4" w:space="0"/>
              <w:left w:val="single" w:color="auto" w:sz="4" w:space="0"/>
              <w:bottom w:val="single" w:color="auto" w:sz="4" w:space="0"/>
              <w:right w:val="single" w:color="auto" w:sz="4" w:space="0"/>
            </w:tcBorders>
            <w:vAlign w:val="center"/>
          </w:tcPr>
          <w:p w14:paraId="3646B34E">
            <w:pPr>
              <w:tabs>
                <w:tab w:val="clear" w:pos="480"/>
              </w:tabs>
              <w:adjustRightInd w:val="0"/>
              <w:snapToGrid w:val="0"/>
              <w:spacing w:line="240" w:lineRule="auto"/>
              <w:ind w:firstLine="0" w:firstLineChars="0"/>
              <w:jc w:val="center"/>
              <w:rPr>
                <w:bCs/>
                <w:kern w:val="0"/>
                <w:sz w:val="21"/>
                <w:szCs w:val="21"/>
              </w:rPr>
            </w:pPr>
            <w:r>
              <w:rPr>
                <w:bCs/>
                <w:kern w:val="0"/>
                <w:sz w:val="21"/>
                <w:szCs w:val="21"/>
              </w:rPr>
              <w:t>1</w:t>
            </w:r>
          </w:p>
        </w:tc>
        <w:tc>
          <w:tcPr>
            <w:tcW w:w="1764" w:type="pct"/>
            <w:tcBorders>
              <w:top w:val="single" w:color="auto" w:sz="4" w:space="0"/>
              <w:left w:val="single" w:color="auto" w:sz="4" w:space="0"/>
              <w:bottom w:val="single" w:color="auto" w:sz="4" w:space="0"/>
              <w:right w:val="single" w:color="auto" w:sz="12" w:space="0"/>
            </w:tcBorders>
            <w:vAlign w:val="center"/>
          </w:tcPr>
          <w:p w14:paraId="515987CF">
            <w:pPr>
              <w:tabs>
                <w:tab w:val="clear" w:pos="480"/>
              </w:tabs>
              <w:adjustRightInd w:val="0"/>
              <w:snapToGrid w:val="0"/>
              <w:spacing w:line="240" w:lineRule="auto"/>
              <w:ind w:firstLine="0" w:firstLineChars="0"/>
              <w:jc w:val="center"/>
              <w:rPr>
                <w:bCs/>
                <w:kern w:val="0"/>
                <w:sz w:val="21"/>
                <w:szCs w:val="21"/>
              </w:rPr>
            </w:pPr>
            <w:r>
              <w:rPr>
                <w:bCs/>
                <w:kern w:val="0"/>
                <w:sz w:val="21"/>
                <w:szCs w:val="21"/>
              </w:rPr>
              <w:t>1</w:t>
            </w:r>
          </w:p>
        </w:tc>
      </w:tr>
      <w:tr w14:paraId="14B46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81" w:type="pct"/>
            <w:tcBorders>
              <w:top w:val="single" w:color="auto" w:sz="4" w:space="0"/>
              <w:left w:val="single" w:color="auto" w:sz="12" w:space="0"/>
              <w:bottom w:val="single" w:color="auto" w:sz="12" w:space="0"/>
              <w:right w:val="single" w:color="auto" w:sz="4" w:space="0"/>
            </w:tcBorders>
            <w:vAlign w:val="center"/>
          </w:tcPr>
          <w:p w14:paraId="31F9862C">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地貌</w:t>
            </w:r>
          </w:p>
        </w:tc>
        <w:tc>
          <w:tcPr>
            <w:tcW w:w="1655" w:type="pct"/>
            <w:tcBorders>
              <w:top w:val="single" w:color="auto" w:sz="4" w:space="0"/>
              <w:left w:val="single" w:color="auto" w:sz="4" w:space="0"/>
              <w:bottom w:val="single" w:color="auto" w:sz="12" w:space="0"/>
              <w:right w:val="single" w:color="auto" w:sz="4" w:space="0"/>
            </w:tcBorders>
            <w:vAlign w:val="center"/>
          </w:tcPr>
          <w:p w14:paraId="4C9D0CA4">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丘陵</w:t>
            </w:r>
          </w:p>
        </w:tc>
        <w:tc>
          <w:tcPr>
            <w:tcW w:w="1764" w:type="pct"/>
            <w:tcBorders>
              <w:top w:val="single" w:color="auto" w:sz="4" w:space="0"/>
              <w:left w:val="single" w:color="auto" w:sz="4" w:space="0"/>
              <w:bottom w:val="single" w:color="auto" w:sz="12" w:space="0"/>
              <w:right w:val="single" w:color="auto" w:sz="12" w:space="0"/>
            </w:tcBorders>
            <w:vAlign w:val="center"/>
          </w:tcPr>
          <w:p w14:paraId="3FFAD46F">
            <w:pPr>
              <w:tabs>
                <w:tab w:val="clear" w:pos="480"/>
              </w:tabs>
              <w:adjustRightInd w:val="0"/>
              <w:snapToGrid w:val="0"/>
              <w:spacing w:line="240" w:lineRule="auto"/>
              <w:ind w:firstLine="0" w:firstLineChars="0"/>
              <w:jc w:val="center"/>
              <w:rPr>
                <w:bCs/>
                <w:kern w:val="0"/>
                <w:sz w:val="21"/>
                <w:szCs w:val="21"/>
              </w:rPr>
            </w:pPr>
            <w:r>
              <w:rPr>
                <w:rFonts w:ascii="宋体" w:hAnsi="宋体"/>
                <w:bCs/>
                <w:kern w:val="0"/>
                <w:sz w:val="21"/>
                <w:szCs w:val="21"/>
              </w:rPr>
              <w:t>丘陵</w:t>
            </w:r>
          </w:p>
        </w:tc>
      </w:tr>
    </w:tbl>
    <w:p w14:paraId="68B47ED0">
      <w:pPr>
        <w:adjustRightInd w:val="0"/>
        <w:snapToGrid w:val="0"/>
        <w:ind w:firstLine="480"/>
      </w:pPr>
      <w:r>
        <w:t>由上表可知，两升压站电压等级相同均为110kV，主变布置型式、主变台数、110kV出线数均相同，</w:t>
      </w:r>
      <w:r>
        <w:rPr>
          <w:rFonts w:hint="eastAsia"/>
        </w:rPr>
        <w:t>湖南省沅陵县圣人山风电场项目</w:t>
      </w:r>
      <w:r>
        <w:t>110kV升压站主变容量（50MVA）和本项目风电场110kV升压站主变容量（50MVA）一样，因此选用</w:t>
      </w:r>
      <w:r>
        <w:rPr>
          <w:rFonts w:hint="eastAsia"/>
        </w:rPr>
        <w:t>湖南省沅陵县圣人山风电场项目</w:t>
      </w:r>
      <w:r>
        <w:t>110kV升压站运营期在围墙外产生的工频电场、工频磁场类比分析本项目110kV升压站建成投运后的电磁水平是可行的。</w:t>
      </w:r>
    </w:p>
    <w:p w14:paraId="6F71D07E">
      <w:pPr>
        <w:tabs>
          <w:tab w:val="clear" w:pos="480"/>
        </w:tabs>
        <w:adjustRightInd w:val="0"/>
        <w:snapToGrid w:val="0"/>
        <w:ind w:firstLine="0" w:firstLineChars="0"/>
        <w:outlineLvl w:val="3"/>
        <w:rPr>
          <w:b/>
          <w:kern w:val="0"/>
          <w:lang w:val="zh-CN"/>
        </w:rPr>
      </w:pPr>
      <w:r>
        <w:rPr>
          <w:b/>
          <w:kern w:val="0"/>
          <w:lang w:val="zh-CN"/>
        </w:rPr>
        <w:t>6.2.7.2</w:t>
      </w:r>
      <w:r>
        <w:rPr>
          <w:rFonts w:hint="eastAsia"/>
          <w:b/>
          <w:kern w:val="0"/>
          <w:lang w:val="zh-CN"/>
        </w:rPr>
        <w:t>类比检测数据</w:t>
      </w:r>
    </w:p>
    <w:p w14:paraId="7C58774B">
      <w:pPr>
        <w:adjustRightInd w:val="0"/>
        <w:snapToGrid w:val="0"/>
        <w:ind w:firstLine="480"/>
      </w:pPr>
      <w:r>
        <w:t>（1）类比数据来源</w:t>
      </w:r>
    </w:p>
    <w:p w14:paraId="68E56C75">
      <w:pPr>
        <w:adjustRightInd w:val="0"/>
        <w:snapToGrid w:val="0"/>
        <w:ind w:firstLine="480"/>
      </w:pPr>
      <w:r>
        <w:t>本项目类比的</w:t>
      </w:r>
      <w:r>
        <w:rPr>
          <w:rFonts w:hint="eastAsia"/>
        </w:rPr>
        <w:t>湖南省沅陵县圣人山风电场</w:t>
      </w:r>
      <w:r>
        <w:t>110kV升压站的数据来源于《</w:t>
      </w:r>
      <w:r>
        <w:rPr>
          <w:rFonts w:hint="eastAsia"/>
        </w:rPr>
        <w:t>湖南省沅陵县圣人山风电场项目竣工环境保护验收调查报告</w:t>
      </w:r>
      <w:r>
        <w:t>》（2022年5月）中的电磁环境监测数据。</w:t>
      </w:r>
    </w:p>
    <w:p w14:paraId="447EBA37">
      <w:pPr>
        <w:adjustRightInd w:val="0"/>
        <w:snapToGrid w:val="0"/>
        <w:ind w:firstLine="480"/>
      </w:pPr>
      <w:r>
        <w:t>（2）类比监测项目</w:t>
      </w:r>
    </w:p>
    <w:p w14:paraId="4CBAB788">
      <w:pPr>
        <w:adjustRightInd w:val="0"/>
        <w:snapToGrid w:val="0"/>
        <w:ind w:firstLine="480"/>
      </w:pPr>
      <w:r>
        <w:t>离地面1.5m高处的工频电场强度、工频磁感应强度。</w:t>
      </w:r>
    </w:p>
    <w:p w14:paraId="321FB74C">
      <w:pPr>
        <w:adjustRightInd w:val="0"/>
        <w:snapToGrid w:val="0"/>
        <w:ind w:firstLine="480"/>
      </w:pPr>
      <w:r>
        <w:t>（3）监测布点</w:t>
      </w:r>
    </w:p>
    <w:p w14:paraId="05C79EC0">
      <w:pPr>
        <w:adjustRightInd w:val="0"/>
        <w:snapToGrid w:val="0"/>
        <w:ind w:firstLine="480"/>
      </w:pPr>
      <w:r>
        <w:t>类比对象</w:t>
      </w:r>
      <w:r>
        <w:rPr>
          <w:rFonts w:hint="eastAsia"/>
        </w:rPr>
        <w:t>湖南省沅陵县圣人山风电场项目</w:t>
      </w:r>
      <w:r>
        <w:t>110kV升压站监测布点见下表。</w:t>
      </w:r>
    </w:p>
    <w:p w14:paraId="5621F1CF">
      <w:pPr>
        <w:tabs>
          <w:tab w:val="clear" w:pos="480"/>
        </w:tabs>
        <w:adjustRightInd w:val="0"/>
        <w:snapToGrid w:val="0"/>
        <w:spacing w:line="240" w:lineRule="auto"/>
        <w:ind w:firstLine="0" w:firstLineChars="0"/>
        <w:jc w:val="center"/>
        <w:rPr>
          <w:b/>
          <w:bCs/>
        </w:rPr>
      </w:pPr>
      <w:r>
        <w:rPr>
          <w:rFonts w:ascii="宋体" w:hAnsi="宋体"/>
          <w:b/>
          <w:bCs/>
        </w:rPr>
        <w:t>表</w:t>
      </w:r>
      <w:r>
        <w:rPr>
          <w:b/>
          <w:bCs/>
        </w:rPr>
        <w:t xml:space="preserve">6.2-11  </w:t>
      </w:r>
      <w:r>
        <w:rPr>
          <w:rFonts w:ascii="宋体" w:hAnsi="宋体"/>
          <w:b/>
          <w:bCs/>
        </w:rPr>
        <w:t>变电站厂界及监测断面监测布点一览表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090"/>
        <w:gridCol w:w="1139"/>
        <w:gridCol w:w="6196"/>
      </w:tblGrid>
      <w:tr w14:paraId="72DF66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647" w:type="pct"/>
            <w:tcBorders>
              <w:top w:val="single" w:color="auto" w:sz="12" w:space="0"/>
              <w:left w:val="single" w:color="auto" w:sz="12" w:space="0"/>
              <w:bottom w:val="single" w:color="auto" w:sz="4" w:space="0"/>
              <w:right w:val="single" w:color="auto" w:sz="4" w:space="0"/>
            </w:tcBorders>
            <w:vAlign w:val="center"/>
          </w:tcPr>
          <w:p w14:paraId="6F4665AB">
            <w:pPr>
              <w:tabs>
                <w:tab w:val="clear" w:pos="480"/>
              </w:tabs>
              <w:adjustRightInd w:val="0"/>
              <w:ind w:firstLine="0" w:firstLineChars="0"/>
              <w:jc w:val="center"/>
              <w:rPr>
                <w:b/>
                <w:kern w:val="0"/>
                <w:sz w:val="21"/>
                <w:szCs w:val="21"/>
              </w:rPr>
            </w:pPr>
            <w:r>
              <w:rPr>
                <w:rFonts w:ascii="宋体" w:hAnsi="宋体"/>
                <w:b/>
                <w:kern w:val="0"/>
                <w:sz w:val="21"/>
                <w:szCs w:val="21"/>
              </w:rPr>
              <w:t>类别</w:t>
            </w:r>
          </w:p>
        </w:tc>
        <w:tc>
          <w:tcPr>
            <w:tcW w:w="676" w:type="pct"/>
            <w:tcBorders>
              <w:top w:val="single" w:color="auto" w:sz="12" w:space="0"/>
              <w:left w:val="single" w:color="auto" w:sz="4" w:space="0"/>
              <w:bottom w:val="single" w:color="auto" w:sz="4" w:space="0"/>
              <w:right w:val="single" w:color="auto" w:sz="4" w:space="0"/>
            </w:tcBorders>
            <w:vAlign w:val="center"/>
          </w:tcPr>
          <w:p w14:paraId="7AB7384B">
            <w:pPr>
              <w:tabs>
                <w:tab w:val="clear" w:pos="480"/>
              </w:tabs>
              <w:adjustRightInd w:val="0"/>
              <w:ind w:firstLine="0" w:firstLineChars="0"/>
              <w:jc w:val="center"/>
              <w:rPr>
                <w:b/>
                <w:kern w:val="0"/>
                <w:sz w:val="21"/>
                <w:szCs w:val="21"/>
              </w:rPr>
            </w:pPr>
            <w:r>
              <w:rPr>
                <w:rFonts w:ascii="宋体" w:hAnsi="宋体"/>
                <w:b/>
                <w:kern w:val="0"/>
                <w:sz w:val="21"/>
                <w:szCs w:val="21"/>
              </w:rPr>
              <w:t>监测因子</w:t>
            </w:r>
          </w:p>
        </w:tc>
        <w:tc>
          <w:tcPr>
            <w:tcW w:w="3677" w:type="pct"/>
            <w:tcBorders>
              <w:top w:val="single" w:color="auto" w:sz="12" w:space="0"/>
              <w:left w:val="single" w:color="auto" w:sz="4" w:space="0"/>
              <w:bottom w:val="single" w:color="auto" w:sz="4" w:space="0"/>
              <w:right w:val="single" w:color="auto" w:sz="12" w:space="0"/>
            </w:tcBorders>
            <w:vAlign w:val="center"/>
          </w:tcPr>
          <w:p w14:paraId="61F79A18">
            <w:pPr>
              <w:tabs>
                <w:tab w:val="clear" w:pos="480"/>
              </w:tabs>
              <w:adjustRightInd w:val="0"/>
              <w:ind w:firstLine="0" w:firstLineChars="0"/>
              <w:jc w:val="center"/>
              <w:rPr>
                <w:b/>
                <w:kern w:val="0"/>
                <w:sz w:val="21"/>
                <w:szCs w:val="21"/>
              </w:rPr>
            </w:pPr>
            <w:r>
              <w:rPr>
                <w:rFonts w:ascii="宋体" w:hAnsi="宋体"/>
                <w:b/>
                <w:kern w:val="0"/>
                <w:sz w:val="21"/>
                <w:szCs w:val="21"/>
              </w:rPr>
              <w:t>监测内容</w:t>
            </w:r>
          </w:p>
        </w:tc>
      </w:tr>
      <w:tr w14:paraId="34E326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647" w:type="pct"/>
            <w:tcBorders>
              <w:top w:val="single" w:color="auto" w:sz="4" w:space="0"/>
              <w:left w:val="single" w:color="auto" w:sz="12" w:space="0"/>
              <w:bottom w:val="single" w:color="auto" w:sz="12" w:space="0"/>
              <w:right w:val="single" w:color="auto" w:sz="4" w:space="0"/>
            </w:tcBorders>
            <w:vAlign w:val="center"/>
          </w:tcPr>
          <w:p w14:paraId="7F6C5041">
            <w:pPr>
              <w:tabs>
                <w:tab w:val="clear" w:pos="480"/>
              </w:tabs>
              <w:adjustRightInd w:val="0"/>
              <w:spacing w:line="240" w:lineRule="auto"/>
              <w:ind w:firstLine="0" w:firstLineChars="0"/>
              <w:jc w:val="center"/>
              <w:rPr>
                <w:bCs/>
                <w:kern w:val="0"/>
                <w:sz w:val="21"/>
                <w:szCs w:val="21"/>
              </w:rPr>
            </w:pPr>
            <w:r>
              <w:rPr>
                <w:rFonts w:ascii="宋体" w:hAnsi="宋体"/>
                <w:bCs/>
                <w:kern w:val="0"/>
                <w:sz w:val="21"/>
                <w:szCs w:val="21"/>
              </w:rPr>
              <w:t>点位及断面</w:t>
            </w:r>
          </w:p>
        </w:tc>
        <w:tc>
          <w:tcPr>
            <w:tcW w:w="676" w:type="pct"/>
            <w:tcBorders>
              <w:top w:val="single" w:color="auto" w:sz="4" w:space="0"/>
              <w:left w:val="single" w:color="auto" w:sz="4" w:space="0"/>
              <w:bottom w:val="single" w:color="auto" w:sz="12" w:space="0"/>
              <w:right w:val="single" w:color="auto" w:sz="4" w:space="0"/>
            </w:tcBorders>
            <w:vAlign w:val="center"/>
          </w:tcPr>
          <w:p w14:paraId="794FD54E">
            <w:pPr>
              <w:tabs>
                <w:tab w:val="clear" w:pos="480"/>
              </w:tabs>
              <w:adjustRightInd w:val="0"/>
              <w:spacing w:line="240" w:lineRule="auto"/>
              <w:ind w:firstLine="0" w:firstLineChars="0"/>
              <w:jc w:val="center"/>
              <w:rPr>
                <w:bCs/>
                <w:kern w:val="0"/>
                <w:sz w:val="21"/>
                <w:szCs w:val="21"/>
              </w:rPr>
            </w:pPr>
            <w:r>
              <w:rPr>
                <w:rFonts w:ascii="宋体" w:hAnsi="宋体"/>
                <w:bCs/>
                <w:kern w:val="0"/>
                <w:sz w:val="21"/>
                <w:szCs w:val="21"/>
              </w:rPr>
              <w:t>工频电场</w:t>
            </w:r>
          </w:p>
          <w:p w14:paraId="06B70FBE">
            <w:pPr>
              <w:tabs>
                <w:tab w:val="clear" w:pos="480"/>
              </w:tabs>
              <w:adjustRightInd w:val="0"/>
              <w:spacing w:line="240" w:lineRule="auto"/>
              <w:ind w:firstLine="0" w:firstLineChars="0"/>
              <w:jc w:val="center"/>
              <w:rPr>
                <w:bCs/>
                <w:kern w:val="0"/>
                <w:sz w:val="21"/>
                <w:szCs w:val="21"/>
              </w:rPr>
            </w:pPr>
            <w:r>
              <w:rPr>
                <w:rFonts w:ascii="宋体" w:hAnsi="宋体"/>
                <w:bCs/>
                <w:kern w:val="0"/>
                <w:sz w:val="21"/>
                <w:szCs w:val="21"/>
              </w:rPr>
              <w:t>工频磁场</w:t>
            </w:r>
          </w:p>
        </w:tc>
        <w:tc>
          <w:tcPr>
            <w:tcW w:w="3677" w:type="pct"/>
            <w:tcBorders>
              <w:top w:val="single" w:color="auto" w:sz="4" w:space="0"/>
              <w:left w:val="single" w:color="auto" w:sz="4" w:space="0"/>
              <w:bottom w:val="single" w:color="auto" w:sz="12" w:space="0"/>
              <w:right w:val="single" w:color="auto" w:sz="12" w:space="0"/>
            </w:tcBorders>
            <w:vAlign w:val="center"/>
          </w:tcPr>
          <w:p w14:paraId="37E3AFFC">
            <w:pPr>
              <w:tabs>
                <w:tab w:val="clear" w:pos="480"/>
              </w:tabs>
              <w:adjustRightInd w:val="0"/>
              <w:spacing w:line="240" w:lineRule="auto"/>
              <w:ind w:firstLine="0" w:firstLineChars="0"/>
              <w:rPr>
                <w:bCs/>
                <w:kern w:val="0"/>
                <w:sz w:val="21"/>
                <w:szCs w:val="21"/>
              </w:rPr>
            </w:pPr>
            <w:r>
              <w:rPr>
                <w:rFonts w:ascii="宋体" w:hAnsi="宋体"/>
                <w:bCs/>
                <w:kern w:val="0"/>
                <w:sz w:val="21"/>
                <w:szCs w:val="21"/>
              </w:rPr>
              <w:t>在变电站四周围墙外且距离围墙</w:t>
            </w:r>
            <w:r>
              <w:rPr>
                <w:bCs/>
                <w:kern w:val="0"/>
                <w:sz w:val="21"/>
                <w:szCs w:val="21"/>
              </w:rPr>
              <w:t>5m</w:t>
            </w:r>
            <w:r>
              <w:rPr>
                <w:rFonts w:ascii="宋体" w:hAnsi="宋体"/>
                <w:bCs/>
                <w:kern w:val="0"/>
                <w:sz w:val="21"/>
                <w:szCs w:val="21"/>
              </w:rPr>
              <w:t>处布置，以变电站围墙周围的工频电场和工频磁场监测最大值处为起点，在垂直于围墙的方向上布置，监测点间距为</w:t>
            </w:r>
            <w:r>
              <w:rPr>
                <w:bCs/>
                <w:kern w:val="0"/>
                <w:sz w:val="21"/>
                <w:szCs w:val="21"/>
              </w:rPr>
              <w:t>5m</w:t>
            </w:r>
            <w:r>
              <w:rPr>
                <w:rFonts w:ascii="宋体" w:hAnsi="宋体"/>
                <w:bCs/>
                <w:kern w:val="0"/>
                <w:sz w:val="21"/>
                <w:szCs w:val="21"/>
              </w:rPr>
              <w:t>，顺序测至距离围墙</w:t>
            </w:r>
            <w:r>
              <w:rPr>
                <w:bCs/>
                <w:kern w:val="0"/>
                <w:sz w:val="21"/>
                <w:szCs w:val="21"/>
              </w:rPr>
              <w:t>50m</w:t>
            </w:r>
            <w:r>
              <w:rPr>
                <w:rFonts w:ascii="宋体" w:hAnsi="宋体"/>
                <w:bCs/>
                <w:kern w:val="0"/>
                <w:sz w:val="21"/>
                <w:szCs w:val="21"/>
              </w:rPr>
              <w:t>处为止。测量距地面</w:t>
            </w:r>
            <w:r>
              <w:rPr>
                <w:bCs/>
                <w:kern w:val="0"/>
                <w:sz w:val="21"/>
                <w:szCs w:val="21"/>
              </w:rPr>
              <w:t>1.5m</w:t>
            </w:r>
            <w:r>
              <w:rPr>
                <w:rFonts w:ascii="宋体" w:hAnsi="宋体"/>
                <w:bCs/>
                <w:kern w:val="0"/>
                <w:sz w:val="21"/>
                <w:szCs w:val="21"/>
              </w:rPr>
              <w:t>高处工频电场及工频磁场。</w:t>
            </w:r>
          </w:p>
        </w:tc>
      </w:tr>
    </w:tbl>
    <w:p w14:paraId="09514853">
      <w:pPr>
        <w:adjustRightInd w:val="0"/>
        <w:snapToGrid w:val="0"/>
        <w:ind w:firstLine="480"/>
      </w:pPr>
      <w:r>
        <w:t>（4）运行工况</w:t>
      </w:r>
    </w:p>
    <w:p w14:paraId="0E5045B6">
      <w:pPr>
        <w:adjustRightInd w:val="0"/>
        <w:snapToGrid w:val="0"/>
        <w:ind w:firstLine="480"/>
      </w:pPr>
      <w:r>
        <w:t>正常工况下监测</w:t>
      </w:r>
    </w:p>
    <w:p w14:paraId="388F1B61">
      <w:pPr>
        <w:adjustRightInd w:val="0"/>
        <w:snapToGrid w:val="0"/>
        <w:ind w:firstLine="480"/>
      </w:pPr>
      <w:r>
        <w:t>（5）类比监测结果</w:t>
      </w:r>
    </w:p>
    <w:p w14:paraId="651A1DEB">
      <w:pPr>
        <w:adjustRightInd w:val="0"/>
        <w:snapToGrid w:val="0"/>
        <w:ind w:firstLine="480"/>
      </w:pPr>
      <w:r>
        <w:rPr>
          <w:rFonts w:hint="eastAsia"/>
        </w:rPr>
        <w:t>湖南省沅陵县圣人山风电场</w:t>
      </w:r>
      <w:r>
        <w:t>110kV升压站电磁环境监测结果见下表。</w:t>
      </w:r>
    </w:p>
    <w:p w14:paraId="35FABDBA">
      <w:pPr>
        <w:tabs>
          <w:tab w:val="clear" w:pos="480"/>
        </w:tabs>
        <w:adjustRightInd w:val="0"/>
        <w:snapToGrid w:val="0"/>
        <w:spacing w:line="240" w:lineRule="auto"/>
        <w:ind w:firstLine="0" w:firstLineChars="0"/>
        <w:jc w:val="center"/>
        <w:rPr>
          <w:b/>
          <w:bCs/>
        </w:rPr>
      </w:pPr>
      <w:r>
        <w:rPr>
          <w:rFonts w:ascii="宋体" w:hAnsi="宋体"/>
          <w:b/>
          <w:bCs/>
          <w:spacing w:val="-20"/>
        </w:rPr>
        <w:t>表</w:t>
      </w:r>
      <w:r>
        <w:rPr>
          <w:b/>
          <w:bCs/>
          <w:spacing w:val="-20"/>
        </w:rPr>
        <w:t>6.2-12</w:t>
      </w:r>
      <w:r>
        <w:rPr>
          <w:rFonts w:hint="eastAsia" w:ascii="宋体" w:hAnsi="宋体"/>
          <w:b/>
          <w:bCs/>
          <w:spacing w:val="-20"/>
        </w:rPr>
        <w:t>湖南省沅陵县圣人山风电场项目</w:t>
      </w:r>
      <w:r>
        <w:rPr>
          <w:b/>
          <w:bCs/>
          <w:spacing w:val="-20"/>
        </w:rPr>
        <w:t>110k</w:t>
      </w:r>
      <w:r>
        <w:rPr>
          <w:b/>
          <w:bCs/>
        </w:rPr>
        <w:t>V</w:t>
      </w:r>
      <w:r>
        <w:rPr>
          <w:rFonts w:ascii="宋体" w:hAnsi="宋体"/>
          <w:b/>
          <w:bCs/>
        </w:rPr>
        <w:t>变电站电磁环境监测结果</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059"/>
        <w:gridCol w:w="1786"/>
        <w:gridCol w:w="947"/>
        <w:gridCol w:w="1158"/>
        <w:gridCol w:w="1158"/>
        <w:gridCol w:w="1158"/>
        <w:gridCol w:w="1159"/>
      </w:tblGrid>
      <w:tr w14:paraId="61EEA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629" w:type="pct"/>
            <w:vMerge w:val="restart"/>
            <w:tcBorders>
              <w:top w:val="single" w:color="auto" w:sz="12" w:space="0"/>
              <w:left w:val="single" w:color="auto" w:sz="12" w:space="0"/>
              <w:bottom w:val="single" w:color="auto" w:sz="4" w:space="0"/>
              <w:right w:val="single" w:color="auto" w:sz="4" w:space="0"/>
            </w:tcBorders>
            <w:vAlign w:val="center"/>
          </w:tcPr>
          <w:p w14:paraId="6F4D5DFC">
            <w:pPr>
              <w:tabs>
                <w:tab w:val="clear" w:pos="480"/>
              </w:tabs>
              <w:adjustRightInd w:val="0"/>
              <w:spacing w:line="240" w:lineRule="auto"/>
              <w:ind w:firstLine="0" w:firstLineChars="0"/>
              <w:jc w:val="center"/>
              <w:rPr>
                <w:b/>
                <w:kern w:val="0"/>
                <w:sz w:val="21"/>
                <w:szCs w:val="21"/>
              </w:rPr>
            </w:pPr>
            <w:r>
              <w:rPr>
                <w:rFonts w:hint="eastAsia" w:ascii="宋体" w:hAnsi="宋体"/>
                <w:b/>
                <w:kern w:val="0"/>
                <w:sz w:val="21"/>
                <w:szCs w:val="21"/>
              </w:rPr>
              <w:t>监测日期</w:t>
            </w:r>
          </w:p>
        </w:tc>
        <w:tc>
          <w:tcPr>
            <w:tcW w:w="1622" w:type="pct"/>
            <w:gridSpan w:val="2"/>
            <w:vMerge w:val="restart"/>
            <w:tcBorders>
              <w:top w:val="single" w:color="auto" w:sz="12" w:space="0"/>
              <w:left w:val="single" w:color="auto" w:sz="4" w:space="0"/>
              <w:bottom w:val="single" w:color="auto" w:sz="4" w:space="0"/>
              <w:right w:val="single" w:color="auto" w:sz="4" w:space="0"/>
            </w:tcBorders>
            <w:vAlign w:val="center"/>
          </w:tcPr>
          <w:p w14:paraId="061B8F73">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监测点位</w:t>
            </w:r>
          </w:p>
        </w:tc>
        <w:tc>
          <w:tcPr>
            <w:tcW w:w="1374" w:type="pct"/>
            <w:gridSpan w:val="2"/>
            <w:tcBorders>
              <w:top w:val="single" w:color="auto" w:sz="12" w:space="0"/>
              <w:left w:val="single" w:color="auto" w:sz="4" w:space="0"/>
              <w:bottom w:val="single" w:color="auto" w:sz="4" w:space="0"/>
              <w:right w:val="single" w:color="auto" w:sz="4" w:space="0"/>
            </w:tcBorders>
            <w:vAlign w:val="center"/>
          </w:tcPr>
          <w:p w14:paraId="6A5AEED7">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工频电场强度（</w:t>
            </w:r>
            <w:r>
              <w:rPr>
                <w:b/>
                <w:kern w:val="0"/>
                <w:sz w:val="21"/>
                <w:szCs w:val="21"/>
              </w:rPr>
              <w:t>V/m</w:t>
            </w:r>
            <w:r>
              <w:rPr>
                <w:rFonts w:ascii="宋体" w:hAnsi="宋体"/>
                <w:b/>
                <w:kern w:val="0"/>
                <w:sz w:val="21"/>
                <w:szCs w:val="21"/>
              </w:rPr>
              <w:t>）</w:t>
            </w:r>
          </w:p>
        </w:tc>
        <w:tc>
          <w:tcPr>
            <w:tcW w:w="1375" w:type="pct"/>
            <w:gridSpan w:val="2"/>
            <w:tcBorders>
              <w:top w:val="single" w:color="auto" w:sz="12" w:space="0"/>
              <w:left w:val="single" w:color="auto" w:sz="4" w:space="0"/>
              <w:bottom w:val="single" w:color="auto" w:sz="4" w:space="0"/>
              <w:right w:val="single" w:color="auto" w:sz="12" w:space="0"/>
            </w:tcBorders>
            <w:vAlign w:val="center"/>
          </w:tcPr>
          <w:p w14:paraId="3D89938F">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工频磁感应强度（</w:t>
            </w:r>
            <w:r>
              <w:rPr>
                <w:b/>
                <w:kern w:val="0"/>
                <w:sz w:val="21"/>
                <w:szCs w:val="21"/>
              </w:rPr>
              <w:t>μT</w:t>
            </w:r>
            <w:r>
              <w:rPr>
                <w:rFonts w:ascii="宋体" w:hAnsi="宋体"/>
                <w:b/>
                <w:kern w:val="0"/>
                <w:sz w:val="21"/>
                <w:szCs w:val="21"/>
              </w:rPr>
              <w:t>）</w:t>
            </w:r>
          </w:p>
        </w:tc>
      </w:tr>
      <w:tr w14:paraId="7D9E96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12" w:space="0"/>
              <w:left w:val="single" w:color="auto" w:sz="12" w:space="0"/>
              <w:bottom w:val="single" w:color="auto" w:sz="4" w:space="0"/>
              <w:right w:val="single" w:color="auto" w:sz="4" w:space="0"/>
            </w:tcBorders>
            <w:vAlign w:val="center"/>
          </w:tcPr>
          <w:p w14:paraId="1C5E10F0">
            <w:pPr>
              <w:widowControl/>
              <w:tabs>
                <w:tab w:val="clear" w:pos="480"/>
              </w:tabs>
              <w:spacing w:line="240" w:lineRule="auto"/>
              <w:ind w:firstLine="0" w:firstLineChars="0"/>
              <w:jc w:val="left"/>
              <w:rPr>
                <w:b/>
                <w:kern w:val="0"/>
                <w:sz w:val="21"/>
                <w:szCs w:val="21"/>
              </w:rPr>
            </w:pPr>
          </w:p>
        </w:tc>
        <w:tc>
          <w:tcPr>
            <w:tcW w:w="0" w:type="auto"/>
            <w:gridSpan w:val="2"/>
            <w:vMerge w:val="continue"/>
            <w:tcBorders>
              <w:top w:val="single" w:color="auto" w:sz="12" w:space="0"/>
              <w:left w:val="single" w:color="auto" w:sz="4" w:space="0"/>
              <w:bottom w:val="single" w:color="auto" w:sz="4" w:space="0"/>
              <w:right w:val="single" w:color="auto" w:sz="4" w:space="0"/>
            </w:tcBorders>
            <w:vAlign w:val="center"/>
          </w:tcPr>
          <w:p w14:paraId="5FBC82C1">
            <w:pPr>
              <w:widowControl/>
              <w:tabs>
                <w:tab w:val="clear" w:pos="480"/>
              </w:tabs>
              <w:spacing w:line="240" w:lineRule="auto"/>
              <w:ind w:firstLine="0" w:firstLineChars="0"/>
              <w:jc w:val="left"/>
              <w:rPr>
                <w:b/>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5DF10F76">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监测值</w:t>
            </w:r>
          </w:p>
        </w:tc>
        <w:tc>
          <w:tcPr>
            <w:tcW w:w="687" w:type="pct"/>
            <w:tcBorders>
              <w:top w:val="single" w:color="auto" w:sz="4" w:space="0"/>
              <w:left w:val="single" w:color="auto" w:sz="4" w:space="0"/>
              <w:bottom w:val="single" w:color="auto" w:sz="4" w:space="0"/>
              <w:right w:val="single" w:color="auto" w:sz="4" w:space="0"/>
            </w:tcBorders>
            <w:vAlign w:val="center"/>
          </w:tcPr>
          <w:p w14:paraId="03EB0A8C">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标准值</w:t>
            </w:r>
          </w:p>
        </w:tc>
        <w:tc>
          <w:tcPr>
            <w:tcW w:w="687" w:type="pct"/>
            <w:tcBorders>
              <w:top w:val="single" w:color="auto" w:sz="4" w:space="0"/>
              <w:left w:val="single" w:color="auto" w:sz="4" w:space="0"/>
              <w:bottom w:val="single" w:color="auto" w:sz="4" w:space="0"/>
              <w:right w:val="single" w:color="auto" w:sz="4" w:space="0"/>
            </w:tcBorders>
            <w:vAlign w:val="center"/>
          </w:tcPr>
          <w:p w14:paraId="6B0046D1">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监测值</w:t>
            </w:r>
          </w:p>
        </w:tc>
        <w:tc>
          <w:tcPr>
            <w:tcW w:w="688" w:type="pct"/>
            <w:tcBorders>
              <w:top w:val="single" w:color="auto" w:sz="4" w:space="0"/>
              <w:left w:val="single" w:color="auto" w:sz="4" w:space="0"/>
              <w:bottom w:val="single" w:color="auto" w:sz="4" w:space="0"/>
              <w:right w:val="single" w:color="auto" w:sz="12" w:space="0"/>
            </w:tcBorders>
            <w:vAlign w:val="center"/>
          </w:tcPr>
          <w:p w14:paraId="04A9B558">
            <w:pPr>
              <w:tabs>
                <w:tab w:val="clear" w:pos="480"/>
              </w:tabs>
              <w:adjustRightInd w:val="0"/>
              <w:spacing w:line="240" w:lineRule="auto"/>
              <w:ind w:firstLine="0" w:firstLineChars="0"/>
              <w:jc w:val="center"/>
              <w:rPr>
                <w:b/>
                <w:kern w:val="0"/>
                <w:sz w:val="21"/>
                <w:szCs w:val="21"/>
              </w:rPr>
            </w:pPr>
            <w:r>
              <w:rPr>
                <w:rFonts w:ascii="宋体" w:hAnsi="宋体"/>
                <w:b/>
                <w:kern w:val="0"/>
                <w:sz w:val="21"/>
                <w:szCs w:val="21"/>
              </w:rPr>
              <w:t>标准值</w:t>
            </w:r>
          </w:p>
        </w:tc>
      </w:tr>
      <w:tr w14:paraId="55231E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629" w:type="pct"/>
            <w:vMerge w:val="restart"/>
            <w:tcBorders>
              <w:top w:val="single" w:color="auto" w:sz="4" w:space="0"/>
              <w:left w:val="single" w:color="auto" w:sz="12" w:space="0"/>
              <w:bottom w:val="single" w:color="auto" w:sz="4" w:space="0"/>
              <w:right w:val="single" w:color="auto" w:sz="4" w:space="0"/>
            </w:tcBorders>
            <w:vAlign w:val="center"/>
          </w:tcPr>
          <w:p w14:paraId="47FB1366">
            <w:pPr>
              <w:tabs>
                <w:tab w:val="clear" w:pos="480"/>
              </w:tabs>
              <w:adjustRightInd w:val="0"/>
              <w:spacing w:line="240" w:lineRule="auto"/>
              <w:ind w:firstLine="0" w:firstLineChars="0"/>
              <w:jc w:val="center"/>
              <w:rPr>
                <w:bCs/>
                <w:kern w:val="0"/>
                <w:sz w:val="21"/>
                <w:szCs w:val="21"/>
              </w:rPr>
            </w:pPr>
            <w:r>
              <w:rPr>
                <w:bCs/>
                <w:kern w:val="0"/>
                <w:sz w:val="21"/>
                <w:szCs w:val="21"/>
              </w:rPr>
              <w:t>2022.3.18</w:t>
            </w:r>
          </w:p>
        </w:tc>
        <w:tc>
          <w:tcPr>
            <w:tcW w:w="1060" w:type="pct"/>
            <w:vMerge w:val="restart"/>
            <w:tcBorders>
              <w:top w:val="single" w:color="auto" w:sz="4" w:space="0"/>
              <w:left w:val="single" w:color="auto" w:sz="4" w:space="0"/>
              <w:bottom w:val="single" w:color="auto" w:sz="4" w:space="0"/>
              <w:right w:val="single" w:color="auto" w:sz="4" w:space="0"/>
            </w:tcBorders>
            <w:vAlign w:val="center"/>
          </w:tcPr>
          <w:p w14:paraId="06241117">
            <w:pPr>
              <w:tabs>
                <w:tab w:val="clear" w:pos="480"/>
              </w:tabs>
              <w:adjustRightInd w:val="0"/>
              <w:spacing w:line="240" w:lineRule="auto"/>
              <w:ind w:firstLine="0" w:firstLineChars="0"/>
              <w:jc w:val="center"/>
              <w:rPr>
                <w:bCs/>
                <w:kern w:val="0"/>
                <w:sz w:val="21"/>
                <w:szCs w:val="21"/>
              </w:rPr>
            </w:pPr>
            <w:r>
              <w:rPr>
                <w:rFonts w:ascii="宋体" w:hAnsi="宋体"/>
                <w:bCs/>
                <w:kern w:val="0"/>
                <w:sz w:val="21"/>
                <w:szCs w:val="21"/>
              </w:rPr>
              <w:t>厂界</w:t>
            </w:r>
          </w:p>
        </w:tc>
        <w:tc>
          <w:tcPr>
            <w:tcW w:w="562" w:type="pct"/>
            <w:tcBorders>
              <w:top w:val="single" w:color="auto" w:sz="4" w:space="0"/>
              <w:left w:val="single" w:color="auto" w:sz="4" w:space="0"/>
              <w:bottom w:val="single" w:color="auto" w:sz="4" w:space="0"/>
              <w:right w:val="single" w:color="auto" w:sz="4" w:space="0"/>
            </w:tcBorders>
            <w:vAlign w:val="center"/>
          </w:tcPr>
          <w:p w14:paraId="30B05B73">
            <w:pPr>
              <w:tabs>
                <w:tab w:val="clear" w:pos="480"/>
              </w:tabs>
              <w:adjustRightInd w:val="0"/>
              <w:spacing w:line="240" w:lineRule="auto"/>
              <w:ind w:firstLine="0" w:firstLineChars="0"/>
              <w:jc w:val="center"/>
              <w:rPr>
                <w:bCs/>
                <w:kern w:val="0"/>
                <w:sz w:val="21"/>
                <w:szCs w:val="21"/>
              </w:rPr>
            </w:pPr>
            <w:r>
              <w:rPr>
                <w:rFonts w:hint="eastAsia" w:ascii="宋体" w:hAnsi="宋体"/>
                <w:bCs/>
                <w:kern w:val="0"/>
                <w:sz w:val="21"/>
                <w:szCs w:val="21"/>
              </w:rPr>
              <w:t>东</w:t>
            </w:r>
            <w:r>
              <w:rPr>
                <w:rFonts w:ascii="宋体" w:hAnsi="宋体"/>
                <w:bCs/>
                <w:kern w:val="0"/>
                <w:sz w:val="21"/>
                <w:szCs w:val="21"/>
              </w:rPr>
              <w:t>侧</w:t>
            </w:r>
          </w:p>
        </w:tc>
        <w:tc>
          <w:tcPr>
            <w:tcW w:w="687" w:type="pct"/>
            <w:tcBorders>
              <w:top w:val="single" w:color="auto" w:sz="4" w:space="0"/>
              <w:left w:val="single" w:color="auto" w:sz="4" w:space="0"/>
              <w:bottom w:val="single" w:color="auto" w:sz="4" w:space="0"/>
              <w:right w:val="single" w:color="auto" w:sz="4" w:space="0"/>
            </w:tcBorders>
            <w:vAlign w:val="center"/>
          </w:tcPr>
          <w:p w14:paraId="78B1182D">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69.56</w:t>
            </w:r>
          </w:p>
        </w:tc>
        <w:tc>
          <w:tcPr>
            <w:tcW w:w="687" w:type="pct"/>
            <w:vMerge w:val="restart"/>
            <w:tcBorders>
              <w:top w:val="single" w:color="auto" w:sz="4" w:space="0"/>
              <w:left w:val="single" w:color="auto" w:sz="4" w:space="0"/>
              <w:bottom w:val="single" w:color="auto" w:sz="4" w:space="0"/>
              <w:right w:val="single" w:color="auto" w:sz="4" w:space="0"/>
            </w:tcBorders>
            <w:vAlign w:val="center"/>
          </w:tcPr>
          <w:p w14:paraId="3CF9688A">
            <w:pPr>
              <w:tabs>
                <w:tab w:val="clear" w:pos="480"/>
              </w:tabs>
              <w:adjustRightInd w:val="0"/>
              <w:spacing w:line="240" w:lineRule="auto"/>
              <w:ind w:firstLine="0" w:firstLineChars="0"/>
              <w:jc w:val="center"/>
              <w:rPr>
                <w:bCs/>
                <w:kern w:val="0"/>
                <w:sz w:val="21"/>
                <w:szCs w:val="21"/>
              </w:rPr>
            </w:pPr>
            <w:r>
              <w:rPr>
                <w:bCs/>
                <w:kern w:val="0"/>
                <w:sz w:val="21"/>
                <w:szCs w:val="21"/>
              </w:rPr>
              <w:t>4000</w:t>
            </w:r>
          </w:p>
        </w:tc>
        <w:tc>
          <w:tcPr>
            <w:tcW w:w="687" w:type="pct"/>
            <w:tcBorders>
              <w:top w:val="single" w:color="auto" w:sz="4" w:space="0"/>
              <w:left w:val="single" w:color="auto" w:sz="4" w:space="0"/>
              <w:bottom w:val="single" w:color="auto" w:sz="4" w:space="0"/>
              <w:right w:val="single" w:color="auto" w:sz="4" w:space="0"/>
            </w:tcBorders>
            <w:vAlign w:val="center"/>
          </w:tcPr>
          <w:p w14:paraId="472C4914">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.1721</w:t>
            </w:r>
          </w:p>
        </w:tc>
        <w:tc>
          <w:tcPr>
            <w:tcW w:w="688" w:type="pct"/>
            <w:vMerge w:val="restart"/>
            <w:tcBorders>
              <w:top w:val="single" w:color="auto" w:sz="4" w:space="0"/>
              <w:left w:val="single" w:color="auto" w:sz="4" w:space="0"/>
              <w:bottom w:val="single" w:color="auto" w:sz="4" w:space="0"/>
              <w:right w:val="single" w:color="auto" w:sz="12" w:space="0"/>
            </w:tcBorders>
            <w:vAlign w:val="center"/>
          </w:tcPr>
          <w:p w14:paraId="08FC6108">
            <w:pPr>
              <w:tabs>
                <w:tab w:val="clear" w:pos="480"/>
              </w:tabs>
              <w:adjustRightInd w:val="0"/>
              <w:spacing w:line="240" w:lineRule="auto"/>
              <w:ind w:firstLine="0" w:firstLineChars="0"/>
              <w:jc w:val="center"/>
              <w:rPr>
                <w:bCs/>
                <w:kern w:val="0"/>
                <w:sz w:val="21"/>
                <w:szCs w:val="21"/>
              </w:rPr>
            </w:pPr>
            <w:r>
              <w:rPr>
                <w:bCs/>
                <w:kern w:val="0"/>
                <w:sz w:val="21"/>
                <w:szCs w:val="21"/>
              </w:rPr>
              <w:t>100</w:t>
            </w:r>
          </w:p>
        </w:tc>
      </w:tr>
      <w:tr w14:paraId="7AB965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3F5380CF">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181620A">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5B9ACF21">
            <w:pPr>
              <w:tabs>
                <w:tab w:val="clear" w:pos="480"/>
              </w:tabs>
              <w:adjustRightInd w:val="0"/>
              <w:spacing w:line="240" w:lineRule="auto"/>
              <w:ind w:firstLine="0" w:firstLineChars="0"/>
              <w:jc w:val="center"/>
              <w:rPr>
                <w:bCs/>
                <w:kern w:val="0"/>
                <w:sz w:val="21"/>
                <w:szCs w:val="21"/>
              </w:rPr>
            </w:pPr>
            <w:r>
              <w:rPr>
                <w:rFonts w:hint="eastAsia" w:ascii="宋体" w:hAnsi="宋体"/>
                <w:bCs/>
                <w:kern w:val="0"/>
                <w:sz w:val="21"/>
                <w:szCs w:val="21"/>
              </w:rPr>
              <w:t>南侧</w:t>
            </w:r>
          </w:p>
        </w:tc>
        <w:tc>
          <w:tcPr>
            <w:tcW w:w="687" w:type="pct"/>
            <w:tcBorders>
              <w:top w:val="single" w:color="auto" w:sz="4" w:space="0"/>
              <w:left w:val="single" w:color="auto" w:sz="4" w:space="0"/>
              <w:bottom w:val="single" w:color="auto" w:sz="4" w:space="0"/>
              <w:right w:val="single" w:color="auto" w:sz="4" w:space="0"/>
            </w:tcBorders>
            <w:vAlign w:val="center"/>
          </w:tcPr>
          <w:p w14:paraId="5D09195A">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8.73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11E7A5F">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49495ED6">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.0208</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1EC806CB">
            <w:pPr>
              <w:widowControl/>
              <w:tabs>
                <w:tab w:val="clear" w:pos="480"/>
              </w:tabs>
              <w:spacing w:line="240" w:lineRule="auto"/>
              <w:ind w:firstLine="0" w:firstLineChars="0"/>
              <w:jc w:val="left"/>
              <w:rPr>
                <w:bCs/>
                <w:kern w:val="0"/>
                <w:sz w:val="21"/>
                <w:szCs w:val="21"/>
              </w:rPr>
            </w:pPr>
          </w:p>
        </w:tc>
      </w:tr>
      <w:tr w14:paraId="71246E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3574CB9C">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CB3DE63">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7B675713">
            <w:pPr>
              <w:tabs>
                <w:tab w:val="clear" w:pos="480"/>
              </w:tabs>
              <w:adjustRightInd w:val="0"/>
              <w:spacing w:line="240" w:lineRule="auto"/>
              <w:ind w:firstLine="0" w:firstLineChars="0"/>
              <w:jc w:val="center"/>
              <w:rPr>
                <w:bCs/>
                <w:kern w:val="0"/>
                <w:sz w:val="21"/>
                <w:szCs w:val="21"/>
              </w:rPr>
            </w:pPr>
            <w:r>
              <w:rPr>
                <w:rFonts w:hint="eastAsia" w:ascii="宋体" w:hAnsi="宋体"/>
                <w:bCs/>
                <w:kern w:val="0"/>
                <w:sz w:val="21"/>
                <w:szCs w:val="21"/>
              </w:rPr>
              <w:t>西</w:t>
            </w:r>
            <w:r>
              <w:rPr>
                <w:rFonts w:ascii="宋体" w:hAnsi="宋体"/>
                <w:bCs/>
                <w:kern w:val="0"/>
                <w:sz w:val="21"/>
                <w:szCs w:val="21"/>
              </w:rPr>
              <w:t>侧</w:t>
            </w:r>
          </w:p>
        </w:tc>
        <w:tc>
          <w:tcPr>
            <w:tcW w:w="687" w:type="pct"/>
            <w:tcBorders>
              <w:top w:val="single" w:color="auto" w:sz="4" w:space="0"/>
              <w:left w:val="single" w:color="auto" w:sz="4" w:space="0"/>
              <w:bottom w:val="single" w:color="auto" w:sz="4" w:space="0"/>
              <w:right w:val="single" w:color="auto" w:sz="4" w:space="0"/>
            </w:tcBorders>
            <w:vAlign w:val="center"/>
          </w:tcPr>
          <w:p w14:paraId="46846F4F">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.27</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1AF09D5">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13190BF2">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.0086</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42EBF50B">
            <w:pPr>
              <w:widowControl/>
              <w:tabs>
                <w:tab w:val="clear" w:pos="480"/>
              </w:tabs>
              <w:spacing w:line="240" w:lineRule="auto"/>
              <w:ind w:firstLine="0" w:firstLineChars="0"/>
              <w:jc w:val="left"/>
              <w:rPr>
                <w:bCs/>
                <w:kern w:val="0"/>
                <w:sz w:val="21"/>
                <w:szCs w:val="21"/>
              </w:rPr>
            </w:pPr>
          </w:p>
        </w:tc>
      </w:tr>
      <w:tr w14:paraId="10904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1DA9635C">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65587FB">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1A4E6D92">
            <w:pPr>
              <w:tabs>
                <w:tab w:val="clear" w:pos="480"/>
              </w:tabs>
              <w:adjustRightInd w:val="0"/>
              <w:spacing w:line="240" w:lineRule="auto"/>
              <w:ind w:firstLine="0" w:firstLineChars="0"/>
              <w:jc w:val="center"/>
              <w:rPr>
                <w:bCs/>
                <w:kern w:val="0"/>
                <w:sz w:val="21"/>
                <w:szCs w:val="21"/>
              </w:rPr>
            </w:pPr>
            <w:r>
              <w:rPr>
                <w:rFonts w:hint="eastAsia" w:ascii="宋体" w:hAnsi="宋体"/>
                <w:bCs/>
                <w:kern w:val="0"/>
                <w:sz w:val="21"/>
                <w:szCs w:val="21"/>
              </w:rPr>
              <w:t>北</w:t>
            </w:r>
            <w:r>
              <w:rPr>
                <w:rFonts w:ascii="宋体" w:hAnsi="宋体"/>
                <w:bCs/>
                <w:kern w:val="0"/>
                <w:sz w:val="21"/>
                <w:szCs w:val="21"/>
              </w:rPr>
              <w:t>侧</w:t>
            </w:r>
          </w:p>
        </w:tc>
        <w:tc>
          <w:tcPr>
            <w:tcW w:w="687" w:type="pct"/>
            <w:tcBorders>
              <w:top w:val="single" w:color="auto" w:sz="4" w:space="0"/>
              <w:left w:val="single" w:color="auto" w:sz="4" w:space="0"/>
              <w:bottom w:val="single" w:color="auto" w:sz="4" w:space="0"/>
              <w:right w:val="single" w:color="auto" w:sz="4" w:space="0"/>
            </w:tcBorders>
            <w:vAlign w:val="center"/>
          </w:tcPr>
          <w:p w14:paraId="4DCE3528">
            <w:pPr>
              <w:tabs>
                <w:tab w:val="clear" w:pos="480"/>
              </w:tabs>
              <w:adjustRightInd w:val="0"/>
              <w:spacing w:line="240" w:lineRule="auto"/>
              <w:ind w:firstLine="0" w:firstLineChars="0"/>
              <w:jc w:val="center"/>
              <w:rPr>
                <w:bCs/>
                <w:kern w:val="0"/>
                <w:sz w:val="21"/>
                <w:szCs w:val="21"/>
              </w:rPr>
            </w:pPr>
            <w:r>
              <w:rPr>
                <w:rFonts w:hint="eastAsia"/>
                <w:bCs/>
                <w:kern w:val="0"/>
                <w:sz w:val="21"/>
                <w:szCs w:val="21"/>
              </w:rPr>
              <w:t>4</w:t>
            </w:r>
            <w:r>
              <w:rPr>
                <w:bCs/>
                <w:kern w:val="0"/>
                <w:sz w:val="21"/>
                <w:szCs w:val="21"/>
              </w:rPr>
              <w:t>.05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ADA256E">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1DDAEE5D">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.0083</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72F733EF">
            <w:pPr>
              <w:widowControl/>
              <w:tabs>
                <w:tab w:val="clear" w:pos="480"/>
              </w:tabs>
              <w:spacing w:line="240" w:lineRule="auto"/>
              <w:ind w:firstLine="0" w:firstLineChars="0"/>
              <w:jc w:val="left"/>
              <w:rPr>
                <w:bCs/>
                <w:kern w:val="0"/>
                <w:sz w:val="21"/>
                <w:szCs w:val="21"/>
              </w:rPr>
            </w:pPr>
          </w:p>
        </w:tc>
      </w:tr>
      <w:tr w14:paraId="6EAE25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09661AB5">
            <w:pPr>
              <w:widowControl/>
              <w:tabs>
                <w:tab w:val="clear" w:pos="480"/>
              </w:tabs>
              <w:spacing w:line="240" w:lineRule="auto"/>
              <w:ind w:firstLine="0" w:firstLineChars="0"/>
              <w:jc w:val="left"/>
              <w:rPr>
                <w:bCs/>
                <w:kern w:val="0"/>
                <w:sz w:val="21"/>
                <w:szCs w:val="21"/>
              </w:rPr>
            </w:pPr>
          </w:p>
        </w:tc>
        <w:tc>
          <w:tcPr>
            <w:tcW w:w="1060" w:type="pct"/>
            <w:vMerge w:val="restart"/>
            <w:tcBorders>
              <w:top w:val="single" w:color="auto" w:sz="4" w:space="0"/>
              <w:left w:val="single" w:color="auto" w:sz="4" w:space="0"/>
              <w:bottom w:val="single" w:color="auto" w:sz="4" w:space="0"/>
              <w:right w:val="single" w:color="auto" w:sz="4" w:space="0"/>
            </w:tcBorders>
            <w:vAlign w:val="center"/>
          </w:tcPr>
          <w:p w14:paraId="2D1B59D6">
            <w:pPr>
              <w:tabs>
                <w:tab w:val="clear" w:pos="480"/>
              </w:tabs>
              <w:adjustRightInd w:val="0"/>
              <w:spacing w:line="240" w:lineRule="auto"/>
              <w:ind w:firstLine="0" w:firstLineChars="0"/>
              <w:jc w:val="center"/>
              <w:rPr>
                <w:bCs/>
                <w:kern w:val="0"/>
                <w:sz w:val="21"/>
                <w:szCs w:val="21"/>
              </w:rPr>
            </w:pPr>
            <w:r>
              <w:rPr>
                <w:rFonts w:hint="eastAsia" w:ascii="宋体" w:hAnsi="宋体"/>
                <w:bCs/>
                <w:kern w:val="0"/>
                <w:sz w:val="21"/>
                <w:szCs w:val="21"/>
              </w:rPr>
              <w:t>升压站南侧厂界外监测断面</w:t>
            </w:r>
          </w:p>
        </w:tc>
        <w:tc>
          <w:tcPr>
            <w:tcW w:w="562" w:type="pct"/>
            <w:tcBorders>
              <w:top w:val="single" w:color="auto" w:sz="4" w:space="0"/>
              <w:left w:val="single" w:color="auto" w:sz="4" w:space="0"/>
              <w:bottom w:val="single" w:color="auto" w:sz="4" w:space="0"/>
              <w:right w:val="single" w:color="auto" w:sz="4" w:space="0"/>
            </w:tcBorders>
            <w:vAlign w:val="center"/>
          </w:tcPr>
          <w:p w14:paraId="0D52368B">
            <w:pPr>
              <w:tabs>
                <w:tab w:val="clear" w:pos="480"/>
              </w:tabs>
              <w:adjustRightInd w:val="0"/>
              <w:spacing w:line="240" w:lineRule="auto"/>
              <w:ind w:firstLine="0" w:firstLineChars="0"/>
              <w:jc w:val="center"/>
              <w:rPr>
                <w:bCs/>
                <w:kern w:val="0"/>
                <w:sz w:val="21"/>
                <w:szCs w:val="21"/>
              </w:rPr>
            </w:pPr>
            <w:r>
              <w:rPr>
                <w:bCs/>
                <w:kern w:val="0"/>
                <w:sz w:val="21"/>
                <w:szCs w:val="21"/>
              </w:rPr>
              <w:t>5m</w:t>
            </w:r>
          </w:p>
        </w:tc>
        <w:tc>
          <w:tcPr>
            <w:tcW w:w="687" w:type="pct"/>
            <w:tcBorders>
              <w:top w:val="single" w:color="auto" w:sz="4" w:space="0"/>
              <w:left w:val="single" w:color="auto" w:sz="4" w:space="0"/>
              <w:bottom w:val="single" w:color="auto" w:sz="4" w:space="0"/>
              <w:right w:val="single" w:color="auto" w:sz="4" w:space="0"/>
            </w:tcBorders>
            <w:vAlign w:val="center"/>
          </w:tcPr>
          <w:p w14:paraId="26033722">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8.73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466D583">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5819EB57">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.0208</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75663FE5">
            <w:pPr>
              <w:widowControl/>
              <w:tabs>
                <w:tab w:val="clear" w:pos="480"/>
              </w:tabs>
              <w:spacing w:line="240" w:lineRule="auto"/>
              <w:ind w:firstLine="0" w:firstLineChars="0"/>
              <w:jc w:val="left"/>
              <w:rPr>
                <w:bCs/>
                <w:kern w:val="0"/>
                <w:sz w:val="21"/>
                <w:szCs w:val="21"/>
              </w:rPr>
            </w:pPr>
          </w:p>
        </w:tc>
      </w:tr>
      <w:tr w14:paraId="06165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29E0D21A">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0E8F102">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7372B117">
            <w:pPr>
              <w:tabs>
                <w:tab w:val="clear" w:pos="480"/>
              </w:tabs>
              <w:adjustRightInd w:val="0"/>
              <w:spacing w:line="240" w:lineRule="auto"/>
              <w:ind w:firstLine="0" w:firstLineChars="0"/>
              <w:jc w:val="center"/>
              <w:rPr>
                <w:bCs/>
                <w:kern w:val="0"/>
                <w:sz w:val="21"/>
                <w:szCs w:val="21"/>
              </w:rPr>
            </w:pPr>
            <w:r>
              <w:rPr>
                <w:bCs/>
                <w:kern w:val="0"/>
                <w:sz w:val="21"/>
                <w:szCs w:val="21"/>
              </w:rPr>
              <w:t>10m</w:t>
            </w:r>
          </w:p>
        </w:tc>
        <w:tc>
          <w:tcPr>
            <w:tcW w:w="687" w:type="pct"/>
            <w:tcBorders>
              <w:top w:val="single" w:color="auto" w:sz="4" w:space="0"/>
              <w:left w:val="single" w:color="auto" w:sz="4" w:space="0"/>
              <w:bottom w:val="single" w:color="auto" w:sz="4" w:space="0"/>
              <w:right w:val="single" w:color="auto" w:sz="4" w:space="0"/>
            </w:tcBorders>
            <w:vAlign w:val="center"/>
          </w:tcPr>
          <w:p w14:paraId="1200B79E">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9.71</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090F068">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13638E9D">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.0234</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6D62E5CA">
            <w:pPr>
              <w:widowControl/>
              <w:tabs>
                <w:tab w:val="clear" w:pos="480"/>
              </w:tabs>
              <w:spacing w:line="240" w:lineRule="auto"/>
              <w:ind w:firstLine="0" w:firstLineChars="0"/>
              <w:jc w:val="left"/>
              <w:rPr>
                <w:bCs/>
                <w:kern w:val="0"/>
                <w:sz w:val="21"/>
                <w:szCs w:val="21"/>
              </w:rPr>
            </w:pPr>
          </w:p>
        </w:tc>
      </w:tr>
      <w:tr w14:paraId="433D0B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233573D4">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4A95F7C">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00C0FF3A">
            <w:pPr>
              <w:tabs>
                <w:tab w:val="clear" w:pos="480"/>
              </w:tabs>
              <w:adjustRightInd w:val="0"/>
              <w:spacing w:line="240" w:lineRule="auto"/>
              <w:ind w:firstLine="0" w:firstLineChars="0"/>
              <w:jc w:val="center"/>
              <w:rPr>
                <w:bCs/>
                <w:kern w:val="0"/>
                <w:sz w:val="21"/>
                <w:szCs w:val="21"/>
              </w:rPr>
            </w:pPr>
            <w:r>
              <w:rPr>
                <w:bCs/>
                <w:kern w:val="0"/>
                <w:sz w:val="21"/>
                <w:szCs w:val="21"/>
              </w:rPr>
              <w:t>15m</w:t>
            </w:r>
          </w:p>
        </w:tc>
        <w:tc>
          <w:tcPr>
            <w:tcW w:w="687" w:type="pct"/>
            <w:tcBorders>
              <w:top w:val="single" w:color="auto" w:sz="4" w:space="0"/>
              <w:left w:val="single" w:color="auto" w:sz="4" w:space="0"/>
              <w:bottom w:val="single" w:color="auto" w:sz="4" w:space="0"/>
              <w:right w:val="single" w:color="auto" w:sz="4" w:space="0"/>
            </w:tcBorders>
            <w:vAlign w:val="center"/>
          </w:tcPr>
          <w:p w14:paraId="070C0C1F">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9.66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439AFA4">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64141CA0">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.0232</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729B19E3">
            <w:pPr>
              <w:widowControl/>
              <w:tabs>
                <w:tab w:val="clear" w:pos="480"/>
              </w:tabs>
              <w:spacing w:line="240" w:lineRule="auto"/>
              <w:ind w:firstLine="0" w:firstLineChars="0"/>
              <w:jc w:val="left"/>
              <w:rPr>
                <w:bCs/>
                <w:kern w:val="0"/>
                <w:sz w:val="21"/>
                <w:szCs w:val="21"/>
              </w:rPr>
            </w:pPr>
          </w:p>
        </w:tc>
      </w:tr>
      <w:tr w14:paraId="1ABD14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17F4FEFB">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CE69995">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259EBE06">
            <w:pPr>
              <w:tabs>
                <w:tab w:val="clear" w:pos="480"/>
              </w:tabs>
              <w:adjustRightInd w:val="0"/>
              <w:spacing w:line="240" w:lineRule="auto"/>
              <w:ind w:firstLine="0" w:firstLineChars="0"/>
              <w:jc w:val="center"/>
              <w:rPr>
                <w:bCs/>
                <w:kern w:val="0"/>
                <w:sz w:val="21"/>
                <w:szCs w:val="21"/>
              </w:rPr>
            </w:pPr>
            <w:r>
              <w:rPr>
                <w:bCs/>
                <w:kern w:val="0"/>
                <w:sz w:val="21"/>
                <w:szCs w:val="21"/>
              </w:rPr>
              <w:t>20m</w:t>
            </w:r>
          </w:p>
        </w:tc>
        <w:tc>
          <w:tcPr>
            <w:tcW w:w="687" w:type="pct"/>
            <w:tcBorders>
              <w:top w:val="single" w:color="auto" w:sz="4" w:space="0"/>
              <w:left w:val="single" w:color="auto" w:sz="4" w:space="0"/>
              <w:bottom w:val="single" w:color="auto" w:sz="4" w:space="0"/>
              <w:right w:val="single" w:color="auto" w:sz="4" w:space="0"/>
            </w:tcBorders>
            <w:vAlign w:val="center"/>
          </w:tcPr>
          <w:p w14:paraId="55ECBE4D">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8.93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64D6CCE">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13541D10">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.0258</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1CEBBCF7">
            <w:pPr>
              <w:widowControl/>
              <w:tabs>
                <w:tab w:val="clear" w:pos="480"/>
              </w:tabs>
              <w:spacing w:line="240" w:lineRule="auto"/>
              <w:ind w:firstLine="0" w:firstLineChars="0"/>
              <w:jc w:val="left"/>
              <w:rPr>
                <w:bCs/>
                <w:kern w:val="0"/>
                <w:sz w:val="21"/>
                <w:szCs w:val="21"/>
              </w:rPr>
            </w:pPr>
          </w:p>
        </w:tc>
      </w:tr>
      <w:tr w14:paraId="2C254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62C8DC0D">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EAEBF3B">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20EB127A">
            <w:pPr>
              <w:tabs>
                <w:tab w:val="clear" w:pos="480"/>
              </w:tabs>
              <w:adjustRightInd w:val="0"/>
              <w:spacing w:line="240" w:lineRule="auto"/>
              <w:ind w:firstLine="0" w:firstLineChars="0"/>
              <w:jc w:val="center"/>
              <w:rPr>
                <w:bCs/>
                <w:kern w:val="0"/>
                <w:sz w:val="21"/>
                <w:szCs w:val="21"/>
              </w:rPr>
            </w:pPr>
            <w:r>
              <w:rPr>
                <w:bCs/>
                <w:kern w:val="0"/>
                <w:sz w:val="21"/>
                <w:szCs w:val="21"/>
              </w:rPr>
              <w:t>25m</w:t>
            </w:r>
          </w:p>
        </w:tc>
        <w:tc>
          <w:tcPr>
            <w:tcW w:w="687" w:type="pct"/>
            <w:tcBorders>
              <w:top w:val="single" w:color="auto" w:sz="4" w:space="0"/>
              <w:left w:val="single" w:color="auto" w:sz="4" w:space="0"/>
              <w:bottom w:val="single" w:color="auto" w:sz="4" w:space="0"/>
              <w:right w:val="single" w:color="auto" w:sz="4" w:space="0"/>
            </w:tcBorders>
            <w:vAlign w:val="center"/>
          </w:tcPr>
          <w:p w14:paraId="75309634">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5.07</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3FF3875">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5125CC2D">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.0252</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3216B4DD">
            <w:pPr>
              <w:widowControl/>
              <w:tabs>
                <w:tab w:val="clear" w:pos="480"/>
              </w:tabs>
              <w:spacing w:line="240" w:lineRule="auto"/>
              <w:ind w:firstLine="0" w:firstLineChars="0"/>
              <w:jc w:val="left"/>
              <w:rPr>
                <w:bCs/>
                <w:kern w:val="0"/>
                <w:sz w:val="21"/>
                <w:szCs w:val="21"/>
              </w:rPr>
            </w:pPr>
          </w:p>
        </w:tc>
      </w:tr>
      <w:tr w14:paraId="12337E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2CF92F94">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EA3125C">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01044C36">
            <w:pPr>
              <w:tabs>
                <w:tab w:val="clear" w:pos="480"/>
              </w:tabs>
              <w:adjustRightInd w:val="0"/>
              <w:spacing w:line="240" w:lineRule="auto"/>
              <w:ind w:firstLine="0" w:firstLineChars="0"/>
              <w:jc w:val="center"/>
              <w:rPr>
                <w:bCs/>
                <w:kern w:val="0"/>
                <w:sz w:val="21"/>
                <w:szCs w:val="21"/>
              </w:rPr>
            </w:pPr>
            <w:r>
              <w:rPr>
                <w:bCs/>
                <w:kern w:val="0"/>
                <w:sz w:val="21"/>
                <w:szCs w:val="21"/>
              </w:rPr>
              <w:t>30m</w:t>
            </w:r>
          </w:p>
        </w:tc>
        <w:tc>
          <w:tcPr>
            <w:tcW w:w="687" w:type="pct"/>
            <w:tcBorders>
              <w:top w:val="single" w:color="auto" w:sz="4" w:space="0"/>
              <w:left w:val="single" w:color="auto" w:sz="4" w:space="0"/>
              <w:bottom w:val="single" w:color="auto" w:sz="4" w:space="0"/>
              <w:right w:val="single" w:color="auto" w:sz="4" w:space="0"/>
            </w:tcBorders>
            <w:vAlign w:val="center"/>
          </w:tcPr>
          <w:p w14:paraId="1CEC5F9A">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1.74</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31C6253">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62F4E527">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.0241</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6807E6F0">
            <w:pPr>
              <w:widowControl/>
              <w:tabs>
                <w:tab w:val="clear" w:pos="480"/>
              </w:tabs>
              <w:spacing w:line="240" w:lineRule="auto"/>
              <w:ind w:firstLine="0" w:firstLineChars="0"/>
              <w:jc w:val="left"/>
              <w:rPr>
                <w:bCs/>
                <w:kern w:val="0"/>
                <w:sz w:val="21"/>
                <w:szCs w:val="21"/>
              </w:rPr>
            </w:pPr>
          </w:p>
        </w:tc>
      </w:tr>
      <w:tr w14:paraId="325D30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5C8B8AC4">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0577856">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66B07419">
            <w:pPr>
              <w:tabs>
                <w:tab w:val="clear" w:pos="480"/>
              </w:tabs>
              <w:adjustRightInd w:val="0"/>
              <w:spacing w:line="240" w:lineRule="auto"/>
              <w:ind w:firstLine="0" w:firstLineChars="0"/>
              <w:jc w:val="center"/>
              <w:rPr>
                <w:bCs/>
                <w:kern w:val="0"/>
                <w:sz w:val="21"/>
                <w:szCs w:val="21"/>
              </w:rPr>
            </w:pPr>
            <w:r>
              <w:rPr>
                <w:rFonts w:hint="eastAsia"/>
                <w:bCs/>
                <w:kern w:val="0"/>
                <w:sz w:val="21"/>
                <w:szCs w:val="21"/>
              </w:rPr>
              <w:t>35m</w:t>
            </w:r>
          </w:p>
        </w:tc>
        <w:tc>
          <w:tcPr>
            <w:tcW w:w="687" w:type="pct"/>
            <w:tcBorders>
              <w:top w:val="single" w:color="auto" w:sz="4" w:space="0"/>
              <w:left w:val="single" w:color="auto" w:sz="4" w:space="0"/>
              <w:bottom w:val="single" w:color="auto" w:sz="4" w:space="0"/>
              <w:right w:val="single" w:color="auto" w:sz="4" w:space="0"/>
            </w:tcBorders>
            <w:vAlign w:val="center"/>
          </w:tcPr>
          <w:p w14:paraId="1A62E2D6">
            <w:pPr>
              <w:tabs>
                <w:tab w:val="clear" w:pos="480"/>
              </w:tabs>
              <w:adjustRightInd w:val="0"/>
              <w:spacing w:line="240" w:lineRule="auto"/>
              <w:ind w:firstLine="0" w:firstLineChars="0"/>
              <w:jc w:val="center"/>
              <w:rPr>
                <w:bCs/>
                <w:kern w:val="0"/>
                <w:sz w:val="21"/>
                <w:szCs w:val="21"/>
              </w:rPr>
            </w:pPr>
            <w:r>
              <w:rPr>
                <w:rFonts w:hint="eastAsia"/>
                <w:bCs/>
                <w:kern w:val="0"/>
                <w:sz w:val="21"/>
                <w:szCs w:val="21"/>
              </w:rPr>
              <w:t>1</w:t>
            </w:r>
            <w:r>
              <w:rPr>
                <w:bCs/>
                <w:kern w:val="0"/>
                <w:sz w:val="21"/>
                <w:szCs w:val="21"/>
              </w:rPr>
              <w:t>0.51</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EA4F9F7">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7A166AD8">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.0248</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490DD2CF">
            <w:pPr>
              <w:widowControl/>
              <w:tabs>
                <w:tab w:val="clear" w:pos="480"/>
              </w:tabs>
              <w:spacing w:line="240" w:lineRule="auto"/>
              <w:ind w:firstLine="0" w:firstLineChars="0"/>
              <w:jc w:val="left"/>
              <w:rPr>
                <w:bCs/>
                <w:kern w:val="0"/>
                <w:sz w:val="21"/>
                <w:szCs w:val="21"/>
              </w:rPr>
            </w:pPr>
          </w:p>
        </w:tc>
      </w:tr>
      <w:tr w14:paraId="529510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3C1029E4">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323DD3A">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21EAEC43">
            <w:pPr>
              <w:tabs>
                <w:tab w:val="clear" w:pos="480"/>
              </w:tabs>
              <w:adjustRightInd w:val="0"/>
              <w:spacing w:line="240" w:lineRule="auto"/>
              <w:ind w:firstLine="0" w:firstLineChars="0"/>
              <w:jc w:val="center"/>
              <w:rPr>
                <w:bCs/>
                <w:kern w:val="0"/>
                <w:sz w:val="21"/>
                <w:szCs w:val="21"/>
              </w:rPr>
            </w:pPr>
            <w:r>
              <w:rPr>
                <w:bCs/>
                <w:kern w:val="0"/>
                <w:sz w:val="21"/>
                <w:szCs w:val="21"/>
              </w:rPr>
              <w:t>40m</w:t>
            </w:r>
          </w:p>
        </w:tc>
        <w:tc>
          <w:tcPr>
            <w:tcW w:w="687" w:type="pct"/>
            <w:tcBorders>
              <w:top w:val="single" w:color="auto" w:sz="4" w:space="0"/>
              <w:left w:val="single" w:color="auto" w:sz="4" w:space="0"/>
              <w:bottom w:val="single" w:color="auto" w:sz="4" w:space="0"/>
              <w:right w:val="single" w:color="auto" w:sz="4" w:space="0"/>
            </w:tcBorders>
            <w:vAlign w:val="center"/>
          </w:tcPr>
          <w:p w14:paraId="4C769949">
            <w:pPr>
              <w:tabs>
                <w:tab w:val="clear" w:pos="480"/>
              </w:tabs>
              <w:adjustRightInd w:val="0"/>
              <w:spacing w:line="240" w:lineRule="auto"/>
              <w:ind w:firstLine="0" w:firstLineChars="0"/>
              <w:jc w:val="center"/>
              <w:rPr>
                <w:bCs/>
                <w:kern w:val="0"/>
                <w:sz w:val="21"/>
                <w:szCs w:val="21"/>
              </w:rPr>
            </w:pPr>
            <w:r>
              <w:rPr>
                <w:rFonts w:hint="eastAsia"/>
                <w:bCs/>
                <w:kern w:val="0"/>
                <w:sz w:val="21"/>
                <w:szCs w:val="21"/>
              </w:rPr>
              <w:t>8</w:t>
            </w:r>
            <w:r>
              <w:rPr>
                <w:bCs/>
                <w:kern w:val="0"/>
                <w:sz w:val="21"/>
                <w:szCs w:val="21"/>
              </w:rPr>
              <w:t>.77</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CE36247">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3A3E390D">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.0214</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001F79EC">
            <w:pPr>
              <w:widowControl/>
              <w:tabs>
                <w:tab w:val="clear" w:pos="480"/>
              </w:tabs>
              <w:spacing w:line="240" w:lineRule="auto"/>
              <w:ind w:firstLine="0" w:firstLineChars="0"/>
              <w:jc w:val="left"/>
              <w:rPr>
                <w:bCs/>
                <w:kern w:val="0"/>
                <w:sz w:val="21"/>
                <w:szCs w:val="21"/>
              </w:rPr>
            </w:pPr>
          </w:p>
        </w:tc>
      </w:tr>
      <w:tr w14:paraId="459ABD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3B9A6617">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D4B5D1E">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4" w:space="0"/>
              <w:right w:val="single" w:color="auto" w:sz="4" w:space="0"/>
            </w:tcBorders>
            <w:vAlign w:val="center"/>
          </w:tcPr>
          <w:p w14:paraId="3F401CCB">
            <w:pPr>
              <w:tabs>
                <w:tab w:val="clear" w:pos="480"/>
              </w:tabs>
              <w:adjustRightInd w:val="0"/>
              <w:spacing w:line="240" w:lineRule="auto"/>
              <w:ind w:firstLine="0" w:firstLineChars="0"/>
              <w:jc w:val="center"/>
              <w:rPr>
                <w:bCs/>
                <w:kern w:val="0"/>
                <w:sz w:val="21"/>
                <w:szCs w:val="21"/>
              </w:rPr>
            </w:pPr>
            <w:r>
              <w:rPr>
                <w:rFonts w:hint="eastAsia"/>
                <w:bCs/>
                <w:kern w:val="0"/>
                <w:sz w:val="21"/>
                <w:szCs w:val="21"/>
              </w:rPr>
              <w:t>45m</w:t>
            </w:r>
          </w:p>
        </w:tc>
        <w:tc>
          <w:tcPr>
            <w:tcW w:w="687" w:type="pct"/>
            <w:tcBorders>
              <w:top w:val="single" w:color="auto" w:sz="4" w:space="0"/>
              <w:left w:val="single" w:color="auto" w:sz="4" w:space="0"/>
              <w:bottom w:val="single" w:color="auto" w:sz="4" w:space="0"/>
              <w:right w:val="single" w:color="auto" w:sz="4" w:space="0"/>
            </w:tcBorders>
            <w:vAlign w:val="center"/>
          </w:tcPr>
          <w:p w14:paraId="199D69DF">
            <w:pPr>
              <w:tabs>
                <w:tab w:val="clear" w:pos="480"/>
              </w:tabs>
              <w:adjustRightInd w:val="0"/>
              <w:spacing w:line="240" w:lineRule="auto"/>
              <w:ind w:firstLine="0" w:firstLineChars="0"/>
              <w:jc w:val="center"/>
              <w:rPr>
                <w:bCs/>
                <w:kern w:val="0"/>
                <w:sz w:val="21"/>
                <w:szCs w:val="21"/>
              </w:rPr>
            </w:pPr>
            <w:r>
              <w:rPr>
                <w:rFonts w:hint="eastAsia"/>
                <w:bCs/>
                <w:kern w:val="0"/>
                <w:sz w:val="21"/>
                <w:szCs w:val="21"/>
              </w:rPr>
              <w:t>5</w:t>
            </w:r>
            <w:r>
              <w:rPr>
                <w:bCs/>
                <w:kern w:val="0"/>
                <w:sz w:val="21"/>
                <w:szCs w:val="21"/>
              </w:rPr>
              <w:t>.66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6F3467C">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4" w:space="0"/>
              <w:right w:val="single" w:color="auto" w:sz="4" w:space="0"/>
            </w:tcBorders>
            <w:vAlign w:val="center"/>
          </w:tcPr>
          <w:p w14:paraId="7DE3DEE8">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.0236</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29EB5EA6">
            <w:pPr>
              <w:widowControl/>
              <w:tabs>
                <w:tab w:val="clear" w:pos="480"/>
              </w:tabs>
              <w:spacing w:line="240" w:lineRule="auto"/>
              <w:ind w:firstLine="0" w:firstLineChars="0"/>
              <w:jc w:val="left"/>
              <w:rPr>
                <w:bCs/>
                <w:kern w:val="0"/>
                <w:sz w:val="21"/>
                <w:szCs w:val="21"/>
              </w:rPr>
            </w:pPr>
          </w:p>
        </w:tc>
      </w:tr>
      <w:tr w14:paraId="705685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0" w:type="auto"/>
            <w:vMerge w:val="continue"/>
            <w:tcBorders>
              <w:top w:val="single" w:color="auto" w:sz="4" w:space="0"/>
              <w:left w:val="single" w:color="auto" w:sz="12" w:space="0"/>
              <w:bottom w:val="single" w:color="auto" w:sz="4" w:space="0"/>
              <w:right w:val="single" w:color="auto" w:sz="4" w:space="0"/>
            </w:tcBorders>
            <w:vAlign w:val="center"/>
          </w:tcPr>
          <w:p w14:paraId="5C5A3961">
            <w:pPr>
              <w:widowControl/>
              <w:tabs>
                <w:tab w:val="clear" w:pos="480"/>
              </w:tabs>
              <w:spacing w:line="240" w:lineRule="auto"/>
              <w:ind w:firstLine="0" w:firstLineChars="0"/>
              <w:jc w:val="left"/>
              <w:rPr>
                <w:bCs/>
                <w:kern w:val="0"/>
                <w:sz w:val="21"/>
                <w:szCs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C5819E1">
            <w:pPr>
              <w:widowControl/>
              <w:tabs>
                <w:tab w:val="clear" w:pos="480"/>
              </w:tabs>
              <w:spacing w:line="240" w:lineRule="auto"/>
              <w:ind w:firstLine="0" w:firstLineChars="0"/>
              <w:jc w:val="left"/>
              <w:rPr>
                <w:bCs/>
                <w:kern w:val="0"/>
                <w:sz w:val="21"/>
                <w:szCs w:val="21"/>
              </w:rPr>
            </w:pPr>
          </w:p>
        </w:tc>
        <w:tc>
          <w:tcPr>
            <w:tcW w:w="562" w:type="pct"/>
            <w:tcBorders>
              <w:top w:val="single" w:color="auto" w:sz="4" w:space="0"/>
              <w:left w:val="single" w:color="auto" w:sz="4" w:space="0"/>
              <w:bottom w:val="single" w:color="auto" w:sz="12" w:space="0"/>
              <w:right w:val="single" w:color="auto" w:sz="4" w:space="0"/>
            </w:tcBorders>
            <w:vAlign w:val="center"/>
          </w:tcPr>
          <w:p w14:paraId="2AE585D6">
            <w:pPr>
              <w:tabs>
                <w:tab w:val="clear" w:pos="480"/>
              </w:tabs>
              <w:adjustRightInd w:val="0"/>
              <w:spacing w:line="240" w:lineRule="auto"/>
              <w:ind w:firstLine="0" w:firstLineChars="0"/>
              <w:jc w:val="center"/>
              <w:rPr>
                <w:bCs/>
                <w:kern w:val="0"/>
                <w:sz w:val="21"/>
                <w:szCs w:val="21"/>
              </w:rPr>
            </w:pPr>
            <w:r>
              <w:rPr>
                <w:rFonts w:hint="eastAsia"/>
                <w:bCs/>
                <w:kern w:val="0"/>
                <w:sz w:val="21"/>
                <w:szCs w:val="21"/>
              </w:rPr>
              <w:t>50</w:t>
            </w:r>
            <w:r>
              <w:rPr>
                <w:bCs/>
                <w:kern w:val="0"/>
                <w:sz w:val="21"/>
                <w:szCs w:val="21"/>
              </w:rPr>
              <w:t>m</w:t>
            </w:r>
          </w:p>
        </w:tc>
        <w:tc>
          <w:tcPr>
            <w:tcW w:w="687" w:type="pct"/>
            <w:tcBorders>
              <w:top w:val="single" w:color="auto" w:sz="4" w:space="0"/>
              <w:left w:val="single" w:color="auto" w:sz="4" w:space="0"/>
              <w:bottom w:val="single" w:color="auto" w:sz="12" w:space="0"/>
              <w:right w:val="single" w:color="auto" w:sz="4" w:space="0"/>
            </w:tcBorders>
            <w:vAlign w:val="center"/>
          </w:tcPr>
          <w:p w14:paraId="424C25F4">
            <w:pPr>
              <w:tabs>
                <w:tab w:val="clear" w:pos="480"/>
              </w:tabs>
              <w:adjustRightInd w:val="0"/>
              <w:spacing w:line="240" w:lineRule="auto"/>
              <w:ind w:firstLine="0" w:firstLineChars="0"/>
              <w:jc w:val="center"/>
              <w:rPr>
                <w:bCs/>
                <w:kern w:val="0"/>
                <w:sz w:val="21"/>
                <w:szCs w:val="21"/>
              </w:rPr>
            </w:pPr>
            <w:r>
              <w:rPr>
                <w:rFonts w:hint="eastAsia"/>
                <w:bCs/>
                <w:kern w:val="0"/>
                <w:sz w:val="21"/>
                <w:szCs w:val="21"/>
              </w:rPr>
              <w:t>3</w:t>
            </w:r>
            <w:r>
              <w:rPr>
                <w:bCs/>
                <w:kern w:val="0"/>
                <w:sz w:val="21"/>
                <w:szCs w:val="21"/>
              </w:rPr>
              <w:t>.67</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E58D8DB">
            <w:pPr>
              <w:widowControl/>
              <w:tabs>
                <w:tab w:val="clear" w:pos="480"/>
              </w:tabs>
              <w:spacing w:line="240" w:lineRule="auto"/>
              <w:ind w:firstLine="0" w:firstLineChars="0"/>
              <w:jc w:val="left"/>
              <w:rPr>
                <w:bCs/>
                <w:kern w:val="0"/>
                <w:sz w:val="21"/>
                <w:szCs w:val="21"/>
              </w:rPr>
            </w:pPr>
          </w:p>
        </w:tc>
        <w:tc>
          <w:tcPr>
            <w:tcW w:w="687" w:type="pct"/>
            <w:tcBorders>
              <w:top w:val="single" w:color="auto" w:sz="4" w:space="0"/>
              <w:left w:val="single" w:color="auto" w:sz="4" w:space="0"/>
              <w:bottom w:val="single" w:color="auto" w:sz="12" w:space="0"/>
              <w:right w:val="single" w:color="auto" w:sz="4" w:space="0"/>
            </w:tcBorders>
            <w:vAlign w:val="center"/>
          </w:tcPr>
          <w:p w14:paraId="318433E2">
            <w:pPr>
              <w:tabs>
                <w:tab w:val="clear" w:pos="480"/>
              </w:tabs>
              <w:adjustRightInd w:val="0"/>
              <w:spacing w:line="240" w:lineRule="auto"/>
              <w:ind w:firstLine="0" w:firstLineChars="0"/>
              <w:jc w:val="center"/>
              <w:rPr>
                <w:bCs/>
                <w:kern w:val="0"/>
                <w:sz w:val="21"/>
                <w:szCs w:val="21"/>
              </w:rPr>
            </w:pPr>
            <w:r>
              <w:rPr>
                <w:rFonts w:hint="eastAsia"/>
                <w:bCs/>
                <w:kern w:val="0"/>
                <w:sz w:val="21"/>
                <w:szCs w:val="21"/>
              </w:rPr>
              <w:t>0</w:t>
            </w:r>
            <w:r>
              <w:rPr>
                <w:bCs/>
                <w:kern w:val="0"/>
                <w:sz w:val="21"/>
                <w:szCs w:val="21"/>
              </w:rPr>
              <w:t>.0247</w:t>
            </w:r>
          </w:p>
        </w:tc>
        <w:tc>
          <w:tcPr>
            <w:tcW w:w="0" w:type="auto"/>
            <w:vMerge w:val="continue"/>
            <w:tcBorders>
              <w:top w:val="single" w:color="auto" w:sz="4" w:space="0"/>
              <w:left w:val="single" w:color="auto" w:sz="4" w:space="0"/>
              <w:bottom w:val="single" w:color="auto" w:sz="4" w:space="0"/>
              <w:right w:val="single" w:color="auto" w:sz="12" w:space="0"/>
            </w:tcBorders>
            <w:vAlign w:val="center"/>
          </w:tcPr>
          <w:p w14:paraId="37C7355A">
            <w:pPr>
              <w:widowControl/>
              <w:tabs>
                <w:tab w:val="clear" w:pos="480"/>
              </w:tabs>
              <w:spacing w:line="240" w:lineRule="auto"/>
              <w:ind w:firstLine="0" w:firstLineChars="0"/>
              <w:jc w:val="left"/>
              <w:rPr>
                <w:bCs/>
                <w:kern w:val="0"/>
                <w:sz w:val="21"/>
                <w:szCs w:val="21"/>
              </w:rPr>
            </w:pPr>
          </w:p>
        </w:tc>
      </w:tr>
    </w:tbl>
    <w:p w14:paraId="4256F317">
      <w:pPr>
        <w:adjustRightInd w:val="0"/>
        <w:snapToGrid w:val="0"/>
        <w:ind w:firstLine="480"/>
      </w:pPr>
      <w:r>
        <w:t>（6）类比监测结果分析</w:t>
      </w:r>
    </w:p>
    <w:p w14:paraId="1CB8A46E">
      <w:pPr>
        <w:adjustRightInd w:val="0"/>
        <w:snapToGrid w:val="0"/>
        <w:ind w:firstLine="480"/>
      </w:pPr>
      <w:r>
        <w:rPr>
          <w:rFonts w:hint="eastAsia"/>
        </w:rPr>
        <w:t>①</w:t>
      </w:r>
      <w:r>
        <w:t>厂界电磁环境</w:t>
      </w:r>
    </w:p>
    <w:p w14:paraId="7288D917">
      <w:pPr>
        <w:adjustRightInd w:val="0"/>
        <w:snapToGrid w:val="0"/>
        <w:ind w:firstLine="480"/>
      </w:pPr>
      <w:r>
        <w:rPr>
          <w:rFonts w:hint="eastAsia"/>
        </w:rPr>
        <w:t>湖南省沅陵县圣人山风电场</w:t>
      </w:r>
      <w:r>
        <w:t>110kV升压站厂界各监测点工频电场强度监测值为0.27V/m~169.56V/m，工频磁感应强度为0.0083μT~0.1721μT；各监测点位工频电场强度、工频磁感应强度分别满足《电磁环境控制限值》（GB8702-2014）中频率为50Hz公众曝露控制限值4000V/m、100μT的要求。</w:t>
      </w:r>
    </w:p>
    <w:p w14:paraId="06FD2BFD">
      <w:pPr>
        <w:adjustRightInd w:val="0"/>
        <w:snapToGrid w:val="0"/>
        <w:ind w:firstLine="480"/>
      </w:pPr>
      <w:r>
        <w:rPr>
          <w:rFonts w:hint="eastAsia"/>
        </w:rPr>
        <w:t>②</w:t>
      </w:r>
      <w:r>
        <w:t>电磁环境监测断面</w:t>
      </w:r>
    </w:p>
    <w:p w14:paraId="398D3A4A">
      <w:pPr>
        <w:adjustRightInd w:val="0"/>
        <w:snapToGrid w:val="0"/>
        <w:ind w:firstLine="480"/>
      </w:pPr>
      <w:r>
        <w:rPr>
          <w:rFonts w:hint="eastAsia"/>
        </w:rPr>
        <w:t>湖南省沅陵县圣人山风电场</w:t>
      </w:r>
      <w:r>
        <w:t>110kV</w:t>
      </w:r>
      <w:r>
        <w:rPr>
          <w:rFonts w:hint="eastAsia"/>
        </w:rPr>
        <w:t>升压站监测断面工频电场强度</w:t>
      </w:r>
      <w:r>
        <w:t>监测值为3.67V/m~19.71V/m，</w:t>
      </w:r>
      <w:r>
        <w:rPr>
          <w:rFonts w:hint="eastAsia"/>
        </w:rPr>
        <w:t>工频</w:t>
      </w:r>
      <w:r>
        <w:t>磁感应强度为0.0208μT~0.0258μT，</w:t>
      </w:r>
      <w:r>
        <w:rPr>
          <w:rFonts w:hint="eastAsia"/>
        </w:rPr>
        <w:t>各监测点位</w:t>
      </w:r>
      <w:r>
        <w:t>工频电场强度、工频磁感应强度分别满足《电磁环境控制限值》（GB8702-2014）中频率为50Hz公众曝露控制限值4000V/m、100μT</w:t>
      </w:r>
      <w:r>
        <w:rPr>
          <w:rFonts w:hint="eastAsia"/>
        </w:rPr>
        <w:t>的要求。</w:t>
      </w:r>
    </w:p>
    <w:p w14:paraId="7A01F741">
      <w:pPr>
        <w:adjustRightInd w:val="0"/>
        <w:snapToGrid w:val="0"/>
        <w:ind w:firstLine="480"/>
      </w:pPr>
      <w:r>
        <w:rPr>
          <w:rFonts w:hint="eastAsia"/>
        </w:rPr>
        <w:t>根据上述分析可知，湖南省沅陵县圣人山风电场</w:t>
      </w:r>
      <w:r>
        <w:t>110kV升压站</w:t>
      </w:r>
      <w:r>
        <w:rPr>
          <w:rFonts w:hint="eastAsia"/>
        </w:rPr>
        <w:t>厂界各监测点和各监测断面的工频电场强度和工频磁感应强度的监测结果基本可靠。本项目类比其影响程度是合理和可行的。</w:t>
      </w:r>
    </w:p>
    <w:p w14:paraId="387778AB">
      <w:pPr>
        <w:tabs>
          <w:tab w:val="clear" w:pos="480"/>
        </w:tabs>
        <w:adjustRightInd w:val="0"/>
        <w:snapToGrid w:val="0"/>
        <w:ind w:firstLine="0" w:firstLineChars="0"/>
        <w:outlineLvl w:val="3"/>
        <w:rPr>
          <w:b/>
          <w:kern w:val="0"/>
          <w:lang w:val="zh-CN"/>
        </w:rPr>
      </w:pPr>
      <w:r>
        <w:rPr>
          <w:b/>
          <w:kern w:val="0"/>
          <w:lang w:val="zh-CN"/>
        </w:rPr>
        <w:t>6.2.7.3</w:t>
      </w:r>
      <w:r>
        <w:rPr>
          <w:rFonts w:hint="eastAsia"/>
          <w:b/>
          <w:kern w:val="0"/>
          <w:lang w:val="zh-CN"/>
        </w:rPr>
        <w:t>总结</w:t>
      </w:r>
    </w:p>
    <w:p w14:paraId="5A5CFBEE">
      <w:pPr>
        <w:adjustRightInd w:val="0"/>
        <w:snapToGrid w:val="0"/>
        <w:ind w:firstLine="480"/>
      </w:pPr>
      <w:r>
        <w:t>通过类比对象</w:t>
      </w:r>
      <w:r>
        <w:rPr>
          <w:rFonts w:hint="eastAsia"/>
        </w:rPr>
        <w:t>湖南省沅陵县圣人山风电场</w:t>
      </w:r>
      <w:r>
        <w:t>110kV升压站监测结果可知，本升压站建成后厂界工频电场强度、工频磁感应强度分别满足《电磁环境控制限值》(GB8702-2014)中频率为50Hz公众曝露控制限值4000V/m、100μT的要求。</w:t>
      </w:r>
    </w:p>
    <w:p w14:paraId="3C39C210">
      <w:pPr>
        <w:pStyle w:val="4"/>
        <w:tabs>
          <w:tab w:val="clear" w:pos="480"/>
          <w:tab w:val="clear" w:pos="630"/>
        </w:tabs>
        <w:adjustRightInd w:val="0"/>
        <w:snapToGrid w:val="0"/>
        <w:spacing w:before="0" w:after="0"/>
        <w:rPr>
          <w:sz w:val="30"/>
          <w:szCs w:val="30"/>
          <w:lang w:val="en-US"/>
        </w:rPr>
      </w:pPr>
      <w:bookmarkStart w:id="190" w:name="_Toc143799388"/>
      <w:r>
        <w:rPr>
          <w:sz w:val="30"/>
          <w:szCs w:val="30"/>
          <w:lang w:val="en-US"/>
        </w:rPr>
        <w:t>6.3</w:t>
      </w:r>
      <w:r>
        <w:rPr>
          <w:rFonts w:hint="eastAsia"/>
          <w:sz w:val="30"/>
          <w:szCs w:val="30"/>
          <w:lang w:val="en-US"/>
        </w:rPr>
        <w:t>对湖南衡阳岣嵝峰国家森林公园的影响分析</w:t>
      </w:r>
      <w:bookmarkEnd w:id="190"/>
    </w:p>
    <w:p w14:paraId="0ED6A92C">
      <w:pPr>
        <w:adjustRightInd w:val="0"/>
        <w:snapToGrid w:val="0"/>
        <w:ind w:firstLine="480"/>
      </w:pPr>
      <w:r>
        <w:rPr>
          <w:rFonts w:hint="eastAsia"/>
        </w:rPr>
        <w:t>本工程避让湖南省衡阳岣嵝峰国家森林公园，保护区内无风机基础或检修道路等大面积开挖工程，距保护区最近的风机机位为</w:t>
      </w:r>
      <w:r>
        <w:t>7#</w:t>
      </w:r>
      <w:r>
        <w:rPr>
          <w:rFonts w:hint="eastAsia"/>
        </w:rPr>
        <w:t>风机，直线距离约为</w:t>
      </w:r>
      <w:r>
        <w:t>140m</w:t>
      </w:r>
      <w:r>
        <w:rPr>
          <w:rFonts w:hint="eastAsia"/>
        </w:rPr>
        <w:t>，距保护区最近的道路为</w:t>
      </w:r>
      <w:r>
        <w:t>2#</w:t>
      </w:r>
      <w:r>
        <w:rPr>
          <w:rFonts w:hint="eastAsia"/>
        </w:rPr>
        <w:t>风机场内道路，直线距离约为</w:t>
      </w:r>
      <w:r>
        <w:t>25m</w:t>
      </w:r>
      <w:r>
        <w:rPr>
          <w:rFonts w:hint="eastAsia"/>
        </w:rPr>
        <w:t>。对保护区的影响主要表现为施工期对动植物以及施工期对景观的影响，运行期对保护区几乎无影响。</w:t>
      </w:r>
    </w:p>
    <w:p w14:paraId="5C24A9CA">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 xml:space="preserve">6.3.1 </w:t>
      </w:r>
      <w:r>
        <w:rPr>
          <w:rFonts w:hint="eastAsia" w:ascii="Times New Roman" w:eastAsia="宋体"/>
          <w:sz w:val="28"/>
          <w:szCs w:val="28"/>
          <w:lang w:val="en-US"/>
        </w:rPr>
        <w:t>施工期</w:t>
      </w:r>
    </w:p>
    <w:p w14:paraId="05929C0E">
      <w:pPr>
        <w:adjustRightInd w:val="0"/>
        <w:snapToGrid w:val="0"/>
        <w:ind w:firstLine="480"/>
      </w:pPr>
      <w:r>
        <w:rPr>
          <w:rFonts w:hint="eastAsia"/>
        </w:rPr>
        <w:t>（</w:t>
      </w:r>
      <w:r>
        <w:t>1</w:t>
      </w:r>
      <w:r>
        <w:rPr>
          <w:rFonts w:hint="eastAsia"/>
        </w:rPr>
        <w:t>）施工期对植被的影响</w:t>
      </w:r>
    </w:p>
    <w:p w14:paraId="64796740">
      <w:pPr>
        <w:adjustRightInd w:val="0"/>
        <w:snapToGrid w:val="0"/>
        <w:ind w:firstLine="480"/>
      </w:pPr>
      <w:r>
        <w:rPr>
          <w:rFonts w:hint="eastAsia"/>
        </w:rPr>
        <w:t>根据前述分析可知，本项目不涉及湖南省衡阳岣嵝峰国家森林公园，项目风机机位距该森林公园较远，本项目施工过程中不涉及湖南省衡阳岣嵝峰国家森林公园内土石方的开挖，不会直接破坏该森林公园的植被。但施工期由于施工机械、工程车辆等产生的扬尘，施工产生的扬尘会飘落到植物叶片表面，可能会影响植物的光合作用，从而影响植物的生长，但由于保护区附近工程量少，施工时间短，产生的扬尘较少，因此，工程施工对保护区内的植物影响很小。</w:t>
      </w:r>
    </w:p>
    <w:p w14:paraId="207AFBDC">
      <w:pPr>
        <w:adjustRightInd w:val="0"/>
        <w:snapToGrid w:val="0"/>
        <w:ind w:firstLine="480"/>
      </w:pPr>
      <w:r>
        <w:rPr>
          <w:rFonts w:hint="eastAsia"/>
        </w:rPr>
        <w:t>因此，本项目在施工过程中落实好水土保持措施，严格控制施工范围的情况下，</w:t>
      </w:r>
      <w:r>
        <w:t xml:space="preserve"> </w:t>
      </w:r>
      <w:r>
        <w:rPr>
          <w:rFonts w:hint="eastAsia"/>
        </w:rPr>
        <w:t>湖南省衡阳岣嵝峰国家森林公园内植被的影响很小。</w:t>
      </w:r>
    </w:p>
    <w:p w14:paraId="291CF932">
      <w:pPr>
        <w:adjustRightInd w:val="0"/>
        <w:snapToGrid w:val="0"/>
        <w:ind w:firstLine="480"/>
      </w:pPr>
      <w:r>
        <w:rPr>
          <w:rFonts w:hint="eastAsia"/>
        </w:rPr>
        <w:t>（</w:t>
      </w:r>
      <w:r>
        <w:t>2</w:t>
      </w:r>
      <w:r>
        <w:rPr>
          <w:rFonts w:hint="eastAsia"/>
        </w:rPr>
        <w:t>）施工期对动物的影响</w:t>
      </w:r>
    </w:p>
    <w:p w14:paraId="5790B793">
      <w:pPr>
        <w:adjustRightInd w:val="0"/>
        <w:snapToGrid w:val="0"/>
        <w:ind w:firstLine="480"/>
      </w:pPr>
      <w:r>
        <w:rPr>
          <w:rFonts w:hint="eastAsia"/>
        </w:rPr>
        <w:t>本项目施工过程中，因不会跨越进入湖南省衡阳岣嵝峰国家森林公园内施工，因此不会破坏该森林公园内的植被，不会直接对森林公园内的动物生存环境产生影响。但由于动物的生存环境是连接的整体。本项目风机机位和道路施工过程中土石方开挖对占地范围内植被的破坏以及施工过程中产生的噪声会对动物的生存环境产生一定的影响。</w:t>
      </w:r>
    </w:p>
    <w:p w14:paraId="65DF5605">
      <w:pPr>
        <w:adjustRightInd w:val="0"/>
        <w:snapToGrid w:val="0"/>
        <w:ind w:firstLine="480"/>
      </w:pPr>
      <w:r>
        <w:rPr>
          <w:rFonts w:hint="eastAsia"/>
        </w:rPr>
        <w:t>由于保护区附近工程量少，施工时间短，施工过程中产生的噪声也较小，同时，噪声对动物有一定的趋避作用，但由于动物本身的迁移能力和避害能力，会使它们在周围非工程区觅寻相适应的</w:t>
      </w:r>
      <w:r>
        <w:rPr>
          <w:rFonts w:hint="eastAsia"/>
          <w:lang w:eastAsia="zh-CN"/>
        </w:rPr>
        <w:t>环境</w:t>
      </w:r>
      <w:r>
        <w:rPr>
          <w:rFonts w:hint="eastAsia"/>
        </w:rPr>
        <w:t>。</w:t>
      </w:r>
    </w:p>
    <w:p w14:paraId="43F3F2EE">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6.3.2</w:t>
      </w:r>
      <w:r>
        <w:rPr>
          <w:rFonts w:hint="eastAsia" w:ascii="Times New Roman" w:eastAsia="宋体"/>
          <w:sz w:val="28"/>
          <w:szCs w:val="28"/>
          <w:lang w:val="en-US"/>
        </w:rPr>
        <w:t>运营期</w:t>
      </w:r>
    </w:p>
    <w:p w14:paraId="00BB6AA2">
      <w:pPr>
        <w:adjustRightInd w:val="0"/>
        <w:snapToGrid w:val="0"/>
        <w:ind w:firstLine="480"/>
      </w:pPr>
      <w:r>
        <w:rPr>
          <w:rFonts w:hint="eastAsia"/>
        </w:rPr>
        <w:t>由于工程不直接涉及自然保护区，并且风电是一种清洁的能源，运行期本身不产生大气和水污染，也不产生废渣，项目运营期对湖南衡阳岣嵝峰国家森林公园、衡阳岣嵝峰县级保护区的影响主要为风机运营噪声和检修道路阻隔对保护区内动物生存环境的影响。</w:t>
      </w:r>
    </w:p>
    <w:p w14:paraId="30F677FC">
      <w:pPr>
        <w:adjustRightInd w:val="0"/>
        <w:snapToGrid w:val="0"/>
        <w:ind w:firstLine="480"/>
      </w:pPr>
      <w:r>
        <w:rPr>
          <w:rFonts w:hint="eastAsia"/>
        </w:rPr>
        <w:t>由于动物本身的迁移能力和避害能力，会使它们在周围非影响区觅寻相适应的</w:t>
      </w:r>
      <w:r>
        <w:rPr>
          <w:rFonts w:hint="eastAsia"/>
          <w:lang w:eastAsia="zh-CN"/>
        </w:rPr>
        <w:t>环境</w:t>
      </w:r>
      <w:r>
        <w:rPr>
          <w:rFonts w:hint="eastAsia"/>
        </w:rPr>
        <w:t>。其将迁移到附近适宜生存的生态环境中。同时由于项目运营期检修道路通过车辆很少，动物可在没有车辆通行时穿过检修道路，因此，项目运营期对保护区的影响较小。</w:t>
      </w:r>
    </w:p>
    <w:p w14:paraId="7A65BBB0">
      <w:pPr>
        <w:pStyle w:val="4"/>
        <w:tabs>
          <w:tab w:val="clear" w:pos="480"/>
          <w:tab w:val="clear" w:pos="630"/>
        </w:tabs>
        <w:adjustRightInd w:val="0"/>
        <w:snapToGrid w:val="0"/>
        <w:spacing w:before="0" w:after="0"/>
        <w:rPr>
          <w:sz w:val="30"/>
          <w:szCs w:val="30"/>
          <w:lang w:val="en-US"/>
        </w:rPr>
      </w:pPr>
      <w:bookmarkStart w:id="191" w:name="_Toc143799389"/>
      <w:r>
        <w:rPr>
          <w:sz w:val="30"/>
          <w:szCs w:val="30"/>
          <w:lang w:val="en-US"/>
        </w:rPr>
        <w:t>6.4</w:t>
      </w:r>
      <w:r>
        <w:rPr>
          <w:rFonts w:hint="eastAsia"/>
          <w:sz w:val="30"/>
          <w:szCs w:val="30"/>
          <w:lang w:val="en-US"/>
        </w:rPr>
        <w:t>对衡阳岣嵝峰县级自然保护区的影响分析</w:t>
      </w:r>
      <w:bookmarkEnd w:id="191"/>
    </w:p>
    <w:p w14:paraId="2BDE3CAC">
      <w:pPr>
        <w:adjustRightInd w:val="0"/>
        <w:snapToGrid w:val="0"/>
        <w:ind w:firstLine="480"/>
      </w:pPr>
      <w:r>
        <w:rPr>
          <w:rFonts w:hint="eastAsia"/>
        </w:rPr>
        <w:t>由于衡阳岣嵝峰县级自然保护区为湖南衡阳岣嵝峰国家森林公园的一部分。本项目不占用衡阳岣嵝峰县级自然保护区，项目风机机位距其最近距离约为</w:t>
      </w:r>
      <w:r>
        <w:t>140m</w:t>
      </w:r>
      <w:r>
        <w:rPr>
          <w:rFonts w:hint="eastAsia"/>
        </w:rPr>
        <w:t>，场内道路距其最近距离约为</w:t>
      </w:r>
      <w:r>
        <w:t>50m</w:t>
      </w:r>
      <w:r>
        <w:rPr>
          <w:rFonts w:hint="eastAsia"/>
        </w:rPr>
        <w:t>。</w:t>
      </w:r>
    </w:p>
    <w:p w14:paraId="07CA59BF">
      <w:pPr>
        <w:adjustRightInd w:val="0"/>
        <w:snapToGrid w:val="0"/>
        <w:ind w:firstLine="480"/>
      </w:pPr>
      <w:r>
        <w:rPr>
          <w:rFonts w:hint="eastAsia"/>
        </w:rPr>
        <w:t>本项目施工期对衡阳岣嵝峰自然保护区的影响与上节“施工期对湖南省衡阳岣嵝峰国家森林公园”</w:t>
      </w:r>
      <w:r>
        <w:t xml:space="preserve"> </w:t>
      </w:r>
      <w:r>
        <w:rPr>
          <w:rFonts w:hint="eastAsia"/>
        </w:rPr>
        <w:t>的影响基本一致，因此详见上述描述。</w:t>
      </w:r>
    </w:p>
    <w:p w14:paraId="78E19DE5">
      <w:pPr>
        <w:ind w:firstLine="480"/>
      </w:pPr>
    </w:p>
    <w:p w14:paraId="02734C29">
      <w:pPr>
        <w:ind w:firstLine="480"/>
      </w:pPr>
    </w:p>
    <w:p w14:paraId="1C3D7F03">
      <w:pPr>
        <w:pStyle w:val="2"/>
        <w:ind w:firstLine="420"/>
      </w:pPr>
    </w:p>
    <w:p w14:paraId="5B525A2B">
      <w:pPr>
        <w:pStyle w:val="2"/>
        <w:ind w:firstLine="420"/>
        <w:sectPr>
          <w:pgSz w:w="11905" w:h="16838"/>
          <w:pgMar w:top="1440" w:right="1797" w:bottom="1440" w:left="1797" w:header="851" w:footer="992" w:gutter="0"/>
          <w:cols w:space="0" w:num="1"/>
          <w:docGrid w:type="lines" w:linePitch="333" w:charSpace="0"/>
        </w:sectPr>
      </w:pPr>
    </w:p>
    <w:p w14:paraId="39EEE1F1">
      <w:pPr>
        <w:pStyle w:val="3"/>
        <w:tabs>
          <w:tab w:val="clear" w:pos="480"/>
        </w:tabs>
        <w:spacing w:before="0" w:after="0"/>
        <w:jc w:val="center"/>
        <w:rPr>
          <w:rFonts w:ascii="Times New Roman" w:eastAsia="宋体"/>
          <w:bCs w:val="0"/>
          <w:sz w:val="32"/>
          <w:szCs w:val="32"/>
          <w:lang w:val="en-US"/>
        </w:rPr>
      </w:pPr>
      <w:r>
        <w:rPr>
          <w:rFonts w:hint="eastAsia" w:ascii="Times New Roman" w:eastAsia="宋体"/>
          <w:bCs w:val="0"/>
          <w:sz w:val="32"/>
          <w:szCs w:val="32"/>
          <w:lang w:val="en-US"/>
        </w:rPr>
        <w:t xml:space="preserve">  </w:t>
      </w:r>
      <w:bookmarkStart w:id="192" w:name="_Toc143799390"/>
      <w:bookmarkStart w:id="193" w:name="_Toc116978004"/>
      <w:r>
        <w:rPr>
          <w:rFonts w:ascii="Times New Roman" w:eastAsia="宋体"/>
          <w:bCs w:val="0"/>
          <w:sz w:val="32"/>
          <w:szCs w:val="32"/>
          <w:lang w:val="en-US"/>
        </w:rPr>
        <w:t>7</w:t>
      </w:r>
      <w:r>
        <w:rPr>
          <w:rFonts w:hint="eastAsia" w:ascii="Times New Roman" w:eastAsia="宋体"/>
          <w:bCs w:val="0"/>
          <w:sz w:val="32"/>
          <w:szCs w:val="32"/>
          <w:lang w:val="en-US"/>
        </w:rPr>
        <w:t>环境风险分析</w:t>
      </w:r>
      <w:bookmarkEnd w:id="192"/>
      <w:bookmarkEnd w:id="193"/>
    </w:p>
    <w:p w14:paraId="1C5EAEB3">
      <w:pPr>
        <w:adjustRightInd w:val="0"/>
        <w:snapToGrid w:val="0"/>
        <w:ind w:firstLine="480"/>
      </w:pPr>
      <w:r>
        <w:rPr>
          <w:rFonts w:hint="eastAsia"/>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的损害程度，提出合理可行的防范、应急与减缓措施，以使建设项目事故率、损失和环境影响达到可接受水平。</w:t>
      </w:r>
    </w:p>
    <w:p w14:paraId="7760BBD3">
      <w:pPr>
        <w:adjustRightInd w:val="0"/>
        <w:snapToGrid w:val="0"/>
        <w:ind w:firstLine="480"/>
      </w:pPr>
      <w:r>
        <w:rPr>
          <w:rFonts w:hint="eastAsia"/>
        </w:rPr>
        <w:t>环境风险评价应把事故引起厂（场）界外人群的伤害、环境质量的恶化及对生态系统影响的预测和防护作为评价工作重点。</w:t>
      </w:r>
    </w:p>
    <w:p w14:paraId="551293B3">
      <w:pPr>
        <w:adjustRightInd w:val="0"/>
        <w:snapToGrid w:val="0"/>
        <w:ind w:firstLine="480"/>
      </w:pPr>
      <w:r>
        <w:rPr>
          <w:rFonts w:hint="eastAsia"/>
        </w:rPr>
        <w:t>根据《建设项目环境风险评价技术导则》（</w:t>
      </w:r>
      <w:r>
        <w:t>HJ/T169-2018</w:t>
      </w:r>
      <w:r>
        <w:rPr>
          <w:rFonts w:hint="eastAsia"/>
        </w:rPr>
        <w:t>），遵照《关于进一步加强环境影响评价管理防范环境风险的通知》（环发〔</w:t>
      </w:r>
      <w:r>
        <w:t>2012</w:t>
      </w:r>
      <w:r>
        <w:rPr>
          <w:rFonts w:hint="eastAsia"/>
        </w:rPr>
        <w:t>〕</w:t>
      </w:r>
      <w:r>
        <w:t>77</w:t>
      </w:r>
      <w:r>
        <w:rPr>
          <w:rFonts w:hint="eastAsia"/>
        </w:rPr>
        <w:t>号）和《关于切实加强风险防范严格环境影响评价管理的通知》（环发〔</w:t>
      </w:r>
      <w:r>
        <w:t>2012</w:t>
      </w:r>
      <w:r>
        <w:rPr>
          <w:rFonts w:hint="eastAsia"/>
        </w:rPr>
        <w:t>〕</w:t>
      </w:r>
      <w:r>
        <w:t>98</w:t>
      </w:r>
      <w:r>
        <w:rPr>
          <w:rFonts w:hint="eastAsia"/>
        </w:rPr>
        <w:t>号）等文件的相关要求，为了避免和控制事故的发生，需对本工程运行过程中可能发生的事故环境影响进行预测评价，并提出本项目的风险防范措施和事故应急预案，强化应急环境监测要求。</w:t>
      </w:r>
    </w:p>
    <w:p w14:paraId="44B91238">
      <w:pPr>
        <w:pStyle w:val="4"/>
        <w:tabs>
          <w:tab w:val="clear" w:pos="480"/>
          <w:tab w:val="clear" w:pos="630"/>
        </w:tabs>
        <w:spacing w:before="0" w:after="0"/>
        <w:rPr>
          <w:sz w:val="30"/>
          <w:szCs w:val="30"/>
          <w:lang w:val="en-US"/>
        </w:rPr>
      </w:pPr>
      <w:bookmarkStart w:id="194" w:name="_Toc143799391"/>
      <w:bookmarkStart w:id="195" w:name="_Toc116978005"/>
      <w:r>
        <w:rPr>
          <w:sz w:val="30"/>
          <w:szCs w:val="30"/>
          <w:lang w:val="en-US"/>
        </w:rPr>
        <w:t>7.1</w:t>
      </w:r>
      <w:r>
        <w:rPr>
          <w:rFonts w:hint="eastAsia"/>
          <w:sz w:val="30"/>
          <w:szCs w:val="30"/>
          <w:lang w:val="en-US"/>
        </w:rPr>
        <w:t>评价工作内容</w:t>
      </w:r>
      <w:bookmarkEnd w:id="194"/>
      <w:bookmarkEnd w:id="195"/>
    </w:p>
    <w:p w14:paraId="0AFCC02B">
      <w:pPr>
        <w:adjustRightInd w:val="0"/>
        <w:snapToGrid w:val="0"/>
        <w:ind w:firstLine="480"/>
      </w:pPr>
      <w:r>
        <w:t>本项目环境风险评价工作内容主要包括以下几个方面：</w:t>
      </w:r>
    </w:p>
    <w:p w14:paraId="1D64F296">
      <w:pPr>
        <w:adjustRightInd w:val="0"/>
        <w:snapToGrid w:val="0"/>
        <w:ind w:firstLine="480"/>
      </w:pPr>
      <w:r>
        <w:t>（1）风险调查、环境风险潜势初判、风险识别、风险事故情形分析、风险预测与评价、环境风险管理等。</w:t>
      </w:r>
    </w:p>
    <w:p w14:paraId="44BB2A7A">
      <w:pPr>
        <w:adjustRightInd w:val="0"/>
        <w:snapToGrid w:val="0"/>
        <w:ind w:firstLine="480"/>
      </w:pPr>
      <w:r>
        <w:t>（2）基于风险调查，分析建设项目物质及工艺系统危险性和环境敏感性，进行风险潜势的判断，确定风险评价等级。</w:t>
      </w:r>
    </w:p>
    <w:p w14:paraId="5B5956D2">
      <w:pPr>
        <w:adjustRightInd w:val="0"/>
        <w:snapToGrid w:val="0"/>
        <w:ind w:firstLine="480"/>
      </w:pPr>
      <w:r>
        <w:t>（3）风险识别及风险事故情形分析应明确危险物质在生产系统中的主要分布，筛选具有代表性的风险事故情形，合理设定事故源项。</w:t>
      </w:r>
    </w:p>
    <w:p w14:paraId="0D64A197">
      <w:pPr>
        <w:adjustRightInd w:val="0"/>
        <w:snapToGrid w:val="0"/>
        <w:ind w:firstLine="480"/>
      </w:pPr>
      <w:r>
        <w:t>（4）各环境要素（大气、地表水、地下水）按确定的评价工作等级分别开展预测评价，分析说明环境风险危害范围与程度，提出环境风险防范的基本要求。</w:t>
      </w:r>
    </w:p>
    <w:p w14:paraId="6897D586">
      <w:pPr>
        <w:adjustRightInd w:val="0"/>
        <w:snapToGrid w:val="0"/>
        <w:ind w:firstLine="480"/>
      </w:pPr>
      <w:r>
        <w:t>（5）提出环境风险管理对策，明确环境风险防范措施及突发环境事件应急预案编制要求。</w:t>
      </w:r>
    </w:p>
    <w:p w14:paraId="23E7744F">
      <w:pPr>
        <w:adjustRightInd w:val="0"/>
        <w:snapToGrid w:val="0"/>
        <w:ind w:firstLine="480"/>
      </w:pPr>
      <w:r>
        <w:t>（6）综合环境风险评价过程，给出评价结论与建议。</w:t>
      </w:r>
    </w:p>
    <w:p w14:paraId="0165D37E">
      <w:pPr>
        <w:pStyle w:val="4"/>
        <w:tabs>
          <w:tab w:val="clear" w:pos="480"/>
          <w:tab w:val="clear" w:pos="630"/>
        </w:tabs>
        <w:spacing w:before="0" w:after="0"/>
        <w:rPr>
          <w:sz w:val="30"/>
          <w:szCs w:val="30"/>
          <w:lang w:val="en-US"/>
        </w:rPr>
      </w:pPr>
      <w:bookmarkStart w:id="196" w:name="_Toc143799392"/>
      <w:bookmarkStart w:id="197" w:name="_Toc116978006"/>
      <w:r>
        <w:rPr>
          <w:sz w:val="30"/>
          <w:szCs w:val="30"/>
          <w:lang w:val="en-US"/>
        </w:rPr>
        <w:t>7.2</w:t>
      </w:r>
      <w:r>
        <w:rPr>
          <w:rFonts w:hint="eastAsia"/>
          <w:sz w:val="30"/>
          <w:szCs w:val="30"/>
          <w:lang w:val="en-US"/>
        </w:rPr>
        <w:t>风险调查</w:t>
      </w:r>
      <w:bookmarkEnd w:id="196"/>
      <w:bookmarkEnd w:id="197"/>
    </w:p>
    <w:p w14:paraId="3A6F459E">
      <w:pPr>
        <w:adjustRightInd w:val="0"/>
        <w:snapToGrid w:val="0"/>
        <w:ind w:firstLine="480"/>
      </w:pPr>
      <w:r>
        <w:t>本项目营运期间产生的危险、有害物质主要有废机油、废变压器油、废铅酸蓄电池、</w:t>
      </w:r>
      <w:r>
        <w:rPr>
          <w:rFonts w:hint="eastAsia"/>
        </w:rPr>
        <w:t>废液压油</w:t>
      </w:r>
      <w:r>
        <w:t>等。</w:t>
      </w:r>
    </w:p>
    <w:p w14:paraId="59CE84C2">
      <w:pPr>
        <w:tabs>
          <w:tab w:val="clear" w:pos="480"/>
        </w:tabs>
        <w:adjustRightInd w:val="0"/>
        <w:snapToGrid w:val="0"/>
        <w:spacing w:line="240" w:lineRule="auto"/>
        <w:ind w:firstLine="0" w:firstLineChars="0"/>
        <w:jc w:val="center"/>
        <w:rPr>
          <w:b/>
          <w:bCs/>
        </w:rPr>
      </w:pPr>
      <w:r>
        <w:rPr>
          <w:b/>
          <w:bCs/>
        </w:rPr>
        <w:t>表7.2</w:t>
      </w:r>
      <w:r>
        <w:rPr>
          <w:rFonts w:hint="eastAsia"/>
          <w:b/>
          <w:bCs/>
        </w:rPr>
        <w:t>-</w:t>
      </w:r>
      <w:r>
        <w:rPr>
          <w:b/>
          <w:bCs/>
        </w:rPr>
        <w:t>1工程主要危险物一览表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43"/>
        <w:gridCol w:w="1388"/>
        <w:gridCol w:w="2526"/>
        <w:gridCol w:w="1598"/>
        <w:gridCol w:w="2272"/>
      </w:tblGrid>
      <w:tr w14:paraId="446D4A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62C7DAEB">
            <w:pPr>
              <w:tabs>
                <w:tab w:val="clear" w:pos="480"/>
              </w:tabs>
              <w:adjustRightInd w:val="0"/>
              <w:snapToGrid w:val="0"/>
              <w:spacing w:line="240" w:lineRule="auto"/>
              <w:ind w:firstLine="0" w:firstLineChars="0"/>
              <w:jc w:val="center"/>
              <w:rPr>
                <w:kern w:val="0"/>
                <w:sz w:val="21"/>
                <w:szCs w:val="21"/>
              </w:rPr>
            </w:pPr>
            <w:bookmarkStart w:id="198" w:name="_Toc116978007"/>
            <w:r>
              <w:rPr>
                <w:kern w:val="0"/>
                <w:sz w:val="21"/>
                <w:szCs w:val="21"/>
              </w:rPr>
              <w:t>序号</w:t>
            </w:r>
          </w:p>
        </w:tc>
        <w:tc>
          <w:tcPr>
            <w:tcW w:w="814" w:type="pct"/>
            <w:vAlign w:val="center"/>
          </w:tcPr>
          <w:p w14:paraId="28265E69">
            <w:pPr>
              <w:tabs>
                <w:tab w:val="clear" w:pos="480"/>
              </w:tabs>
              <w:adjustRightInd w:val="0"/>
              <w:snapToGrid w:val="0"/>
              <w:spacing w:line="240" w:lineRule="auto"/>
              <w:ind w:firstLine="0" w:firstLineChars="0"/>
              <w:jc w:val="center"/>
              <w:rPr>
                <w:kern w:val="0"/>
                <w:sz w:val="21"/>
                <w:szCs w:val="21"/>
              </w:rPr>
            </w:pPr>
            <w:r>
              <w:rPr>
                <w:kern w:val="0"/>
                <w:sz w:val="21"/>
                <w:szCs w:val="21"/>
              </w:rPr>
              <w:t>物料</w:t>
            </w:r>
          </w:p>
        </w:tc>
        <w:tc>
          <w:tcPr>
            <w:tcW w:w="1481" w:type="pct"/>
            <w:vAlign w:val="center"/>
          </w:tcPr>
          <w:p w14:paraId="6300B158">
            <w:pPr>
              <w:tabs>
                <w:tab w:val="clear" w:pos="480"/>
              </w:tabs>
              <w:adjustRightInd w:val="0"/>
              <w:snapToGrid w:val="0"/>
              <w:spacing w:line="240" w:lineRule="auto"/>
              <w:ind w:firstLine="0" w:firstLineChars="0"/>
              <w:jc w:val="center"/>
              <w:rPr>
                <w:kern w:val="0"/>
                <w:sz w:val="21"/>
                <w:szCs w:val="21"/>
              </w:rPr>
            </w:pPr>
            <w:r>
              <w:rPr>
                <w:kern w:val="0"/>
                <w:sz w:val="21"/>
                <w:szCs w:val="21"/>
              </w:rPr>
              <w:t>存在位置</w:t>
            </w:r>
          </w:p>
        </w:tc>
        <w:tc>
          <w:tcPr>
            <w:tcW w:w="937" w:type="pct"/>
            <w:vAlign w:val="center"/>
          </w:tcPr>
          <w:p w14:paraId="2CA05696">
            <w:pPr>
              <w:tabs>
                <w:tab w:val="clear" w:pos="480"/>
              </w:tabs>
              <w:adjustRightInd w:val="0"/>
              <w:snapToGrid w:val="0"/>
              <w:spacing w:line="240" w:lineRule="auto"/>
              <w:ind w:firstLine="0" w:firstLineChars="0"/>
              <w:jc w:val="center"/>
              <w:rPr>
                <w:kern w:val="0"/>
                <w:sz w:val="21"/>
                <w:szCs w:val="21"/>
              </w:rPr>
            </w:pPr>
            <w:r>
              <w:rPr>
                <w:kern w:val="0"/>
                <w:sz w:val="21"/>
                <w:szCs w:val="21"/>
              </w:rPr>
              <w:t>最大存在量（t）</w:t>
            </w:r>
          </w:p>
        </w:tc>
        <w:tc>
          <w:tcPr>
            <w:tcW w:w="1332" w:type="pct"/>
            <w:vAlign w:val="center"/>
          </w:tcPr>
          <w:p w14:paraId="1E267543">
            <w:pPr>
              <w:tabs>
                <w:tab w:val="clear" w:pos="480"/>
              </w:tabs>
              <w:adjustRightInd w:val="0"/>
              <w:snapToGrid w:val="0"/>
              <w:spacing w:line="240" w:lineRule="auto"/>
              <w:ind w:firstLine="0" w:firstLineChars="0"/>
              <w:jc w:val="center"/>
              <w:rPr>
                <w:kern w:val="0"/>
                <w:sz w:val="21"/>
                <w:szCs w:val="21"/>
              </w:rPr>
            </w:pPr>
            <w:r>
              <w:rPr>
                <w:kern w:val="0"/>
                <w:sz w:val="21"/>
                <w:szCs w:val="21"/>
              </w:rPr>
              <w:t>用途</w:t>
            </w:r>
          </w:p>
        </w:tc>
      </w:tr>
      <w:tr w14:paraId="3E0053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2FD8B509">
            <w:pPr>
              <w:tabs>
                <w:tab w:val="clear" w:pos="480"/>
              </w:tabs>
              <w:adjustRightInd w:val="0"/>
              <w:snapToGrid w:val="0"/>
              <w:spacing w:line="240" w:lineRule="auto"/>
              <w:ind w:firstLine="0" w:firstLineChars="0"/>
              <w:jc w:val="center"/>
              <w:rPr>
                <w:kern w:val="0"/>
                <w:sz w:val="21"/>
                <w:szCs w:val="21"/>
              </w:rPr>
            </w:pPr>
            <w:r>
              <w:rPr>
                <w:kern w:val="0"/>
                <w:sz w:val="21"/>
                <w:szCs w:val="21"/>
              </w:rPr>
              <w:t>1</w:t>
            </w:r>
          </w:p>
        </w:tc>
        <w:tc>
          <w:tcPr>
            <w:tcW w:w="814" w:type="pct"/>
            <w:vAlign w:val="center"/>
          </w:tcPr>
          <w:p w14:paraId="27A5F097">
            <w:pPr>
              <w:tabs>
                <w:tab w:val="clear" w:pos="480"/>
              </w:tabs>
              <w:adjustRightInd w:val="0"/>
              <w:snapToGrid w:val="0"/>
              <w:spacing w:line="240" w:lineRule="auto"/>
              <w:ind w:firstLine="0" w:firstLineChars="0"/>
              <w:jc w:val="center"/>
              <w:rPr>
                <w:kern w:val="0"/>
                <w:sz w:val="21"/>
                <w:szCs w:val="21"/>
              </w:rPr>
            </w:pPr>
            <w:r>
              <w:rPr>
                <w:kern w:val="0"/>
                <w:sz w:val="21"/>
                <w:szCs w:val="21"/>
              </w:rPr>
              <w:t>机油</w:t>
            </w:r>
          </w:p>
        </w:tc>
        <w:tc>
          <w:tcPr>
            <w:tcW w:w="1481" w:type="pct"/>
            <w:vAlign w:val="center"/>
          </w:tcPr>
          <w:p w14:paraId="240B8DED">
            <w:pPr>
              <w:tabs>
                <w:tab w:val="clear" w:pos="480"/>
              </w:tabs>
              <w:adjustRightInd w:val="0"/>
              <w:snapToGrid w:val="0"/>
              <w:spacing w:line="240" w:lineRule="auto"/>
              <w:ind w:firstLine="0" w:firstLineChars="0"/>
              <w:jc w:val="center"/>
              <w:rPr>
                <w:kern w:val="0"/>
                <w:sz w:val="21"/>
                <w:szCs w:val="21"/>
              </w:rPr>
            </w:pPr>
            <w:r>
              <w:rPr>
                <w:kern w:val="0"/>
                <w:sz w:val="21"/>
                <w:szCs w:val="21"/>
              </w:rPr>
              <w:t>风机</w:t>
            </w:r>
          </w:p>
        </w:tc>
        <w:tc>
          <w:tcPr>
            <w:tcW w:w="937" w:type="pct"/>
            <w:vAlign w:val="center"/>
          </w:tcPr>
          <w:p w14:paraId="6A5071FF">
            <w:pPr>
              <w:tabs>
                <w:tab w:val="clear" w:pos="480"/>
              </w:tabs>
              <w:adjustRightInd w:val="0"/>
              <w:snapToGrid w:val="0"/>
              <w:spacing w:line="240" w:lineRule="auto"/>
              <w:ind w:firstLine="0" w:firstLineChars="0"/>
              <w:jc w:val="center"/>
              <w:rPr>
                <w:kern w:val="0"/>
                <w:sz w:val="21"/>
                <w:szCs w:val="21"/>
              </w:rPr>
            </w:pPr>
            <w:r>
              <w:rPr>
                <w:kern w:val="0"/>
                <w:sz w:val="21"/>
                <w:szCs w:val="21"/>
              </w:rPr>
              <w:t>0.4</w:t>
            </w:r>
          </w:p>
        </w:tc>
        <w:tc>
          <w:tcPr>
            <w:tcW w:w="1332" w:type="pct"/>
            <w:vAlign w:val="center"/>
          </w:tcPr>
          <w:p w14:paraId="2B32269E">
            <w:pPr>
              <w:tabs>
                <w:tab w:val="clear" w:pos="480"/>
              </w:tabs>
              <w:adjustRightInd w:val="0"/>
              <w:snapToGrid w:val="0"/>
              <w:spacing w:line="240" w:lineRule="auto"/>
              <w:ind w:firstLine="0" w:firstLineChars="0"/>
              <w:jc w:val="center"/>
              <w:rPr>
                <w:kern w:val="0"/>
                <w:sz w:val="21"/>
                <w:szCs w:val="21"/>
              </w:rPr>
            </w:pPr>
            <w:r>
              <w:rPr>
                <w:kern w:val="0"/>
                <w:sz w:val="21"/>
                <w:szCs w:val="21"/>
              </w:rPr>
              <w:t>风力发的电机组变速箱</w:t>
            </w:r>
          </w:p>
        </w:tc>
      </w:tr>
      <w:tr w14:paraId="56E410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2D853A53">
            <w:pPr>
              <w:tabs>
                <w:tab w:val="clear" w:pos="480"/>
              </w:tabs>
              <w:adjustRightInd w:val="0"/>
              <w:snapToGrid w:val="0"/>
              <w:spacing w:line="240" w:lineRule="auto"/>
              <w:ind w:firstLine="0" w:firstLineChars="0"/>
              <w:jc w:val="center"/>
              <w:rPr>
                <w:kern w:val="0"/>
                <w:sz w:val="21"/>
                <w:szCs w:val="21"/>
              </w:rPr>
            </w:pPr>
            <w:r>
              <w:rPr>
                <w:kern w:val="0"/>
                <w:sz w:val="21"/>
                <w:szCs w:val="21"/>
              </w:rPr>
              <w:t>2</w:t>
            </w:r>
          </w:p>
        </w:tc>
        <w:tc>
          <w:tcPr>
            <w:tcW w:w="814" w:type="pct"/>
            <w:vAlign w:val="center"/>
          </w:tcPr>
          <w:p w14:paraId="6B1B57B8">
            <w:pPr>
              <w:tabs>
                <w:tab w:val="clear" w:pos="480"/>
              </w:tabs>
              <w:adjustRightInd w:val="0"/>
              <w:snapToGrid w:val="0"/>
              <w:spacing w:line="240" w:lineRule="auto"/>
              <w:ind w:firstLine="0" w:firstLineChars="0"/>
              <w:jc w:val="center"/>
              <w:rPr>
                <w:kern w:val="0"/>
                <w:sz w:val="21"/>
                <w:szCs w:val="21"/>
              </w:rPr>
            </w:pPr>
            <w:r>
              <w:rPr>
                <w:kern w:val="0"/>
                <w:sz w:val="21"/>
                <w:szCs w:val="21"/>
              </w:rPr>
              <w:t>变压器油</w:t>
            </w:r>
          </w:p>
        </w:tc>
        <w:tc>
          <w:tcPr>
            <w:tcW w:w="1481" w:type="pct"/>
            <w:vAlign w:val="center"/>
          </w:tcPr>
          <w:p w14:paraId="13011852">
            <w:pPr>
              <w:tabs>
                <w:tab w:val="clear" w:pos="480"/>
              </w:tabs>
              <w:adjustRightInd w:val="0"/>
              <w:snapToGrid w:val="0"/>
              <w:spacing w:line="240" w:lineRule="auto"/>
              <w:ind w:firstLine="0" w:firstLineChars="0"/>
              <w:jc w:val="center"/>
              <w:rPr>
                <w:kern w:val="0"/>
                <w:sz w:val="21"/>
                <w:szCs w:val="21"/>
              </w:rPr>
            </w:pPr>
            <w:r>
              <w:rPr>
                <w:kern w:val="0"/>
                <w:sz w:val="21"/>
                <w:szCs w:val="21"/>
              </w:rPr>
              <w:t>箱变</w:t>
            </w:r>
          </w:p>
        </w:tc>
        <w:tc>
          <w:tcPr>
            <w:tcW w:w="937" w:type="pct"/>
            <w:vAlign w:val="center"/>
          </w:tcPr>
          <w:p w14:paraId="2C0EB99D">
            <w:pPr>
              <w:tabs>
                <w:tab w:val="clear" w:pos="480"/>
              </w:tabs>
              <w:adjustRightInd w:val="0"/>
              <w:snapToGrid w:val="0"/>
              <w:spacing w:line="240" w:lineRule="auto"/>
              <w:ind w:firstLine="0" w:firstLineChars="0"/>
              <w:jc w:val="center"/>
              <w:rPr>
                <w:kern w:val="0"/>
                <w:sz w:val="21"/>
                <w:szCs w:val="21"/>
              </w:rPr>
            </w:pPr>
            <w:r>
              <w:rPr>
                <w:kern w:val="0"/>
                <w:sz w:val="21"/>
                <w:szCs w:val="21"/>
              </w:rPr>
              <w:t>10</w:t>
            </w:r>
          </w:p>
        </w:tc>
        <w:tc>
          <w:tcPr>
            <w:tcW w:w="1332" w:type="pct"/>
            <w:vAlign w:val="center"/>
          </w:tcPr>
          <w:p w14:paraId="4BF37BE0">
            <w:pPr>
              <w:tabs>
                <w:tab w:val="clear" w:pos="480"/>
              </w:tabs>
              <w:adjustRightInd w:val="0"/>
              <w:snapToGrid w:val="0"/>
              <w:spacing w:line="240" w:lineRule="auto"/>
              <w:ind w:firstLine="0" w:firstLineChars="0"/>
              <w:jc w:val="center"/>
              <w:rPr>
                <w:kern w:val="0"/>
                <w:sz w:val="21"/>
                <w:szCs w:val="21"/>
              </w:rPr>
            </w:pPr>
            <w:r>
              <w:rPr>
                <w:kern w:val="0"/>
                <w:sz w:val="21"/>
                <w:szCs w:val="21"/>
              </w:rPr>
              <w:t>箱式变压器</w:t>
            </w:r>
          </w:p>
        </w:tc>
      </w:tr>
      <w:tr w14:paraId="51EC34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066A11B1">
            <w:pPr>
              <w:tabs>
                <w:tab w:val="clear" w:pos="480"/>
              </w:tabs>
              <w:adjustRightInd w:val="0"/>
              <w:snapToGrid w:val="0"/>
              <w:spacing w:line="240" w:lineRule="auto"/>
              <w:ind w:firstLine="0" w:firstLineChars="0"/>
              <w:jc w:val="center"/>
              <w:rPr>
                <w:kern w:val="0"/>
                <w:sz w:val="21"/>
                <w:szCs w:val="21"/>
              </w:rPr>
            </w:pPr>
            <w:r>
              <w:rPr>
                <w:kern w:val="0"/>
                <w:sz w:val="21"/>
                <w:szCs w:val="21"/>
              </w:rPr>
              <w:t>3</w:t>
            </w:r>
          </w:p>
        </w:tc>
        <w:tc>
          <w:tcPr>
            <w:tcW w:w="814" w:type="pct"/>
            <w:vAlign w:val="center"/>
          </w:tcPr>
          <w:p w14:paraId="2E35729E">
            <w:pPr>
              <w:tabs>
                <w:tab w:val="clear" w:pos="480"/>
              </w:tabs>
              <w:adjustRightInd w:val="0"/>
              <w:snapToGrid w:val="0"/>
              <w:spacing w:line="240" w:lineRule="auto"/>
              <w:ind w:firstLine="0" w:firstLineChars="0"/>
              <w:jc w:val="center"/>
              <w:rPr>
                <w:kern w:val="0"/>
                <w:sz w:val="21"/>
                <w:szCs w:val="21"/>
              </w:rPr>
            </w:pPr>
            <w:r>
              <w:rPr>
                <w:kern w:val="0"/>
                <w:sz w:val="21"/>
                <w:szCs w:val="21"/>
              </w:rPr>
              <w:t>铅酸蓄电池</w:t>
            </w:r>
          </w:p>
        </w:tc>
        <w:tc>
          <w:tcPr>
            <w:tcW w:w="1481" w:type="pct"/>
            <w:vAlign w:val="center"/>
          </w:tcPr>
          <w:p w14:paraId="537ADD88">
            <w:pPr>
              <w:tabs>
                <w:tab w:val="clear" w:pos="480"/>
              </w:tabs>
              <w:adjustRightInd w:val="0"/>
              <w:snapToGrid w:val="0"/>
              <w:spacing w:line="240" w:lineRule="auto"/>
              <w:ind w:firstLine="0" w:firstLineChars="0"/>
              <w:jc w:val="center"/>
              <w:rPr>
                <w:kern w:val="0"/>
                <w:sz w:val="21"/>
                <w:szCs w:val="21"/>
              </w:rPr>
            </w:pPr>
            <w:r>
              <w:rPr>
                <w:kern w:val="0"/>
                <w:sz w:val="21"/>
                <w:szCs w:val="21"/>
              </w:rPr>
              <w:t>升压站、风机箱变</w:t>
            </w:r>
          </w:p>
        </w:tc>
        <w:tc>
          <w:tcPr>
            <w:tcW w:w="937" w:type="pct"/>
            <w:vAlign w:val="center"/>
          </w:tcPr>
          <w:p w14:paraId="2B9184D9">
            <w:pPr>
              <w:tabs>
                <w:tab w:val="clear" w:pos="480"/>
              </w:tabs>
              <w:adjustRightInd w:val="0"/>
              <w:snapToGrid w:val="0"/>
              <w:spacing w:line="240" w:lineRule="auto"/>
              <w:ind w:firstLine="0" w:firstLineChars="0"/>
              <w:jc w:val="center"/>
              <w:rPr>
                <w:kern w:val="0"/>
                <w:sz w:val="21"/>
                <w:szCs w:val="21"/>
              </w:rPr>
            </w:pPr>
            <w:r>
              <w:rPr>
                <w:kern w:val="0"/>
                <w:sz w:val="21"/>
                <w:szCs w:val="21"/>
              </w:rPr>
              <w:t>208节</w:t>
            </w:r>
          </w:p>
        </w:tc>
        <w:tc>
          <w:tcPr>
            <w:tcW w:w="1332" w:type="pct"/>
            <w:vAlign w:val="center"/>
          </w:tcPr>
          <w:p w14:paraId="08A23587">
            <w:pPr>
              <w:tabs>
                <w:tab w:val="clear" w:pos="480"/>
              </w:tabs>
              <w:adjustRightInd w:val="0"/>
              <w:snapToGrid w:val="0"/>
              <w:spacing w:line="240" w:lineRule="auto"/>
              <w:ind w:firstLine="0" w:firstLineChars="0"/>
              <w:jc w:val="center"/>
              <w:rPr>
                <w:kern w:val="0"/>
                <w:sz w:val="21"/>
                <w:szCs w:val="21"/>
              </w:rPr>
            </w:pPr>
            <w:r>
              <w:rPr>
                <w:kern w:val="0"/>
                <w:sz w:val="21"/>
                <w:szCs w:val="21"/>
              </w:rPr>
              <w:t>变电站</w:t>
            </w:r>
          </w:p>
        </w:tc>
      </w:tr>
      <w:tr w14:paraId="00B10E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6DA58A73">
            <w:pPr>
              <w:tabs>
                <w:tab w:val="clear" w:pos="480"/>
              </w:tabs>
              <w:adjustRightInd w:val="0"/>
              <w:snapToGrid w:val="0"/>
              <w:spacing w:line="240" w:lineRule="auto"/>
              <w:ind w:firstLine="0" w:firstLineChars="0"/>
              <w:jc w:val="center"/>
              <w:rPr>
                <w:kern w:val="0"/>
                <w:sz w:val="21"/>
                <w:szCs w:val="21"/>
              </w:rPr>
            </w:pPr>
            <w:r>
              <w:rPr>
                <w:kern w:val="0"/>
                <w:sz w:val="21"/>
                <w:szCs w:val="21"/>
              </w:rPr>
              <w:t>4</w:t>
            </w:r>
          </w:p>
        </w:tc>
        <w:tc>
          <w:tcPr>
            <w:tcW w:w="814" w:type="pct"/>
            <w:vAlign w:val="center"/>
          </w:tcPr>
          <w:p w14:paraId="02BD5A16">
            <w:pPr>
              <w:tabs>
                <w:tab w:val="clear" w:pos="480"/>
              </w:tabs>
              <w:adjustRightInd w:val="0"/>
              <w:snapToGrid w:val="0"/>
              <w:spacing w:line="240" w:lineRule="auto"/>
              <w:ind w:firstLine="0" w:firstLineChars="0"/>
              <w:jc w:val="center"/>
              <w:rPr>
                <w:kern w:val="0"/>
                <w:sz w:val="21"/>
                <w:szCs w:val="21"/>
              </w:rPr>
            </w:pPr>
            <w:r>
              <w:rPr>
                <w:kern w:val="0"/>
                <w:sz w:val="21"/>
                <w:szCs w:val="21"/>
              </w:rPr>
              <w:t>液压油</w:t>
            </w:r>
          </w:p>
        </w:tc>
        <w:tc>
          <w:tcPr>
            <w:tcW w:w="1481" w:type="pct"/>
            <w:vAlign w:val="center"/>
          </w:tcPr>
          <w:p w14:paraId="3535BEA8">
            <w:pPr>
              <w:tabs>
                <w:tab w:val="clear" w:pos="480"/>
              </w:tabs>
              <w:adjustRightInd w:val="0"/>
              <w:snapToGrid w:val="0"/>
              <w:spacing w:line="240" w:lineRule="auto"/>
              <w:ind w:firstLine="0" w:firstLineChars="0"/>
              <w:jc w:val="center"/>
              <w:rPr>
                <w:kern w:val="0"/>
                <w:sz w:val="21"/>
                <w:szCs w:val="21"/>
              </w:rPr>
            </w:pPr>
            <w:r>
              <w:rPr>
                <w:kern w:val="0"/>
                <w:sz w:val="21"/>
                <w:szCs w:val="21"/>
              </w:rPr>
              <w:t>室外高压断路器</w:t>
            </w:r>
          </w:p>
        </w:tc>
        <w:tc>
          <w:tcPr>
            <w:tcW w:w="937" w:type="pct"/>
            <w:vAlign w:val="center"/>
          </w:tcPr>
          <w:p w14:paraId="69E00381">
            <w:pPr>
              <w:tabs>
                <w:tab w:val="clear" w:pos="480"/>
              </w:tabs>
              <w:adjustRightInd w:val="0"/>
              <w:snapToGrid w:val="0"/>
              <w:spacing w:line="240" w:lineRule="auto"/>
              <w:ind w:firstLine="0" w:firstLineChars="0"/>
              <w:jc w:val="center"/>
              <w:rPr>
                <w:kern w:val="0"/>
                <w:sz w:val="21"/>
                <w:szCs w:val="21"/>
              </w:rPr>
            </w:pPr>
            <w:r>
              <w:rPr>
                <w:kern w:val="0"/>
                <w:sz w:val="21"/>
                <w:szCs w:val="21"/>
              </w:rPr>
              <w:t>0.96</w:t>
            </w:r>
          </w:p>
        </w:tc>
        <w:tc>
          <w:tcPr>
            <w:tcW w:w="1332" w:type="pct"/>
            <w:vAlign w:val="center"/>
          </w:tcPr>
          <w:p w14:paraId="51F35FDA">
            <w:pPr>
              <w:tabs>
                <w:tab w:val="clear" w:pos="480"/>
              </w:tabs>
              <w:adjustRightInd w:val="0"/>
              <w:snapToGrid w:val="0"/>
              <w:spacing w:line="240" w:lineRule="auto"/>
              <w:ind w:firstLine="0" w:firstLineChars="0"/>
              <w:jc w:val="center"/>
              <w:rPr>
                <w:kern w:val="0"/>
                <w:sz w:val="21"/>
                <w:szCs w:val="21"/>
              </w:rPr>
            </w:pPr>
            <w:r>
              <w:rPr>
                <w:kern w:val="0"/>
                <w:sz w:val="21"/>
                <w:szCs w:val="21"/>
              </w:rPr>
              <w:t>风机叶片</w:t>
            </w:r>
          </w:p>
        </w:tc>
      </w:tr>
      <w:tr w14:paraId="2AE511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2396870C">
            <w:pPr>
              <w:tabs>
                <w:tab w:val="clear" w:pos="480"/>
              </w:tabs>
              <w:adjustRightInd w:val="0"/>
              <w:snapToGrid w:val="0"/>
              <w:spacing w:line="240" w:lineRule="auto"/>
              <w:ind w:firstLine="0" w:firstLineChars="0"/>
              <w:jc w:val="center"/>
              <w:rPr>
                <w:kern w:val="0"/>
                <w:sz w:val="21"/>
                <w:szCs w:val="21"/>
              </w:rPr>
            </w:pPr>
            <w:r>
              <w:rPr>
                <w:kern w:val="0"/>
                <w:sz w:val="21"/>
                <w:szCs w:val="21"/>
              </w:rPr>
              <w:t>5</w:t>
            </w:r>
          </w:p>
        </w:tc>
        <w:tc>
          <w:tcPr>
            <w:tcW w:w="814" w:type="pct"/>
            <w:vAlign w:val="center"/>
          </w:tcPr>
          <w:p w14:paraId="60C78EE1">
            <w:pPr>
              <w:tabs>
                <w:tab w:val="clear" w:pos="480"/>
              </w:tabs>
              <w:adjustRightInd w:val="0"/>
              <w:snapToGrid w:val="0"/>
              <w:spacing w:line="240" w:lineRule="auto"/>
              <w:ind w:firstLine="0" w:firstLineChars="0"/>
              <w:jc w:val="center"/>
              <w:rPr>
                <w:kern w:val="0"/>
                <w:sz w:val="21"/>
                <w:szCs w:val="21"/>
              </w:rPr>
            </w:pPr>
            <w:r>
              <w:rPr>
                <w:kern w:val="0"/>
                <w:sz w:val="21"/>
                <w:szCs w:val="21"/>
              </w:rPr>
              <w:t>主变压器油</w:t>
            </w:r>
          </w:p>
        </w:tc>
        <w:tc>
          <w:tcPr>
            <w:tcW w:w="1481" w:type="pct"/>
            <w:vAlign w:val="center"/>
          </w:tcPr>
          <w:p w14:paraId="62C149EE">
            <w:pPr>
              <w:tabs>
                <w:tab w:val="clear" w:pos="480"/>
              </w:tabs>
              <w:adjustRightInd w:val="0"/>
              <w:snapToGrid w:val="0"/>
              <w:spacing w:line="240" w:lineRule="auto"/>
              <w:ind w:firstLine="0" w:firstLineChars="0"/>
              <w:jc w:val="center"/>
              <w:rPr>
                <w:kern w:val="0"/>
                <w:sz w:val="21"/>
                <w:szCs w:val="21"/>
              </w:rPr>
            </w:pPr>
            <w:r>
              <w:rPr>
                <w:kern w:val="0"/>
                <w:sz w:val="21"/>
                <w:szCs w:val="21"/>
              </w:rPr>
              <w:t>主变</w:t>
            </w:r>
          </w:p>
        </w:tc>
        <w:tc>
          <w:tcPr>
            <w:tcW w:w="937" w:type="pct"/>
            <w:vAlign w:val="center"/>
          </w:tcPr>
          <w:p w14:paraId="2C3E1F1B">
            <w:pPr>
              <w:tabs>
                <w:tab w:val="clear" w:pos="480"/>
              </w:tabs>
              <w:adjustRightInd w:val="0"/>
              <w:snapToGrid w:val="0"/>
              <w:spacing w:line="240" w:lineRule="auto"/>
              <w:ind w:firstLine="0" w:firstLineChars="0"/>
              <w:jc w:val="center"/>
              <w:rPr>
                <w:kern w:val="0"/>
                <w:sz w:val="21"/>
                <w:szCs w:val="21"/>
              </w:rPr>
            </w:pPr>
            <w:r>
              <w:rPr>
                <w:kern w:val="0"/>
                <w:sz w:val="21"/>
                <w:szCs w:val="21"/>
              </w:rPr>
              <w:t>23</w:t>
            </w:r>
          </w:p>
        </w:tc>
        <w:tc>
          <w:tcPr>
            <w:tcW w:w="1332" w:type="pct"/>
            <w:vAlign w:val="center"/>
          </w:tcPr>
          <w:p w14:paraId="663C1B02">
            <w:pPr>
              <w:tabs>
                <w:tab w:val="clear" w:pos="480"/>
              </w:tabs>
              <w:adjustRightInd w:val="0"/>
              <w:snapToGrid w:val="0"/>
              <w:spacing w:line="240" w:lineRule="auto"/>
              <w:ind w:firstLine="0" w:firstLineChars="0"/>
              <w:jc w:val="center"/>
              <w:rPr>
                <w:kern w:val="0"/>
                <w:sz w:val="21"/>
                <w:szCs w:val="21"/>
              </w:rPr>
            </w:pPr>
            <w:r>
              <w:rPr>
                <w:kern w:val="0"/>
                <w:sz w:val="21"/>
                <w:szCs w:val="21"/>
              </w:rPr>
              <w:t>主变压器</w:t>
            </w:r>
          </w:p>
        </w:tc>
      </w:tr>
      <w:tr w14:paraId="5945CD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6" w:type="pct"/>
            <w:vAlign w:val="center"/>
          </w:tcPr>
          <w:p w14:paraId="30DDBD1C">
            <w:pPr>
              <w:tabs>
                <w:tab w:val="clear" w:pos="480"/>
              </w:tabs>
              <w:adjustRightInd w:val="0"/>
              <w:snapToGrid w:val="0"/>
              <w:spacing w:line="240" w:lineRule="auto"/>
              <w:ind w:firstLine="0" w:firstLineChars="0"/>
              <w:jc w:val="center"/>
              <w:rPr>
                <w:kern w:val="0"/>
                <w:sz w:val="21"/>
                <w:szCs w:val="21"/>
              </w:rPr>
            </w:pPr>
            <w:r>
              <w:rPr>
                <w:kern w:val="0"/>
                <w:sz w:val="21"/>
                <w:szCs w:val="21"/>
              </w:rPr>
              <w:t>6</w:t>
            </w:r>
          </w:p>
        </w:tc>
        <w:tc>
          <w:tcPr>
            <w:tcW w:w="814" w:type="pct"/>
            <w:vAlign w:val="center"/>
          </w:tcPr>
          <w:p w14:paraId="45ACB1F0">
            <w:pPr>
              <w:tabs>
                <w:tab w:val="clear" w:pos="480"/>
              </w:tabs>
              <w:adjustRightInd w:val="0"/>
              <w:snapToGrid w:val="0"/>
              <w:spacing w:line="240" w:lineRule="auto"/>
              <w:ind w:firstLine="0" w:firstLineChars="0"/>
              <w:jc w:val="center"/>
              <w:rPr>
                <w:kern w:val="0"/>
                <w:sz w:val="21"/>
                <w:szCs w:val="21"/>
              </w:rPr>
            </w:pPr>
            <w:r>
              <w:rPr>
                <w:kern w:val="0"/>
                <w:sz w:val="21"/>
                <w:szCs w:val="21"/>
              </w:rPr>
              <w:t>废变压器油</w:t>
            </w:r>
          </w:p>
        </w:tc>
        <w:tc>
          <w:tcPr>
            <w:tcW w:w="1481" w:type="pct"/>
            <w:vAlign w:val="center"/>
          </w:tcPr>
          <w:p w14:paraId="0D332B11">
            <w:pPr>
              <w:tabs>
                <w:tab w:val="clear" w:pos="480"/>
              </w:tabs>
              <w:adjustRightInd w:val="0"/>
              <w:snapToGrid w:val="0"/>
              <w:spacing w:line="240" w:lineRule="auto"/>
              <w:ind w:firstLine="0" w:firstLineChars="0"/>
              <w:jc w:val="center"/>
              <w:rPr>
                <w:kern w:val="0"/>
                <w:sz w:val="21"/>
                <w:szCs w:val="21"/>
              </w:rPr>
            </w:pPr>
            <w:r>
              <w:rPr>
                <w:kern w:val="0"/>
                <w:sz w:val="21"/>
                <w:szCs w:val="21"/>
              </w:rPr>
              <w:t>主变、箱变</w:t>
            </w:r>
          </w:p>
        </w:tc>
        <w:tc>
          <w:tcPr>
            <w:tcW w:w="937" w:type="pct"/>
            <w:vAlign w:val="center"/>
          </w:tcPr>
          <w:p w14:paraId="7F07EDB5">
            <w:pPr>
              <w:tabs>
                <w:tab w:val="clear" w:pos="480"/>
              </w:tabs>
              <w:adjustRightInd w:val="0"/>
              <w:snapToGrid w:val="0"/>
              <w:spacing w:line="240" w:lineRule="auto"/>
              <w:ind w:firstLine="0" w:firstLineChars="0"/>
              <w:jc w:val="center"/>
              <w:rPr>
                <w:kern w:val="0"/>
                <w:sz w:val="21"/>
                <w:szCs w:val="21"/>
              </w:rPr>
            </w:pPr>
            <w:r>
              <w:rPr>
                <w:kern w:val="0"/>
                <w:sz w:val="21"/>
                <w:szCs w:val="21"/>
              </w:rPr>
              <w:t>33</w:t>
            </w:r>
          </w:p>
        </w:tc>
        <w:tc>
          <w:tcPr>
            <w:tcW w:w="1332" w:type="pct"/>
            <w:vAlign w:val="center"/>
          </w:tcPr>
          <w:p w14:paraId="6E374458">
            <w:pPr>
              <w:tabs>
                <w:tab w:val="clear" w:pos="480"/>
              </w:tabs>
              <w:adjustRightInd w:val="0"/>
              <w:snapToGrid w:val="0"/>
              <w:spacing w:line="240" w:lineRule="auto"/>
              <w:ind w:firstLine="0" w:firstLineChars="0"/>
              <w:jc w:val="center"/>
              <w:rPr>
                <w:kern w:val="0"/>
                <w:sz w:val="21"/>
                <w:szCs w:val="21"/>
              </w:rPr>
            </w:pPr>
          </w:p>
        </w:tc>
      </w:tr>
    </w:tbl>
    <w:p w14:paraId="65D9E590">
      <w:pPr>
        <w:pStyle w:val="4"/>
        <w:tabs>
          <w:tab w:val="clear" w:pos="480"/>
          <w:tab w:val="clear" w:pos="630"/>
        </w:tabs>
        <w:spacing w:before="0" w:after="0"/>
        <w:rPr>
          <w:sz w:val="30"/>
          <w:szCs w:val="30"/>
          <w:lang w:val="en-US"/>
        </w:rPr>
      </w:pPr>
      <w:bookmarkStart w:id="199" w:name="_Toc143799393"/>
      <w:r>
        <w:rPr>
          <w:sz w:val="30"/>
          <w:szCs w:val="30"/>
          <w:lang w:val="en-US"/>
        </w:rPr>
        <w:t>7.3</w:t>
      </w:r>
      <w:r>
        <w:rPr>
          <w:rFonts w:hint="eastAsia"/>
          <w:sz w:val="30"/>
          <w:szCs w:val="30"/>
          <w:lang w:val="en-US"/>
        </w:rPr>
        <w:t>评价等级判定</w:t>
      </w:r>
      <w:bookmarkEnd w:id="198"/>
      <w:bookmarkEnd w:id="199"/>
    </w:p>
    <w:p w14:paraId="7348A8F7">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7.3.1</w:t>
      </w:r>
      <w:r>
        <w:rPr>
          <w:rFonts w:hint="eastAsia" w:ascii="Times New Roman" w:eastAsia="宋体"/>
          <w:sz w:val="28"/>
          <w:szCs w:val="28"/>
          <w:lang w:val="en-US"/>
        </w:rPr>
        <w:t>危险物质数量与临界量比值（Q）</w:t>
      </w:r>
    </w:p>
    <w:p w14:paraId="4586FBE6">
      <w:pPr>
        <w:tabs>
          <w:tab w:val="clear" w:pos="480"/>
        </w:tabs>
        <w:ind w:firstLine="480"/>
        <w:jc w:val="left"/>
        <w:rPr>
          <w:rFonts w:hAnsi="宋体"/>
        </w:rPr>
      </w:pPr>
      <w:r>
        <w:rPr>
          <w:rFonts w:hint="eastAsia" w:hAnsi="宋体"/>
        </w:rPr>
        <w:t>根据《建设项目环境风险评价技术导则》（</w:t>
      </w:r>
      <w:r>
        <w:rPr>
          <w:rFonts w:hAnsi="宋体"/>
        </w:rPr>
        <w:t>HJ169-2018</w:t>
      </w:r>
      <w:r>
        <w:rPr>
          <w:rFonts w:hint="eastAsia" w:hAnsi="宋体"/>
        </w:rPr>
        <w:t>）附录</w:t>
      </w:r>
      <w:r>
        <w:rPr>
          <w:rFonts w:hAnsi="宋体"/>
        </w:rPr>
        <w:t>B</w:t>
      </w:r>
      <w:r>
        <w:rPr>
          <w:rFonts w:hint="eastAsia" w:hAnsi="宋体"/>
        </w:rPr>
        <w:t>，计算企业原辅助生产物料、燃料、中间产品、副产品、产品、污染物等所涉及的每种危险物质在厂界内最大存在总量与《建设项目环境风险评价技术导则》（</w:t>
      </w:r>
      <w:r>
        <w:rPr>
          <w:rFonts w:hAnsi="宋体"/>
        </w:rPr>
        <w:t>HJ/T169-2018</w:t>
      </w:r>
      <w:r>
        <w:rPr>
          <w:rFonts w:hint="eastAsia" w:hAnsi="宋体"/>
        </w:rPr>
        <w:t>）》附录</w:t>
      </w:r>
      <w:r>
        <w:rPr>
          <w:rFonts w:hAnsi="宋体"/>
        </w:rPr>
        <w:t>B</w:t>
      </w:r>
      <w:r>
        <w:rPr>
          <w:rFonts w:hint="eastAsia" w:hAnsi="宋体"/>
        </w:rPr>
        <w:t>中对临界量的比值</w:t>
      </w:r>
      <w:r>
        <w:rPr>
          <w:rFonts w:hAnsi="宋体"/>
        </w:rPr>
        <w:t>Q</w:t>
      </w:r>
      <w:r>
        <w:rPr>
          <w:rFonts w:hint="eastAsia" w:hAnsi="宋体"/>
        </w:rPr>
        <w:t>。</w:t>
      </w:r>
    </w:p>
    <w:p w14:paraId="667A7D3F">
      <w:pPr>
        <w:tabs>
          <w:tab w:val="clear" w:pos="480"/>
        </w:tabs>
        <w:ind w:firstLine="480"/>
        <w:rPr>
          <w:rFonts w:hAnsi="宋体"/>
          <w:kern w:val="0"/>
        </w:rPr>
      </w:pPr>
      <w:r>
        <w:rPr>
          <w:rFonts w:hAnsi="宋体"/>
          <w:kern w:val="0"/>
        </w:rPr>
        <w:fldChar w:fldCharType="begin"/>
      </w:r>
      <w:r>
        <w:rPr>
          <w:rFonts w:hAnsi="宋体"/>
          <w:kern w:val="0"/>
        </w:rPr>
        <w:instrText xml:space="preserve"> </w:instrText>
      </w:r>
      <w:r>
        <w:rPr>
          <w:rFonts w:hint="eastAsia" w:hAnsi="宋体"/>
          <w:kern w:val="0"/>
        </w:rPr>
        <w:instrText xml:space="preserve">= 1 \* GB3</w:instrText>
      </w:r>
      <w:r>
        <w:rPr>
          <w:rFonts w:hAnsi="宋体"/>
          <w:kern w:val="0"/>
        </w:rPr>
        <w:instrText xml:space="preserve"> </w:instrText>
      </w:r>
      <w:r>
        <w:rPr>
          <w:rFonts w:hAnsi="宋体"/>
          <w:kern w:val="0"/>
        </w:rPr>
        <w:fldChar w:fldCharType="separate"/>
      </w:r>
      <w:r>
        <w:rPr>
          <w:rFonts w:hint="eastAsia" w:hAnsi="宋体"/>
          <w:kern w:val="0"/>
        </w:rPr>
        <w:t>①</w:t>
      </w:r>
      <w:r>
        <w:rPr>
          <w:rFonts w:hAnsi="宋体"/>
          <w:kern w:val="0"/>
        </w:rPr>
        <w:fldChar w:fldCharType="end"/>
      </w:r>
      <w:r>
        <w:rPr>
          <w:rFonts w:hAnsi="宋体"/>
          <w:kern w:val="0"/>
        </w:rPr>
        <w:t>当企业只涉及一种风险物质时，该物质的数量与其临界量比值，即为Q。</w:t>
      </w:r>
    </w:p>
    <w:p w14:paraId="0423B9CD">
      <w:pPr>
        <w:tabs>
          <w:tab w:val="clear" w:pos="480"/>
        </w:tabs>
        <w:ind w:firstLine="480"/>
        <w:rPr>
          <w:rFonts w:hAnsi="宋体"/>
          <w:kern w:val="0"/>
        </w:rPr>
      </w:pPr>
      <w:r>
        <w:rPr>
          <w:rFonts w:hAnsi="宋体"/>
          <w:kern w:val="0"/>
        </w:rPr>
        <w:fldChar w:fldCharType="begin"/>
      </w:r>
      <w:r>
        <w:rPr>
          <w:rFonts w:hAnsi="宋体"/>
          <w:kern w:val="0"/>
        </w:rPr>
        <w:instrText xml:space="preserve"> </w:instrText>
      </w:r>
      <w:r>
        <w:rPr>
          <w:rFonts w:hint="eastAsia" w:hAnsi="宋体"/>
          <w:kern w:val="0"/>
        </w:rPr>
        <w:instrText xml:space="preserve">= 2 \* GB3</w:instrText>
      </w:r>
      <w:r>
        <w:rPr>
          <w:rFonts w:hAnsi="宋体"/>
          <w:kern w:val="0"/>
        </w:rPr>
        <w:instrText xml:space="preserve"> </w:instrText>
      </w:r>
      <w:r>
        <w:rPr>
          <w:rFonts w:hAnsi="宋体"/>
          <w:kern w:val="0"/>
        </w:rPr>
        <w:fldChar w:fldCharType="separate"/>
      </w:r>
      <w:r>
        <w:rPr>
          <w:rFonts w:hint="eastAsia" w:hAnsi="宋体"/>
          <w:kern w:val="0"/>
        </w:rPr>
        <w:t>②</w:t>
      </w:r>
      <w:r>
        <w:rPr>
          <w:rFonts w:hAnsi="宋体"/>
          <w:kern w:val="0"/>
        </w:rPr>
        <w:fldChar w:fldCharType="end"/>
      </w:r>
      <w:r>
        <w:rPr>
          <w:rFonts w:hAnsi="宋体"/>
          <w:kern w:val="0"/>
        </w:rPr>
        <w:t>当企业存在多种风险物质时，则按式（1）计算：</w:t>
      </w:r>
    </w:p>
    <w:p w14:paraId="699B8DC4">
      <w:pPr>
        <w:tabs>
          <w:tab w:val="clear" w:pos="480"/>
        </w:tabs>
        <w:ind w:firstLine="480"/>
        <w:rPr>
          <w:rFonts w:hAnsi="宋体"/>
          <w:kern w:val="0"/>
        </w:rPr>
      </w:pPr>
    </w:p>
    <w:p w14:paraId="0F9A7D0F">
      <w:pPr>
        <w:tabs>
          <w:tab w:val="clear" w:pos="480"/>
        </w:tabs>
        <w:ind w:firstLine="480"/>
        <w:rPr>
          <w:rFonts w:hAnsi="宋体"/>
          <w:kern w:val="0"/>
        </w:rPr>
      </w:pPr>
      <w:r>
        <w:rPr>
          <w:rFonts w:hAnsi="宋体"/>
          <w:kern w:val="0"/>
        </w:rPr>
        <w:drawing>
          <wp:anchor distT="0" distB="0" distL="114300" distR="114300" simplePos="0" relativeHeight="251659264" behindDoc="0" locked="0" layoutInCell="1" allowOverlap="1">
            <wp:simplePos x="0" y="0"/>
            <wp:positionH relativeFrom="column">
              <wp:posOffset>1593215</wp:posOffset>
            </wp:positionH>
            <wp:positionV relativeFrom="paragraph">
              <wp:posOffset>-241935</wp:posOffset>
            </wp:positionV>
            <wp:extent cx="2011045" cy="485775"/>
            <wp:effectExtent l="0" t="0" r="8255" b="9525"/>
            <wp:wrapNone/>
            <wp:docPr id="2" name="图片 2" descr="1551167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5116789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011045" cy="485775"/>
                    </a:xfrm>
                    <a:prstGeom prst="rect">
                      <a:avLst/>
                    </a:prstGeom>
                    <a:noFill/>
                    <a:ln>
                      <a:noFill/>
                    </a:ln>
                  </pic:spPr>
                </pic:pic>
              </a:graphicData>
            </a:graphic>
          </wp:anchor>
        </w:drawing>
      </w:r>
      <w:r>
        <w:rPr>
          <w:rFonts w:hAnsi="宋体"/>
          <w:kern w:val="0"/>
        </w:rPr>
        <w:t>（公式1）</w:t>
      </w:r>
    </w:p>
    <w:p w14:paraId="34BC6EA8">
      <w:pPr>
        <w:tabs>
          <w:tab w:val="clear" w:pos="480"/>
        </w:tabs>
        <w:ind w:firstLine="480"/>
        <w:rPr>
          <w:rFonts w:hAnsi="宋体"/>
          <w:kern w:val="0"/>
        </w:rPr>
      </w:pPr>
      <w:r>
        <w:rPr>
          <w:rFonts w:hAnsi="宋体"/>
          <w:kern w:val="0"/>
        </w:rPr>
        <w:t>式中：q1，q2，…，qn—每种危险物质的最大存在总量，t；</w:t>
      </w:r>
    </w:p>
    <w:p w14:paraId="3BEE0470">
      <w:pPr>
        <w:tabs>
          <w:tab w:val="clear" w:pos="480"/>
        </w:tabs>
        <w:ind w:firstLine="480"/>
        <w:rPr>
          <w:rFonts w:hAnsi="宋体"/>
          <w:kern w:val="0"/>
        </w:rPr>
      </w:pPr>
      <w:r>
        <w:rPr>
          <w:rFonts w:hAnsi="宋体"/>
          <w:kern w:val="0"/>
        </w:rPr>
        <w:t>Q1，Q2，…，Qn—每种危险物质的临界量，t。</w:t>
      </w:r>
    </w:p>
    <w:p w14:paraId="352D1B9F">
      <w:pPr>
        <w:tabs>
          <w:tab w:val="clear" w:pos="480"/>
        </w:tabs>
        <w:ind w:firstLine="480"/>
        <w:rPr>
          <w:rFonts w:hAnsi="宋体"/>
          <w:kern w:val="0"/>
        </w:rPr>
      </w:pPr>
      <w:r>
        <w:rPr>
          <w:rFonts w:hAnsi="宋体"/>
          <w:kern w:val="0"/>
        </w:rPr>
        <w:t>Q＜1，该企业环境风险潜势为Ⅰ；</w:t>
      </w:r>
    </w:p>
    <w:p w14:paraId="1E8981EC">
      <w:pPr>
        <w:tabs>
          <w:tab w:val="clear" w:pos="480"/>
        </w:tabs>
        <w:ind w:firstLine="480"/>
        <w:rPr>
          <w:rFonts w:hAnsi="宋体"/>
          <w:kern w:val="0"/>
        </w:rPr>
      </w:pPr>
      <w:r>
        <w:rPr>
          <w:rFonts w:hAnsi="宋体"/>
          <w:kern w:val="0"/>
        </w:rPr>
        <w:t>Q≥1时，将Q值划分为：（1）1≤Q＜10；（2）10≤Q＜100；（3）Q≥100。</w:t>
      </w:r>
    </w:p>
    <w:p w14:paraId="1C4A0870">
      <w:pPr>
        <w:tabs>
          <w:tab w:val="clear" w:pos="480"/>
        </w:tabs>
        <w:ind w:firstLine="480"/>
        <w:rPr>
          <w:rFonts w:hAnsi="宋体"/>
          <w:kern w:val="0"/>
        </w:rPr>
      </w:pPr>
      <w:r>
        <w:rPr>
          <w:rFonts w:hAnsi="宋体"/>
          <w:kern w:val="0"/>
        </w:rPr>
        <w:t>本项目危险物质数量与临界量比值见下表。</w:t>
      </w:r>
    </w:p>
    <w:p w14:paraId="5F327206">
      <w:pPr>
        <w:pStyle w:val="2"/>
        <w:ind w:firstLine="420"/>
      </w:pPr>
    </w:p>
    <w:p w14:paraId="2D4D3901">
      <w:pPr>
        <w:ind w:firstLine="480"/>
      </w:pPr>
    </w:p>
    <w:p w14:paraId="0690B9A0">
      <w:pPr>
        <w:tabs>
          <w:tab w:val="clear" w:pos="480"/>
        </w:tabs>
        <w:adjustRightInd w:val="0"/>
        <w:snapToGrid w:val="0"/>
        <w:spacing w:line="240" w:lineRule="auto"/>
        <w:ind w:firstLine="0" w:firstLineChars="0"/>
        <w:jc w:val="center"/>
        <w:rPr>
          <w:b/>
          <w:bCs/>
        </w:rPr>
      </w:pPr>
      <w:r>
        <w:rPr>
          <w:b/>
          <w:bCs/>
        </w:rPr>
        <w:t>表7.3</w:t>
      </w:r>
      <w:r>
        <w:rPr>
          <w:rFonts w:hint="eastAsia"/>
          <w:b/>
          <w:bCs/>
        </w:rPr>
        <w:t>-</w:t>
      </w:r>
      <w:r>
        <w:rPr>
          <w:b/>
          <w:bCs/>
        </w:rPr>
        <w:t>1</w:t>
      </w:r>
      <w:r>
        <w:rPr>
          <w:rFonts w:hint="eastAsia"/>
          <w:b/>
          <w:bCs/>
        </w:rPr>
        <w:t>危险物质数量与临界量比值表</w:t>
      </w:r>
    </w:p>
    <w:tbl>
      <w:tblPr>
        <w:tblStyle w:val="3680"/>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51"/>
        <w:gridCol w:w="1400"/>
        <w:gridCol w:w="1611"/>
        <w:gridCol w:w="2290"/>
        <w:gridCol w:w="2289"/>
      </w:tblGrid>
      <w:tr w14:paraId="4341AD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0" w:type="pct"/>
            <w:vAlign w:val="center"/>
          </w:tcPr>
          <w:p w14:paraId="792DF5EE">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序号</w:t>
            </w:r>
          </w:p>
        </w:tc>
        <w:tc>
          <w:tcPr>
            <w:tcW w:w="839" w:type="pct"/>
            <w:vAlign w:val="center"/>
          </w:tcPr>
          <w:p w14:paraId="73409E40">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物料</w:t>
            </w:r>
          </w:p>
        </w:tc>
        <w:tc>
          <w:tcPr>
            <w:tcW w:w="966" w:type="pct"/>
            <w:vAlign w:val="center"/>
          </w:tcPr>
          <w:p w14:paraId="1103E195">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最大存在量（t/a）</w:t>
            </w:r>
          </w:p>
        </w:tc>
        <w:tc>
          <w:tcPr>
            <w:tcW w:w="1373" w:type="pct"/>
          </w:tcPr>
          <w:p w14:paraId="5CF1CCFF">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临界量（t）</w:t>
            </w:r>
          </w:p>
        </w:tc>
        <w:tc>
          <w:tcPr>
            <w:tcW w:w="1373" w:type="pct"/>
          </w:tcPr>
          <w:p w14:paraId="4352317F">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危险物质与临界量比值Q</w:t>
            </w:r>
          </w:p>
        </w:tc>
      </w:tr>
      <w:tr w14:paraId="2781BB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0" w:type="pct"/>
            <w:vAlign w:val="center"/>
          </w:tcPr>
          <w:p w14:paraId="49A34156">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1</w:t>
            </w:r>
          </w:p>
        </w:tc>
        <w:tc>
          <w:tcPr>
            <w:tcW w:w="839" w:type="pct"/>
            <w:vAlign w:val="center"/>
          </w:tcPr>
          <w:p w14:paraId="170E6792">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机油</w:t>
            </w:r>
          </w:p>
        </w:tc>
        <w:tc>
          <w:tcPr>
            <w:tcW w:w="966" w:type="pct"/>
            <w:vAlign w:val="center"/>
          </w:tcPr>
          <w:p w14:paraId="1EA81206">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0.4</w:t>
            </w:r>
          </w:p>
        </w:tc>
        <w:tc>
          <w:tcPr>
            <w:tcW w:w="1373" w:type="pct"/>
          </w:tcPr>
          <w:p w14:paraId="30C83CAF">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2500</w:t>
            </w:r>
          </w:p>
        </w:tc>
        <w:tc>
          <w:tcPr>
            <w:tcW w:w="1373" w:type="pct"/>
          </w:tcPr>
          <w:p w14:paraId="0CCCCA83">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.00016</w:t>
            </w:r>
          </w:p>
        </w:tc>
      </w:tr>
      <w:tr w14:paraId="009AC1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0" w:type="pct"/>
            <w:vAlign w:val="center"/>
          </w:tcPr>
          <w:p w14:paraId="36F9D19B">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2</w:t>
            </w:r>
          </w:p>
        </w:tc>
        <w:tc>
          <w:tcPr>
            <w:tcW w:w="839" w:type="pct"/>
            <w:vAlign w:val="center"/>
          </w:tcPr>
          <w:p w14:paraId="28EB001A">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废变压器油</w:t>
            </w:r>
          </w:p>
        </w:tc>
        <w:tc>
          <w:tcPr>
            <w:tcW w:w="966" w:type="pct"/>
            <w:vAlign w:val="center"/>
          </w:tcPr>
          <w:p w14:paraId="5A6FA249">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33</w:t>
            </w:r>
          </w:p>
        </w:tc>
        <w:tc>
          <w:tcPr>
            <w:tcW w:w="1373" w:type="pct"/>
          </w:tcPr>
          <w:p w14:paraId="07B1B73F">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2500</w:t>
            </w:r>
          </w:p>
        </w:tc>
        <w:tc>
          <w:tcPr>
            <w:tcW w:w="1373" w:type="pct"/>
          </w:tcPr>
          <w:p w14:paraId="47CF8E81">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.0132</w:t>
            </w:r>
          </w:p>
        </w:tc>
      </w:tr>
      <w:tr w14:paraId="637AE6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0" w:type="pct"/>
            <w:vAlign w:val="center"/>
          </w:tcPr>
          <w:p w14:paraId="4C00447E">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3</w:t>
            </w:r>
          </w:p>
        </w:tc>
        <w:tc>
          <w:tcPr>
            <w:tcW w:w="839" w:type="pct"/>
            <w:vAlign w:val="center"/>
          </w:tcPr>
          <w:p w14:paraId="415082CC">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硫酸</w:t>
            </w:r>
          </w:p>
        </w:tc>
        <w:tc>
          <w:tcPr>
            <w:tcW w:w="966" w:type="pct"/>
            <w:vAlign w:val="center"/>
          </w:tcPr>
          <w:p w14:paraId="48B69610">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.158</w:t>
            </w:r>
          </w:p>
        </w:tc>
        <w:tc>
          <w:tcPr>
            <w:tcW w:w="1373" w:type="pct"/>
          </w:tcPr>
          <w:p w14:paraId="1FA7C85E">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10</w:t>
            </w:r>
          </w:p>
        </w:tc>
        <w:tc>
          <w:tcPr>
            <w:tcW w:w="1373" w:type="pct"/>
          </w:tcPr>
          <w:p w14:paraId="02BE8EDA">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.0158</w:t>
            </w:r>
          </w:p>
        </w:tc>
      </w:tr>
      <w:tr w14:paraId="18AFE6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0" w:type="pct"/>
            <w:vAlign w:val="center"/>
          </w:tcPr>
          <w:p w14:paraId="7CE434DB">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4</w:t>
            </w:r>
          </w:p>
        </w:tc>
        <w:tc>
          <w:tcPr>
            <w:tcW w:w="839" w:type="pct"/>
            <w:vAlign w:val="center"/>
          </w:tcPr>
          <w:p w14:paraId="59CCB9CE">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液压油</w:t>
            </w:r>
          </w:p>
        </w:tc>
        <w:tc>
          <w:tcPr>
            <w:tcW w:w="966" w:type="pct"/>
            <w:vAlign w:val="center"/>
          </w:tcPr>
          <w:p w14:paraId="1E01049B">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0.96</w:t>
            </w:r>
          </w:p>
        </w:tc>
        <w:tc>
          <w:tcPr>
            <w:tcW w:w="1373" w:type="pct"/>
          </w:tcPr>
          <w:p w14:paraId="281A6FF3">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2500</w:t>
            </w:r>
          </w:p>
        </w:tc>
        <w:tc>
          <w:tcPr>
            <w:tcW w:w="1373" w:type="pct"/>
          </w:tcPr>
          <w:p w14:paraId="19457540">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.000384</w:t>
            </w:r>
          </w:p>
        </w:tc>
      </w:tr>
      <w:tr w14:paraId="3B9A83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50" w:type="pct"/>
            <w:vAlign w:val="center"/>
          </w:tcPr>
          <w:p w14:paraId="2F1862DA">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5</w:t>
            </w:r>
          </w:p>
        </w:tc>
        <w:tc>
          <w:tcPr>
            <w:tcW w:w="839" w:type="pct"/>
            <w:vAlign w:val="center"/>
          </w:tcPr>
          <w:p w14:paraId="55950389">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变压器油</w:t>
            </w:r>
          </w:p>
        </w:tc>
        <w:tc>
          <w:tcPr>
            <w:tcW w:w="966" w:type="pct"/>
            <w:vAlign w:val="center"/>
          </w:tcPr>
          <w:p w14:paraId="50B57D67">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33</w:t>
            </w:r>
          </w:p>
        </w:tc>
        <w:tc>
          <w:tcPr>
            <w:tcW w:w="1373" w:type="pct"/>
          </w:tcPr>
          <w:p w14:paraId="5D98C211">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2500</w:t>
            </w:r>
          </w:p>
        </w:tc>
        <w:tc>
          <w:tcPr>
            <w:tcW w:w="1373" w:type="pct"/>
          </w:tcPr>
          <w:p w14:paraId="4859E45C">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.0132</w:t>
            </w:r>
          </w:p>
        </w:tc>
      </w:tr>
      <w:tr w14:paraId="3764B1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89" w:type="pct"/>
            <w:gridSpan w:val="2"/>
            <w:vAlign w:val="center"/>
          </w:tcPr>
          <w:p w14:paraId="31B861AD">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ascii="Calibri" w:hAnsi="Calibri"/>
                <w:kern w:val="0"/>
                <w:sz w:val="21"/>
                <w:szCs w:val="22"/>
                <w:lang w:eastAsia="en-US"/>
              </w:rPr>
              <w:t>合计</w:t>
            </w:r>
          </w:p>
        </w:tc>
        <w:tc>
          <w:tcPr>
            <w:tcW w:w="966" w:type="pct"/>
            <w:vAlign w:val="center"/>
          </w:tcPr>
          <w:p w14:paraId="0987E771">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p>
        </w:tc>
        <w:tc>
          <w:tcPr>
            <w:tcW w:w="1373" w:type="pct"/>
          </w:tcPr>
          <w:p w14:paraId="3DC6995E">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p>
        </w:tc>
        <w:tc>
          <w:tcPr>
            <w:tcW w:w="1373" w:type="pct"/>
          </w:tcPr>
          <w:p w14:paraId="06F67149">
            <w:pPr>
              <w:tabs>
                <w:tab w:val="clear" w:pos="480"/>
              </w:tabs>
              <w:autoSpaceDE w:val="0"/>
              <w:autoSpaceDN w:val="0"/>
              <w:adjustRightInd w:val="0"/>
              <w:snapToGrid w:val="0"/>
              <w:spacing w:line="240" w:lineRule="auto"/>
              <w:ind w:firstLine="0" w:firstLineChars="0"/>
              <w:jc w:val="center"/>
              <w:rPr>
                <w:rFonts w:ascii="Calibri" w:hAnsi="Calibri"/>
                <w:kern w:val="0"/>
                <w:sz w:val="21"/>
                <w:szCs w:val="22"/>
                <w:lang w:eastAsia="en-US"/>
              </w:rPr>
            </w:pPr>
            <w:r>
              <w:rPr>
                <w:rFonts w:hint="eastAsia" w:ascii="Calibri" w:hAnsi="Calibri"/>
                <w:kern w:val="0"/>
                <w:sz w:val="21"/>
                <w:szCs w:val="22"/>
                <w:lang w:eastAsia="en-US"/>
              </w:rPr>
              <w:t>0</w:t>
            </w:r>
            <w:r>
              <w:rPr>
                <w:rFonts w:ascii="Calibri" w:hAnsi="Calibri"/>
                <w:kern w:val="0"/>
                <w:sz w:val="21"/>
                <w:szCs w:val="22"/>
                <w:lang w:eastAsia="en-US"/>
              </w:rPr>
              <w:t>.042744</w:t>
            </w:r>
          </w:p>
        </w:tc>
      </w:tr>
      <w:tr w14:paraId="05FB6A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5"/>
            <w:vAlign w:val="center"/>
          </w:tcPr>
          <w:p w14:paraId="2CFDF747">
            <w:pPr>
              <w:tabs>
                <w:tab w:val="clear" w:pos="480"/>
              </w:tabs>
              <w:autoSpaceDE w:val="0"/>
              <w:autoSpaceDN w:val="0"/>
              <w:adjustRightInd w:val="0"/>
              <w:snapToGrid w:val="0"/>
              <w:spacing w:line="240" w:lineRule="auto"/>
              <w:ind w:firstLine="0" w:firstLineChars="0"/>
              <w:rPr>
                <w:rFonts w:ascii="Calibri" w:hAnsi="Calibri"/>
                <w:kern w:val="0"/>
                <w:sz w:val="21"/>
                <w:szCs w:val="22"/>
                <w:lang w:eastAsia="en-US"/>
              </w:rPr>
            </w:pPr>
            <w:r>
              <w:rPr>
                <w:rFonts w:hint="eastAsia" w:ascii="Calibri" w:hAnsi="Calibri"/>
                <w:kern w:val="0"/>
                <w:sz w:val="21"/>
                <w:szCs w:val="22"/>
                <w:lang w:eastAsia="en-US"/>
              </w:rPr>
              <w:t>备注：（1）铅酸蓄电池内电解液质量百分比为2</w:t>
            </w:r>
            <w:r>
              <w:rPr>
                <w:rFonts w:ascii="Calibri" w:hAnsi="Calibri"/>
                <w:kern w:val="0"/>
                <w:sz w:val="21"/>
                <w:szCs w:val="22"/>
                <w:lang w:eastAsia="en-US"/>
              </w:rPr>
              <w:t>0%</w:t>
            </w:r>
            <w:r>
              <w:rPr>
                <w:rFonts w:hint="eastAsia" w:ascii="Calibri" w:hAnsi="Calibri"/>
                <w:kern w:val="0"/>
                <w:sz w:val="21"/>
                <w:szCs w:val="22"/>
                <w:lang w:eastAsia="en-US"/>
              </w:rPr>
              <w:t>，其中硫酸占电解液的3</w:t>
            </w:r>
            <w:r>
              <w:rPr>
                <w:rFonts w:ascii="Calibri" w:hAnsi="Calibri"/>
                <w:kern w:val="0"/>
                <w:sz w:val="21"/>
                <w:szCs w:val="22"/>
                <w:lang w:eastAsia="en-US"/>
              </w:rPr>
              <w:t>8%</w:t>
            </w:r>
            <w:r>
              <w:rPr>
                <w:rFonts w:hint="eastAsia" w:ascii="Calibri" w:hAnsi="Calibri"/>
                <w:kern w:val="0"/>
                <w:sz w:val="21"/>
                <w:szCs w:val="22"/>
                <w:lang w:eastAsia="en-US"/>
              </w:rPr>
              <w:t>。本项目铅酸蓄电池为2</w:t>
            </w:r>
            <w:r>
              <w:rPr>
                <w:rFonts w:ascii="Calibri" w:hAnsi="Calibri"/>
                <w:kern w:val="0"/>
                <w:sz w:val="21"/>
                <w:szCs w:val="22"/>
                <w:lang w:eastAsia="en-US"/>
              </w:rPr>
              <w:t>08</w:t>
            </w:r>
            <w:r>
              <w:rPr>
                <w:rFonts w:hint="eastAsia" w:ascii="Calibri" w:hAnsi="Calibri"/>
                <w:kern w:val="0"/>
                <w:sz w:val="21"/>
                <w:szCs w:val="22"/>
                <w:lang w:eastAsia="en-US"/>
              </w:rPr>
              <w:t>节，每节重量为1</w:t>
            </w:r>
            <w:r>
              <w:rPr>
                <w:rFonts w:ascii="Calibri" w:hAnsi="Calibri"/>
                <w:kern w:val="0"/>
                <w:sz w:val="21"/>
                <w:szCs w:val="22"/>
                <w:lang w:eastAsia="en-US"/>
              </w:rPr>
              <w:t>0</w:t>
            </w:r>
            <w:r>
              <w:rPr>
                <w:rFonts w:hint="eastAsia" w:ascii="Calibri" w:hAnsi="Calibri"/>
                <w:kern w:val="0"/>
                <w:sz w:val="21"/>
                <w:szCs w:val="22"/>
                <w:lang w:eastAsia="en-US"/>
              </w:rPr>
              <w:t>kg。</w:t>
            </w:r>
          </w:p>
          <w:p w14:paraId="26041737">
            <w:pPr>
              <w:pStyle w:val="2"/>
              <w:autoSpaceDE w:val="0"/>
              <w:autoSpaceDN w:val="0"/>
              <w:ind w:firstLine="0" w:firstLineChars="0"/>
              <w:rPr>
                <w:lang w:eastAsia="en-US"/>
              </w:rPr>
            </w:pPr>
            <w:r>
              <w:rPr>
                <w:rFonts w:hint="eastAsia" w:ascii="Calibri" w:hAnsi="Calibri"/>
                <w:kern w:val="0"/>
                <w:szCs w:val="22"/>
                <w:lang w:eastAsia="en-US"/>
              </w:rPr>
              <w:t>（2）因《建设项目环境风险评价技术导则》（</w:t>
            </w:r>
            <w:r>
              <w:rPr>
                <w:rFonts w:ascii="Calibri" w:hAnsi="Calibri"/>
                <w:kern w:val="0"/>
                <w:szCs w:val="22"/>
                <w:lang w:eastAsia="en-US"/>
              </w:rPr>
              <w:t>HJ/T169-2018</w:t>
            </w:r>
            <w:r>
              <w:rPr>
                <w:rFonts w:hint="eastAsia" w:ascii="Calibri" w:hAnsi="Calibri"/>
                <w:kern w:val="0"/>
                <w:szCs w:val="22"/>
                <w:lang w:eastAsia="en-US"/>
              </w:rPr>
              <w:t>）》附录</w:t>
            </w:r>
            <w:r>
              <w:rPr>
                <w:rFonts w:ascii="Calibri" w:hAnsi="Calibri"/>
                <w:kern w:val="0"/>
                <w:szCs w:val="22"/>
                <w:lang w:eastAsia="en-US"/>
              </w:rPr>
              <w:t>B</w:t>
            </w:r>
            <w:r>
              <w:rPr>
                <w:rFonts w:hint="eastAsia" w:ascii="Calibri" w:hAnsi="Calibri"/>
                <w:kern w:val="0"/>
                <w:szCs w:val="22"/>
                <w:lang w:eastAsia="en-US"/>
              </w:rPr>
              <w:t>中午铅的临界量，因此本部分不考虑铅酸蓄电池中的铅。</w:t>
            </w:r>
          </w:p>
        </w:tc>
      </w:tr>
    </w:tbl>
    <w:p w14:paraId="192622D6">
      <w:pPr>
        <w:adjustRightInd w:val="0"/>
        <w:snapToGrid w:val="0"/>
        <w:ind w:firstLine="480"/>
      </w:pPr>
      <w:r>
        <w:t>根据上表可知，</w:t>
      </w:r>
      <w:r>
        <w:rPr>
          <w:rFonts w:hint="eastAsia"/>
        </w:rPr>
        <w:t>本项目</w:t>
      </w:r>
      <w:r>
        <w:t>Q=0.042744（</w:t>
      </w:r>
      <w:r>
        <w:rPr>
          <w:rFonts w:hint="eastAsia"/>
        </w:rPr>
        <w:t>Q＜1</w:t>
      </w:r>
      <w:r>
        <w:t>）。</w:t>
      </w:r>
      <w:r>
        <w:rPr>
          <w:rFonts w:hint="eastAsia"/>
        </w:rPr>
        <w:t>因此，本项目</w:t>
      </w:r>
      <w:r>
        <w:t>环境风险潜势为Ⅰ</w:t>
      </w:r>
      <w:r>
        <w:rPr>
          <w:rFonts w:hint="eastAsia"/>
        </w:rPr>
        <w:t>。</w:t>
      </w:r>
    </w:p>
    <w:p w14:paraId="67132C54">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7.3.2</w:t>
      </w:r>
      <w:r>
        <w:rPr>
          <w:rFonts w:hint="eastAsia" w:ascii="Times New Roman" w:eastAsia="宋体"/>
          <w:sz w:val="28"/>
          <w:szCs w:val="28"/>
          <w:lang w:val="en-US"/>
        </w:rPr>
        <w:t>评价工作等级判定</w:t>
      </w:r>
    </w:p>
    <w:p w14:paraId="65988262">
      <w:pPr>
        <w:adjustRightInd w:val="0"/>
        <w:snapToGrid w:val="0"/>
        <w:ind w:firstLine="480"/>
      </w:pPr>
      <w:r>
        <w:rPr>
          <w:rFonts w:hint="eastAsia"/>
        </w:rPr>
        <w:t>根据《建设项目环境风险评价技术导则》(HJ/T169-2018)，环境风险评价工作等级划分为一级、二级、三级。本项目环境风险评价等级判定结果见下表。</w:t>
      </w:r>
    </w:p>
    <w:p w14:paraId="26CECAB6">
      <w:pPr>
        <w:tabs>
          <w:tab w:val="clear" w:pos="480"/>
        </w:tabs>
        <w:adjustRightInd w:val="0"/>
        <w:snapToGrid w:val="0"/>
        <w:spacing w:line="240" w:lineRule="auto"/>
        <w:ind w:firstLine="0" w:firstLineChars="0"/>
        <w:jc w:val="center"/>
        <w:rPr>
          <w:b/>
          <w:bCs/>
        </w:rPr>
      </w:pPr>
      <w:r>
        <w:rPr>
          <w:rFonts w:hint="eastAsia"/>
          <w:b/>
          <w:bCs/>
        </w:rPr>
        <w:t>表7</w:t>
      </w:r>
      <w:r>
        <w:rPr>
          <w:b/>
          <w:bCs/>
        </w:rPr>
        <w:t>.3</w:t>
      </w:r>
      <w:r>
        <w:rPr>
          <w:rFonts w:hint="eastAsia"/>
          <w:b/>
          <w:bCs/>
        </w:rPr>
        <w:t>-</w:t>
      </w:r>
      <w:r>
        <w:rPr>
          <w:b/>
          <w:bCs/>
        </w:rPr>
        <w:t>2</w:t>
      </w:r>
      <w:r>
        <w:rPr>
          <w:rFonts w:hint="eastAsia"/>
          <w:b/>
          <w:bCs/>
        </w:rPr>
        <w:t>环境风险评价等级划分依据</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84"/>
        <w:gridCol w:w="1745"/>
        <w:gridCol w:w="801"/>
        <w:gridCol w:w="804"/>
        <w:gridCol w:w="2207"/>
      </w:tblGrid>
      <w:tr w14:paraId="2D61BD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1669" w:type="pct"/>
            <w:vAlign w:val="center"/>
          </w:tcPr>
          <w:p w14:paraId="66436B2D">
            <w:pPr>
              <w:tabs>
                <w:tab w:val="clear" w:pos="480"/>
              </w:tabs>
              <w:adjustRightInd w:val="0"/>
              <w:snapToGrid w:val="0"/>
              <w:spacing w:line="240" w:lineRule="auto"/>
              <w:ind w:firstLine="0" w:firstLineChars="0"/>
              <w:jc w:val="center"/>
              <w:rPr>
                <w:kern w:val="0"/>
                <w:sz w:val="21"/>
                <w:szCs w:val="21"/>
                <w:lang w:eastAsia="en-US"/>
              </w:rPr>
            </w:pPr>
            <w:r>
              <w:rPr>
                <w:kern w:val="0"/>
                <w:sz w:val="21"/>
                <w:szCs w:val="21"/>
                <w:lang w:eastAsia="en-US"/>
              </w:rPr>
              <w:t>环境风险潜势</w:t>
            </w:r>
          </w:p>
        </w:tc>
        <w:tc>
          <w:tcPr>
            <w:tcW w:w="1046" w:type="pct"/>
            <w:vAlign w:val="center"/>
          </w:tcPr>
          <w:p w14:paraId="43738CFE">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IV</w:t>
            </w:r>
            <w:r>
              <w:rPr>
                <w:kern w:val="0"/>
                <w:sz w:val="21"/>
                <w:szCs w:val="21"/>
                <w:lang w:eastAsia="en-US"/>
              </w:rPr>
              <w:t>、</w:t>
            </w:r>
            <w:r>
              <w:rPr>
                <w:kern w:val="0"/>
                <w:sz w:val="21"/>
                <w:szCs w:val="21"/>
              </w:rPr>
              <w:t>IV+</w:t>
            </w:r>
          </w:p>
        </w:tc>
        <w:tc>
          <w:tcPr>
            <w:tcW w:w="480" w:type="pct"/>
            <w:vAlign w:val="center"/>
          </w:tcPr>
          <w:p w14:paraId="42F4B87A">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III</w:t>
            </w:r>
          </w:p>
        </w:tc>
        <w:tc>
          <w:tcPr>
            <w:tcW w:w="482" w:type="pct"/>
            <w:vAlign w:val="center"/>
          </w:tcPr>
          <w:p w14:paraId="4155EFBF">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II</w:t>
            </w:r>
          </w:p>
        </w:tc>
        <w:tc>
          <w:tcPr>
            <w:tcW w:w="1323" w:type="pct"/>
            <w:vAlign w:val="center"/>
          </w:tcPr>
          <w:p w14:paraId="18DB3A8C">
            <w:pPr>
              <w:tabs>
                <w:tab w:val="clear" w:pos="480"/>
              </w:tabs>
              <w:adjustRightInd w:val="0"/>
              <w:snapToGrid w:val="0"/>
              <w:spacing w:line="240" w:lineRule="auto"/>
              <w:ind w:firstLine="0" w:firstLineChars="0"/>
              <w:jc w:val="center"/>
              <w:rPr>
                <w:kern w:val="0"/>
                <w:sz w:val="21"/>
                <w:szCs w:val="21"/>
                <w:lang w:eastAsia="en-US"/>
              </w:rPr>
            </w:pPr>
            <w:r>
              <w:rPr>
                <w:kern w:val="0"/>
                <w:sz w:val="21"/>
                <w:szCs w:val="21"/>
              </w:rPr>
              <w:t>I</w:t>
            </w:r>
          </w:p>
        </w:tc>
      </w:tr>
      <w:tr w14:paraId="44FFEA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669" w:type="pct"/>
            <w:vAlign w:val="center"/>
          </w:tcPr>
          <w:p w14:paraId="19A69A38">
            <w:pPr>
              <w:tabs>
                <w:tab w:val="clear" w:pos="480"/>
              </w:tabs>
              <w:adjustRightInd w:val="0"/>
              <w:snapToGrid w:val="0"/>
              <w:spacing w:line="240" w:lineRule="auto"/>
              <w:ind w:firstLine="0" w:firstLineChars="0"/>
              <w:jc w:val="center"/>
              <w:rPr>
                <w:kern w:val="0"/>
                <w:sz w:val="21"/>
                <w:szCs w:val="21"/>
                <w:lang w:eastAsia="en-US"/>
              </w:rPr>
            </w:pPr>
            <w:r>
              <w:rPr>
                <w:kern w:val="0"/>
                <w:sz w:val="21"/>
                <w:szCs w:val="21"/>
                <w:lang w:eastAsia="en-US"/>
              </w:rPr>
              <w:t>评价工作等级</w:t>
            </w:r>
          </w:p>
        </w:tc>
        <w:tc>
          <w:tcPr>
            <w:tcW w:w="1046" w:type="pct"/>
            <w:vAlign w:val="center"/>
          </w:tcPr>
          <w:p w14:paraId="277718E2">
            <w:pPr>
              <w:tabs>
                <w:tab w:val="clear" w:pos="480"/>
              </w:tabs>
              <w:adjustRightInd w:val="0"/>
              <w:snapToGrid w:val="0"/>
              <w:spacing w:line="240" w:lineRule="auto"/>
              <w:ind w:firstLine="0" w:firstLineChars="0"/>
              <w:jc w:val="center"/>
              <w:rPr>
                <w:b/>
                <w:kern w:val="0"/>
                <w:sz w:val="21"/>
                <w:szCs w:val="21"/>
                <w:lang w:eastAsia="en-US"/>
              </w:rPr>
            </w:pPr>
            <w:r>
              <w:rPr>
                <w:b/>
                <w:kern w:val="0"/>
                <w:sz w:val="21"/>
                <w:szCs w:val="21"/>
                <w:lang w:eastAsia="en-US"/>
              </w:rPr>
              <w:t>一</w:t>
            </w:r>
          </w:p>
        </w:tc>
        <w:tc>
          <w:tcPr>
            <w:tcW w:w="480" w:type="pct"/>
            <w:vAlign w:val="center"/>
          </w:tcPr>
          <w:p w14:paraId="1F0254F8">
            <w:pPr>
              <w:tabs>
                <w:tab w:val="clear" w:pos="480"/>
              </w:tabs>
              <w:adjustRightInd w:val="0"/>
              <w:snapToGrid w:val="0"/>
              <w:spacing w:line="240" w:lineRule="auto"/>
              <w:ind w:firstLine="0" w:firstLineChars="0"/>
              <w:jc w:val="center"/>
              <w:rPr>
                <w:b/>
                <w:kern w:val="0"/>
                <w:sz w:val="21"/>
                <w:szCs w:val="21"/>
                <w:lang w:eastAsia="en-US"/>
              </w:rPr>
            </w:pPr>
            <w:r>
              <w:rPr>
                <w:b/>
                <w:kern w:val="0"/>
                <w:sz w:val="21"/>
                <w:szCs w:val="21"/>
                <w:lang w:eastAsia="en-US"/>
              </w:rPr>
              <w:t>二</w:t>
            </w:r>
          </w:p>
        </w:tc>
        <w:tc>
          <w:tcPr>
            <w:tcW w:w="482" w:type="pct"/>
            <w:vAlign w:val="center"/>
          </w:tcPr>
          <w:p w14:paraId="378270C8">
            <w:pPr>
              <w:tabs>
                <w:tab w:val="clear" w:pos="480"/>
              </w:tabs>
              <w:adjustRightInd w:val="0"/>
              <w:snapToGrid w:val="0"/>
              <w:spacing w:line="240" w:lineRule="auto"/>
              <w:ind w:firstLine="0" w:firstLineChars="0"/>
              <w:jc w:val="center"/>
              <w:rPr>
                <w:b/>
                <w:kern w:val="0"/>
                <w:sz w:val="21"/>
                <w:szCs w:val="21"/>
                <w:lang w:eastAsia="en-US"/>
              </w:rPr>
            </w:pPr>
            <w:r>
              <w:rPr>
                <w:b/>
                <w:kern w:val="0"/>
                <w:sz w:val="21"/>
                <w:szCs w:val="21"/>
                <w:lang w:eastAsia="en-US"/>
              </w:rPr>
              <w:t>三</w:t>
            </w:r>
          </w:p>
        </w:tc>
        <w:tc>
          <w:tcPr>
            <w:tcW w:w="1323" w:type="pct"/>
            <w:vAlign w:val="center"/>
          </w:tcPr>
          <w:p w14:paraId="222D7576">
            <w:pPr>
              <w:tabs>
                <w:tab w:val="clear" w:pos="480"/>
              </w:tabs>
              <w:adjustRightInd w:val="0"/>
              <w:snapToGrid w:val="0"/>
              <w:spacing w:line="240" w:lineRule="auto"/>
              <w:ind w:firstLine="0" w:firstLineChars="0"/>
              <w:jc w:val="center"/>
              <w:rPr>
                <w:kern w:val="0"/>
                <w:sz w:val="21"/>
                <w:szCs w:val="21"/>
                <w:lang w:eastAsia="en-US"/>
              </w:rPr>
            </w:pPr>
            <w:r>
              <w:rPr>
                <w:kern w:val="0"/>
                <w:sz w:val="21"/>
                <w:szCs w:val="21"/>
                <w:lang w:eastAsia="en-US"/>
              </w:rPr>
              <w:t>简单分析</w:t>
            </w:r>
            <w:r>
              <w:rPr>
                <w:kern w:val="0"/>
                <w:position w:val="7"/>
                <w:sz w:val="21"/>
                <w:szCs w:val="21"/>
                <w:lang w:eastAsia="en-US"/>
              </w:rPr>
              <w:t>a</w:t>
            </w:r>
          </w:p>
        </w:tc>
      </w:tr>
      <w:tr w14:paraId="53D27C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5"/>
            <w:vAlign w:val="center"/>
          </w:tcPr>
          <w:p w14:paraId="28CCCC9D">
            <w:pPr>
              <w:tabs>
                <w:tab w:val="clear" w:pos="480"/>
              </w:tabs>
              <w:adjustRightInd w:val="0"/>
              <w:snapToGrid w:val="0"/>
              <w:spacing w:line="240" w:lineRule="auto"/>
              <w:ind w:firstLine="0" w:firstLineChars="0"/>
              <w:jc w:val="center"/>
              <w:rPr>
                <w:kern w:val="0"/>
                <w:sz w:val="21"/>
                <w:szCs w:val="21"/>
              </w:rPr>
            </w:pPr>
            <w:r>
              <w:rPr>
                <w:kern w:val="0"/>
                <w:sz w:val="21"/>
                <w:szCs w:val="21"/>
              </w:rPr>
              <w:t>a是</w:t>
            </w:r>
            <w:r>
              <w:rPr>
                <w:spacing w:val="-3"/>
                <w:kern w:val="0"/>
                <w:sz w:val="21"/>
                <w:szCs w:val="21"/>
              </w:rPr>
              <w:t>相</w:t>
            </w:r>
            <w:r>
              <w:rPr>
                <w:kern w:val="0"/>
                <w:sz w:val="21"/>
                <w:szCs w:val="21"/>
              </w:rPr>
              <w:t>对</w:t>
            </w:r>
            <w:r>
              <w:rPr>
                <w:spacing w:val="-3"/>
                <w:kern w:val="0"/>
                <w:sz w:val="21"/>
                <w:szCs w:val="21"/>
              </w:rPr>
              <w:t>于</w:t>
            </w:r>
            <w:r>
              <w:rPr>
                <w:kern w:val="0"/>
                <w:sz w:val="21"/>
                <w:szCs w:val="21"/>
              </w:rPr>
              <w:t>详</w:t>
            </w:r>
            <w:r>
              <w:rPr>
                <w:spacing w:val="-3"/>
                <w:kern w:val="0"/>
                <w:sz w:val="21"/>
                <w:szCs w:val="21"/>
              </w:rPr>
              <w:t>细</w:t>
            </w:r>
            <w:r>
              <w:rPr>
                <w:kern w:val="0"/>
                <w:sz w:val="21"/>
                <w:szCs w:val="21"/>
              </w:rPr>
              <w:t>评</w:t>
            </w:r>
            <w:r>
              <w:rPr>
                <w:spacing w:val="-3"/>
                <w:kern w:val="0"/>
                <w:sz w:val="21"/>
                <w:szCs w:val="21"/>
              </w:rPr>
              <w:t>价</w:t>
            </w:r>
            <w:r>
              <w:rPr>
                <w:kern w:val="0"/>
                <w:sz w:val="21"/>
                <w:szCs w:val="21"/>
              </w:rPr>
              <w:t>工</w:t>
            </w:r>
            <w:r>
              <w:rPr>
                <w:spacing w:val="-3"/>
                <w:kern w:val="0"/>
                <w:sz w:val="21"/>
                <w:szCs w:val="21"/>
              </w:rPr>
              <w:t>作</w:t>
            </w:r>
            <w:r>
              <w:rPr>
                <w:kern w:val="0"/>
                <w:sz w:val="21"/>
                <w:szCs w:val="21"/>
              </w:rPr>
              <w:t>内容</w:t>
            </w:r>
            <w:r>
              <w:rPr>
                <w:spacing w:val="-3"/>
                <w:kern w:val="0"/>
                <w:sz w:val="21"/>
                <w:szCs w:val="21"/>
              </w:rPr>
              <w:t>而</w:t>
            </w:r>
            <w:r>
              <w:rPr>
                <w:kern w:val="0"/>
                <w:sz w:val="21"/>
                <w:szCs w:val="21"/>
              </w:rPr>
              <w:t>言</w:t>
            </w:r>
            <w:r>
              <w:rPr>
                <w:spacing w:val="-3"/>
                <w:kern w:val="0"/>
                <w:sz w:val="21"/>
                <w:szCs w:val="21"/>
              </w:rPr>
              <w:t>，</w:t>
            </w:r>
            <w:r>
              <w:rPr>
                <w:kern w:val="0"/>
                <w:sz w:val="21"/>
                <w:szCs w:val="21"/>
              </w:rPr>
              <w:t>在</w:t>
            </w:r>
            <w:r>
              <w:rPr>
                <w:spacing w:val="-3"/>
                <w:kern w:val="0"/>
                <w:sz w:val="21"/>
                <w:szCs w:val="21"/>
              </w:rPr>
              <w:t>描</w:t>
            </w:r>
            <w:r>
              <w:rPr>
                <w:kern w:val="0"/>
                <w:sz w:val="21"/>
                <w:szCs w:val="21"/>
              </w:rPr>
              <w:t>述</w:t>
            </w:r>
            <w:r>
              <w:rPr>
                <w:spacing w:val="-3"/>
                <w:kern w:val="0"/>
                <w:sz w:val="21"/>
                <w:szCs w:val="21"/>
              </w:rPr>
              <w:t>危</w:t>
            </w:r>
            <w:r>
              <w:rPr>
                <w:kern w:val="0"/>
                <w:sz w:val="21"/>
                <w:szCs w:val="21"/>
              </w:rPr>
              <w:t>险</w:t>
            </w:r>
            <w:r>
              <w:rPr>
                <w:spacing w:val="-3"/>
                <w:kern w:val="0"/>
                <w:sz w:val="21"/>
                <w:szCs w:val="21"/>
              </w:rPr>
              <w:t>物</w:t>
            </w:r>
            <w:r>
              <w:rPr>
                <w:kern w:val="0"/>
                <w:sz w:val="21"/>
                <w:szCs w:val="21"/>
              </w:rPr>
              <w:t>质、</w:t>
            </w:r>
            <w:r>
              <w:rPr>
                <w:spacing w:val="-3"/>
                <w:kern w:val="0"/>
                <w:sz w:val="21"/>
                <w:szCs w:val="21"/>
              </w:rPr>
              <w:t>环</w:t>
            </w:r>
            <w:r>
              <w:rPr>
                <w:kern w:val="0"/>
                <w:sz w:val="21"/>
                <w:szCs w:val="21"/>
              </w:rPr>
              <w:t>境</w:t>
            </w:r>
            <w:r>
              <w:rPr>
                <w:spacing w:val="-3"/>
                <w:kern w:val="0"/>
                <w:sz w:val="21"/>
                <w:szCs w:val="21"/>
              </w:rPr>
              <w:t>影</w:t>
            </w:r>
            <w:r>
              <w:rPr>
                <w:kern w:val="0"/>
                <w:sz w:val="21"/>
                <w:szCs w:val="21"/>
              </w:rPr>
              <w:t>响</w:t>
            </w:r>
            <w:r>
              <w:rPr>
                <w:spacing w:val="-3"/>
                <w:kern w:val="0"/>
                <w:sz w:val="21"/>
                <w:szCs w:val="21"/>
              </w:rPr>
              <w:t>途</w:t>
            </w:r>
            <w:r>
              <w:rPr>
                <w:kern w:val="0"/>
                <w:sz w:val="21"/>
                <w:szCs w:val="21"/>
              </w:rPr>
              <w:t>径</w:t>
            </w:r>
            <w:r>
              <w:rPr>
                <w:spacing w:val="-3"/>
                <w:kern w:val="0"/>
                <w:sz w:val="21"/>
                <w:szCs w:val="21"/>
              </w:rPr>
              <w:t>、</w:t>
            </w:r>
            <w:r>
              <w:rPr>
                <w:kern w:val="0"/>
                <w:sz w:val="21"/>
                <w:szCs w:val="21"/>
              </w:rPr>
              <w:t>环</w:t>
            </w:r>
            <w:r>
              <w:rPr>
                <w:spacing w:val="-3"/>
                <w:kern w:val="0"/>
                <w:sz w:val="21"/>
                <w:szCs w:val="21"/>
              </w:rPr>
              <w:t>境</w:t>
            </w:r>
            <w:r>
              <w:rPr>
                <w:kern w:val="0"/>
                <w:sz w:val="21"/>
                <w:szCs w:val="21"/>
              </w:rPr>
              <w:t>危害</w:t>
            </w:r>
            <w:r>
              <w:rPr>
                <w:spacing w:val="-3"/>
                <w:kern w:val="0"/>
                <w:sz w:val="21"/>
                <w:szCs w:val="21"/>
              </w:rPr>
              <w:t>后</w:t>
            </w:r>
            <w:r>
              <w:rPr>
                <w:kern w:val="0"/>
                <w:sz w:val="21"/>
                <w:szCs w:val="21"/>
              </w:rPr>
              <w:t>果</w:t>
            </w:r>
            <w:r>
              <w:rPr>
                <w:spacing w:val="-3"/>
                <w:kern w:val="0"/>
                <w:sz w:val="21"/>
                <w:szCs w:val="21"/>
              </w:rPr>
              <w:t>、风险</w:t>
            </w:r>
            <w:r>
              <w:rPr>
                <w:kern w:val="0"/>
                <w:sz w:val="21"/>
                <w:szCs w:val="21"/>
              </w:rPr>
              <w:t>防范措</w:t>
            </w:r>
            <w:r>
              <w:rPr>
                <w:spacing w:val="-3"/>
                <w:kern w:val="0"/>
                <w:sz w:val="21"/>
                <w:szCs w:val="21"/>
              </w:rPr>
              <w:t>施</w:t>
            </w:r>
            <w:r>
              <w:rPr>
                <w:kern w:val="0"/>
                <w:sz w:val="21"/>
                <w:szCs w:val="21"/>
              </w:rPr>
              <w:t>等</w:t>
            </w:r>
            <w:r>
              <w:rPr>
                <w:spacing w:val="-3"/>
                <w:kern w:val="0"/>
                <w:sz w:val="21"/>
                <w:szCs w:val="21"/>
              </w:rPr>
              <w:t>方</w:t>
            </w:r>
            <w:r>
              <w:rPr>
                <w:kern w:val="0"/>
                <w:sz w:val="21"/>
                <w:szCs w:val="21"/>
              </w:rPr>
              <w:t>面</w:t>
            </w:r>
            <w:r>
              <w:rPr>
                <w:spacing w:val="-3"/>
                <w:kern w:val="0"/>
                <w:sz w:val="21"/>
                <w:szCs w:val="21"/>
              </w:rPr>
              <w:t>给</w:t>
            </w:r>
            <w:r>
              <w:rPr>
                <w:kern w:val="0"/>
                <w:sz w:val="21"/>
                <w:szCs w:val="21"/>
              </w:rPr>
              <w:t>出</w:t>
            </w:r>
            <w:r>
              <w:rPr>
                <w:spacing w:val="-3"/>
                <w:kern w:val="0"/>
                <w:sz w:val="21"/>
                <w:szCs w:val="21"/>
              </w:rPr>
              <w:t>定</w:t>
            </w:r>
            <w:r>
              <w:rPr>
                <w:kern w:val="0"/>
                <w:sz w:val="21"/>
                <w:szCs w:val="21"/>
              </w:rPr>
              <w:t>性</w:t>
            </w:r>
            <w:r>
              <w:rPr>
                <w:spacing w:val="-3"/>
                <w:kern w:val="0"/>
                <w:sz w:val="21"/>
                <w:szCs w:val="21"/>
              </w:rPr>
              <w:t>的</w:t>
            </w:r>
            <w:r>
              <w:rPr>
                <w:kern w:val="0"/>
                <w:sz w:val="21"/>
                <w:szCs w:val="21"/>
              </w:rPr>
              <w:t>说明</w:t>
            </w:r>
            <w:r>
              <w:rPr>
                <w:spacing w:val="-3"/>
                <w:kern w:val="0"/>
                <w:sz w:val="21"/>
                <w:szCs w:val="21"/>
              </w:rPr>
              <w:t>。</w:t>
            </w:r>
            <w:r>
              <w:rPr>
                <w:kern w:val="0"/>
                <w:sz w:val="21"/>
                <w:szCs w:val="21"/>
              </w:rPr>
              <w:t>见</w:t>
            </w:r>
            <w:r>
              <w:rPr>
                <w:spacing w:val="-3"/>
                <w:kern w:val="0"/>
                <w:sz w:val="21"/>
                <w:szCs w:val="21"/>
              </w:rPr>
              <w:t>附</w:t>
            </w:r>
            <w:r>
              <w:rPr>
                <w:spacing w:val="50"/>
                <w:kern w:val="0"/>
                <w:sz w:val="21"/>
                <w:szCs w:val="21"/>
              </w:rPr>
              <w:t>录</w:t>
            </w:r>
            <w:r>
              <w:rPr>
                <w:spacing w:val="1"/>
                <w:kern w:val="0"/>
                <w:sz w:val="21"/>
                <w:szCs w:val="21"/>
              </w:rPr>
              <w:t>A</w:t>
            </w:r>
            <w:r>
              <w:rPr>
                <w:kern w:val="0"/>
                <w:sz w:val="21"/>
                <w:szCs w:val="21"/>
              </w:rPr>
              <w:t>。</w:t>
            </w:r>
          </w:p>
        </w:tc>
      </w:tr>
    </w:tbl>
    <w:p w14:paraId="4D0A8F2D">
      <w:pPr>
        <w:adjustRightInd w:val="0"/>
        <w:snapToGrid w:val="0"/>
        <w:ind w:firstLine="480"/>
      </w:pPr>
      <w:r>
        <w:rPr>
          <w:rFonts w:hint="eastAsia"/>
        </w:rPr>
        <w:t>根据前述分析可知，本项目</w:t>
      </w:r>
      <w:r>
        <w:t>环境风险潜势为Ⅰ</w:t>
      </w:r>
      <w:r>
        <w:rPr>
          <w:rFonts w:hint="eastAsia"/>
        </w:rPr>
        <w:t>。</w:t>
      </w:r>
      <w:r>
        <w:t>由上表可知，本项目环境风险评价等级为</w:t>
      </w:r>
      <w:r>
        <w:rPr>
          <w:rFonts w:hint="eastAsia"/>
        </w:rPr>
        <w:t>“简单分析”。</w:t>
      </w:r>
    </w:p>
    <w:p w14:paraId="29238EDC">
      <w:pPr>
        <w:pStyle w:val="4"/>
        <w:tabs>
          <w:tab w:val="clear" w:pos="480"/>
          <w:tab w:val="clear" w:pos="630"/>
        </w:tabs>
        <w:spacing w:before="0" w:after="0"/>
        <w:rPr>
          <w:sz w:val="30"/>
          <w:szCs w:val="30"/>
          <w:lang w:val="en-US"/>
        </w:rPr>
      </w:pPr>
      <w:bookmarkStart w:id="200" w:name="_Toc116978008"/>
      <w:bookmarkStart w:id="201" w:name="_Toc143799394"/>
      <w:r>
        <w:rPr>
          <w:sz w:val="30"/>
          <w:szCs w:val="30"/>
          <w:lang w:val="en-US"/>
        </w:rPr>
        <w:t>7.4</w:t>
      </w:r>
      <w:r>
        <w:rPr>
          <w:rFonts w:hint="eastAsia"/>
          <w:sz w:val="30"/>
          <w:szCs w:val="30"/>
          <w:lang w:val="en-US"/>
        </w:rPr>
        <w:t>环境风险分析及风险防范措施</w:t>
      </w:r>
      <w:bookmarkEnd w:id="200"/>
      <w:bookmarkEnd w:id="201"/>
    </w:p>
    <w:p w14:paraId="542C5BC5">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7.4.1</w:t>
      </w:r>
      <w:r>
        <w:rPr>
          <w:rFonts w:hint="eastAsia" w:ascii="Times New Roman" w:eastAsia="宋体"/>
          <w:sz w:val="28"/>
          <w:szCs w:val="28"/>
          <w:lang w:val="en-US"/>
        </w:rPr>
        <w:t>变压器油风险分析及防范措施</w:t>
      </w:r>
    </w:p>
    <w:p w14:paraId="44C98A34">
      <w:pPr>
        <w:tabs>
          <w:tab w:val="clear" w:pos="480"/>
        </w:tabs>
        <w:adjustRightInd w:val="0"/>
        <w:snapToGrid w:val="0"/>
        <w:ind w:firstLine="480"/>
      </w:pPr>
      <w:r>
        <w:t>（1）环境风险分析</w:t>
      </w:r>
    </w:p>
    <w:p w14:paraId="02C7CD7A">
      <w:pPr>
        <w:adjustRightInd w:val="0"/>
        <w:snapToGrid w:val="0"/>
        <w:ind w:firstLine="480"/>
      </w:pPr>
      <w:r>
        <w:t>变压器为了绝缘和冷却的需要，其外壳内装有大量变压器油，一般只有发生事故时才会排油。变压器油是天然石油中经过蒸馏、精炼而获得的一种矿物油，是石油中的润滑油馏份经酸碱精制处理得到纯净稳定、粘度小、绝缘性好、冷却性好的液体天然碳氢化合物的混合物，俗称方棚油，浅黄色透明液体，相对密度 0.895。凝固点&lt;- 45  ℃。主要由三种烃类组成，主要成分为环烷烃（约占 80%），其它的为芳香烃和烷烃。</w:t>
      </w:r>
    </w:p>
    <w:p w14:paraId="462279F7">
      <w:pPr>
        <w:adjustRightInd w:val="0"/>
        <w:snapToGrid w:val="0"/>
        <w:ind w:firstLine="480"/>
      </w:pPr>
      <w:r>
        <w:t>随着技术的进步和管理的科学化，升压站变压器发生故障的可能性越来越小（全国每年发生的概率不到 1%），在采取严格管理措施的情况下，即使发生事故也能得到及时处理，对环境的影响很小。</w:t>
      </w:r>
    </w:p>
    <w:p w14:paraId="33ADDEDC">
      <w:pPr>
        <w:adjustRightInd w:val="0"/>
        <w:snapToGrid w:val="0"/>
        <w:ind w:firstLine="480"/>
      </w:pPr>
      <w:r>
        <w:t>本工程在升压站内设置一个事故油池，有效容积为 30m</w:t>
      </w:r>
      <w:r>
        <w:rPr>
          <w:vertAlign w:val="superscript"/>
        </w:rPr>
        <w:t>3</w:t>
      </w:r>
      <w:r>
        <w:t>，用于存放事故废油。事故油池防渗漏措施不当，可能导致油品渗漏。变压器油一旦泄漏进入环境中，将会进入周边土壤造成土壤污染，如遇降雨还将随地表径流进入周边发河流内，存在污染地表水环境的风险。变压器事故排油发生废油外溢，遇火源易引发火灾事故，对周边居民点环境空气质量产生一定的影响。</w:t>
      </w:r>
    </w:p>
    <w:p w14:paraId="304B7E81">
      <w:pPr>
        <w:adjustRightInd w:val="0"/>
        <w:snapToGrid w:val="0"/>
        <w:ind w:firstLine="480"/>
      </w:pPr>
      <w:r>
        <w:t>由于事故油池废油及其挥发的蒸汽本身属于低毒类物质，正常情况下对附近工作人员生命安全不会产生毒害作用，废油外溢的情况下不会产生畸形毒害作用，在事故处理结束后一定时间内就会消除。废油在外溢发生火灾燃烧事故后，对事故油池下风向的环境空气会造成一定的影响，事故发生后到结束前这一时段内污染程度最大，但在火灾燃烧事故结束后短时间内这种环境风险影响可基本消除。</w:t>
      </w:r>
    </w:p>
    <w:p w14:paraId="5B40F9DF">
      <w:pPr>
        <w:adjustRightInd w:val="0"/>
        <w:snapToGrid w:val="0"/>
        <w:ind w:firstLine="480"/>
      </w:pPr>
      <w:r>
        <w:t>升压站运行期有严格的检修操作规程，同时主变都配备有油压监控设备和主变保护装置，在发生事故排油时会发出警告声，通知站内值守人员及时进行应急处理；根据以往风电场升压站主变运行管理的经验，主变发生事故排油的情况极少出现，在配备建设有事故油池时发生废油渗漏事故概率非常小，因此在做好严格的监控、防范措施的前提下，升压站主变油品泄漏造成环境污染的风险极小。</w:t>
      </w:r>
    </w:p>
    <w:p w14:paraId="66BEC623">
      <w:pPr>
        <w:adjustRightInd w:val="0"/>
        <w:snapToGrid w:val="0"/>
        <w:ind w:firstLine="480"/>
      </w:pPr>
      <w:r>
        <w:t>（2）防范措施</w:t>
      </w:r>
    </w:p>
    <w:p w14:paraId="3FC41CA8">
      <w:pPr>
        <w:adjustRightInd w:val="0"/>
        <w:snapToGrid w:val="0"/>
        <w:ind w:firstLine="480"/>
      </w:pPr>
      <w:r>
        <w:rPr>
          <w:rFonts w:hint="eastAsia"/>
        </w:rPr>
        <w:t>①</w:t>
      </w:r>
      <w:r>
        <w:t>主变压器底部设有贮油坑，贮油坑的四周设挡油坎，坑底设有排油管，能将主变事故排油排至事故油池中。当主变压器发生事故排油时，含油废水最终汇入事故油池，经过油水分离后大部分油回收利用，剩余的少量废油渣交由有危险废物处置资质的单位回收处置，并严格执行危险废物转移联单制度，按规定进行分类管理、存放、运输和处理处置。</w:t>
      </w:r>
    </w:p>
    <w:p w14:paraId="618C411B">
      <w:pPr>
        <w:adjustRightInd w:val="0"/>
        <w:snapToGrid w:val="0"/>
        <w:ind w:firstLine="480"/>
      </w:pPr>
      <w:r>
        <w:rPr>
          <w:rFonts w:hint="eastAsia"/>
        </w:rPr>
        <w:t>②</w:t>
      </w:r>
      <w:r>
        <w:t>本工程升压站四周设置封闭围墙，站内事故油池有效容积为 30m</w:t>
      </w:r>
      <w:r>
        <w:rPr>
          <w:vertAlign w:val="superscript"/>
        </w:rPr>
        <w:t>3</w:t>
      </w:r>
      <w:r>
        <w:t>，完全能保证事故排油不外排；而且事故油池不与雨水系统相通，不会对周边水环境产生的不良影响。升压站事故油池有耐腐蚀的硬化地面和基础防渗层，地面无裂隙；设施底部必须高于地下水最高水位。同时加强升压站场地内用油管理，制定环境风险防范措施和应急预案，严防升压站漏油事故影响区域水体。</w:t>
      </w:r>
    </w:p>
    <w:p w14:paraId="5CAA8E1C">
      <w:pPr>
        <w:adjustRightInd w:val="0"/>
        <w:snapToGrid w:val="0"/>
        <w:ind w:firstLine="480"/>
      </w:pPr>
      <w:r>
        <w:rPr>
          <w:rFonts w:hint="eastAsia"/>
        </w:rPr>
        <w:t>③</w:t>
      </w:r>
      <w:r>
        <w:t>站区设置了监控系统，本站设一套遥视系统，对站内的电气设备及运行环境进行图像监视，并能向各级调度传送遥信、遥测、遥控、遥调等信息。因此，可及时发现问题，避免事故发生，并按相关规定建立了事故应急预案。</w:t>
      </w:r>
    </w:p>
    <w:p w14:paraId="161AB83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7.4.2</w:t>
      </w:r>
      <w:r>
        <w:rPr>
          <w:rFonts w:hint="eastAsia" w:ascii="Times New Roman" w:eastAsia="宋体"/>
          <w:sz w:val="28"/>
          <w:szCs w:val="28"/>
          <w:lang w:val="en-US"/>
        </w:rPr>
        <w:t>风机维修与运行期润滑油风险防范措施</w:t>
      </w:r>
    </w:p>
    <w:p w14:paraId="1A18F87C">
      <w:pPr>
        <w:adjustRightInd w:val="0"/>
        <w:snapToGrid w:val="0"/>
        <w:ind w:firstLine="480"/>
      </w:pPr>
      <w:r>
        <w:t>（1）环境风险分析</w:t>
      </w:r>
    </w:p>
    <w:p w14:paraId="4B0167DE">
      <w:pPr>
        <w:adjustRightInd w:val="0"/>
        <w:snapToGrid w:val="0"/>
        <w:ind w:firstLine="480"/>
      </w:pPr>
      <w:r>
        <w:t>风机运行期维修和保养使用的润滑油主要包括变桨偏航轴承用油脂、齿轮箱（增速箱）油脂、变桨偏航驱动用齿轮油、发电机润滑油脂、主轴承润滑脂、液压油等，每台风机润滑油、液压油用量分别约为 40kg、96kg，用量较少。</w:t>
      </w:r>
    </w:p>
    <w:p w14:paraId="0FFA79AE">
      <w:pPr>
        <w:adjustRightInd w:val="0"/>
        <w:snapToGrid w:val="0"/>
        <w:ind w:firstLine="480"/>
      </w:pPr>
      <w:r>
        <w:t>风机润滑油统一储存于升压站内油品仓库，油品仓库地面进行硬化处理，并在仓库四周设置截排水沟，截排水沟采取防渗处理。因此，风机润滑油若发生泄漏不会渗入地下，亦不会污染周边水体。同时，本工程风机润滑油的临时储存量较小，风电设备检修委托有资质的电力运营维护专业公司进行，由其将维修产生的废旧机油（废润滑油、废液压油等）统一带走并负责交由有危险废物处置资质的单位进行处置，存在的环境风险也较小。</w:t>
      </w:r>
    </w:p>
    <w:p w14:paraId="171ACD5F">
      <w:pPr>
        <w:adjustRightInd w:val="0"/>
        <w:snapToGrid w:val="0"/>
        <w:ind w:firstLine="480"/>
      </w:pPr>
      <w:r>
        <w:t>（2）防范措施</w:t>
      </w:r>
    </w:p>
    <w:p w14:paraId="7A458216">
      <w:pPr>
        <w:adjustRightInd w:val="0"/>
        <w:snapToGrid w:val="0"/>
        <w:ind w:firstLine="480"/>
      </w:pPr>
      <w:r>
        <w:rPr>
          <w:rFonts w:hint="eastAsia"/>
        </w:rPr>
        <w:t>①</w:t>
      </w:r>
      <w:r>
        <w:t>运行期值班维护人员对设备进行定期检查，防止发生滴、漏现象。</w:t>
      </w:r>
    </w:p>
    <w:p w14:paraId="579C7842">
      <w:pPr>
        <w:adjustRightInd w:val="0"/>
        <w:snapToGrid w:val="0"/>
        <w:ind w:firstLine="480"/>
      </w:pPr>
      <w:r>
        <w:rPr>
          <w:rFonts w:hint="eastAsia"/>
        </w:rPr>
        <w:t>②</w:t>
      </w:r>
      <w:r>
        <w:t>风机齿轮箱配有带高效油过滤器和油冷却器的强制稀油润滑系统，能防止润滑油、废液压油跑冒滴漏，从而减少了风机维修与运行期润滑油、液压油对环境的影响。</w:t>
      </w:r>
    </w:p>
    <w:p w14:paraId="28BE55F8">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风电机组为密闭系统，运营期正常运转时无废旧机油（含废润滑油、废液压油等）产生。工程检修委托有资质的电力运行维护专业公司进行，检修期间产生的少量废旧机油（主要滴落在风机塔筒内）由其收集带走并负责交由有危险废弃物处置资质的单位进行处置。</w:t>
      </w:r>
    </w:p>
    <w:p w14:paraId="28F4C457">
      <w:pPr>
        <w:adjustRightInd w:val="0"/>
        <w:snapToGrid w:val="0"/>
        <w:ind w:firstLine="480"/>
      </w:pPr>
      <w:r>
        <w:rPr>
          <w:rFonts w:hint="eastAsia"/>
        </w:rPr>
        <w:t>④</w:t>
      </w:r>
      <w:r>
        <w:t>风电场野外环境无法满足箱式变压器开箱维修环境，因此若巡检发现箱式变压器故障时，由变压器厂家上门整机运走返厂修理。</w:t>
      </w:r>
    </w:p>
    <w:p w14:paraId="511D0EC1">
      <w:pPr>
        <w:adjustRightInd w:val="0"/>
        <w:snapToGrid w:val="0"/>
        <w:ind w:firstLine="480"/>
      </w:pPr>
      <w:r>
        <w:rPr>
          <w:rFonts w:hint="eastAsia"/>
        </w:rPr>
        <w:t>⑤</w:t>
      </w:r>
      <w:r>
        <w:t>危险废物的容器和包装以及收集、贮存、运输、处置危险废物的设施、场所，必须设置危险废物识别标志；必须按照国家有关规定申报登记。</w:t>
      </w:r>
    </w:p>
    <w:p w14:paraId="62CBD116">
      <w:pPr>
        <w:adjustRightInd w:val="0"/>
        <w:snapToGrid w:val="0"/>
        <w:ind w:firstLine="480"/>
      </w:pPr>
      <w:r>
        <w:rPr>
          <w:rFonts w:hint="eastAsia"/>
        </w:rPr>
        <w:t>⑥</w:t>
      </w:r>
      <w:r>
        <w:t>危险废物应存放于专门的收集容器，设置独立的存放空间场所避免于其他废旧物资混杂存放。各种危险废物应严格按照《危险废物贮存污染控制标准》（GB18597- 2023）贮存，且在厂区内的贮存时间不得超过一年。</w:t>
      </w:r>
    </w:p>
    <w:p w14:paraId="40212411">
      <w:pPr>
        <w:adjustRightInd w:val="0"/>
        <w:snapToGrid w:val="0"/>
        <w:ind w:firstLine="480"/>
      </w:pPr>
      <w:r>
        <w:rPr>
          <w:rFonts w:hint="eastAsia"/>
        </w:rPr>
        <w:t>⑦事故油池</w:t>
      </w:r>
      <w:r>
        <w:t>和危废暂存间应满足《危险废物贮存污染控制标准》（GB18597-2023）</w:t>
      </w:r>
      <w:r>
        <w:rPr>
          <w:rFonts w:hint="eastAsia"/>
        </w:rPr>
        <w:t>的</w:t>
      </w:r>
      <w:r>
        <w:t>要求有关规定：</w:t>
      </w:r>
    </w:p>
    <w:p w14:paraId="5271694E">
      <w:pPr>
        <w:adjustRightInd w:val="0"/>
        <w:snapToGrid w:val="0"/>
        <w:ind w:firstLine="480"/>
      </w:pPr>
      <w:r>
        <w:t>a)按《环境保护图形标识—固体废物贮存（处置）场》（GB15562.2）设置警示标志。</w:t>
      </w:r>
    </w:p>
    <w:p w14:paraId="63E1B9F6">
      <w:pPr>
        <w:adjustRightInd w:val="0"/>
        <w:snapToGrid w:val="0"/>
        <w:ind w:firstLine="480"/>
      </w:pPr>
      <w:r>
        <w:t>b)仓库必须有耐腐蚀的硬化地面和基础防渗层，地面无裂隙；设施底部必须高于地下水最高水位。</w:t>
      </w:r>
    </w:p>
    <w:p w14:paraId="65A81065">
      <w:pPr>
        <w:adjustRightInd w:val="0"/>
        <w:snapToGrid w:val="0"/>
        <w:ind w:firstLine="480"/>
      </w:pPr>
      <w:r>
        <w:t>c)要有必要的防风、防雨、防晒措施。</w:t>
      </w:r>
    </w:p>
    <w:p w14:paraId="7B89E075">
      <w:pPr>
        <w:adjustRightInd w:val="0"/>
        <w:snapToGrid w:val="0"/>
        <w:ind w:firstLine="480"/>
      </w:pPr>
      <w:r>
        <w:t>d)要有隔离设施或其它防护栅栏。</w:t>
      </w:r>
    </w:p>
    <w:p w14:paraId="7374ECAD">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7.4.3</w:t>
      </w:r>
      <w:r>
        <w:rPr>
          <w:rFonts w:hint="eastAsia" w:ascii="Times New Roman" w:eastAsia="宋体"/>
          <w:sz w:val="28"/>
          <w:szCs w:val="28"/>
          <w:lang w:val="en-US"/>
        </w:rPr>
        <w:t>油品和危险废物运输环境风险分析及防范措施</w:t>
      </w:r>
    </w:p>
    <w:p w14:paraId="67A89292">
      <w:pPr>
        <w:adjustRightInd w:val="0"/>
        <w:snapToGrid w:val="0"/>
        <w:ind w:firstLine="480"/>
      </w:pPr>
      <w:r>
        <w:rPr>
          <w:rFonts w:hint="eastAsia"/>
        </w:rPr>
        <w:t>①</w:t>
      </w:r>
      <w:r>
        <w:t>运输由专业危险品运输单位负责，不可超压超量运输，运输按规定路线行驶，GPS  定位。夏季应避免中午运输，防止日光曝晒。油品运输罐车应有良好的接地装置，防止静电电荷聚集引发事故。</w:t>
      </w:r>
    </w:p>
    <w:p w14:paraId="490BD044">
      <w:pPr>
        <w:adjustRightInd w:val="0"/>
        <w:snapToGrid w:val="0"/>
        <w:ind w:firstLine="480"/>
      </w:pPr>
      <w:r>
        <w:rPr>
          <w:rFonts w:hint="eastAsia"/>
        </w:rPr>
        <w:t>②</w:t>
      </w:r>
      <w:r>
        <w:t>在运输过程中严格按照《危险化学品安全管理条例》和《工作场所安全使用化学品规定》、《危险废物转移联单管理办法》等法规的相应规定。</w:t>
      </w:r>
    </w:p>
    <w:p w14:paraId="6541A9C0">
      <w:pPr>
        <w:adjustRightInd w:val="0"/>
        <w:snapToGrid w:val="0"/>
        <w:ind w:firstLine="480"/>
      </w:pPr>
      <w:r>
        <w:rPr>
          <w:rFonts w:hint="eastAsia"/>
        </w:rPr>
        <w:t>③</w:t>
      </w:r>
      <w:r>
        <w:t>运输罐车应符合原国家劳动总局颁发的《气瓶安全监察规程》和《压力容器安全监察规程》等有关规定。装运油品的车辆，必须符合中华人民共和国</w:t>
      </w:r>
      <w:r>
        <w:rPr>
          <w:rFonts w:hint="eastAsia"/>
          <w:lang w:eastAsia="zh-CN"/>
        </w:rPr>
        <w:t>交通运输部</w:t>
      </w:r>
      <w:r>
        <w:t>制订的《危险货物运输规则》。</w:t>
      </w:r>
    </w:p>
    <w:p w14:paraId="231A1DEB">
      <w:pPr>
        <w:adjustRightInd w:val="0"/>
        <w:snapToGrid w:val="0"/>
        <w:ind w:firstLine="480"/>
      </w:pPr>
      <w:r>
        <w:rPr>
          <w:rFonts w:hint="eastAsia"/>
        </w:rPr>
        <w:t>④</w:t>
      </w:r>
      <w:r>
        <w:t>严格按照制订的运输路线进行运输。</w:t>
      </w:r>
    </w:p>
    <w:p w14:paraId="3BFA7AD1">
      <w:pPr>
        <w:adjustRightInd w:val="0"/>
        <w:snapToGrid w:val="0"/>
        <w:ind w:firstLine="480"/>
      </w:pPr>
      <w:r>
        <w:rPr>
          <w:rFonts w:hint="eastAsia"/>
        </w:rPr>
        <w:t>⑤</w:t>
      </w:r>
      <w:r>
        <w:t>加强运输人员教育，使之明确危险品运输安全的重要性。</w:t>
      </w:r>
    </w:p>
    <w:p w14:paraId="1346717B">
      <w:pPr>
        <w:adjustRightInd w:val="0"/>
        <w:snapToGrid w:val="0"/>
        <w:ind w:firstLine="480"/>
      </w:pPr>
      <w:r>
        <w:rPr>
          <w:rFonts w:hint="eastAsia"/>
        </w:rPr>
        <w:t>⑥</w:t>
      </w:r>
      <w:r>
        <w:t>供方保证选用有运输危化品资质的专业运输队伍，不超载，不超速行驶，不疲劳驾驶，运输过程中遵守国家相关法规。</w:t>
      </w:r>
    </w:p>
    <w:p w14:paraId="107C2F16">
      <w:pPr>
        <w:adjustRightInd w:val="0"/>
        <w:snapToGrid w:val="0"/>
        <w:ind w:firstLine="480"/>
      </w:pPr>
      <w:r>
        <w:t>通过采取以上防范措施后，油品、危废运输发生泄漏事故概率极小。</w:t>
      </w:r>
    </w:p>
    <w:p w14:paraId="072729B3">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7.4.4</w:t>
      </w:r>
      <w:r>
        <w:rPr>
          <w:rFonts w:hint="eastAsia" w:ascii="Times New Roman" w:eastAsia="宋体"/>
          <w:sz w:val="28"/>
          <w:szCs w:val="28"/>
          <w:lang w:val="en-US"/>
        </w:rPr>
        <w:t>废旧蓄电池处置风险影响分析及风险防范措施</w:t>
      </w:r>
    </w:p>
    <w:p w14:paraId="04776F2E">
      <w:pPr>
        <w:adjustRightInd w:val="0"/>
        <w:snapToGrid w:val="0"/>
        <w:ind w:firstLine="480"/>
      </w:pPr>
      <w:r>
        <w:t>（1）环境风险分析</w:t>
      </w:r>
    </w:p>
    <w:p w14:paraId="74F0DF32">
      <w:pPr>
        <w:adjustRightInd w:val="0"/>
        <w:snapToGrid w:val="0"/>
        <w:ind w:firstLine="480"/>
      </w:pPr>
      <w:r>
        <w:t>升压站和风机箱变蓄电池主要采用铅酸蓄电池，主要作为事故停电电源，使用寿命较长，可达 5～8  年。废旧蓄电池更换下来后，主要由厂家或有资质的收集处理单位回收，不在现场进行拆解处理，因此不会对周边环境造成影响。</w:t>
      </w:r>
    </w:p>
    <w:p w14:paraId="57AF76CD">
      <w:pPr>
        <w:adjustRightInd w:val="0"/>
        <w:snapToGrid w:val="0"/>
        <w:ind w:firstLine="480"/>
      </w:pPr>
      <w:r>
        <w:t>（2）防护措施</w:t>
      </w:r>
    </w:p>
    <w:p w14:paraId="016D7736">
      <w:pPr>
        <w:adjustRightInd w:val="0"/>
        <w:snapToGrid w:val="0"/>
        <w:ind w:firstLine="480"/>
      </w:pPr>
      <w:r>
        <w:t>本评价建议升压站内按照《废铅酸蓄电池处理污染控制技术规范》（HJ519-2009）、《危险废物贮存污染控制标准》（GB18597-2001）及 2013  修改单的要求设置危废暂存间对退役的蓄电池进行临时贮存，同时对暂存间采取防雨淋、防渗、防火以及防盗等相应工程措施，防止意外事故和环境污染，并设置危险废物标志。</w:t>
      </w:r>
    </w:p>
    <w:p w14:paraId="5F82F2D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7.4.5</w:t>
      </w:r>
      <w:r>
        <w:rPr>
          <w:rFonts w:hint="eastAsia" w:ascii="Times New Roman" w:eastAsia="宋体"/>
          <w:sz w:val="28"/>
          <w:szCs w:val="28"/>
          <w:lang w:val="en-US"/>
        </w:rPr>
        <w:t>饮用水水源保护区风险分析及风险防范措施</w:t>
      </w:r>
    </w:p>
    <w:p w14:paraId="3DAAD9A1">
      <w:pPr>
        <w:adjustRightInd w:val="0"/>
        <w:snapToGrid w:val="0"/>
        <w:ind w:firstLine="480"/>
      </w:pPr>
      <w:r>
        <w:rPr>
          <w:rFonts w:hint="eastAsia"/>
        </w:rPr>
        <w:t>（1）环境风险分析</w:t>
      </w:r>
    </w:p>
    <w:p w14:paraId="5E6BCB48">
      <w:pPr>
        <w:adjustRightInd w:val="0"/>
        <w:snapToGrid w:val="0"/>
        <w:ind w:firstLine="480"/>
      </w:pPr>
      <w:r>
        <w:rPr>
          <w:rFonts w:hint="eastAsia"/>
        </w:rPr>
        <w:t>本项目风电场施工过程中，若开挖的土石方或弃渣进入该饮用水水源保护区，将对风电场周边饮用水水源产生影响。</w:t>
      </w:r>
    </w:p>
    <w:p w14:paraId="6862622B">
      <w:pPr>
        <w:adjustRightInd w:val="0"/>
        <w:snapToGrid w:val="0"/>
        <w:ind w:firstLine="480"/>
      </w:pPr>
      <w:r>
        <w:rPr>
          <w:rFonts w:hint="eastAsia"/>
        </w:rPr>
        <w:t>（2）风险防范措施</w:t>
      </w:r>
    </w:p>
    <w:p w14:paraId="215D03BC">
      <w:pPr>
        <w:adjustRightInd w:val="0"/>
        <w:snapToGrid w:val="0"/>
        <w:ind w:firstLine="480"/>
      </w:pPr>
      <w:r>
        <w:rPr>
          <w:rFonts w:hint="eastAsia"/>
        </w:rPr>
        <w:t>①严格划定施工边界，避免雨季施工。环评要求，建设单位在施工时，严禁跨越饮用水水源保护区，避免对饮用水水源保护区内水域</w:t>
      </w:r>
      <w:r>
        <w:rPr>
          <w:rFonts w:hint="eastAsia"/>
          <w:lang w:eastAsia="zh-CN"/>
        </w:rPr>
        <w:t>的</w:t>
      </w:r>
      <w:r>
        <w:rPr>
          <w:rFonts w:hint="eastAsia"/>
        </w:rPr>
        <w:t>开挖。</w:t>
      </w:r>
    </w:p>
    <w:p w14:paraId="0864FD4C">
      <w:pPr>
        <w:adjustRightInd w:val="0"/>
        <w:snapToGrid w:val="0"/>
        <w:ind w:firstLine="480"/>
      </w:pPr>
      <w:r>
        <w:rPr>
          <w:rFonts w:hint="eastAsia"/>
        </w:rPr>
        <w:t>②饮用水源保护区周边的场内道路、风机平台设置围挡，防止施工过程中开挖的土石方进入饮用水水源保护区。</w:t>
      </w:r>
    </w:p>
    <w:p w14:paraId="2555F05A">
      <w:pPr>
        <w:adjustRightInd w:val="0"/>
        <w:snapToGrid w:val="0"/>
        <w:ind w:firstLine="480"/>
      </w:pPr>
      <w:r>
        <w:rPr>
          <w:rFonts w:hint="eastAsia"/>
        </w:rPr>
        <w:t>③严格落实水土保持措施，</w:t>
      </w:r>
      <w:r>
        <w:t>工程施工时设置截、排、引流</w:t>
      </w:r>
      <w:r>
        <w:rPr>
          <w:rFonts w:hint="eastAsia"/>
        </w:rPr>
        <w:t>、</w:t>
      </w:r>
      <w:r>
        <w:t>拦挡措施</w:t>
      </w:r>
      <w:r>
        <w:rPr>
          <w:rFonts w:hint="eastAsia"/>
        </w:rPr>
        <w:t>，做好临时堆土覆盖措施，</w:t>
      </w:r>
      <w:r>
        <w:t>确保所有</w:t>
      </w:r>
      <w:r>
        <w:rPr>
          <w:rFonts w:hint="eastAsia"/>
        </w:rPr>
        <w:t>施工</w:t>
      </w:r>
      <w:r>
        <w:t>废水不进入</w:t>
      </w:r>
      <w:r>
        <w:rPr>
          <w:rFonts w:hint="eastAsia"/>
        </w:rPr>
        <w:t>饮用水水源保护区内。</w:t>
      </w:r>
    </w:p>
    <w:p w14:paraId="6CF278D2">
      <w:pPr>
        <w:adjustRightInd w:val="0"/>
        <w:snapToGrid w:val="0"/>
        <w:ind w:firstLine="480"/>
      </w:pPr>
      <w:r>
        <w:fldChar w:fldCharType="begin"/>
      </w:r>
      <w:r>
        <w:instrText xml:space="preserve"> = 4 \* GB3 \* MERGEFORMAT </w:instrText>
      </w:r>
      <w:r>
        <w:fldChar w:fldCharType="separate"/>
      </w:r>
      <w:r>
        <w:rPr>
          <w:rFonts w:hint="eastAsia"/>
        </w:rPr>
        <w:t>④</w:t>
      </w:r>
      <w:r>
        <w:fldChar w:fldCharType="end"/>
      </w:r>
      <w:r>
        <w:rPr>
          <w:rFonts w:hint="eastAsia"/>
        </w:rPr>
        <w:t>施</w:t>
      </w:r>
      <w:r>
        <w:t>工期生产废水</w:t>
      </w:r>
      <w:r>
        <w:rPr>
          <w:rFonts w:hint="eastAsia"/>
        </w:rPr>
        <w:t>经沉淀处理后回用，不外排。严禁将生产废水沉淀池设置在饮用水水源保护区及汇水范围内。</w:t>
      </w:r>
    </w:p>
    <w:p w14:paraId="2D11FF1C">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rPr>
          <w:rFonts w:hint="eastAsia"/>
        </w:rPr>
        <w:t>严禁将弃渣场设置在饮用水源保护区及其汇水范围内，严禁在饮用水水源保护区汇水范围镍堆置土石方。</w:t>
      </w:r>
    </w:p>
    <w:p w14:paraId="2674A187">
      <w:pPr>
        <w:adjustRightInd w:val="0"/>
        <w:snapToGrid w:val="0"/>
        <w:ind w:firstLine="480"/>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t>对于裸露地表需及时用</w:t>
      </w:r>
      <w:r>
        <w:rPr>
          <w:rFonts w:hint="eastAsia"/>
        </w:rPr>
        <w:t>薄膜</w:t>
      </w:r>
      <w:r>
        <w:t>进行覆盖，施工</w:t>
      </w:r>
      <w:r>
        <w:rPr>
          <w:rFonts w:hint="eastAsia"/>
        </w:rPr>
        <w:t>期间</w:t>
      </w:r>
      <w:r>
        <w:t>及时</w:t>
      </w:r>
      <w:r>
        <w:rPr>
          <w:rFonts w:hint="eastAsia"/>
        </w:rPr>
        <w:t>进行植被恢复（撒播草籽、种植树木、挂网种植等）</w:t>
      </w:r>
      <w:r>
        <w:t>，以恢复其原有的水土保持功能</w:t>
      </w:r>
      <w:r>
        <w:rPr>
          <w:rFonts w:hint="eastAsia"/>
        </w:rPr>
        <w:t>。</w:t>
      </w:r>
    </w:p>
    <w:p w14:paraId="63656F0A">
      <w:pPr>
        <w:adjustRightInd w:val="0"/>
        <w:snapToGrid w:val="0"/>
        <w:ind w:firstLine="480"/>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t>工程施工期间要求做到边施工边绿化，土方开挖、表土堆存等应合理有序，尽可能选择降雨较少的旱季施工，最大限度减少水土流失发生的可能性</w:t>
      </w:r>
      <w:r>
        <w:rPr>
          <w:rFonts w:hint="eastAsia"/>
        </w:rPr>
        <w:t>。</w:t>
      </w:r>
      <w:r>
        <w:t>同时应做好工程加固措施，以防止山体滑坡等事故风险发生。</w:t>
      </w:r>
    </w:p>
    <w:p w14:paraId="4561B8E9">
      <w:pPr>
        <w:adjustRightInd w:val="0"/>
        <w:snapToGrid w:val="0"/>
        <w:ind w:firstLine="480"/>
      </w:pPr>
      <w:r>
        <w:fldChar w:fldCharType="begin"/>
      </w:r>
      <w:r>
        <w:instrText xml:space="preserve"> </w:instrText>
      </w:r>
      <w:r>
        <w:rPr>
          <w:rFonts w:hint="eastAsia"/>
        </w:rPr>
        <w:instrText xml:space="preserve">= 8 \* GB3</w:instrText>
      </w:r>
      <w:r>
        <w:instrText xml:space="preserve"> </w:instrText>
      </w:r>
      <w:r>
        <w:fldChar w:fldCharType="separate"/>
      </w:r>
      <w:r>
        <w:rPr>
          <w:rFonts w:hint="eastAsia"/>
        </w:rPr>
        <w:t>⑧</w:t>
      </w:r>
      <w:r>
        <w:fldChar w:fldCharType="end"/>
      </w:r>
      <w:r>
        <w:rPr>
          <w:rFonts w:hint="eastAsia"/>
        </w:rPr>
        <w:t>集电线路严禁穿越饮用水水源保护区。</w:t>
      </w:r>
    </w:p>
    <w:p w14:paraId="50FF9A29">
      <w:pPr>
        <w:adjustRightInd w:val="0"/>
        <w:snapToGrid w:val="0"/>
        <w:ind w:firstLine="480"/>
      </w:pPr>
      <w:r>
        <w:rPr>
          <w:rFonts w:hint="eastAsia"/>
        </w:rPr>
        <w:t>在采取上述措施的情况下，本项目对饮用水水源造成影响的概率极小。</w:t>
      </w:r>
    </w:p>
    <w:p w14:paraId="78C9F6BA">
      <w:pPr>
        <w:pStyle w:val="4"/>
        <w:tabs>
          <w:tab w:val="clear" w:pos="480"/>
          <w:tab w:val="clear" w:pos="630"/>
        </w:tabs>
        <w:spacing w:before="0" w:after="0"/>
        <w:rPr>
          <w:sz w:val="30"/>
          <w:szCs w:val="30"/>
          <w:lang w:val="en-US"/>
        </w:rPr>
      </w:pPr>
      <w:bookmarkStart w:id="202" w:name="_Toc116978009"/>
      <w:bookmarkStart w:id="203" w:name="_Toc143799395"/>
      <w:r>
        <w:rPr>
          <w:sz w:val="30"/>
          <w:szCs w:val="30"/>
          <w:lang w:val="en-US"/>
        </w:rPr>
        <w:t>7.5</w:t>
      </w:r>
      <w:r>
        <w:rPr>
          <w:rFonts w:hint="eastAsia"/>
          <w:sz w:val="30"/>
          <w:szCs w:val="30"/>
          <w:lang w:val="en-US"/>
        </w:rPr>
        <w:t>突发环境事件应急预案</w:t>
      </w:r>
      <w:bookmarkEnd w:id="202"/>
      <w:bookmarkEnd w:id="203"/>
    </w:p>
    <w:p w14:paraId="770B239F">
      <w:pPr>
        <w:adjustRightInd w:val="0"/>
        <w:snapToGrid w:val="0"/>
        <w:ind w:firstLine="480"/>
      </w:pPr>
      <w:r>
        <w:t>本工程可能发生的环境风险事故为</w:t>
      </w:r>
      <w:r>
        <w:rPr>
          <w:rFonts w:hint="eastAsia"/>
        </w:rPr>
        <w:t>：</w:t>
      </w:r>
      <w:r>
        <w:t>主变压器事故排油泄漏事故以及风机维修与运行期润滑油的滴漏跑冒，油品、危废运输在进场或场内道路发生泄漏。事故排油泄漏事故以及风机维修与运行期润滑油的滴漏跑冒，油品、危废运输在进场或场内道路发生泄漏可能会对周围水环境产生影响。根据《建设项目环境风险评价技术导则》（HJ169-2018）和《突发环境事件应急管理办法》中应急预案要求，本项目应急预案内容具体见</w:t>
      </w:r>
      <w:r>
        <w:rPr>
          <w:rFonts w:hint="eastAsia"/>
        </w:rPr>
        <w:t>下表</w:t>
      </w:r>
      <w:r>
        <w:t>。</w:t>
      </w:r>
    </w:p>
    <w:p w14:paraId="016273E4">
      <w:pPr>
        <w:tabs>
          <w:tab w:val="clear" w:pos="480"/>
        </w:tabs>
        <w:adjustRightInd w:val="0"/>
        <w:snapToGrid w:val="0"/>
        <w:spacing w:line="240" w:lineRule="auto"/>
        <w:ind w:firstLine="0" w:firstLineChars="0"/>
        <w:jc w:val="center"/>
        <w:rPr>
          <w:b/>
          <w:bCs/>
        </w:rPr>
      </w:pPr>
      <w:r>
        <w:rPr>
          <w:b/>
          <w:bCs/>
        </w:rPr>
        <w:t>表7.5</w:t>
      </w:r>
      <w:r>
        <w:rPr>
          <w:rFonts w:hint="eastAsia"/>
          <w:b/>
          <w:bCs/>
        </w:rPr>
        <w:t>-</w:t>
      </w:r>
      <w:r>
        <w:rPr>
          <w:b/>
          <w:bCs/>
        </w:rPr>
        <w:t>1环境污染应急预案内容</w:t>
      </w:r>
    </w:p>
    <w:tbl>
      <w:tblPr>
        <w:tblStyle w:val="3631"/>
        <w:tblW w:w="4994"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93"/>
        <w:gridCol w:w="2468"/>
        <w:gridCol w:w="4970"/>
      </w:tblGrid>
      <w:tr w14:paraId="759222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39049F4F">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序号</w:t>
            </w:r>
          </w:p>
        </w:tc>
        <w:tc>
          <w:tcPr>
            <w:tcW w:w="1481" w:type="pct"/>
            <w:vAlign w:val="center"/>
          </w:tcPr>
          <w:p w14:paraId="01607D5C">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项目</w:t>
            </w:r>
          </w:p>
        </w:tc>
        <w:tc>
          <w:tcPr>
            <w:tcW w:w="2983" w:type="pct"/>
            <w:vAlign w:val="center"/>
          </w:tcPr>
          <w:p w14:paraId="6DB5E153">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内容及要求</w:t>
            </w:r>
          </w:p>
        </w:tc>
      </w:tr>
      <w:tr w14:paraId="5907D1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0233ACBF">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1</w:t>
            </w:r>
          </w:p>
        </w:tc>
        <w:tc>
          <w:tcPr>
            <w:tcW w:w="1481" w:type="pct"/>
            <w:vAlign w:val="center"/>
          </w:tcPr>
          <w:p w14:paraId="1376D8C2">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应急计划区</w:t>
            </w:r>
          </w:p>
        </w:tc>
        <w:tc>
          <w:tcPr>
            <w:tcW w:w="2983" w:type="pct"/>
            <w:vAlign w:val="center"/>
          </w:tcPr>
          <w:p w14:paraId="516634E3">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position w:val="2"/>
                <w:sz w:val="21"/>
                <w:szCs w:val="21"/>
                <w:lang w:eastAsia="zh-CN"/>
              </w:rPr>
              <w:t>危险目标：升压站站内事故排油池及风</w:t>
            </w:r>
            <w:r>
              <w:rPr>
                <w:rFonts w:ascii="Times New Roman" w:hAnsi="Times New Roman"/>
                <w:sz w:val="21"/>
                <w:szCs w:val="21"/>
                <w:lang w:eastAsia="zh-CN"/>
              </w:rPr>
              <w:t>机设备润滑油所在部位</w:t>
            </w:r>
          </w:p>
        </w:tc>
      </w:tr>
      <w:tr w14:paraId="18E726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1C0EC0FB">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2</w:t>
            </w:r>
          </w:p>
        </w:tc>
        <w:tc>
          <w:tcPr>
            <w:tcW w:w="1481" w:type="pct"/>
            <w:vAlign w:val="center"/>
          </w:tcPr>
          <w:p w14:paraId="7D0E2543">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应急组织机构、人员</w:t>
            </w:r>
          </w:p>
        </w:tc>
        <w:tc>
          <w:tcPr>
            <w:tcW w:w="2983" w:type="pct"/>
            <w:vAlign w:val="center"/>
          </w:tcPr>
          <w:p w14:paraId="22B87181">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升压站内运行维护人员</w:t>
            </w:r>
          </w:p>
        </w:tc>
      </w:tr>
      <w:tr w14:paraId="61771A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76BF9E88">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3</w:t>
            </w:r>
          </w:p>
        </w:tc>
        <w:tc>
          <w:tcPr>
            <w:tcW w:w="1481" w:type="pct"/>
            <w:vAlign w:val="center"/>
          </w:tcPr>
          <w:p w14:paraId="3031AC09">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预案分级响应条件</w:t>
            </w:r>
          </w:p>
        </w:tc>
        <w:tc>
          <w:tcPr>
            <w:tcW w:w="2983" w:type="pct"/>
            <w:vAlign w:val="center"/>
          </w:tcPr>
          <w:p w14:paraId="7CA1AD02">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规定预案的级别及分级响应程序</w:t>
            </w:r>
          </w:p>
        </w:tc>
      </w:tr>
      <w:tr w14:paraId="3814F0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313F2112">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4</w:t>
            </w:r>
          </w:p>
        </w:tc>
        <w:tc>
          <w:tcPr>
            <w:tcW w:w="1481" w:type="pct"/>
            <w:vAlign w:val="center"/>
          </w:tcPr>
          <w:p w14:paraId="5DE48136">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应急救援保障</w:t>
            </w:r>
          </w:p>
        </w:tc>
        <w:tc>
          <w:tcPr>
            <w:tcW w:w="2983" w:type="pct"/>
            <w:vAlign w:val="center"/>
          </w:tcPr>
          <w:p w14:paraId="223DCE02">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应急设施，设备与器材等</w:t>
            </w:r>
          </w:p>
        </w:tc>
      </w:tr>
      <w:tr w14:paraId="4A5271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166C8C65">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5</w:t>
            </w:r>
          </w:p>
        </w:tc>
        <w:tc>
          <w:tcPr>
            <w:tcW w:w="1481" w:type="pct"/>
            <w:vAlign w:val="center"/>
          </w:tcPr>
          <w:p w14:paraId="5D52CAAB">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报警、通讯联络方式</w:t>
            </w:r>
          </w:p>
        </w:tc>
        <w:tc>
          <w:tcPr>
            <w:tcW w:w="2983" w:type="pct"/>
            <w:vAlign w:val="center"/>
          </w:tcPr>
          <w:p w14:paraId="4C35E301">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规定应急状态下的报警通讯方式、通知方式和交通保障、管制</w:t>
            </w:r>
          </w:p>
        </w:tc>
      </w:tr>
      <w:tr w14:paraId="0581D1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57E7C0BE">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6</w:t>
            </w:r>
          </w:p>
        </w:tc>
        <w:tc>
          <w:tcPr>
            <w:tcW w:w="1481" w:type="pct"/>
            <w:vAlign w:val="center"/>
          </w:tcPr>
          <w:p w14:paraId="70DA2A76">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应急环境监测</w:t>
            </w:r>
          </w:p>
        </w:tc>
        <w:tc>
          <w:tcPr>
            <w:tcW w:w="2983" w:type="pct"/>
            <w:vAlign w:val="center"/>
          </w:tcPr>
          <w:p w14:paraId="7C9BF137">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由专业队伍负责对事故现场进行侦察监测，对事故性质、参数与后果进行评估，为指挥部门提供决策依据</w:t>
            </w:r>
          </w:p>
        </w:tc>
      </w:tr>
      <w:tr w14:paraId="6676CD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603CD1BB">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7</w:t>
            </w:r>
          </w:p>
        </w:tc>
        <w:tc>
          <w:tcPr>
            <w:tcW w:w="1481" w:type="pct"/>
            <w:vAlign w:val="center"/>
          </w:tcPr>
          <w:p w14:paraId="1846EB1F">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应急防护措施、清除泄漏</w:t>
            </w:r>
          </w:p>
          <w:p w14:paraId="73B6C539">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措施和器材</w:t>
            </w:r>
          </w:p>
        </w:tc>
        <w:tc>
          <w:tcPr>
            <w:tcW w:w="2983" w:type="pct"/>
            <w:vAlign w:val="center"/>
          </w:tcPr>
          <w:p w14:paraId="45B9080E">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严格规定事故现场、邻近区域、控制防火区域设置控制和清除污染措施及相应设备的数量、使用方法、使用人员</w:t>
            </w:r>
          </w:p>
        </w:tc>
      </w:tr>
      <w:tr w14:paraId="170134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76BF9E87">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8</w:t>
            </w:r>
          </w:p>
        </w:tc>
        <w:tc>
          <w:tcPr>
            <w:tcW w:w="1481" w:type="pct"/>
            <w:vAlign w:val="center"/>
          </w:tcPr>
          <w:p w14:paraId="30319D33">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人员救助及疏散组织计划</w:t>
            </w:r>
          </w:p>
        </w:tc>
        <w:tc>
          <w:tcPr>
            <w:tcW w:w="2983" w:type="pct"/>
            <w:vAlign w:val="center"/>
          </w:tcPr>
          <w:p w14:paraId="7A68869D">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事故现场、受事故影响的区域人员救护与公众健康</w:t>
            </w:r>
          </w:p>
        </w:tc>
      </w:tr>
      <w:tr w14:paraId="7B0B1E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243918C6">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9</w:t>
            </w:r>
          </w:p>
        </w:tc>
        <w:tc>
          <w:tcPr>
            <w:tcW w:w="1481" w:type="pct"/>
            <w:vAlign w:val="center"/>
          </w:tcPr>
          <w:p w14:paraId="3D782E69">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事故应急救援关闭程序与</w:t>
            </w:r>
          </w:p>
          <w:p w14:paraId="46993AC0">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恢复措施</w:t>
            </w:r>
          </w:p>
        </w:tc>
        <w:tc>
          <w:tcPr>
            <w:tcW w:w="2983" w:type="pct"/>
            <w:vAlign w:val="center"/>
          </w:tcPr>
          <w:p w14:paraId="7F6FB1F6">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规定应急状态终止程序；事故现场、受影响范围内的善后处理、恢复措施，邻近区域解除事故警戒及善后恢复措施</w:t>
            </w:r>
          </w:p>
        </w:tc>
      </w:tr>
      <w:tr w14:paraId="551462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74AC88F5">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10</w:t>
            </w:r>
          </w:p>
        </w:tc>
        <w:tc>
          <w:tcPr>
            <w:tcW w:w="1481" w:type="pct"/>
            <w:vAlign w:val="center"/>
          </w:tcPr>
          <w:p w14:paraId="1A0F1C83">
            <w:pPr>
              <w:pStyle w:val="3327"/>
              <w:adjustRightInd w:val="0"/>
              <w:snapToGrid w:val="0"/>
              <w:ind w:firstLine="0" w:firstLineChars="0"/>
              <w:jc w:val="center"/>
              <w:rPr>
                <w:rFonts w:ascii="Times New Roman" w:hAnsi="Times New Roman"/>
                <w:b/>
                <w:sz w:val="21"/>
                <w:szCs w:val="21"/>
              </w:rPr>
            </w:pPr>
          </w:p>
          <w:p w14:paraId="50C58AA8">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事故恢复措施</w:t>
            </w:r>
          </w:p>
        </w:tc>
        <w:tc>
          <w:tcPr>
            <w:tcW w:w="2983" w:type="pct"/>
            <w:vAlign w:val="center"/>
          </w:tcPr>
          <w:p w14:paraId="45652A4B">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pacing w:val="6"/>
                <w:sz w:val="21"/>
                <w:szCs w:val="21"/>
                <w:lang w:eastAsia="zh-CN"/>
              </w:rPr>
              <w:t>制</w:t>
            </w:r>
            <w:r>
              <w:rPr>
                <w:rFonts w:ascii="Times New Roman" w:hAnsi="Times New Roman"/>
                <w:spacing w:val="4"/>
                <w:sz w:val="21"/>
                <w:szCs w:val="21"/>
                <w:lang w:eastAsia="zh-CN"/>
              </w:rPr>
              <w:t>定有关</w:t>
            </w:r>
            <w:r>
              <w:rPr>
                <w:rFonts w:ascii="Times New Roman" w:hAnsi="Times New Roman"/>
                <w:spacing w:val="6"/>
                <w:sz w:val="21"/>
                <w:szCs w:val="21"/>
                <w:lang w:eastAsia="zh-CN"/>
              </w:rPr>
              <w:t>的</w:t>
            </w:r>
            <w:r>
              <w:rPr>
                <w:rFonts w:ascii="Times New Roman" w:hAnsi="Times New Roman"/>
                <w:spacing w:val="4"/>
                <w:sz w:val="21"/>
                <w:szCs w:val="21"/>
                <w:lang w:eastAsia="zh-CN"/>
              </w:rPr>
              <w:t>环境恢</w:t>
            </w:r>
            <w:r>
              <w:rPr>
                <w:rFonts w:ascii="Times New Roman" w:hAnsi="Times New Roman"/>
                <w:spacing w:val="6"/>
                <w:sz w:val="21"/>
                <w:szCs w:val="21"/>
                <w:lang w:eastAsia="zh-CN"/>
              </w:rPr>
              <w:t>复</w:t>
            </w:r>
            <w:r>
              <w:rPr>
                <w:rFonts w:ascii="Times New Roman" w:hAnsi="Times New Roman"/>
                <w:spacing w:val="4"/>
                <w:sz w:val="21"/>
                <w:szCs w:val="21"/>
                <w:lang w:eastAsia="zh-CN"/>
              </w:rPr>
              <w:t>措施</w:t>
            </w:r>
            <w:r>
              <w:rPr>
                <w:rFonts w:ascii="Times New Roman" w:hAnsi="Times New Roman"/>
                <w:spacing w:val="6"/>
                <w:sz w:val="21"/>
                <w:szCs w:val="21"/>
                <w:lang w:eastAsia="zh-CN"/>
              </w:rPr>
              <w:t>（</w:t>
            </w:r>
            <w:r>
              <w:rPr>
                <w:rFonts w:ascii="Times New Roman" w:hAnsi="Times New Roman"/>
                <w:spacing w:val="4"/>
                <w:sz w:val="21"/>
                <w:szCs w:val="21"/>
                <w:lang w:eastAsia="zh-CN"/>
              </w:rPr>
              <w:t>包括生</w:t>
            </w:r>
            <w:r>
              <w:rPr>
                <w:rFonts w:ascii="Times New Roman" w:hAnsi="Times New Roman"/>
                <w:spacing w:val="6"/>
                <w:sz w:val="21"/>
                <w:szCs w:val="21"/>
                <w:lang w:eastAsia="zh-CN"/>
              </w:rPr>
              <w:t>态</w:t>
            </w:r>
            <w:r>
              <w:rPr>
                <w:rFonts w:ascii="Times New Roman" w:hAnsi="Times New Roman"/>
                <w:spacing w:val="4"/>
                <w:sz w:val="21"/>
                <w:szCs w:val="21"/>
                <w:lang w:eastAsia="zh-CN"/>
              </w:rPr>
              <w:t>环境、</w:t>
            </w:r>
            <w:r>
              <w:rPr>
                <w:rFonts w:ascii="Times New Roman" w:hAnsi="Times New Roman"/>
                <w:spacing w:val="6"/>
                <w:sz w:val="21"/>
                <w:szCs w:val="21"/>
                <w:lang w:eastAsia="zh-CN"/>
              </w:rPr>
              <w:t>土</w:t>
            </w:r>
            <w:r>
              <w:rPr>
                <w:rFonts w:ascii="Times New Roman" w:hAnsi="Times New Roman"/>
                <w:spacing w:val="4"/>
                <w:sz w:val="21"/>
                <w:szCs w:val="21"/>
                <w:lang w:eastAsia="zh-CN"/>
              </w:rPr>
              <w:t>壤、</w:t>
            </w:r>
            <w:r>
              <w:rPr>
                <w:rFonts w:ascii="Times New Roman" w:hAnsi="Times New Roman"/>
                <w:spacing w:val="6"/>
                <w:sz w:val="21"/>
                <w:szCs w:val="21"/>
                <w:lang w:eastAsia="zh-CN"/>
              </w:rPr>
              <w:t>水</w:t>
            </w:r>
            <w:r>
              <w:rPr>
                <w:rFonts w:ascii="Times New Roman" w:hAnsi="Times New Roman"/>
                <w:spacing w:val="4"/>
                <w:sz w:val="21"/>
                <w:szCs w:val="21"/>
                <w:lang w:eastAsia="zh-CN"/>
              </w:rPr>
              <w:t>体等</w:t>
            </w:r>
            <w:r>
              <w:rPr>
                <w:rFonts w:ascii="Times New Roman" w:hAnsi="Times New Roman"/>
                <w:spacing w:val="-99"/>
                <w:sz w:val="21"/>
                <w:szCs w:val="21"/>
                <w:lang w:eastAsia="zh-CN"/>
              </w:rPr>
              <w:t>）</w:t>
            </w:r>
            <w:r>
              <w:rPr>
                <w:rFonts w:ascii="Times New Roman" w:hAnsi="Times New Roman"/>
                <w:sz w:val="21"/>
                <w:szCs w:val="21"/>
                <w:lang w:eastAsia="zh-CN"/>
              </w:rPr>
              <w:t>，</w:t>
            </w:r>
            <w:r>
              <w:rPr>
                <w:rFonts w:ascii="Times New Roman" w:hAnsi="Times New Roman"/>
                <w:spacing w:val="2"/>
                <w:sz w:val="21"/>
                <w:szCs w:val="21"/>
                <w:lang w:eastAsia="zh-CN"/>
              </w:rPr>
              <w:t>组织</w:t>
            </w:r>
            <w:r>
              <w:rPr>
                <w:rFonts w:ascii="Times New Roman" w:hAnsi="Times New Roman"/>
                <w:sz w:val="21"/>
                <w:szCs w:val="21"/>
                <w:lang w:eastAsia="zh-CN"/>
              </w:rPr>
              <w:t>专</w:t>
            </w:r>
            <w:r>
              <w:rPr>
                <w:rFonts w:ascii="Times New Roman" w:hAnsi="Times New Roman"/>
                <w:spacing w:val="2"/>
                <w:sz w:val="21"/>
                <w:szCs w:val="21"/>
                <w:lang w:eastAsia="zh-CN"/>
              </w:rPr>
              <w:t>业</w:t>
            </w:r>
            <w:r>
              <w:rPr>
                <w:rFonts w:ascii="Times New Roman" w:hAnsi="Times New Roman"/>
                <w:sz w:val="21"/>
                <w:szCs w:val="21"/>
                <w:lang w:eastAsia="zh-CN"/>
              </w:rPr>
              <w:t>人</w:t>
            </w:r>
            <w:r>
              <w:rPr>
                <w:rFonts w:ascii="Times New Roman" w:hAnsi="Times New Roman"/>
                <w:spacing w:val="2"/>
                <w:sz w:val="21"/>
                <w:szCs w:val="21"/>
                <w:lang w:eastAsia="zh-CN"/>
              </w:rPr>
              <w:t>员对</w:t>
            </w:r>
            <w:r>
              <w:rPr>
                <w:rFonts w:ascii="Times New Roman" w:hAnsi="Times New Roman"/>
                <w:sz w:val="21"/>
                <w:szCs w:val="21"/>
                <w:lang w:eastAsia="zh-CN"/>
              </w:rPr>
              <w:t>事</w:t>
            </w:r>
            <w:r>
              <w:rPr>
                <w:rFonts w:ascii="Times New Roman" w:hAnsi="Times New Roman"/>
                <w:spacing w:val="2"/>
                <w:sz w:val="21"/>
                <w:szCs w:val="21"/>
                <w:lang w:eastAsia="zh-CN"/>
              </w:rPr>
              <w:t>故</w:t>
            </w:r>
            <w:r>
              <w:rPr>
                <w:rFonts w:ascii="Times New Roman" w:hAnsi="Times New Roman"/>
                <w:sz w:val="21"/>
                <w:szCs w:val="21"/>
                <w:lang w:eastAsia="zh-CN"/>
              </w:rPr>
              <w:t>后的</w:t>
            </w:r>
            <w:r>
              <w:rPr>
                <w:rFonts w:ascii="Times New Roman" w:hAnsi="Times New Roman"/>
                <w:spacing w:val="2"/>
                <w:sz w:val="21"/>
                <w:szCs w:val="21"/>
                <w:lang w:eastAsia="zh-CN"/>
              </w:rPr>
              <w:t>环境</w:t>
            </w:r>
            <w:r>
              <w:rPr>
                <w:rFonts w:ascii="Times New Roman" w:hAnsi="Times New Roman"/>
                <w:sz w:val="21"/>
                <w:szCs w:val="21"/>
                <w:lang w:eastAsia="zh-CN"/>
              </w:rPr>
              <w:t>变</w:t>
            </w:r>
            <w:r>
              <w:rPr>
                <w:rFonts w:ascii="Times New Roman" w:hAnsi="Times New Roman"/>
                <w:spacing w:val="2"/>
                <w:sz w:val="21"/>
                <w:szCs w:val="21"/>
                <w:lang w:eastAsia="zh-CN"/>
              </w:rPr>
              <w:t>化</w:t>
            </w:r>
            <w:r>
              <w:rPr>
                <w:rFonts w:ascii="Times New Roman" w:hAnsi="Times New Roman"/>
                <w:sz w:val="21"/>
                <w:szCs w:val="21"/>
                <w:lang w:eastAsia="zh-CN"/>
              </w:rPr>
              <w:t>进</w:t>
            </w:r>
            <w:r>
              <w:rPr>
                <w:rFonts w:ascii="Times New Roman" w:hAnsi="Times New Roman"/>
                <w:spacing w:val="2"/>
                <w:sz w:val="21"/>
                <w:szCs w:val="21"/>
                <w:lang w:eastAsia="zh-CN"/>
              </w:rPr>
              <w:t>行监</w:t>
            </w:r>
            <w:r>
              <w:rPr>
                <w:rFonts w:ascii="Times New Roman" w:hAnsi="Times New Roman"/>
                <w:sz w:val="21"/>
                <w:szCs w:val="21"/>
                <w:lang w:eastAsia="zh-CN"/>
              </w:rPr>
              <w:t>测</w:t>
            </w:r>
            <w:r>
              <w:rPr>
                <w:rFonts w:ascii="Times New Roman" w:hAnsi="Times New Roman"/>
                <w:spacing w:val="2"/>
                <w:sz w:val="21"/>
                <w:szCs w:val="21"/>
                <w:lang w:eastAsia="zh-CN"/>
              </w:rPr>
              <w:t>，</w:t>
            </w:r>
            <w:r>
              <w:rPr>
                <w:rFonts w:ascii="Times New Roman" w:hAnsi="Times New Roman"/>
                <w:sz w:val="21"/>
                <w:szCs w:val="21"/>
                <w:lang w:eastAsia="zh-CN"/>
              </w:rPr>
              <w:t>对事</w:t>
            </w:r>
            <w:r>
              <w:rPr>
                <w:rFonts w:ascii="Times New Roman" w:hAnsi="Times New Roman"/>
                <w:spacing w:val="2"/>
                <w:sz w:val="21"/>
                <w:szCs w:val="21"/>
                <w:lang w:eastAsia="zh-CN"/>
              </w:rPr>
              <w:t>故应</w:t>
            </w:r>
            <w:r>
              <w:rPr>
                <w:rFonts w:ascii="Times New Roman" w:hAnsi="Times New Roman"/>
                <w:sz w:val="21"/>
                <w:szCs w:val="21"/>
                <w:lang w:eastAsia="zh-CN"/>
              </w:rPr>
              <w:t>急</w:t>
            </w:r>
            <w:r>
              <w:rPr>
                <w:rFonts w:ascii="Times New Roman" w:hAnsi="Times New Roman"/>
                <w:spacing w:val="2"/>
                <w:sz w:val="21"/>
                <w:szCs w:val="21"/>
                <w:lang w:eastAsia="zh-CN"/>
              </w:rPr>
              <w:t>措</w:t>
            </w:r>
            <w:r>
              <w:rPr>
                <w:rFonts w:ascii="Times New Roman" w:hAnsi="Times New Roman"/>
                <w:sz w:val="21"/>
                <w:szCs w:val="21"/>
                <w:lang w:eastAsia="zh-CN"/>
              </w:rPr>
              <w:t>施的环</w:t>
            </w:r>
            <w:r>
              <w:rPr>
                <w:rFonts w:ascii="Times New Roman" w:hAnsi="Times New Roman"/>
                <w:spacing w:val="-3"/>
                <w:sz w:val="21"/>
                <w:szCs w:val="21"/>
                <w:lang w:eastAsia="zh-CN"/>
              </w:rPr>
              <w:t>境</w:t>
            </w:r>
            <w:r>
              <w:rPr>
                <w:rFonts w:ascii="Times New Roman" w:hAnsi="Times New Roman"/>
                <w:sz w:val="21"/>
                <w:szCs w:val="21"/>
                <w:lang w:eastAsia="zh-CN"/>
              </w:rPr>
              <w:t>可</w:t>
            </w:r>
            <w:r>
              <w:rPr>
                <w:rFonts w:ascii="Times New Roman" w:hAnsi="Times New Roman"/>
                <w:spacing w:val="-3"/>
                <w:sz w:val="21"/>
                <w:szCs w:val="21"/>
                <w:lang w:eastAsia="zh-CN"/>
              </w:rPr>
              <w:t>行</w:t>
            </w:r>
            <w:r>
              <w:rPr>
                <w:rFonts w:ascii="Times New Roman" w:hAnsi="Times New Roman"/>
                <w:sz w:val="21"/>
                <w:szCs w:val="21"/>
                <w:lang w:eastAsia="zh-CN"/>
              </w:rPr>
              <w:t>性</w:t>
            </w:r>
            <w:r>
              <w:rPr>
                <w:rFonts w:ascii="Times New Roman" w:hAnsi="Times New Roman"/>
                <w:spacing w:val="-3"/>
                <w:sz w:val="21"/>
                <w:szCs w:val="21"/>
                <w:lang w:eastAsia="zh-CN"/>
              </w:rPr>
              <w:t>进</w:t>
            </w:r>
            <w:r>
              <w:rPr>
                <w:rFonts w:ascii="Times New Roman" w:hAnsi="Times New Roman"/>
                <w:sz w:val="21"/>
                <w:szCs w:val="21"/>
                <w:lang w:eastAsia="zh-CN"/>
              </w:rPr>
              <w:t>行</w:t>
            </w:r>
            <w:r>
              <w:rPr>
                <w:rFonts w:ascii="Times New Roman" w:hAnsi="Times New Roman"/>
                <w:spacing w:val="-3"/>
                <w:sz w:val="21"/>
                <w:szCs w:val="21"/>
                <w:lang w:eastAsia="zh-CN"/>
              </w:rPr>
              <w:t>后</w:t>
            </w:r>
            <w:r>
              <w:rPr>
                <w:rFonts w:ascii="Times New Roman" w:hAnsi="Times New Roman"/>
                <w:sz w:val="21"/>
                <w:szCs w:val="21"/>
                <w:lang w:eastAsia="zh-CN"/>
              </w:rPr>
              <w:t>影</w:t>
            </w:r>
            <w:r>
              <w:rPr>
                <w:rFonts w:ascii="Times New Roman" w:hAnsi="Times New Roman"/>
                <w:spacing w:val="-3"/>
                <w:sz w:val="21"/>
                <w:szCs w:val="21"/>
                <w:lang w:eastAsia="zh-CN"/>
              </w:rPr>
              <w:t>响</w:t>
            </w:r>
            <w:r>
              <w:rPr>
                <w:rFonts w:ascii="Times New Roman" w:hAnsi="Times New Roman"/>
                <w:sz w:val="21"/>
                <w:szCs w:val="21"/>
                <w:lang w:eastAsia="zh-CN"/>
              </w:rPr>
              <w:t>评价</w:t>
            </w:r>
          </w:p>
        </w:tc>
      </w:tr>
      <w:tr w14:paraId="2C2F86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36" w:type="pct"/>
            <w:vAlign w:val="center"/>
          </w:tcPr>
          <w:p w14:paraId="0A0922E4">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11</w:t>
            </w:r>
          </w:p>
        </w:tc>
        <w:tc>
          <w:tcPr>
            <w:tcW w:w="1481" w:type="pct"/>
            <w:vAlign w:val="center"/>
          </w:tcPr>
          <w:p w14:paraId="1B8C33D0">
            <w:pPr>
              <w:pStyle w:val="3327"/>
              <w:adjustRightInd w:val="0"/>
              <w:snapToGrid w:val="0"/>
              <w:ind w:firstLine="0" w:firstLineChars="0"/>
              <w:jc w:val="center"/>
              <w:rPr>
                <w:rFonts w:ascii="Times New Roman" w:hAnsi="Times New Roman"/>
                <w:sz w:val="21"/>
                <w:szCs w:val="21"/>
              </w:rPr>
            </w:pPr>
            <w:r>
              <w:rPr>
                <w:rFonts w:ascii="Times New Roman" w:hAnsi="Times New Roman"/>
                <w:sz w:val="21"/>
                <w:szCs w:val="21"/>
              </w:rPr>
              <w:t>应急培训及巡视计划</w:t>
            </w:r>
          </w:p>
        </w:tc>
        <w:tc>
          <w:tcPr>
            <w:tcW w:w="2983" w:type="pct"/>
            <w:vAlign w:val="center"/>
          </w:tcPr>
          <w:p w14:paraId="6CAC61C4">
            <w:pPr>
              <w:pStyle w:val="3327"/>
              <w:adjustRightInd w:val="0"/>
              <w:snapToGrid w:val="0"/>
              <w:ind w:firstLine="0" w:firstLineChars="0"/>
              <w:jc w:val="center"/>
              <w:rPr>
                <w:rFonts w:ascii="Times New Roman" w:hAnsi="Times New Roman"/>
                <w:sz w:val="21"/>
                <w:szCs w:val="21"/>
                <w:lang w:eastAsia="zh-CN"/>
              </w:rPr>
            </w:pPr>
            <w:r>
              <w:rPr>
                <w:rFonts w:ascii="Times New Roman" w:hAnsi="Times New Roman"/>
                <w:sz w:val="21"/>
                <w:szCs w:val="21"/>
                <w:lang w:eastAsia="zh-CN"/>
              </w:rPr>
              <w:t>应急计划制定后，定期安排有关人员进行培训与演练，定期安排人员对风险源进行巡视</w:t>
            </w:r>
          </w:p>
        </w:tc>
      </w:tr>
    </w:tbl>
    <w:p w14:paraId="364E7909">
      <w:pPr>
        <w:pStyle w:val="4"/>
        <w:tabs>
          <w:tab w:val="clear" w:pos="480"/>
          <w:tab w:val="clear" w:pos="630"/>
        </w:tabs>
        <w:spacing w:before="0" w:after="0"/>
        <w:rPr>
          <w:sz w:val="30"/>
          <w:szCs w:val="30"/>
          <w:lang w:val="en-US"/>
        </w:rPr>
      </w:pPr>
      <w:bookmarkStart w:id="204" w:name="_Toc116978010"/>
      <w:bookmarkStart w:id="205" w:name="_Toc143799396"/>
      <w:r>
        <w:rPr>
          <w:sz w:val="30"/>
          <w:szCs w:val="30"/>
          <w:lang w:val="en-US"/>
        </w:rPr>
        <w:t>7.6</w:t>
      </w:r>
      <w:r>
        <w:rPr>
          <w:rFonts w:hint="eastAsia"/>
          <w:sz w:val="30"/>
          <w:szCs w:val="30"/>
          <w:lang w:val="en-US"/>
        </w:rPr>
        <w:t>小结</w:t>
      </w:r>
      <w:bookmarkEnd w:id="204"/>
      <w:bookmarkEnd w:id="205"/>
    </w:p>
    <w:p w14:paraId="7B860E1B">
      <w:pPr>
        <w:adjustRightInd w:val="0"/>
        <w:snapToGrid w:val="0"/>
        <w:ind w:firstLine="480"/>
      </w:pPr>
      <w:r>
        <w:t>本项目评价重点为预测和防护事故引起的对厂界外人群的伤害和环境质量的恶化影响。根据《危险化学品重大危险源辨识》（GB18218-2009），项目无重大危险源。经分析，本项目可能发生的环境风险事故为：变压器事故排油泄漏事故以及风机维修与运行期润滑油的滴漏跑冒，可能会对周围环境产生影响。采取一定的防范措施，可以使事故发生的概率降低，减少损失，因此采取切实可行的防范措施和建立有效的风险应急预案是降低风险和减轻风险后果的有效途径。本项目环境风险简单分析内容表见</w:t>
      </w:r>
      <w:r>
        <w:rPr>
          <w:rFonts w:hint="eastAsia"/>
        </w:rPr>
        <w:t>下表</w:t>
      </w:r>
      <w:r>
        <w:t>。</w:t>
      </w:r>
    </w:p>
    <w:p w14:paraId="60D818B8">
      <w:pPr>
        <w:adjustRightInd w:val="0"/>
        <w:snapToGrid w:val="0"/>
        <w:ind w:firstLine="480"/>
      </w:pPr>
      <w:r>
        <w:t>通过采取以上各项风险防范措施及应急救援措施，可降低各种事故的发生，降低对周围环境的不利影响，本项目环境风险在可接受范围内。</w:t>
      </w:r>
    </w:p>
    <w:p w14:paraId="5D392EDF">
      <w:pPr>
        <w:tabs>
          <w:tab w:val="clear" w:pos="480"/>
        </w:tabs>
        <w:adjustRightInd w:val="0"/>
        <w:snapToGrid w:val="0"/>
        <w:spacing w:line="240" w:lineRule="auto"/>
        <w:ind w:firstLine="0" w:firstLineChars="0"/>
        <w:jc w:val="center"/>
        <w:rPr>
          <w:b/>
          <w:bCs/>
        </w:rPr>
      </w:pPr>
    </w:p>
    <w:p w14:paraId="75C80DA8">
      <w:pPr>
        <w:tabs>
          <w:tab w:val="clear" w:pos="480"/>
        </w:tabs>
        <w:adjustRightInd w:val="0"/>
        <w:snapToGrid w:val="0"/>
        <w:spacing w:line="240" w:lineRule="auto"/>
        <w:ind w:firstLine="0" w:firstLineChars="0"/>
        <w:jc w:val="center"/>
        <w:rPr>
          <w:b/>
          <w:bCs/>
        </w:rPr>
      </w:pPr>
      <w:r>
        <w:rPr>
          <w:b/>
          <w:bCs/>
        </w:rPr>
        <w:t>表 7.6</w:t>
      </w:r>
      <w:r>
        <w:rPr>
          <w:rFonts w:hint="eastAsia"/>
          <w:b/>
          <w:bCs/>
        </w:rPr>
        <w:t>-</w:t>
      </w:r>
      <w:r>
        <w:rPr>
          <w:b/>
          <w:bCs/>
        </w:rPr>
        <w:t>1建设项目环境风险简单分析内容表</w:t>
      </w:r>
    </w:p>
    <w:tbl>
      <w:tblPr>
        <w:tblStyle w:val="3681"/>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14"/>
        <w:gridCol w:w="6127"/>
      </w:tblGrid>
      <w:tr w14:paraId="1492F4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27" w:type="pct"/>
            <w:vAlign w:val="center"/>
          </w:tcPr>
          <w:p w14:paraId="16C0CE69">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建设项目名称</w:t>
            </w:r>
          </w:p>
        </w:tc>
        <w:tc>
          <w:tcPr>
            <w:tcW w:w="3673" w:type="pct"/>
            <w:vAlign w:val="center"/>
          </w:tcPr>
          <w:p w14:paraId="7DBB46AA">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zh-CN"/>
              </w:rPr>
            </w:pPr>
            <w:r>
              <w:rPr>
                <w:rFonts w:hint="eastAsia" w:ascii="Calibri" w:hAnsi="Calibri"/>
                <w:kern w:val="0"/>
                <w:sz w:val="21"/>
                <w:szCs w:val="21"/>
                <w:lang w:eastAsia="zh-CN"/>
              </w:rPr>
              <w:t>衡阳县杉桥风电场工程</w:t>
            </w:r>
          </w:p>
        </w:tc>
      </w:tr>
      <w:tr w14:paraId="6766E5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27" w:type="pct"/>
            <w:vAlign w:val="center"/>
          </w:tcPr>
          <w:p w14:paraId="64BF642E">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建设地点</w:t>
            </w:r>
          </w:p>
        </w:tc>
        <w:tc>
          <w:tcPr>
            <w:tcW w:w="3673" w:type="pct"/>
            <w:vAlign w:val="center"/>
          </w:tcPr>
          <w:p w14:paraId="1D73328C">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hint="eastAsia" w:ascii="Calibri" w:hAnsi="Calibri"/>
                <w:kern w:val="0"/>
                <w:sz w:val="21"/>
                <w:szCs w:val="21"/>
                <w:lang w:eastAsia="en-US"/>
              </w:rPr>
              <w:t>衡阳市衡阳县</w:t>
            </w:r>
          </w:p>
        </w:tc>
      </w:tr>
      <w:tr w14:paraId="562469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27" w:type="pct"/>
            <w:vAlign w:val="center"/>
          </w:tcPr>
          <w:p w14:paraId="7185D5E4">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地理坐标</w:t>
            </w:r>
          </w:p>
        </w:tc>
        <w:tc>
          <w:tcPr>
            <w:tcW w:w="3673" w:type="pct"/>
            <w:vAlign w:val="center"/>
          </w:tcPr>
          <w:p w14:paraId="366B86F0">
            <w:pPr>
              <w:autoSpaceDE w:val="0"/>
              <w:autoSpaceDN w:val="0"/>
              <w:adjustRightInd w:val="0"/>
              <w:snapToGrid w:val="0"/>
              <w:ind w:firstLine="420"/>
              <w:jc w:val="center"/>
              <w:rPr>
                <w:rFonts w:ascii="Calibri" w:hAnsi="Calibri"/>
                <w:kern w:val="0"/>
                <w:sz w:val="21"/>
                <w:szCs w:val="21"/>
                <w:lang w:eastAsia="en-US"/>
              </w:rPr>
            </w:pPr>
            <w:r>
              <w:rPr>
                <w:rFonts w:ascii="Calibri" w:hAnsi="Calibri"/>
                <w:kern w:val="0"/>
                <w:sz w:val="21"/>
                <w:szCs w:val="21"/>
                <w:lang w:eastAsia="en-US"/>
              </w:rPr>
              <w:t>112°31′19.65″</w:t>
            </w:r>
            <w:r>
              <w:rPr>
                <w:rFonts w:ascii="Calibri" w:hAnsi="Calibri"/>
                <w:kern w:val="0"/>
                <w:lang w:eastAsia="en-US"/>
              </w:rPr>
              <w:t>；</w:t>
            </w:r>
            <w:r>
              <w:rPr>
                <w:rFonts w:ascii="Calibri" w:hAnsi="Calibri"/>
                <w:kern w:val="0"/>
                <w:sz w:val="21"/>
                <w:szCs w:val="21"/>
                <w:lang w:eastAsia="en-US"/>
              </w:rPr>
              <w:t xml:space="preserve"> 27°7′48.35″</w:t>
            </w:r>
          </w:p>
        </w:tc>
      </w:tr>
      <w:tr w14:paraId="3AA98A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27" w:type="pct"/>
            <w:vAlign w:val="center"/>
          </w:tcPr>
          <w:p w14:paraId="4DEE2676">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主要危险物质及分布</w:t>
            </w:r>
          </w:p>
        </w:tc>
        <w:tc>
          <w:tcPr>
            <w:tcW w:w="3673" w:type="pct"/>
            <w:vAlign w:val="center"/>
          </w:tcPr>
          <w:p w14:paraId="444653DC">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ascii="Calibri" w:hAnsi="Calibri"/>
                <w:kern w:val="0"/>
                <w:sz w:val="21"/>
                <w:szCs w:val="21"/>
                <w:lang w:eastAsia="zh-CN"/>
              </w:rPr>
              <w:t>（1）变压器油，贮存于升压站主变；</w:t>
            </w:r>
          </w:p>
          <w:p w14:paraId="590BF457">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ascii="Calibri" w:hAnsi="Calibri"/>
                <w:kern w:val="0"/>
                <w:position w:val="2"/>
                <w:sz w:val="21"/>
                <w:szCs w:val="21"/>
                <w:lang w:eastAsia="zh-CN"/>
              </w:rPr>
              <w:t>（2）</w:t>
            </w:r>
            <w:r>
              <w:rPr>
                <w:rFonts w:ascii="Calibri" w:hAnsi="Calibri"/>
                <w:spacing w:val="6"/>
                <w:kern w:val="0"/>
                <w:sz w:val="21"/>
                <w:szCs w:val="21"/>
                <w:lang w:eastAsia="zh-CN"/>
              </w:rPr>
              <w:t>风</w:t>
            </w:r>
            <w:r>
              <w:rPr>
                <w:rFonts w:ascii="Calibri" w:hAnsi="Calibri"/>
                <w:spacing w:val="4"/>
                <w:kern w:val="0"/>
                <w:sz w:val="21"/>
                <w:szCs w:val="21"/>
                <w:lang w:eastAsia="zh-CN"/>
              </w:rPr>
              <w:t>机风</w:t>
            </w:r>
            <w:r>
              <w:rPr>
                <w:rFonts w:ascii="Calibri" w:hAnsi="Calibri"/>
                <w:spacing w:val="6"/>
                <w:kern w:val="0"/>
                <w:sz w:val="21"/>
                <w:szCs w:val="21"/>
                <w:lang w:eastAsia="zh-CN"/>
              </w:rPr>
              <w:t>机</w:t>
            </w:r>
            <w:r>
              <w:rPr>
                <w:rFonts w:ascii="Calibri" w:hAnsi="Calibri"/>
                <w:spacing w:val="4"/>
                <w:kern w:val="0"/>
                <w:sz w:val="21"/>
                <w:szCs w:val="21"/>
                <w:lang w:eastAsia="zh-CN"/>
              </w:rPr>
              <w:t>维修</w:t>
            </w:r>
            <w:r>
              <w:rPr>
                <w:rFonts w:ascii="Calibri" w:hAnsi="Calibri"/>
                <w:spacing w:val="6"/>
                <w:kern w:val="0"/>
                <w:sz w:val="21"/>
                <w:szCs w:val="21"/>
                <w:lang w:eastAsia="zh-CN"/>
              </w:rPr>
              <w:t>与</w:t>
            </w:r>
            <w:r>
              <w:rPr>
                <w:rFonts w:ascii="Calibri" w:hAnsi="Calibri"/>
                <w:spacing w:val="4"/>
                <w:kern w:val="0"/>
                <w:sz w:val="21"/>
                <w:szCs w:val="21"/>
                <w:lang w:eastAsia="zh-CN"/>
              </w:rPr>
              <w:t>运</w:t>
            </w:r>
            <w:r>
              <w:rPr>
                <w:rFonts w:ascii="Calibri" w:hAnsi="Calibri"/>
                <w:spacing w:val="6"/>
                <w:kern w:val="0"/>
                <w:sz w:val="21"/>
                <w:szCs w:val="21"/>
                <w:lang w:eastAsia="zh-CN"/>
              </w:rPr>
              <w:t>行</w:t>
            </w:r>
            <w:r>
              <w:rPr>
                <w:rFonts w:ascii="Calibri" w:hAnsi="Calibri"/>
                <w:spacing w:val="4"/>
                <w:kern w:val="0"/>
                <w:sz w:val="21"/>
                <w:szCs w:val="21"/>
                <w:lang w:eastAsia="zh-CN"/>
              </w:rPr>
              <w:t>期润滑</w:t>
            </w:r>
            <w:r>
              <w:rPr>
                <w:rFonts w:ascii="Calibri" w:hAnsi="Calibri"/>
                <w:spacing w:val="6"/>
                <w:kern w:val="0"/>
                <w:sz w:val="21"/>
                <w:szCs w:val="21"/>
                <w:lang w:eastAsia="zh-CN"/>
              </w:rPr>
              <w:t>油</w:t>
            </w:r>
            <w:r>
              <w:rPr>
                <w:rFonts w:ascii="Calibri" w:hAnsi="Calibri"/>
                <w:spacing w:val="4"/>
                <w:kern w:val="0"/>
                <w:sz w:val="21"/>
                <w:szCs w:val="21"/>
                <w:lang w:eastAsia="zh-CN"/>
              </w:rPr>
              <w:t>主要</w:t>
            </w:r>
            <w:r>
              <w:rPr>
                <w:rFonts w:ascii="Calibri" w:hAnsi="Calibri"/>
                <w:spacing w:val="6"/>
                <w:kern w:val="0"/>
                <w:sz w:val="21"/>
                <w:szCs w:val="21"/>
                <w:lang w:eastAsia="zh-CN"/>
              </w:rPr>
              <w:t>包</w:t>
            </w:r>
            <w:r>
              <w:rPr>
                <w:rFonts w:ascii="Calibri" w:hAnsi="Calibri"/>
                <w:spacing w:val="4"/>
                <w:kern w:val="0"/>
                <w:sz w:val="21"/>
                <w:szCs w:val="21"/>
                <w:lang w:eastAsia="zh-CN"/>
              </w:rPr>
              <w:t>括变桨</w:t>
            </w:r>
            <w:r>
              <w:rPr>
                <w:rFonts w:ascii="Calibri" w:hAnsi="Calibri"/>
                <w:spacing w:val="6"/>
                <w:kern w:val="0"/>
                <w:sz w:val="21"/>
                <w:szCs w:val="21"/>
                <w:lang w:eastAsia="zh-CN"/>
              </w:rPr>
              <w:t>偏</w:t>
            </w:r>
            <w:r>
              <w:rPr>
                <w:rFonts w:ascii="Calibri" w:hAnsi="Calibri"/>
                <w:spacing w:val="4"/>
                <w:kern w:val="0"/>
                <w:sz w:val="21"/>
                <w:szCs w:val="21"/>
                <w:lang w:eastAsia="zh-CN"/>
              </w:rPr>
              <w:t>航轴承</w:t>
            </w:r>
            <w:r>
              <w:rPr>
                <w:rFonts w:ascii="Calibri" w:hAnsi="Calibri"/>
                <w:spacing w:val="6"/>
                <w:kern w:val="0"/>
                <w:sz w:val="21"/>
                <w:szCs w:val="21"/>
                <w:lang w:eastAsia="zh-CN"/>
              </w:rPr>
              <w:t>用</w:t>
            </w:r>
            <w:r>
              <w:rPr>
                <w:rFonts w:ascii="Calibri" w:hAnsi="Calibri"/>
                <w:spacing w:val="4"/>
                <w:kern w:val="0"/>
                <w:sz w:val="21"/>
                <w:szCs w:val="21"/>
                <w:lang w:eastAsia="zh-CN"/>
              </w:rPr>
              <w:t>油脂</w:t>
            </w:r>
            <w:r>
              <w:rPr>
                <w:rFonts w:ascii="Calibri" w:hAnsi="Calibri"/>
                <w:spacing w:val="6"/>
                <w:kern w:val="0"/>
                <w:sz w:val="21"/>
                <w:szCs w:val="21"/>
                <w:lang w:eastAsia="zh-CN"/>
              </w:rPr>
              <w:t>、</w:t>
            </w:r>
            <w:r>
              <w:rPr>
                <w:rFonts w:ascii="Calibri" w:hAnsi="Calibri"/>
                <w:kern w:val="0"/>
                <w:sz w:val="21"/>
                <w:szCs w:val="21"/>
                <w:lang w:eastAsia="zh-CN"/>
              </w:rPr>
              <w:t>齿</w:t>
            </w:r>
            <w:r>
              <w:rPr>
                <w:rFonts w:ascii="Calibri" w:hAnsi="Calibri"/>
                <w:spacing w:val="2"/>
                <w:kern w:val="0"/>
                <w:sz w:val="21"/>
                <w:szCs w:val="21"/>
                <w:lang w:eastAsia="zh-CN"/>
              </w:rPr>
              <w:t>轮箱（增速箱）油</w:t>
            </w:r>
            <w:r>
              <w:rPr>
                <w:rFonts w:ascii="Calibri" w:hAnsi="Calibri"/>
                <w:kern w:val="0"/>
                <w:sz w:val="21"/>
                <w:szCs w:val="21"/>
                <w:lang w:eastAsia="zh-CN"/>
              </w:rPr>
              <w:t>脂</w:t>
            </w:r>
            <w:r>
              <w:rPr>
                <w:rFonts w:ascii="Calibri" w:hAnsi="Calibri"/>
                <w:spacing w:val="2"/>
                <w:kern w:val="0"/>
                <w:sz w:val="21"/>
                <w:szCs w:val="21"/>
                <w:lang w:eastAsia="zh-CN"/>
              </w:rPr>
              <w:t>、</w:t>
            </w:r>
            <w:r>
              <w:rPr>
                <w:rFonts w:ascii="Calibri" w:hAnsi="Calibri"/>
                <w:kern w:val="0"/>
                <w:sz w:val="21"/>
                <w:szCs w:val="21"/>
                <w:lang w:eastAsia="zh-CN"/>
              </w:rPr>
              <w:t>变</w:t>
            </w:r>
            <w:r>
              <w:rPr>
                <w:rFonts w:ascii="Calibri" w:hAnsi="Calibri"/>
                <w:spacing w:val="2"/>
                <w:kern w:val="0"/>
                <w:sz w:val="21"/>
                <w:szCs w:val="21"/>
                <w:lang w:eastAsia="zh-CN"/>
              </w:rPr>
              <w:t>桨偏航驱动用齿轮</w:t>
            </w:r>
            <w:r>
              <w:rPr>
                <w:rFonts w:ascii="Calibri" w:hAnsi="Calibri"/>
                <w:kern w:val="0"/>
                <w:sz w:val="21"/>
                <w:szCs w:val="21"/>
                <w:lang w:eastAsia="zh-CN"/>
              </w:rPr>
              <w:t>油</w:t>
            </w:r>
            <w:r>
              <w:rPr>
                <w:rFonts w:ascii="Calibri" w:hAnsi="Calibri"/>
                <w:spacing w:val="2"/>
                <w:kern w:val="0"/>
                <w:sz w:val="21"/>
                <w:szCs w:val="21"/>
                <w:lang w:eastAsia="zh-CN"/>
              </w:rPr>
              <w:t>、</w:t>
            </w:r>
            <w:r>
              <w:rPr>
                <w:rFonts w:ascii="Calibri" w:hAnsi="Calibri"/>
                <w:kern w:val="0"/>
                <w:sz w:val="21"/>
                <w:szCs w:val="21"/>
                <w:lang w:eastAsia="zh-CN"/>
              </w:rPr>
              <w:t>发</w:t>
            </w:r>
            <w:r>
              <w:rPr>
                <w:rFonts w:ascii="Calibri" w:hAnsi="Calibri"/>
                <w:spacing w:val="2"/>
                <w:kern w:val="0"/>
                <w:sz w:val="21"/>
                <w:szCs w:val="21"/>
                <w:lang w:eastAsia="zh-CN"/>
              </w:rPr>
              <w:t>电机润滑油脂、</w:t>
            </w:r>
            <w:r>
              <w:rPr>
                <w:rFonts w:ascii="Calibri" w:hAnsi="Calibri"/>
                <w:kern w:val="0"/>
                <w:sz w:val="21"/>
                <w:szCs w:val="21"/>
                <w:lang w:eastAsia="zh-CN"/>
              </w:rPr>
              <w:t>主轴承润</w:t>
            </w:r>
            <w:r>
              <w:rPr>
                <w:rFonts w:ascii="Calibri" w:hAnsi="Calibri"/>
                <w:spacing w:val="-3"/>
                <w:kern w:val="0"/>
                <w:sz w:val="21"/>
                <w:szCs w:val="21"/>
                <w:lang w:eastAsia="zh-CN"/>
              </w:rPr>
              <w:t>滑</w:t>
            </w:r>
            <w:r>
              <w:rPr>
                <w:rFonts w:ascii="Calibri" w:hAnsi="Calibri"/>
                <w:kern w:val="0"/>
                <w:sz w:val="21"/>
                <w:szCs w:val="21"/>
                <w:lang w:eastAsia="zh-CN"/>
              </w:rPr>
              <w:t>脂</w:t>
            </w:r>
            <w:r>
              <w:rPr>
                <w:rFonts w:ascii="Calibri" w:hAnsi="Calibri"/>
                <w:spacing w:val="-3"/>
                <w:kern w:val="0"/>
                <w:sz w:val="21"/>
                <w:szCs w:val="21"/>
                <w:lang w:eastAsia="zh-CN"/>
              </w:rPr>
              <w:t>、</w:t>
            </w:r>
            <w:r>
              <w:rPr>
                <w:rFonts w:ascii="Calibri" w:hAnsi="Calibri"/>
                <w:kern w:val="0"/>
                <w:sz w:val="21"/>
                <w:szCs w:val="21"/>
                <w:lang w:eastAsia="zh-CN"/>
              </w:rPr>
              <w:t>液</w:t>
            </w:r>
            <w:r>
              <w:rPr>
                <w:rFonts w:ascii="Calibri" w:hAnsi="Calibri"/>
                <w:spacing w:val="-3"/>
                <w:kern w:val="0"/>
                <w:sz w:val="21"/>
                <w:szCs w:val="21"/>
                <w:lang w:eastAsia="zh-CN"/>
              </w:rPr>
              <w:t>压</w:t>
            </w:r>
            <w:r>
              <w:rPr>
                <w:rFonts w:ascii="Calibri" w:hAnsi="Calibri"/>
                <w:kern w:val="0"/>
                <w:sz w:val="21"/>
                <w:szCs w:val="21"/>
                <w:lang w:eastAsia="zh-CN"/>
              </w:rPr>
              <w:t>油</w:t>
            </w:r>
            <w:r>
              <w:rPr>
                <w:rFonts w:ascii="Calibri" w:hAnsi="Calibri"/>
                <w:spacing w:val="-3"/>
                <w:kern w:val="0"/>
                <w:sz w:val="21"/>
                <w:szCs w:val="21"/>
                <w:lang w:eastAsia="zh-CN"/>
              </w:rPr>
              <w:t>等</w:t>
            </w:r>
            <w:r>
              <w:rPr>
                <w:rFonts w:ascii="Calibri" w:hAnsi="Calibri"/>
                <w:kern w:val="0"/>
                <w:sz w:val="21"/>
                <w:szCs w:val="21"/>
                <w:lang w:eastAsia="zh-CN"/>
              </w:rPr>
              <w:t>。</w:t>
            </w:r>
          </w:p>
        </w:tc>
      </w:tr>
      <w:tr w14:paraId="00190A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27" w:type="pct"/>
            <w:vAlign w:val="center"/>
          </w:tcPr>
          <w:p w14:paraId="15256D6F">
            <w:pPr>
              <w:tabs>
                <w:tab w:val="clear" w:pos="480"/>
              </w:tabs>
              <w:autoSpaceDE w:val="0"/>
              <w:autoSpaceDN w:val="0"/>
              <w:adjustRightInd w:val="0"/>
              <w:snapToGrid w:val="0"/>
              <w:spacing w:line="240" w:lineRule="auto"/>
              <w:ind w:firstLine="0" w:firstLineChars="0"/>
              <w:jc w:val="left"/>
              <w:rPr>
                <w:rFonts w:ascii="Calibri" w:hAnsi="Calibri"/>
                <w:kern w:val="0"/>
                <w:sz w:val="21"/>
                <w:szCs w:val="21"/>
                <w:lang w:eastAsia="zh-CN"/>
              </w:rPr>
            </w:pPr>
            <w:r>
              <w:rPr>
                <w:rFonts w:ascii="Calibri" w:hAnsi="Calibri"/>
                <w:kern w:val="0"/>
                <w:sz w:val="21"/>
                <w:szCs w:val="21"/>
                <w:lang w:eastAsia="zh-CN"/>
              </w:rPr>
              <w:t>环境</w:t>
            </w:r>
            <w:r>
              <w:rPr>
                <w:rFonts w:ascii="Calibri" w:hAnsi="Calibri"/>
                <w:spacing w:val="-3"/>
                <w:kern w:val="0"/>
                <w:sz w:val="21"/>
                <w:szCs w:val="21"/>
                <w:lang w:eastAsia="zh-CN"/>
              </w:rPr>
              <w:t>影</w:t>
            </w:r>
            <w:r>
              <w:rPr>
                <w:rFonts w:ascii="Calibri" w:hAnsi="Calibri"/>
                <w:kern w:val="0"/>
                <w:sz w:val="21"/>
                <w:szCs w:val="21"/>
                <w:lang w:eastAsia="zh-CN"/>
              </w:rPr>
              <w:t>响</w:t>
            </w:r>
            <w:r>
              <w:rPr>
                <w:rFonts w:ascii="Calibri" w:hAnsi="Calibri"/>
                <w:spacing w:val="-3"/>
                <w:kern w:val="0"/>
                <w:sz w:val="21"/>
                <w:szCs w:val="21"/>
                <w:lang w:eastAsia="zh-CN"/>
              </w:rPr>
              <w:t>途</w:t>
            </w:r>
            <w:r>
              <w:rPr>
                <w:rFonts w:ascii="Calibri" w:hAnsi="Calibri"/>
                <w:kern w:val="0"/>
                <w:sz w:val="21"/>
                <w:szCs w:val="21"/>
                <w:lang w:eastAsia="zh-CN"/>
              </w:rPr>
              <w:t>径</w:t>
            </w:r>
            <w:r>
              <w:rPr>
                <w:rFonts w:ascii="Calibri" w:hAnsi="Calibri"/>
                <w:spacing w:val="-3"/>
                <w:kern w:val="0"/>
                <w:sz w:val="21"/>
                <w:szCs w:val="21"/>
                <w:lang w:eastAsia="zh-CN"/>
              </w:rPr>
              <w:t>及</w:t>
            </w:r>
            <w:r>
              <w:rPr>
                <w:rFonts w:ascii="Calibri" w:hAnsi="Calibri"/>
                <w:kern w:val="0"/>
                <w:sz w:val="21"/>
                <w:szCs w:val="21"/>
                <w:lang w:eastAsia="zh-CN"/>
              </w:rPr>
              <w:t>危害后果</w:t>
            </w:r>
          </w:p>
        </w:tc>
        <w:tc>
          <w:tcPr>
            <w:tcW w:w="3673" w:type="pct"/>
            <w:vAlign w:val="center"/>
          </w:tcPr>
          <w:p w14:paraId="57E3F372">
            <w:pPr>
              <w:tabs>
                <w:tab w:val="clear" w:pos="480"/>
              </w:tabs>
              <w:autoSpaceDE w:val="0"/>
              <w:autoSpaceDN w:val="0"/>
              <w:adjustRightInd w:val="0"/>
              <w:snapToGrid w:val="0"/>
              <w:spacing w:line="240" w:lineRule="auto"/>
              <w:ind w:firstLine="0" w:firstLineChars="0"/>
              <w:jc w:val="left"/>
              <w:rPr>
                <w:rFonts w:ascii="Calibri" w:hAnsi="Calibri"/>
                <w:kern w:val="0"/>
                <w:sz w:val="21"/>
                <w:szCs w:val="21"/>
                <w:lang w:eastAsia="zh-CN"/>
              </w:rPr>
            </w:pPr>
            <w:r>
              <w:rPr>
                <w:rFonts w:ascii="Calibri" w:hAnsi="Calibri"/>
                <w:kern w:val="0"/>
                <w:sz w:val="21"/>
                <w:szCs w:val="21"/>
                <w:lang w:eastAsia="zh-CN"/>
              </w:rPr>
              <w:t>（1）变压器检修可能导致油品渗漏。变压器油一旦泄漏进入环境中，</w:t>
            </w:r>
            <w:r>
              <w:rPr>
                <w:rFonts w:ascii="Calibri" w:hAnsi="Calibri"/>
                <w:spacing w:val="2"/>
                <w:kern w:val="0"/>
                <w:sz w:val="21"/>
                <w:szCs w:val="21"/>
                <w:lang w:eastAsia="zh-CN"/>
              </w:rPr>
              <w:t>将会进入周边土壤</w:t>
            </w:r>
            <w:r>
              <w:rPr>
                <w:rFonts w:ascii="Calibri" w:hAnsi="Calibri"/>
                <w:kern w:val="0"/>
                <w:sz w:val="21"/>
                <w:szCs w:val="21"/>
                <w:lang w:eastAsia="zh-CN"/>
              </w:rPr>
              <w:t>造</w:t>
            </w:r>
            <w:r>
              <w:rPr>
                <w:rFonts w:ascii="Calibri" w:hAnsi="Calibri"/>
                <w:spacing w:val="2"/>
                <w:kern w:val="0"/>
                <w:sz w:val="21"/>
                <w:szCs w:val="21"/>
                <w:lang w:eastAsia="zh-CN"/>
              </w:rPr>
              <w:t>成</w:t>
            </w:r>
            <w:r>
              <w:rPr>
                <w:rFonts w:ascii="Calibri" w:hAnsi="Calibri"/>
                <w:kern w:val="0"/>
                <w:sz w:val="21"/>
                <w:szCs w:val="21"/>
                <w:lang w:eastAsia="zh-CN"/>
              </w:rPr>
              <w:t>土</w:t>
            </w:r>
            <w:r>
              <w:rPr>
                <w:rFonts w:ascii="Calibri" w:hAnsi="Calibri"/>
                <w:spacing w:val="2"/>
                <w:kern w:val="0"/>
                <w:sz w:val="21"/>
                <w:szCs w:val="21"/>
                <w:lang w:eastAsia="zh-CN"/>
              </w:rPr>
              <w:t>壤污染，如遇降雨</w:t>
            </w:r>
            <w:r>
              <w:rPr>
                <w:rFonts w:ascii="Calibri" w:hAnsi="Calibri"/>
                <w:kern w:val="0"/>
                <w:sz w:val="21"/>
                <w:szCs w:val="21"/>
                <w:lang w:eastAsia="zh-CN"/>
              </w:rPr>
              <w:t>还</w:t>
            </w:r>
            <w:r>
              <w:rPr>
                <w:rFonts w:ascii="Calibri" w:hAnsi="Calibri"/>
                <w:spacing w:val="2"/>
                <w:kern w:val="0"/>
                <w:sz w:val="21"/>
                <w:szCs w:val="21"/>
                <w:lang w:eastAsia="zh-CN"/>
              </w:rPr>
              <w:t>将</w:t>
            </w:r>
            <w:r>
              <w:rPr>
                <w:rFonts w:ascii="Calibri" w:hAnsi="Calibri"/>
                <w:kern w:val="0"/>
                <w:sz w:val="21"/>
                <w:szCs w:val="21"/>
                <w:lang w:eastAsia="zh-CN"/>
              </w:rPr>
              <w:t>随</w:t>
            </w:r>
            <w:r>
              <w:rPr>
                <w:rFonts w:ascii="Calibri" w:hAnsi="Calibri"/>
                <w:spacing w:val="2"/>
                <w:kern w:val="0"/>
                <w:sz w:val="21"/>
                <w:szCs w:val="21"/>
                <w:lang w:eastAsia="zh-CN"/>
              </w:rPr>
              <w:t>地表径流进入周</w:t>
            </w:r>
            <w:r>
              <w:rPr>
                <w:rFonts w:ascii="Calibri" w:hAnsi="Calibri"/>
                <w:kern w:val="0"/>
                <w:sz w:val="21"/>
                <w:szCs w:val="21"/>
                <w:lang w:eastAsia="zh-CN"/>
              </w:rPr>
              <w:t>边河流内</w:t>
            </w:r>
            <w:r>
              <w:rPr>
                <w:rFonts w:ascii="Calibri" w:hAnsi="Calibri"/>
                <w:spacing w:val="-3"/>
                <w:kern w:val="0"/>
                <w:sz w:val="21"/>
                <w:szCs w:val="21"/>
                <w:lang w:eastAsia="zh-CN"/>
              </w:rPr>
              <w:t>，</w:t>
            </w:r>
            <w:r>
              <w:rPr>
                <w:rFonts w:ascii="Calibri" w:hAnsi="Calibri"/>
                <w:kern w:val="0"/>
                <w:sz w:val="21"/>
                <w:szCs w:val="21"/>
                <w:lang w:eastAsia="zh-CN"/>
              </w:rPr>
              <w:t>存</w:t>
            </w:r>
            <w:r>
              <w:rPr>
                <w:rFonts w:ascii="Calibri" w:hAnsi="Calibri"/>
                <w:spacing w:val="-3"/>
                <w:kern w:val="0"/>
                <w:sz w:val="21"/>
                <w:szCs w:val="21"/>
                <w:lang w:eastAsia="zh-CN"/>
              </w:rPr>
              <w:t>在</w:t>
            </w:r>
            <w:r>
              <w:rPr>
                <w:rFonts w:ascii="Calibri" w:hAnsi="Calibri"/>
                <w:kern w:val="0"/>
                <w:sz w:val="21"/>
                <w:szCs w:val="21"/>
                <w:lang w:eastAsia="zh-CN"/>
              </w:rPr>
              <w:t>污</w:t>
            </w:r>
            <w:r>
              <w:rPr>
                <w:rFonts w:ascii="Calibri" w:hAnsi="Calibri"/>
                <w:spacing w:val="-3"/>
                <w:kern w:val="0"/>
                <w:sz w:val="21"/>
                <w:szCs w:val="21"/>
                <w:lang w:eastAsia="zh-CN"/>
              </w:rPr>
              <w:t>染</w:t>
            </w:r>
            <w:r>
              <w:rPr>
                <w:rFonts w:ascii="Calibri" w:hAnsi="Calibri"/>
                <w:kern w:val="0"/>
                <w:sz w:val="21"/>
                <w:szCs w:val="21"/>
                <w:lang w:eastAsia="zh-CN"/>
              </w:rPr>
              <w:t>地</w:t>
            </w:r>
            <w:r>
              <w:rPr>
                <w:rFonts w:ascii="Calibri" w:hAnsi="Calibri"/>
                <w:spacing w:val="-3"/>
                <w:kern w:val="0"/>
                <w:sz w:val="21"/>
                <w:szCs w:val="21"/>
                <w:lang w:eastAsia="zh-CN"/>
              </w:rPr>
              <w:t>表</w:t>
            </w:r>
            <w:r>
              <w:rPr>
                <w:rFonts w:ascii="Calibri" w:hAnsi="Calibri"/>
                <w:kern w:val="0"/>
                <w:sz w:val="21"/>
                <w:szCs w:val="21"/>
                <w:lang w:eastAsia="zh-CN"/>
              </w:rPr>
              <w:t>水</w:t>
            </w:r>
            <w:r>
              <w:rPr>
                <w:rFonts w:ascii="Calibri" w:hAnsi="Calibri"/>
                <w:spacing w:val="-3"/>
                <w:kern w:val="0"/>
                <w:sz w:val="21"/>
                <w:szCs w:val="21"/>
                <w:lang w:eastAsia="zh-CN"/>
              </w:rPr>
              <w:t>环</w:t>
            </w:r>
            <w:r>
              <w:rPr>
                <w:rFonts w:ascii="Calibri" w:hAnsi="Calibri"/>
                <w:kern w:val="0"/>
                <w:sz w:val="21"/>
                <w:szCs w:val="21"/>
                <w:lang w:eastAsia="zh-CN"/>
              </w:rPr>
              <w:t>境的</w:t>
            </w:r>
            <w:r>
              <w:rPr>
                <w:rFonts w:ascii="Calibri" w:hAnsi="Calibri"/>
                <w:spacing w:val="-3"/>
                <w:kern w:val="0"/>
                <w:sz w:val="21"/>
                <w:szCs w:val="21"/>
                <w:lang w:eastAsia="zh-CN"/>
              </w:rPr>
              <w:t>风</w:t>
            </w:r>
            <w:r>
              <w:rPr>
                <w:rFonts w:ascii="Calibri" w:hAnsi="Calibri"/>
                <w:kern w:val="0"/>
                <w:sz w:val="21"/>
                <w:szCs w:val="21"/>
                <w:lang w:eastAsia="zh-CN"/>
              </w:rPr>
              <w:t>险。</w:t>
            </w:r>
          </w:p>
          <w:p w14:paraId="5EFF3820">
            <w:pPr>
              <w:tabs>
                <w:tab w:val="clear" w:pos="480"/>
              </w:tabs>
              <w:autoSpaceDE w:val="0"/>
              <w:autoSpaceDN w:val="0"/>
              <w:adjustRightInd w:val="0"/>
              <w:snapToGrid w:val="0"/>
              <w:spacing w:line="240" w:lineRule="auto"/>
              <w:ind w:firstLine="0" w:firstLineChars="0"/>
              <w:jc w:val="left"/>
              <w:rPr>
                <w:rFonts w:ascii="Calibri" w:hAnsi="Calibri"/>
                <w:kern w:val="0"/>
                <w:sz w:val="21"/>
                <w:szCs w:val="21"/>
                <w:lang w:eastAsia="zh-CN"/>
              </w:rPr>
            </w:pPr>
            <w:r>
              <w:rPr>
                <w:rFonts w:ascii="Calibri" w:hAnsi="Calibri"/>
                <w:kern w:val="0"/>
                <w:position w:val="2"/>
                <w:sz w:val="21"/>
                <w:szCs w:val="21"/>
                <w:lang w:eastAsia="zh-CN"/>
              </w:rPr>
              <w:t>（2）</w:t>
            </w:r>
            <w:r>
              <w:rPr>
                <w:rFonts w:ascii="Calibri" w:hAnsi="Calibri"/>
                <w:kern w:val="0"/>
                <w:sz w:val="21"/>
                <w:szCs w:val="21"/>
                <w:lang w:eastAsia="zh-CN"/>
              </w:rPr>
              <w:t>风机维修与运行期机油的泄漏存在污染地表水环境的风险。</w:t>
            </w:r>
          </w:p>
        </w:tc>
      </w:tr>
      <w:tr w14:paraId="384097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27" w:type="pct"/>
            <w:vAlign w:val="center"/>
          </w:tcPr>
          <w:p w14:paraId="5BA37A2D">
            <w:pPr>
              <w:tabs>
                <w:tab w:val="clear" w:pos="480"/>
              </w:tabs>
              <w:autoSpaceDE w:val="0"/>
              <w:autoSpaceDN w:val="0"/>
              <w:adjustRightInd w:val="0"/>
              <w:snapToGrid w:val="0"/>
              <w:spacing w:line="240" w:lineRule="auto"/>
              <w:ind w:firstLine="0" w:firstLineChars="0"/>
              <w:jc w:val="center"/>
              <w:rPr>
                <w:rFonts w:ascii="Calibri" w:hAnsi="Calibri"/>
                <w:kern w:val="0"/>
                <w:sz w:val="21"/>
                <w:szCs w:val="21"/>
                <w:lang w:eastAsia="en-US"/>
              </w:rPr>
            </w:pPr>
            <w:r>
              <w:rPr>
                <w:rFonts w:ascii="Calibri" w:hAnsi="Calibri"/>
                <w:kern w:val="0"/>
                <w:sz w:val="21"/>
                <w:szCs w:val="21"/>
                <w:lang w:eastAsia="en-US"/>
              </w:rPr>
              <w:t>风险防范措施要求</w:t>
            </w:r>
          </w:p>
        </w:tc>
        <w:tc>
          <w:tcPr>
            <w:tcW w:w="3673" w:type="pct"/>
            <w:vAlign w:val="center"/>
          </w:tcPr>
          <w:p w14:paraId="2992E7F1">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ascii="Calibri" w:hAnsi="Calibri"/>
                <w:kern w:val="0"/>
                <w:sz w:val="21"/>
                <w:szCs w:val="21"/>
                <w:lang w:eastAsia="zh-CN"/>
              </w:rPr>
              <w:t>（1）变压器油风险防范措施</w:t>
            </w:r>
          </w:p>
          <w:p w14:paraId="03D8D6A1">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ascii="Calibri" w:hAnsi="Calibri"/>
                <w:spacing w:val="2"/>
                <w:kern w:val="0"/>
                <w:sz w:val="21"/>
                <w:szCs w:val="21"/>
                <w:lang w:eastAsia="zh-CN"/>
              </w:rPr>
              <w:t>主变压器底部设有</w:t>
            </w:r>
            <w:r>
              <w:rPr>
                <w:rFonts w:ascii="Calibri" w:hAnsi="Calibri"/>
                <w:kern w:val="0"/>
                <w:sz w:val="21"/>
                <w:szCs w:val="21"/>
                <w:lang w:eastAsia="zh-CN"/>
              </w:rPr>
              <w:t>贮</w:t>
            </w:r>
            <w:r>
              <w:rPr>
                <w:rFonts w:ascii="Calibri" w:hAnsi="Calibri"/>
                <w:spacing w:val="2"/>
                <w:kern w:val="0"/>
                <w:sz w:val="21"/>
                <w:szCs w:val="21"/>
                <w:lang w:eastAsia="zh-CN"/>
              </w:rPr>
              <w:t>油</w:t>
            </w:r>
            <w:r>
              <w:rPr>
                <w:rFonts w:ascii="Calibri" w:hAnsi="Calibri"/>
                <w:spacing w:val="-1"/>
                <w:kern w:val="0"/>
                <w:sz w:val="21"/>
                <w:szCs w:val="21"/>
                <w:lang w:eastAsia="zh-CN"/>
              </w:rPr>
              <w:t>坑</w:t>
            </w:r>
            <w:r>
              <w:rPr>
                <w:rFonts w:ascii="Calibri" w:hAnsi="Calibri"/>
                <w:spacing w:val="2"/>
                <w:kern w:val="0"/>
                <w:sz w:val="21"/>
                <w:szCs w:val="21"/>
                <w:lang w:eastAsia="zh-CN"/>
              </w:rPr>
              <w:t>，冷却油只在事故</w:t>
            </w:r>
            <w:r>
              <w:rPr>
                <w:rFonts w:ascii="Calibri" w:hAnsi="Calibri"/>
                <w:kern w:val="0"/>
                <w:sz w:val="21"/>
                <w:szCs w:val="21"/>
                <w:lang w:eastAsia="zh-CN"/>
              </w:rPr>
              <w:t>时</w:t>
            </w:r>
            <w:r>
              <w:rPr>
                <w:rFonts w:ascii="Calibri" w:hAnsi="Calibri"/>
                <w:spacing w:val="2"/>
                <w:kern w:val="0"/>
                <w:sz w:val="21"/>
                <w:szCs w:val="21"/>
                <w:lang w:eastAsia="zh-CN"/>
              </w:rPr>
              <w:t>排</w:t>
            </w:r>
            <w:r>
              <w:rPr>
                <w:rFonts w:ascii="Calibri" w:hAnsi="Calibri"/>
                <w:kern w:val="0"/>
                <w:sz w:val="21"/>
                <w:szCs w:val="21"/>
                <w:lang w:eastAsia="zh-CN"/>
              </w:rPr>
              <w:t>放</w:t>
            </w:r>
            <w:r>
              <w:rPr>
                <w:rFonts w:ascii="Calibri" w:hAnsi="Calibri"/>
                <w:spacing w:val="2"/>
                <w:kern w:val="0"/>
                <w:sz w:val="21"/>
                <w:szCs w:val="21"/>
                <w:lang w:eastAsia="zh-CN"/>
              </w:rPr>
              <w:t>。升压站内主变</w:t>
            </w:r>
            <w:r>
              <w:rPr>
                <w:rFonts w:ascii="Calibri" w:hAnsi="Calibri"/>
                <w:kern w:val="0"/>
                <w:sz w:val="21"/>
                <w:szCs w:val="21"/>
                <w:lang w:eastAsia="zh-CN"/>
              </w:rPr>
              <w:t>压器北侧</w:t>
            </w:r>
            <w:r>
              <w:rPr>
                <w:rFonts w:ascii="Calibri" w:hAnsi="Calibri"/>
                <w:spacing w:val="-3"/>
                <w:kern w:val="0"/>
                <w:sz w:val="21"/>
                <w:szCs w:val="21"/>
                <w:lang w:eastAsia="zh-CN"/>
              </w:rPr>
              <w:t>设</w:t>
            </w:r>
            <w:r>
              <w:rPr>
                <w:rFonts w:ascii="Calibri" w:hAnsi="Calibri"/>
                <w:kern w:val="0"/>
                <w:sz w:val="21"/>
                <w:szCs w:val="21"/>
                <w:lang w:eastAsia="zh-CN"/>
              </w:rPr>
              <w:t xml:space="preserve">置 1 </w:t>
            </w:r>
            <w:r>
              <w:rPr>
                <w:rFonts w:ascii="Calibri" w:hAnsi="Calibri"/>
                <w:spacing w:val="-21"/>
                <w:kern w:val="0"/>
                <w:sz w:val="21"/>
                <w:szCs w:val="21"/>
                <w:lang w:eastAsia="zh-CN"/>
              </w:rPr>
              <w:t xml:space="preserve"> </w:t>
            </w:r>
            <w:r>
              <w:rPr>
                <w:rFonts w:ascii="Calibri" w:hAnsi="Calibri"/>
                <w:kern w:val="0"/>
                <w:sz w:val="21"/>
                <w:szCs w:val="21"/>
                <w:lang w:eastAsia="zh-CN"/>
              </w:rPr>
              <w:t>座</w:t>
            </w:r>
            <w:r>
              <w:rPr>
                <w:rFonts w:ascii="Calibri" w:hAnsi="Calibri"/>
                <w:spacing w:val="-3"/>
                <w:kern w:val="0"/>
                <w:sz w:val="21"/>
                <w:szCs w:val="21"/>
                <w:lang w:eastAsia="zh-CN"/>
              </w:rPr>
              <w:t>事</w:t>
            </w:r>
            <w:r>
              <w:rPr>
                <w:rFonts w:ascii="Calibri" w:hAnsi="Calibri"/>
                <w:kern w:val="0"/>
                <w:sz w:val="21"/>
                <w:szCs w:val="21"/>
                <w:lang w:eastAsia="zh-CN"/>
              </w:rPr>
              <w:t>故油</w:t>
            </w:r>
            <w:r>
              <w:rPr>
                <w:rFonts w:ascii="Calibri" w:hAnsi="Calibri"/>
                <w:spacing w:val="-3"/>
                <w:kern w:val="0"/>
                <w:sz w:val="21"/>
                <w:szCs w:val="21"/>
                <w:lang w:eastAsia="zh-CN"/>
              </w:rPr>
              <w:t>池</w:t>
            </w:r>
            <w:r>
              <w:rPr>
                <w:rFonts w:hint="eastAsia" w:ascii="Calibri" w:hAnsi="Calibri"/>
                <w:spacing w:val="-3"/>
                <w:kern w:val="0"/>
                <w:sz w:val="21"/>
                <w:szCs w:val="21"/>
                <w:lang w:eastAsia="zh-CN"/>
              </w:rPr>
              <w:t>（</w:t>
            </w:r>
            <w:r>
              <w:rPr>
                <w:rFonts w:ascii="Calibri" w:hAnsi="Calibri"/>
                <w:spacing w:val="-3"/>
                <w:kern w:val="0"/>
                <w:sz w:val="21"/>
                <w:szCs w:val="21"/>
                <w:lang w:eastAsia="zh-CN"/>
              </w:rPr>
              <w:t>30</w:t>
            </w:r>
            <w:r>
              <w:rPr>
                <w:rFonts w:hint="eastAsia" w:ascii="Calibri" w:hAnsi="Calibri"/>
                <w:spacing w:val="-3"/>
                <w:kern w:val="0"/>
                <w:sz w:val="21"/>
                <w:szCs w:val="21"/>
                <w:lang w:eastAsia="zh-CN"/>
              </w:rPr>
              <w:t>m</w:t>
            </w:r>
            <w:r>
              <w:rPr>
                <w:rFonts w:ascii="Calibri" w:hAnsi="Calibri"/>
                <w:spacing w:val="-3"/>
                <w:kern w:val="0"/>
                <w:sz w:val="21"/>
                <w:szCs w:val="21"/>
                <w:vertAlign w:val="superscript"/>
                <w:lang w:eastAsia="zh-CN"/>
              </w:rPr>
              <w:t>3</w:t>
            </w:r>
            <w:r>
              <w:rPr>
                <w:rFonts w:hint="eastAsia" w:ascii="Calibri" w:hAnsi="Calibri"/>
                <w:spacing w:val="-3"/>
                <w:kern w:val="0"/>
                <w:sz w:val="21"/>
                <w:szCs w:val="21"/>
                <w:lang w:eastAsia="zh-CN"/>
              </w:rPr>
              <w:t>）</w:t>
            </w:r>
            <w:r>
              <w:rPr>
                <w:rFonts w:ascii="Calibri" w:hAnsi="Calibri"/>
                <w:spacing w:val="-3"/>
                <w:kern w:val="0"/>
                <w:sz w:val="21"/>
                <w:szCs w:val="21"/>
                <w:lang w:eastAsia="zh-CN"/>
              </w:rPr>
              <w:t>，</w:t>
            </w:r>
            <w:r>
              <w:rPr>
                <w:rFonts w:ascii="Calibri" w:hAnsi="Calibri"/>
                <w:kern w:val="0"/>
                <w:sz w:val="21"/>
                <w:szCs w:val="21"/>
                <w:lang w:eastAsia="zh-CN"/>
              </w:rPr>
              <w:t>事故排</w:t>
            </w:r>
            <w:r>
              <w:rPr>
                <w:rFonts w:ascii="Calibri" w:hAnsi="Calibri"/>
                <w:spacing w:val="-3"/>
                <w:kern w:val="0"/>
                <w:sz w:val="21"/>
                <w:szCs w:val="21"/>
                <w:lang w:eastAsia="zh-CN"/>
              </w:rPr>
              <w:t>放</w:t>
            </w:r>
            <w:r>
              <w:rPr>
                <w:rFonts w:ascii="Calibri" w:hAnsi="Calibri"/>
                <w:spacing w:val="-1"/>
                <w:kern w:val="0"/>
                <w:sz w:val="21"/>
                <w:szCs w:val="21"/>
                <w:lang w:eastAsia="zh-CN"/>
              </w:rPr>
              <w:t>的</w:t>
            </w:r>
            <w:r>
              <w:rPr>
                <w:rFonts w:ascii="Calibri" w:hAnsi="Calibri"/>
                <w:kern w:val="0"/>
                <w:sz w:val="21"/>
                <w:szCs w:val="21"/>
                <w:lang w:eastAsia="zh-CN"/>
              </w:rPr>
              <w:t>含</w:t>
            </w:r>
            <w:r>
              <w:rPr>
                <w:rFonts w:ascii="Calibri" w:hAnsi="Calibri"/>
                <w:spacing w:val="-3"/>
                <w:kern w:val="0"/>
                <w:sz w:val="21"/>
                <w:szCs w:val="21"/>
                <w:lang w:eastAsia="zh-CN"/>
              </w:rPr>
              <w:t>油</w:t>
            </w:r>
            <w:r>
              <w:rPr>
                <w:rFonts w:ascii="Calibri" w:hAnsi="Calibri"/>
                <w:kern w:val="0"/>
                <w:sz w:val="21"/>
                <w:szCs w:val="21"/>
                <w:lang w:eastAsia="zh-CN"/>
              </w:rPr>
              <w:t>废</w:t>
            </w:r>
            <w:r>
              <w:rPr>
                <w:rFonts w:ascii="Calibri" w:hAnsi="Calibri"/>
                <w:spacing w:val="-1"/>
                <w:kern w:val="0"/>
                <w:sz w:val="21"/>
                <w:szCs w:val="21"/>
                <w:lang w:eastAsia="zh-CN"/>
              </w:rPr>
              <w:t>水</w:t>
            </w:r>
            <w:r>
              <w:rPr>
                <w:rFonts w:ascii="Calibri" w:hAnsi="Calibri"/>
                <w:spacing w:val="-3"/>
                <w:kern w:val="0"/>
                <w:sz w:val="21"/>
                <w:szCs w:val="21"/>
                <w:lang w:eastAsia="zh-CN"/>
              </w:rPr>
              <w:t>通过</w:t>
            </w:r>
            <w:r>
              <w:rPr>
                <w:rFonts w:ascii="Calibri" w:hAnsi="Calibri"/>
                <w:kern w:val="0"/>
                <w:sz w:val="21"/>
                <w:szCs w:val="21"/>
                <w:lang w:eastAsia="zh-CN"/>
              </w:rPr>
              <w:t>贮油坑</w:t>
            </w:r>
            <w:r>
              <w:rPr>
                <w:rFonts w:ascii="Calibri" w:hAnsi="Calibri"/>
                <w:spacing w:val="-3"/>
                <w:kern w:val="0"/>
                <w:sz w:val="21"/>
                <w:szCs w:val="21"/>
                <w:lang w:eastAsia="zh-CN"/>
              </w:rPr>
              <w:t>底</w:t>
            </w:r>
            <w:r>
              <w:rPr>
                <w:rFonts w:ascii="Calibri" w:hAnsi="Calibri"/>
                <w:kern w:val="0"/>
                <w:sz w:val="21"/>
                <w:szCs w:val="21"/>
                <w:lang w:eastAsia="zh-CN"/>
              </w:rPr>
              <w:t>的排</w:t>
            </w:r>
            <w:r>
              <w:rPr>
                <w:rFonts w:ascii="Calibri" w:hAnsi="Calibri"/>
                <w:spacing w:val="-3"/>
                <w:kern w:val="0"/>
                <w:sz w:val="21"/>
                <w:szCs w:val="21"/>
                <w:lang w:eastAsia="zh-CN"/>
              </w:rPr>
              <w:t>油</w:t>
            </w:r>
            <w:r>
              <w:rPr>
                <w:rFonts w:ascii="Calibri" w:hAnsi="Calibri"/>
                <w:kern w:val="0"/>
                <w:sz w:val="21"/>
                <w:szCs w:val="21"/>
                <w:lang w:eastAsia="zh-CN"/>
              </w:rPr>
              <w:t>管汇</w:t>
            </w:r>
            <w:r>
              <w:rPr>
                <w:rFonts w:ascii="Calibri" w:hAnsi="Calibri"/>
                <w:spacing w:val="2"/>
                <w:kern w:val="0"/>
                <w:sz w:val="21"/>
                <w:szCs w:val="21"/>
                <w:lang w:eastAsia="zh-CN"/>
              </w:rPr>
              <w:t>入事故油池，经过</w:t>
            </w:r>
            <w:r>
              <w:rPr>
                <w:rFonts w:ascii="Calibri" w:hAnsi="Calibri"/>
                <w:kern w:val="0"/>
                <w:sz w:val="21"/>
                <w:szCs w:val="21"/>
                <w:lang w:eastAsia="zh-CN"/>
              </w:rPr>
              <w:t>油</w:t>
            </w:r>
            <w:r>
              <w:rPr>
                <w:rFonts w:ascii="Calibri" w:hAnsi="Calibri"/>
                <w:spacing w:val="2"/>
                <w:kern w:val="0"/>
                <w:sz w:val="21"/>
                <w:szCs w:val="21"/>
                <w:lang w:eastAsia="zh-CN"/>
              </w:rPr>
              <w:t>水</w:t>
            </w:r>
            <w:r>
              <w:rPr>
                <w:rFonts w:ascii="Calibri" w:hAnsi="Calibri"/>
                <w:kern w:val="0"/>
                <w:sz w:val="21"/>
                <w:szCs w:val="21"/>
                <w:lang w:eastAsia="zh-CN"/>
              </w:rPr>
              <w:t>分</w:t>
            </w:r>
            <w:r>
              <w:rPr>
                <w:rFonts w:ascii="Calibri" w:hAnsi="Calibri"/>
                <w:spacing w:val="2"/>
                <w:kern w:val="0"/>
                <w:sz w:val="21"/>
                <w:szCs w:val="21"/>
                <w:lang w:eastAsia="zh-CN"/>
              </w:rPr>
              <w:t>离后回收利用，剩</w:t>
            </w:r>
            <w:r>
              <w:rPr>
                <w:rFonts w:ascii="Calibri" w:hAnsi="Calibri"/>
                <w:kern w:val="0"/>
                <w:sz w:val="21"/>
                <w:szCs w:val="21"/>
                <w:lang w:eastAsia="zh-CN"/>
              </w:rPr>
              <w:t>余</w:t>
            </w:r>
            <w:r>
              <w:rPr>
                <w:rFonts w:ascii="Calibri" w:hAnsi="Calibri"/>
                <w:spacing w:val="2"/>
                <w:kern w:val="0"/>
                <w:sz w:val="21"/>
                <w:szCs w:val="21"/>
                <w:lang w:eastAsia="zh-CN"/>
              </w:rPr>
              <w:t>的</w:t>
            </w:r>
            <w:r>
              <w:rPr>
                <w:rFonts w:ascii="Calibri" w:hAnsi="Calibri"/>
                <w:kern w:val="0"/>
                <w:sz w:val="21"/>
                <w:szCs w:val="21"/>
                <w:lang w:eastAsia="zh-CN"/>
              </w:rPr>
              <w:t>少</w:t>
            </w:r>
            <w:r>
              <w:rPr>
                <w:rFonts w:ascii="Calibri" w:hAnsi="Calibri"/>
                <w:spacing w:val="2"/>
                <w:kern w:val="0"/>
                <w:sz w:val="21"/>
                <w:szCs w:val="21"/>
                <w:lang w:eastAsia="zh-CN"/>
              </w:rPr>
              <w:t>量废油渣由危险</w:t>
            </w:r>
            <w:r>
              <w:rPr>
                <w:rFonts w:ascii="Calibri" w:hAnsi="Calibri"/>
                <w:kern w:val="0"/>
                <w:sz w:val="21"/>
                <w:szCs w:val="21"/>
                <w:lang w:eastAsia="zh-CN"/>
              </w:rPr>
              <w:t>废物部门</w:t>
            </w:r>
            <w:r>
              <w:rPr>
                <w:rFonts w:ascii="Calibri" w:hAnsi="Calibri"/>
                <w:spacing w:val="-3"/>
                <w:kern w:val="0"/>
                <w:sz w:val="21"/>
                <w:szCs w:val="21"/>
                <w:lang w:eastAsia="zh-CN"/>
              </w:rPr>
              <w:t>回</w:t>
            </w:r>
            <w:r>
              <w:rPr>
                <w:rFonts w:ascii="Calibri" w:hAnsi="Calibri"/>
                <w:spacing w:val="-1"/>
                <w:kern w:val="0"/>
                <w:sz w:val="21"/>
                <w:szCs w:val="21"/>
                <w:lang w:eastAsia="zh-CN"/>
              </w:rPr>
              <w:t>收</w:t>
            </w:r>
            <w:r>
              <w:rPr>
                <w:rFonts w:ascii="Calibri" w:hAnsi="Calibri"/>
                <w:kern w:val="0"/>
                <w:sz w:val="21"/>
                <w:szCs w:val="21"/>
                <w:lang w:eastAsia="zh-CN"/>
              </w:rPr>
              <w:t>。</w:t>
            </w:r>
          </w:p>
          <w:p w14:paraId="30AE9C4E">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ascii="Calibri" w:hAnsi="Calibri"/>
                <w:kern w:val="0"/>
                <w:sz w:val="21"/>
                <w:szCs w:val="21"/>
                <w:lang w:eastAsia="zh-CN"/>
              </w:rPr>
              <w:t>（2）风机维修与运行期机油的泄漏风险防范措施</w:t>
            </w:r>
          </w:p>
          <w:p w14:paraId="35AF308E">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hint="eastAsia" w:ascii="宋体" w:hAnsi="宋体" w:cs="宋体"/>
                <w:kern w:val="0"/>
                <w:sz w:val="21"/>
                <w:szCs w:val="21"/>
                <w:lang w:eastAsia="zh-CN"/>
              </w:rPr>
              <w:t>①</w:t>
            </w:r>
            <w:r>
              <w:rPr>
                <w:rFonts w:ascii="Calibri" w:hAnsi="Calibri"/>
                <w:kern w:val="0"/>
                <w:sz w:val="21"/>
                <w:szCs w:val="21"/>
                <w:lang w:eastAsia="zh-CN"/>
              </w:rPr>
              <w:t>运行期维护人员对设备进行定期检查，防止发生滴、漏现象；</w:t>
            </w:r>
          </w:p>
          <w:p w14:paraId="1CE697B9">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hint="eastAsia" w:ascii="宋体" w:hAnsi="宋体" w:cs="宋体"/>
                <w:spacing w:val="2"/>
                <w:kern w:val="0"/>
                <w:sz w:val="21"/>
                <w:szCs w:val="21"/>
                <w:lang w:eastAsia="zh-CN"/>
              </w:rPr>
              <w:t>②</w:t>
            </w:r>
            <w:r>
              <w:rPr>
                <w:rFonts w:ascii="Calibri" w:hAnsi="Calibri"/>
                <w:spacing w:val="2"/>
                <w:kern w:val="0"/>
                <w:sz w:val="21"/>
                <w:szCs w:val="21"/>
                <w:lang w:eastAsia="zh-CN"/>
              </w:rPr>
              <w:t>风机齿轮箱配有</w:t>
            </w:r>
            <w:r>
              <w:rPr>
                <w:rFonts w:ascii="Calibri" w:hAnsi="Calibri"/>
                <w:kern w:val="0"/>
                <w:sz w:val="21"/>
                <w:szCs w:val="21"/>
                <w:lang w:eastAsia="zh-CN"/>
              </w:rPr>
              <w:t>带</w:t>
            </w:r>
            <w:r>
              <w:rPr>
                <w:rFonts w:ascii="Calibri" w:hAnsi="Calibri"/>
                <w:spacing w:val="2"/>
                <w:kern w:val="0"/>
                <w:sz w:val="21"/>
                <w:szCs w:val="21"/>
                <w:lang w:eastAsia="zh-CN"/>
              </w:rPr>
              <w:t>高</w:t>
            </w:r>
            <w:r>
              <w:rPr>
                <w:rFonts w:ascii="Calibri" w:hAnsi="Calibri"/>
                <w:kern w:val="0"/>
                <w:sz w:val="21"/>
                <w:szCs w:val="21"/>
                <w:lang w:eastAsia="zh-CN"/>
              </w:rPr>
              <w:t>效</w:t>
            </w:r>
            <w:r>
              <w:rPr>
                <w:rFonts w:ascii="Calibri" w:hAnsi="Calibri"/>
                <w:spacing w:val="2"/>
                <w:kern w:val="0"/>
                <w:sz w:val="21"/>
                <w:szCs w:val="21"/>
                <w:lang w:eastAsia="zh-CN"/>
              </w:rPr>
              <w:t>油过滤器和油冷却</w:t>
            </w:r>
            <w:r>
              <w:rPr>
                <w:rFonts w:ascii="Calibri" w:hAnsi="Calibri"/>
                <w:kern w:val="0"/>
                <w:sz w:val="21"/>
                <w:szCs w:val="21"/>
                <w:lang w:eastAsia="zh-CN"/>
              </w:rPr>
              <w:t>器</w:t>
            </w:r>
            <w:r>
              <w:rPr>
                <w:rFonts w:ascii="Calibri" w:hAnsi="Calibri"/>
                <w:spacing w:val="2"/>
                <w:kern w:val="0"/>
                <w:sz w:val="21"/>
                <w:szCs w:val="21"/>
                <w:lang w:eastAsia="zh-CN"/>
              </w:rPr>
              <w:t>的</w:t>
            </w:r>
            <w:r>
              <w:rPr>
                <w:rFonts w:ascii="Calibri" w:hAnsi="Calibri"/>
                <w:kern w:val="0"/>
                <w:sz w:val="21"/>
                <w:szCs w:val="21"/>
                <w:lang w:eastAsia="zh-CN"/>
              </w:rPr>
              <w:t>强</w:t>
            </w:r>
            <w:r>
              <w:rPr>
                <w:rFonts w:ascii="Calibri" w:hAnsi="Calibri"/>
                <w:spacing w:val="2"/>
                <w:kern w:val="0"/>
                <w:sz w:val="21"/>
                <w:szCs w:val="21"/>
                <w:lang w:eastAsia="zh-CN"/>
              </w:rPr>
              <w:t>制稀油润滑系统</w:t>
            </w:r>
            <w:r>
              <w:rPr>
                <w:rFonts w:ascii="Calibri" w:hAnsi="Calibri"/>
                <w:kern w:val="0"/>
                <w:sz w:val="21"/>
                <w:szCs w:val="21"/>
                <w:lang w:eastAsia="zh-CN"/>
              </w:rPr>
              <w:t>，能</w:t>
            </w:r>
            <w:r>
              <w:rPr>
                <w:rFonts w:ascii="Calibri" w:hAnsi="Calibri"/>
                <w:spacing w:val="2"/>
                <w:kern w:val="0"/>
                <w:sz w:val="21"/>
                <w:szCs w:val="21"/>
                <w:lang w:eastAsia="zh-CN"/>
              </w:rPr>
              <w:t>防止润滑油漏油、</w:t>
            </w:r>
            <w:r>
              <w:rPr>
                <w:rFonts w:ascii="Calibri" w:hAnsi="Calibri"/>
                <w:kern w:val="0"/>
                <w:sz w:val="21"/>
                <w:szCs w:val="21"/>
                <w:lang w:eastAsia="zh-CN"/>
              </w:rPr>
              <w:t>废</w:t>
            </w:r>
            <w:r>
              <w:rPr>
                <w:rFonts w:ascii="Calibri" w:hAnsi="Calibri"/>
                <w:spacing w:val="2"/>
                <w:kern w:val="0"/>
                <w:sz w:val="21"/>
                <w:szCs w:val="21"/>
                <w:lang w:eastAsia="zh-CN"/>
              </w:rPr>
              <w:t>液</w:t>
            </w:r>
            <w:r>
              <w:rPr>
                <w:rFonts w:ascii="Calibri" w:hAnsi="Calibri"/>
                <w:kern w:val="0"/>
                <w:sz w:val="21"/>
                <w:szCs w:val="21"/>
                <w:lang w:eastAsia="zh-CN"/>
              </w:rPr>
              <w:t>压</w:t>
            </w:r>
            <w:r>
              <w:rPr>
                <w:rFonts w:ascii="Calibri" w:hAnsi="Calibri"/>
                <w:spacing w:val="2"/>
                <w:kern w:val="0"/>
                <w:sz w:val="21"/>
                <w:szCs w:val="21"/>
                <w:lang w:eastAsia="zh-CN"/>
              </w:rPr>
              <w:t>油跑冒滴漏，从而</w:t>
            </w:r>
            <w:r>
              <w:rPr>
                <w:rFonts w:ascii="Calibri" w:hAnsi="Calibri"/>
                <w:kern w:val="0"/>
                <w:sz w:val="21"/>
                <w:szCs w:val="21"/>
                <w:lang w:eastAsia="zh-CN"/>
              </w:rPr>
              <w:t>减</w:t>
            </w:r>
            <w:r>
              <w:rPr>
                <w:rFonts w:ascii="Calibri" w:hAnsi="Calibri"/>
                <w:spacing w:val="2"/>
                <w:kern w:val="0"/>
                <w:sz w:val="21"/>
                <w:szCs w:val="21"/>
                <w:lang w:eastAsia="zh-CN"/>
              </w:rPr>
              <w:t>少</w:t>
            </w:r>
            <w:r>
              <w:rPr>
                <w:rFonts w:ascii="Calibri" w:hAnsi="Calibri"/>
                <w:kern w:val="0"/>
                <w:sz w:val="21"/>
                <w:szCs w:val="21"/>
                <w:lang w:eastAsia="zh-CN"/>
              </w:rPr>
              <w:t>了</w:t>
            </w:r>
            <w:r>
              <w:rPr>
                <w:rFonts w:ascii="Calibri" w:hAnsi="Calibri"/>
                <w:spacing w:val="2"/>
                <w:kern w:val="0"/>
                <w:sz w:val="21"/>
                <w:szCs w:val="21"/>
                <w:lang w:eastAsia="zh-CN"/>
              </w:rPr>
              <w:t>风机维修与运行</w:t>
            </w:r>
            <w:r>
              <w:rPr>
                <w:rFonts w:ascii="Calibri" w:hAnsi="Calibri"/>
                <w:kern w:val="0"/>
                <w:sz w:val="21"/>
                <w:szCs w:val="21"/>
                <w:lang w:eastAsia="zh-CN"/>
              </w:rPr>
              <w:t>期润滑油</w:t>
            </w:r>
            <w:r>
              <w:rPr>
                <w:rFonts w:ascii="Calibri" w:hAnsi="Calibri"/>
                <w:spacing w:val="-3"/>
                <w:kern w:val="0"/>
                <w:sz w:val="21"/>
                <w:szCs w:val="21"/>
                <w:lang w:eastAsia="zh-CN"/>
              </w:rPr>
              <w:t>、</w:t>
            </w:r>
            <w:r>
              <w:rPr>
                <w:rFonts w:ascii="Calibri" w:hAnsi="Calibri"/>
                <w:kern w:val="0"/>
                <w:sz w:val="21"/>
                <w:szCs w:val="21"/>
                <w:lang w:eastAsia="zh-CN"/>
              </w:rPr>
              <w:t>液</w:t>
            </w:r>
            <w:r>
              <w:rPr>
                <w:rFonts w:ascii="Calibri" w:hAnsi="Calibri"/>
                <w:spacing w:val="-3"/>
                <w:kern w:val="0"/>
                <w:sz w:val="21"/>
                <w:szCs w:val="21"/>
                <w:lang w:eastAsia="zh-CN"/>
              </w:rPr>
              <w:t>压</w:t>
            </w:r>
            <w:r>
              <w:rPr>
                <w:rFonts w:ascii="Calibri" w:hAnsi="Calibri"/>
                <w:kern w:val="0"/>
                <w:sz w:val="21"/>
                <w:szCs w:val="21"/>
                <w:lang w:eastAsia="zh-CN"/>
              </w:rPr>
              <w:t>油</w:t>
            </w:r>
            <w:r>
              <w:rPr>
                <w:rFonts w:ascii="Calibri" w:hAnsi="Calibri"/>
                <w:spacing w:val="-3"/>
                <w:kern w:val="0"/>
                <w:sz w:val="21"/>
                <w:szCs w:val="21"/>
                <w:lang w:eastAsia="zh-CN"/>
              </w:rPr>
              <w:t>对</w:t>
            </w:r>
            <w:r>
              <w:rPr>
                <w:rFonts w:ascii="Calibri" w:hAnsi="Calibri"/>
                <w:kern w:val="0"/>
                <w:sz w:val="21"/>
                <w:szCs w:val="21"/>
                <w:lang w:eastAsia="zh-CN"/>
              </w:rPr>
              <w:t>环</w:t>
            </w:r>
            <w:r>
              <w:rPr>
                <w:rFonts w:ascii="Calibri" w:hAnsi="Calibri"/>
                <w:spacing w:val="-3"/>
                <w:kern w:val="0"/>
                <w:sz w:val="21"/>
                <w:szCs w:val="21"/>
                <w:lang w:eastAsia="zh-CN"/>
              </w:rPr>
              <w:t>境</w:t>
            </w:r>
            <w:r>
              <w:rPr>
                <w:rFonts w:ascii="Calibri" w:hAnsi="Calibri"/>
                <w:kern w:val="0"/>
                <w:sz w:val="21"/>
                <w:szCs w:val="21"/>
                <w:lang w:eastAsia="zh-CN"/>
              </w:rPr>
              <w:t>的</w:t>
            </w:r>
            <w:r>
              <w:rPr>
                <w:rFonts w:ascii="Calibri" w:hAnsi="Calibri"/>
                <w:spacing w:val="-3"/>
                <w:kern w:val="0"/>
                <w:sz w:val="21"/>
                <w:szCs w:val="21"/>
                <w:lang w:eastAsia="zh-CN"/>
              </w:rPr>
              <w:t>影</w:t>
            </w:r>
            <w:r>
              <w:rPr>
                <w:rFonts w:ascii="Calibri" w:hAnsi="Calibri"/>
                <w:kern w:val="0"/>
                <w:sz w:val="21"/>
                <w:szCs w:val="21"/>
                <w:lang w:eastAsia="zh-CN"/>
              </w:rPr>
              <w:t>响。</w:t>
            </w:r>
          </w:p>
          <w:p w14:paraId="55574968">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hint="eastAsia" w:ascii="宋体" w:hAnsi="宋体" w:cs="宋体"/>
                <w:spacing w:val="2"/>
                <w:kern w:val="0"/>
                <w:sz w:val="21"/>
                <w:szCs w:val="21"/>
                <w:lang w:eastAsia="zh-CN"/>
              </w:rPr>
              <w:t>③</w:t>
            </w:r>
            <w:r>
              <w:rPr>
                <w:rFonts w:ascii="Calibri" w:hAnsi="Calibri"/>
                <w:spacing w:val="2"/>
                <w:kern w:val="0"/>
                <w:sz w:val="21"/>
                <w:szCs w:val="21"/>
                <w:lang w:eastAsia="zh-CN"/>
              </w:rPr>
              <w:t>工程检修委托有</w:t>
            </w:r>
            <w:r>
              <w:rPr>
                <w:rFonts w:ascii="Calibri" w:hAnsi="Calibri"/>
                <w:kern w:val="0"/>
                <w:sz w:val="21"/>
                <w:szCs w:val="21"/>
                <w:lang w:eastAsia="zh-CN"/>
              </w:rPr>
              <w:t>资</w:t>
            </w:r>
            <w:r>
              <w:rPr>
                <w:rFonts w:ascii="Calibri" w:hAnsi="Calibri"/>
                <w:spacing w:val="2"/>
                <w:kern w:val="0"/>
                <w:sz w:val="21"/>
                <w:szCs w:val="21"/>
                <w:lang w:eastAsia="zh-CN"/>
              </w:rPr>
              <w:t>质</w:t>
            </w:r>
            <w:r>
              <w:rPr>
                <w:rFonts w:ascii="Calibri" w:hAnsi="Calibri"/>
                <w:kern w:val="0"/>
                <w:sz w:val="21"/>
                <w:szCs w:val="21"/>
                <w:lang w:eastAsia="zh-CN"/>
              </w:rPr>
              <w:t>的</w:t>
            </w:r>
            <w:r>
              <w:rPr>
                <w:rFonts w:ascii="Calibri" w:hAnsi="Calibri"/>
                <w:spacing w:val="2"/>
                <w:kern w:val="0"/>
                <w:sz w:val="21"/>
                <w:szCs w:val="21"/>
                <w:lang w:eastAsia="zh-CN"/>
              </w:rPr>
              <w:t>电力运行维护专业</w:t>
            </w:r>
            <w:r>
              <w:rPr>
                <w:rFonts w:ascii="Calibri" w:hAnsi="Calibri"/>
                <w:kern w:val="0"/>
                <w:sz w:val="21"/>
                <w:szCs w:val="21"/>
                <w:lang w:eastAsia="zh-CN"/>
              </w:rPr>
              <w:t>公</w:t>
            </w:r>
            <w:r>
              <w:rPr>
                <w:rFonts w:ascii="Calibri" w:hAnsi="Calibri"/>
                <w:spacing w:val="2"/>
                <w:kern w:val="0"/>
                <w:sz w:val="21"/>
                <w:szCs w:val="21"/>
                <w:lang w:eastAsia="zh-CN"/>
              </w:rPr>
              <w:t>司</w:t>
            </w:r>
            <w:r>
              <w:rPr>
                <w:rFonts w:ascii="Calibri" w:hAnsi="Calibri"/>
                <w:kern w:val="0"/>
                <w:sz w:val="21"/>
                <w:szCs w:val="21"/>
                <w:lang w:eastAsia="zh-CN"/>
              </w:rPr>
              <w:t>进</w:t>
            </w:r>
            <w:r>
              <w:rPr>
                <w:rFonts w:ascii="Calibri" w:hAnsi="Calibri"/>
                <w:spacing w:val="2"/>
                <w:kern w:val="0"/>
                <w:sz w:val="21"/>
                <w:szCs w:val="21"/>
                <w:lang w:eastAsia="zh-CN"/>
              </w:rPr>
              <w:t>行，检修期间产</w:t>
            </w:r>
            <w:r>
              <w:rPr>
                <w:rFonts w:ascii="Calibri" w:hAnsi="Calibri"/>
                <w:kern w:val="0"/>
                <w:sz w:val="21"/>
                <w:szCs w:val="21"/>
                <w:lang w:eastAsia="zh-CN"/>
              </w:rPr>
              <w:t>生的</w:t>
            </w:r>
            <w:r>
              <w:rPr>
                <w:rFonts w:ascii="Calibri" w:hAnsi="Calibri"/>
                <w:spacing w:val="2"/>
                <w:kern w:val="0"/>
                <w:sz w:val="21"/>
                <w:szCs w:val="21"/>
                <w:lang w:eastAsia="zh-CN"/>
              </w:rPr>
              <w:t>少量废旧机油由其</w:t>
            </w:r>
            <w:r>
              <w:rPr>
                <w:rFonts w:ascii="Calibri" w:hAnsi="Calibri"/>
                <w:kern w:val="0"/>
                <w:sz w:val="21"/>
                <w:szCs w:val="21"/>
                <w:lang w:eastAsia="zh-CN"/>
              </w:rPr>
              <w:t>收</w:t>
            </w:r>
            <w:r>
              <w:rPr>
                <w:rFonts w:ascii="Calibri" w:hAnsi="Calibri"/>
                <w:spacing w:val="2"/>
                <w:kern w:val="0"/>
                <w:sz w:val="21"/>
                <w:szCs w:val="21"/>
                <w:lang w:eastAsia="zh-CN"/>
              </w:rPr>
              <w:t>集</w:t>
            </w:r>
            <w:r>
              <w:rPr>
                <w:rFonts w:ascii="Calibri" w:hAnsi="Calibri"/>
                <w:kern w:val="0"/>
                <w:sz w:val="21"/>
                <w:szCs w:val="21"/>
                <w:lang w:eastAsia="zh-CN"/>
              </w:rPr>
              <w:t>带</w:t>
            </w:r>
            <w:r>
              <w:rPr>
                <w:rFonts w:ascii="Calibri" w:hAnsi="Calibri"/>
                <w:spacing w:val="2"/>
                <w:kern w:val="0"/>
                <w:sz w:val="21"/>
                <w:szCs w:val="21"/>
                <w:lang w:eastAsia="zh-CN"/>
              </w:rPr>
              <w:t>走并负责交由有危</w:t>
            </w:r>
            <w:r>
              <w:rPr>
                <w:rFonts w:ascii="Calibri" w:hAnsi="Calibri"/>
                <w:kern w:val="0"/>
                <w:sz w:val="21"/>
                <w:szCs w:val="21"/>
                <w:lang w:eastAsia="zh-CN"/>
              </w:rPr>
              <w:t>险</w:t>
            </w:r>
            <w:r>
              <w:rPr>
                <w:rFonts w:ascii="Calibri" w:hAnsi="Calibri"/>
                <w:spacing w:val="2"/>
                <w:kern w:val="0"/>
                <w:sz w:val="21"/>
                <w:szCs w:val="21"/>
                <w:lang w:eastAsia="zh-CN"/>
              </w:rPr>
              <w:t>废</w:t>
            </w:r>
            <w:r>
              <w:rPr>
                <w:rFonts w:ascii="Calibri" w:hAnsi="Calibri"/>
                <w:kern w:val="0"/>
                <w:sz w:val="21"/>
                <w:szCs w:val="21"/>
                <w:lang w:eastAsia="zh-CN"/>
              </w:rPr>
              <w:t>弃</w:t>
            </w:r>
            <w:r>
              <w:rPr>
                <w:rFonts w:ascii="Calibri" w:hAnsi="Calibri"/>
                <w:spacing w:val="2"/>
                <w:kern w:val="0"/>
                <w:sz w:val="21"/>
                <w:szCs w:val="21"/>
                <w:lang w:eastAsia="zh-CN"/>
              </w:rPr>
              <w:t>物处置资质的单</w:t>
            </w:r>
            <w:r>
              <w:rPr>
                <w:rFonts w:ascii="Calibri" w:hAnsi="Calibri"/>
                <w:kern w:val="0"/>
                <w:sz w:val="21"/>
                <w:szCs w:val="21"/>
                <w:lang w:eastAsia="zh-CN"/>
              </w:rPr>
              <w:t>位进行处</w:t>
            </w:r>
            <w:r>
              <w:rPr>
                <w:rFonts w:ascii="Calibri" w:hAnsi="Calibri"/>
                <w:spacing w:val="-3"/>
                <w:kern w:val="0"/>
                <w:sz w:val="21"/>
                <w:szCs w:val="21"/>
                <w:lang w:eastAsia="zh-CN"/>
              </w:rPr>
              <w:t>置</w:t>
            </w:r>
            <w:r>
              <w:rPr>
                <w:rFonts w:ascii="Calibri" w:hAnsi="Calibri"/>
                <w:kern w:val="0"/>
                <w:sz w:val="21"/>
                <w:szCs w:val="21"/>
                <w:lang w:eastAsia="zh-CN"/>
              </w:rPr>
              <w:t>。</w:t>
            </w:r>
          </w:p>
          <w:p w14:paraId="10A7F346">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hint="eastAsia" w:ascii="宋体" w:hAnsi="宋体" w:cs="宋体"/>
                <w:spacing w:val="2"/>
                <w:kern w:val="0"/>
                <w:sz w:val="21"/>
                <w:szCs w:val="21"/>
                <w:lang w:eastAsia="zh-CN"/>
              </w:rPr>
              <w:t>④</w:t>
            </w:r>
            <w:r>
              <w:rPr>
                <w:rFonts w:ascii="Calibri" w:hAnsi="Calibri"/>
                <w:spacing w:val="2"/>
                <w:kern w:val="0"/>
                <w:sz w:val="21"/>
                <w:szCs w:val="21"/>
                <w:lang w:eastAsia="zh-CN"/>
              </w:rPr>
              <w:t>风电场野外环境</w:t>
            </w:r>
            <w:r>
              <w:rPr>
                <w:rFonts w:ascii="Calibri" w:hAnsi="Calibri"/>
                <w:kern w:val="0"/>
                <w:sz w:val="21"/>
                <w:szCs w:val="21"/>
                <w:lang w:eastAsia="zh-CN"/>
              </w:rPr>
              <w:t>无</w:t>
            </w:r>
            <w:r>
              <w:rPr>
                <w:rFonts w:ascii="Calibri" w:hAnsi="Calibri"/>
                <w:spacing w:val="2"/>
                <w:kern w:val="0"/>
                <w:sz w:val="21"/>
                <w:szCs w:val="21"/>
                <w:lang w:eastAsia="zh-CN"/>
              </w:rPr>
              <w:t>法</w:t>
            </w:r>
            <w:r>
              <w:rPr>
                <w:rFonts w:ascii="Calibri" w:hAnsi="Calibri"/>
                <w:kern w:val="0"/>
                <w:sz w:val="21"/>
                <w:szCs w:val="21"/>
                <w:lang w:eastAsia="zh-CN"/>
              </w:rPr>
              <w:t>满</w:t>
            </w:r>
            <w:r>
              <w:rPr>
                <w:rFonts w:ascii="Calibri" w:hAnsi="Calibri"/>
                <w:spacing w:val="2"/>
                <w:kern w:val="0"/>
                <w:sz w:val="21"/>
                <w:szCs w:val="21"/>
                <w:lang w:eastAsia="zh-CN"/>
              </w:rPr>
              <w:t>足箱式变压器开箱</w:t>
            </w:r>
            <w:r>
              <w:rPr>
                <w:rFonts w:ascii="Calibri" w:hAnsi="Calibri"/>
                <w:kern w:val="0"/>
                <w:sz w:val="21"/>
                <w:szCs w:val="21"/>
                <w:lang w:eastAsia="zh-CN"/>
              </w:rPr>
              <w:t>维</w:t>
            </w:r>
            <w:r>
              <w:rPr>
                <w:rFonts w:ascii="Calibri" w:hAnsi="Calibri"/>
                <w:spacing w:val="2"/>
                <w:kern w:val="0"/>
                <w:sz w:val="21"/>
                <w:szCs w:val="21"/>
                <w:lang w:eastAsia="zh-CN"/>
              </w:rPr>
              <w:t>修</w:t>
            </w:r>
            <w:r>
              <w:rPr>
                <w:rFonts w:ascii="Calibri" w:hAnsi="Calibri"/>
                <w:kern w:val="0"/>
                <w:sz w:val="21"/>
                <w:szCs w:val="21"/>
                <w:lang w:eastAsia="zh-CN"/>
              </w:rPr>
              <w:t>环</w:t>
            </w:r>
            <w:r>
              <w:rPr>
                <w:rFonts w:ascii="Calibri" w:hAnsi="Calibri"/>
                <w:spacing w:val="2"/>
                <w:kern w:val="0"/>
                <w:sz w:val="21"/>
                <w:szCs w:val="21"/>
                <w:lang w:eastAsia="zh-CN"/>
              </w:rPr>
              <w:t>境，因此若巡检</w:t>
            </w:r>
            <w:r>
              <w:rPr>
                <w:rFonts w:ascii="Calibri" w:hAnsi="Calibri"/>
                <w:kern w:val="0"/>
                <w:sz w:val="21"/>
                <w:szCs w:val="21"/>
                <w:lang w:eastAsia="zh-CN"/>
              </w:rPr>
              <w:t>发现</w:t>
            </w:r>
            <w:r>
              <w:rPr>
                <w:rFonts w:ascii="Calibri" w:hAnsi="Calibri"/>
                <w:spacing w:val="2"/>
                <w:kern w:val="0"/>
                <w:sz w:val="21"/>
                <w:szCs w:val="21"/>
                <w:lang w:eastAsia="zh-CN"/>
              </w:rPr>
              <w:t>箱式变压器故障时</w:t>
            </w:r>
            <w:r>
              <w:rPr>
                <w:rFonts w:ascii="Calibri" w:hAnsi="Calibri"/>
                <w:kern w:val="0"/>
                <w:sz w:val="21"/>
                <w:szCs w:val="21"/>
                <w:lang w:eastAsia="zh-CN"/>
              </w:rPr>
              <w:t>，</w:t>
            </w:r>
            <w:r>
              <w:rPr>
                <w:rFonts w:ascii="Calibri" w:hAnsi="Calibri"/>
                <w:spacing w:val="2"/>
                <w:kern w:val="0"/>
                <w:sz w:val="21"/>
                <w:szCs w:val="21"/>
                <w:lang w:eastAsia="zh-CN"/>
              </w:rPr>
              <w:t>由</w:t>
            </w:r>
            <w:r>
              <w:rPr>
                <w:rFonts w:ascii="Calibri" w:hAnsi="Calibri"/>
                <w:kern w:val="0"/>
                <w:sz w:val="21"/>
                <w:szCs w:val="21"/>
                <w:lang w:eastAsia="zh-CN"/>
              </w:rPr>
              <w:t>变</w:t>
            </w:r>
            <w:r>
              <w:rPr>
                <w:rFonts w:ascii="Calibri" w:hAnsi="Calibri"/>
                <w:spacing w:val="2"/>
                <w:kern w:val="0"/>
                <w:sz w:val="21"/>
                <w:szCs w:val="21"/>
                <w:lang w:eastAsia="zh-CN"/>
              </w:rPr>
              <w:t>压器厂家上门整机</w:t>
            </w:r>
            <w:r>
              <w:rPr>
                <w:rFonts w:ascii="Calibri" w:hAnsi="Calibri"/>
                <w:kern w:val="0"/>
                <w:sz w:val="21"/>
                <w:szCs w:val="21"/>
                <w:lang w:eastAsia="zh-CN"/>
              </w:rPr>
              <w:t>运</w:t>
            </w:r>
            <w:r>
              <w:rPr>
                <w:rFonts w:ascii="Calibri" w:hAnsi="Calibri"/>
                <w:spacing w:val="2"/>
                <w:kern w:val="0"/>
                <w:sz w:val="21"/>
                <w:szCs w:val="21"/>
                <w:lang w:eastAsia="zh-CN"/>
              </w:rPr>
              <w:t>走</w:t>
            </w:r>
            <w:r>
              <w:rPr>
                <w:rFonts w:ascii="Calibri" w:hAnsi="Calibri"/>
                <w:kern w:val="0"/>
                <w:sz w:val="21"/>
                <w:szCs w:val="21"/>
                <w:lang w:eastAsia="zh-CN"/>
              </w:rPr>
              <w:t>返</w:t>
            </w:r>
            <w:r>
              <w:rPr>
                <w:rFonts w:ascii="Calibri" w:hAnsi="Calibri"/>
                <w:spacing w:val="2"/>
                <w:kern w:val="0"/>
                <w:sz w:val="21"/>
                <w:szCs w:val="21"/>
                <w:lang w:eastAsia="zh-CN"/>
              </w:rPr>
              <w:t>厂修理，禁止废</w:t>
            </w:r>
            <w:r>
              <w:rPr>
                <w:rFonts w:ascii="Calibri" w:hAnsi="Calibri"/>
                <w:kern w:val="0"/>
                <w:sz w:val="21"/>
                <w:szCs w:val="21"/>
                <w:lang w:eastAsia="zh-CN"/>
              </w:rPr>
              <w:t>油在风电</w:t>
            </w:r>
            <w:r>
              <w:rPr>
                <w:rFonts w:ascii="Calibri" w:hAnsi="Calibri"/>
                <w:spacing w:val="-3"/>
                <w:kern w:val="0"/>
                <w:sz w:val="21"/>
                <w:szCs w:val="21"/>
                <w:lang w:eastAsia="zh-CN"/>
              </w:rPr>
              <w:t>场</w:t>
            </w:r>
            <w:r>
              <w:rPr>
                <w:rFonts w:ascii="Calibri" w:hAnsi="Calibri"/>
                <w:kern w:val="0"/>
                <w:sz w:val="21"/>
                <w:szCs w:val="21"/>
                <w:lang w:eastAsia="zh-CN"/>
              </w:rPr>
              <w:t>区</w:t>
            </w:r>
            <w:r>
              <w:rPr>
                <w:rFonts w:ascii="Calibri" w:hAnsi="Calibri"/>
                <w:spacing w:val="-3"/>
                <w:kern w:val="0"/>
                <w:sz w:val="21"/>
                <w:szCs w:val="21"/>
                <w:lang w:eastAsia="zh-CN"/>
              </w:rPr>
              <w:t>域</w:t>
            </w:r>
            <w:r>
              <w:rPr>
                <w:rFonts w:ascii="Calibri" w:hAnsi="Calibri"/>
                <w:kern w:val="0"/>
                <w:sz w:val="21"/>
                <w:szCs w:val="21"/>
                <w:lang w:eastAsia="zh-CN"/>
              </w:rPr>
              <w:t>内</w:t>
            </w:r>
            <w:r>
              <w:rPr>
                <w:rFonts w:ascii="Calibri" w:hAnsi="Calibri"/>
                <w:spacing w:val="-3"/>
                <w:kern w:val="0"/>
                <w:sz w:val="21"/>
                <w:szCs w:val="21"/>
                <w:lang w:eastAsia="zh-CN"/>
              </w:rPr>
              <w:t>长</w:t>
            </w:r>
            <w:r>
              <w:rPr>
                <w:rFonts w:ascii="Calibri" w:hAnsi="Calibri"/>
                <w:kern w:val="0"/>
                <w:sz w:val="21"/>
                <w:szCs w:val="21"/>
                <w:lang w:eastAsia="zh-CN"/>
              </w:rPr>
              <w:t>期</w:t>
            </w:r>
            <w:r>
              <w:rPr>
                <w:rFonts w:ascii="Calibri" w:hAnsi="Calibri"/>
                <w:spacing w:val="-3"/>
                <w:kern w:val="0"/>
                <w:sz w:val="21"/>
                <w:szCs w:val="21"/>
                <w:lang w:eastAsia="zh-CN"/>
              </w:rPr>
              <w:t>贮</w:t>
            </w:r>
            <w:r>
              <w:rPr>
                <w:rFonts w:ascii="Calibri" w:hAnsi="Calibri"/>
                <w:kern w:val="0"/>
                <w:sz w:val="21"/>
                <w:szCs w:val="21"/>
                <w:lang w:eastAsia="zh-CN"/>
              </w:rPr>
              <w:t>存。</w:t>
            </w:r>
          </w:p>
          <w:p w14:paraId="162C8BC4">
            <w:pPr>
              <w:tabs>
                <w:tab w:val="clear" w:pos="480"/>
              </w:tabs>
              <w:autoSpaceDE w:val="0"/>
              <w:autoSpaceDN w:val="0"/>
              <w:adjustRightInd w:val="0"/>
              <w:snapToGrid w:val="0"/>
              <w:spacing w:line="240" w:lineRule="auto"/>
              <w:ind w:firstLine="0" w:firstLineChars="0"/>
              <w:rPr>
                <w:rFonts w:ascii="Calibri" w:hAnsi="Calibri"/>
                <w:kern w:val="0"/>
                <w:sz w:val="21"/>
                <w:szCs w:val="21"/>
                <w:lang w:eastAsia="zh-CN"/>
              </w:rPr>
            </w:pPr>
            <w:r>
              <w:rPr>
                <w:rFonts w:hint="eastAsia" w:ascii="宋体" w:hAnsi="宋体" w:cs="宋体"/>
                <w:spacing w:val="9"/>
                <w:kern w:val="0"/>
                <w:sz w:val="21"/>
                <w:szCs w:val="21"/>
                <w:lang w:eastAsia="zh-CN"/>
              </w:rPr>
              <w:t>⑤</w:t>
            </w:r>
            <w:r>
              <w:rPr>
                <w:rFonts w:ascii="Calibri" w:hAnsi="Calibri"/>
                <w:spacing w:val="9"/>
                <w:kern w:val="0"/>
                <w:sz w:val="21"/>
                <w:szCs w:val="21"/>
                <w:lang w:eastAsia="zh-CN"/>
              </w:rPr>
              <w:t>危险废物的容器和包</w:t>
            </w:r>
            <w:r>
              <w:rPr>
                <w:rFonts w:ascii="Calibri" w:hAnsi="Calibri"/>
                <w:spacing w:val="7"/>
                <w:kern w:val="0"/>
                <w:sz w:val="21"/>
                <w:szCs w:val="21"/>
                <w:lang w:eastAsia="zh-CN"/>
              </w:rPr>
              <w:t>装</w:t>
            </w:r>
            <w:r>
              <w:rPr>
                <w:rFonts w:ascii="Calibri" w:hAnsi="Calibri"/>
                <w:spacing w:val="9"/>
                <w:kern w:val="0"/>
                <w:sz w:val="21"/>
                <w:szCs w:val="21"/>
                <w:lang w:eastAsia="zh-CN"/>
              </w:rPr>
              <w:t>以及收集、贮存、运输</w:t>
            </w:r>
            <w:r>
              <w:rPr>
                <w:rFonts w:ascii="Calibri" w:hAnsi="Calibri"/>
                <w:spacing w:val="7"/>
                <w:kern w:val="0"/>
                <w:sz w:val="21"/>
                <w:szCs w:val="21"/>
                <w:lang w:eastAsia="zh-CN"/>
              </w:rPr>
              <w:t>、</w:t>
            </w:r>
            <w:r>
              <w:rPr>
                <w:rFonts w:ascii="Calibri" w:hAnsi="Calibri"/>
                <w:spacing w:val="9"/>
                <w:kern w:val="0"/>
                <w:sz w:val="21"/>
                <w:szCs w:val="21"/>
                <w:lang w:eastAsia="zh-CN"/>
              </w:rPr>
              <w:t>处置危险废物的设</w:t>
            </w:r>
            <w:r>
              <w:rPr>
                <w:rFonts w:ascii="Calibri" w:hAnsi="Calibri"/>
                <w:spacing w:val="2"/>
                <w:kern w:val="0"/>
                <w:sz w:val="21"/>
                <w:szCs w:val="21"/>
                <w:lang w:eastAsia="zh-CN"/>
              </w:rPr>
              <w:t>施、场所，必须设</w:t>
            </w:r>
            <w:r>
              <w:rPr>
                <w:rFonts w:ascii="Calibri" w:hAnsi="Calibri"/>
                <w:kern w:val="0"/>
                <w:sz w:val="21"/>
                <w:szCs w:val="21"/>
                <w:lang w:eastAsia="zh-CN"/>
              </w:rPr>
              <w:t>置</w:t>
            </w:r>
            <w:r>
              <w:rPr>
                <w:rFonts w:ascii="Calibri" w:hAnsi="Calibri"/>
                <w:spacing w:val="2"/>
                <w:kern w:val="0"/>
                <w:sz w:val="21"/>
                <w:szCs w:val="21"/>
                <w:lang w:eastAsia="zh-CN"/>
              </w:rPr>
              <w:t>危</w:t>
            </w:r>
            <w:r>
              <w:rPr>
                <w:rFonts w:ascii="Calibri" w:hAnsi="Calibri"/>
                <w:kern w:val="0"/>
                <w:sz w:val="21"/>
                <w:szCs w:val="21"/>
                <w:lang w:eastAsia="zh-CN"/>
              </w:rPr>
              <w:t>险</w:t>
            </w:r>
            <w:r>
              <w:rPr>
                <w:rFonts w:ascii="Calibri" w:hAnsi="Calibri"/>
                <w:spacing w:val="2"/>
                <w:kern w:val="0"/>
                <w:sz w:val="21"/>
                <w:szCs w:val="21"/>
                <w:lang w:eastAsia="zh-CN"/>
              </w:rPr>
              <w:t>废物识别标志；必</w:t>
            </w:r>
            <w:r>
              <w:rPr>
                <w:rFonts w:ascii="Calibri" w:hAnsi="Calibri"/>
                <w:kern w:val="0"/>
                <w:sz w:val="21"/>
                <w:szCs w:val="21"/>
                <w:lang w:eastAsia="zh-CN"/>
              </w:rPr>
              <w:t>须</w:t>
            </w:r>
            <w:r>
              <w:rPr>
                <w:rFonts w:ascii="Calibri" w:hAnsi="Calibri"/>
                <w:spacing w:val="2"/>
                <w:kern w:val="0"/>
                <w:sz w:val="21"/>
                <w:szCs w:val="21"/>
                <w:lang w:eastAsia="zh-CN"/>
              </w:rPr>
              <w:t>按</w:t>
            </w:r>
            <w:r>
              <w:rPr>
                <w:rFonts w:ascii="Calibri" w:hAnsi="Calibri"/>
                <w:kern w:val="0"/>
                <w:sz w:val="21"/>
                <w:szCs w:val="21"/>
                <w:lang w:eastAsia="zh-CN"/>
              </w:rPr>
              <w:t>照</w:t>
            </w:r>
            <w:r>
              <w:rPr>
                <w:rFonts w:ascii="Calibri" w:hAnsi="Calibri"/>
                <w:spacing w:val="2"/>
                <w:kern w:val="0"/>
                <w:sz w:val="21"/>
                <w:szCs w:val="21"/>
                <w:lang w:eastAsia="zh-CN"/>
              </w:rPr>
              <w:t>国家有关规定申</w:t>
            </w:r>
            <w:r>
              <w:rPr>
                <w:rFonts w:ascii="Calibri" w:hAnsi="Calibri"/>
                <w:kern w:val="0"/>
                <w:sz w:val="21"/>
                <w:szCs w:val="21"/>
                <w:lang w:eastAsia="zh-CN"/>
              </w:rPr>
              <w:t>报登记。</w:t>
            </w:r>
          </w:p>
          <w:p w14:paraId="45FA8EAF">
            <w:pPr>
              <w:tabs>
                <w:tab w:val="clear" w:pos="480"/>
              </w:tabs>
              <w:autoSpaceDE w:val="0"/>
              <w:autoSpaceDN w:val="0"/>
              <w:adjustRightInd w:val="0"/>
              <w:snapToGrid w:val="0"/>
              <w:spacing w:line="240" w:lineRule="auto"/>
              <w:ind w:firstLine="0" w:firstLineChars="0"/>
              <w:jc w:val="left"/>
              <w:rPr>
                <w:rFonts w:ascii="Calibri" w:hAnsi="Calibri"/>
                <w:kern w:val="0"/>
                <w:sz w:val="21"/>
                <w:szCs w:val="21"/>
                <w:lang w:eastAsia="zh-CN"/>
              </w:rPr>
            </w:pPr>
            <w:r>
              <w:rPr>
                <w:rFonts w:hint="eastAsia" w:ascii="宋体" w:hAnsi="宋体" w:cs="宋体"/>
                <w:kern w:val="0"/>
                <w:sz w:val="21"/>
                <w:szCs w:val="21"/>
                <w:lang w:eastAsia="zh-CN"/>
              </w:rPr>
              <w:t>⑥</w:t>
            </w:r>
            <w:r>
              <w:rPr>
                <w:rFonts w:ascii="Calibri" w:hAnsi="Calibri"/>
                <w:kern w:val="0"/>
                <w:sz w:val="21"/>
                <w:szCs w:val="21"/>
                <w:lang w:eastAsia="zh-CN"/>
              </w:rPr>
              <w:t>危险废物应存放于专门的收集容器，设置在升压站危险废物暂存间，避免与其他废旧物资混杂存放。</w:t>
            </w:r>
          </w:p>
        </w:tc>
      </w:tr>
      <w:tr w14:paraId="662098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2"/>
            <w:vAlign w:val="center"/>
          </w:tcPr>
          <w:p w14:paraId="20EFD8DE">
            <w:pPr>
              <w:tabs>
                <w:tab w:val="clear" w:pos="480"/>
              </w:tabs>
              <w:autoSpaceDE w:val="0"/>
              <w:autoSpaceDN w:val="0"/>
              <w:adjustRightInd w:val="0"/>
              <w:snapToGrid w:val="0"/>
              <w:spacing w:line="240" w:lineRule="auto"/>
              <w:ind w:firstLine="0" w:firstLineChars="0"/>
              <w:jc w:val="left"/>
              <w:rPr>
                <w:rFonts w:ascii="Calibri" w:hAnsi="Calibri"/>
                <w:kern w:val="0"/>
                <w:sz w:val="21"/>
                <w:szCs w:val="21"/>
                <w:lang w:eastAsia="zh-CN"/>
              </w:rPr>
            </w:pPr>
            <w:r>
              <w:rPr>
                <w:rFonts w:ascii="Calibri" w:hAnsi="Calibri"/>
                <w:kern w:val="0"/>
                <w:sz w:val="21"/>
                <w:szCs w:val="21"/>
                <w:lang w:eastAsia="zh-CN"/>
              </w:rPr>
              <w:t>填表说明（列出项目相关信息及评价说明）</w:t>
            </w:r>
          </w:p>
          <w:p w14:paraId="2C5F7BE4">
            <w:pPr>
              <w:tabs>
                <w:tab w:val="clear" w:pos="480"/>
              </w:tabs>
              <w:autoSpaceDE w:val="0"/>
              <w:autoSpaceDN w:val="0"/>
              <w:adjustRightInd w:val="0"/>
              <w:snapToGrid w:val="0"/>
              <w:spacing w:line="240" w:lineRule="auto"/>
              <w:ind w:firstLine="0" w:firstLineChars="0"/>
              <w:jc w:val="left"/>
              <w:rPr>
                <w:rFonts w:ascii="Calibri" w:hAnsi="Calibri"/>
                <w:kern w:val="0"/>
                <w:sz w:val="21"/>
                <w:szCs w:val="21"/>
                <w:lang w:eastAsia="zh-CN"/>
              </w:rPr>
            </w:pPr>
            <w:r>
              <w:rPr>
                <w:rFonts w:ascii="Calibri" w:hAnsi="Calibri"/>
                <w:kern w:val="0"/>
                <w:sz w:val="21"/>
                <w:szCs w:val="21"/>
                <w:lang w:eastAsia="zh-CN"/>
              </w:rPr>
              <w:t>本项目各风险物质量与其临界量的比值 Q＜1，项目环境风险潜势为Ⅰ，故本</w:t>
            </w:r>
            <w:r>
              <w:rPr>
                <w:rFonts w:hint="eastAsia" w:ascii="Calibri" w:hAnsi="Calibri"/>
                <w:kern w:val="0"/>
                <w:sz w:val="21"/>
                <w:szCs w:val="21"/>
                <w:lang w:eastAsia="zh-CN"/>
              </w:rPr>
              <w:t>环境</w:t>
            </w:r>
            <w:r>
              <w:rPr>
                <w:rFonts w:ascii="Calibri" w:hAnsi="Calibri"/>
                <w:kern w:val="0"/>
                <w:sz w:val="21"/>
                <w:szCs w:val="21"/>
                <w:lang w:eastAsia="zh-CN"/>
              </w:rPr>
              <w:t>风险评价等级为简单分析。</w:t>
            </w:r>
          </w:p>
        </w:tc>
      </w:tr>
    </w:tbl>
    <w:p w14:paraId="2D9406EB">
      <w:pPr>
        <w:tabs>
          <w:tab w:val="clear" w:pos="480"/>
        </w:tabs>
        <w:adjustRightInd w:val="0"/>
        <w:snapToGrid w:val="0"/>
        <w:ind w:firstLine="199" w:firstLineChars="83"/>
        <w:sectPr>
          <w:pgSz w:w="11905" w:h="16838"/>
          <w:pgMar w:top="1440" w:right="1797" w:bottom="1440" w:left="1797" w:header="851" w:footer="992" w:gutter="0"/>
          <w:cols w:space="0" w:num="1"/>
          <w:docGrid w:type="lines" w:linePitch="333" w:charSpace="0"/>
        </w:sectPr>
      </w:pPr>
    </w:p>
    <w:p w14:paraId="33D09C0F">
      <w:pPr>
        <w:pStyle w:val="3"/>
        <w:tabs>
          <w:tab w:val="clear" w:pos="480"/>
        </w:tabs>
        <w:spacing w:before="0" w:after="0"/>
        <w:jc w:val="center"/>
        <w:rPr>
          <w:rFonts w:ascii="Times New Roman" w:eastAsia="宋体"/>
          <w:bCs w:val="0"/>
          <w:sz w:val="32"/>
          <w:szCs w:val="32"/>
          <w:lang w:val="en-US"/>
        </w:rPr>
      </w:pPr>
      <w:r>
        <w:rPr>
          <w:rFonts w:hint="eastAsia" w:ascii="Times New Roman" w:eastAsia="宋体"/>
          <w:bCs w:val="0"/>
          <w:sz w:val="32"/>
          <w:szCs w:val="32"/>
          <w:lang w:val="en-US"/>
        </w:rPr>
        <w:t xml:space="preserve">  </w:t>
      </w:r>
      <w:bookmarkStart w:id="206" w:name="_Toc143799397"/>
      <w:bookmarkStart w:id="207" w:name="_Toc116978011"/>
      <w:r>
        <w:rPr>
          <w:rFonts w:ascii="Times New Roman" w:eastAsia="宋体"/>
          <w:bCs w:val="0"/>
          <w:sz w:val="32"/>
          <w:szCs w:val="32"/>
          <w:lang w:val="en-US"/>
        </w:rPr>
        <w:t>8</w:t>
      </w:r>
      <w:r>
        <w:rPr>
          <w:rFonts w:hint="eastAsia" w:ascii="Times New Roman" w:eastAsia="宋体"/>
          <w:bCs w:val="0"/>
          <w:sz w:val="32"/>
          <w:szCs w:val="32"/>
          <w:lang w:val="en-US"/>
        </w:rPr>
        <w:t>污染防治措施可行性分析</w:t>
      </w:r>
      <w:bookmarkEnd w:id="206"/>
      <w:bookmarkEnd w:id="207"/>
    </w:p>
    <w:p w14:paraId="64FFCDC1">
      <w:pPr>
        <w:pStyle w:val="4"/>
        <w:tabs>
          <w:tab w:val="clear" w:pos="480"/>
          <w:tab w:val="clear" w:pos="630"/>
        </w:tabs>
        <w:spacing w:before="0" w:after="0"/>
        <w:rPr>
          <w:sz w:val="30"/>
          <w:szCs w:val="30"/>
          <w:lang w:val="en-US"/>
        </w:rPr>
      </w:pPr>
      <w:bookmarkStart w:id="208" w:name="_Toc116978012"/>
      <w:bookmarkStart w:id="209" w:name="_Toc143799398"/>
      <w:r>
        <w:rPr>
          <w:sz w:val="30"/>
          <w:szCs w:val="30"/>
          <w:lang w:val="en-US"/>
        </w:rPr>
        <w:t>8.1施工期污染防治措施分析</w:t>
      </w:r>
      <w:bookmarkEnd w:id="208"/>
      <w:bookmarkEnd w:id="209"/>
    </w:p>
    <w:p w14:paraId="44854AF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8.1.1施工期大气污染防治措施分析</w:t>
      </w:r>
    </w:p>
    <w:p w14:paraId="4898D39F">
      <w:pPr>
        <w:adjustRightInd w:val="0"/>
        <w:snapToGrid w:val="0"/>
        <w:ind w:firstLine="480"/>
      </w:pPr>
      <w:r>
        <w:t>施工期大气污染源主要是施工扬尘和施工机械废气排放。其污染防治措施包括：</w:t>
      </w:r>
    </w:p>
    <w:p w14:paraId="29FB4CF6">
      <w:pPr>
        <w:adjustRightInd w:val="0"/>
        <w:snapToGrid w:val="0"/>
        <w:ind w:firstLine="480"/>
      </w:pPr>
      <w:r>
        <w:t>（1）施工扬尘</w:t>
      </w:r>
    </w:p>
    <w:p w14:paraId="28C436CF">
      <w:pPr>
        <w:adjustRightInd w:val="0"/>
        <w:snapToGrid w:val="0"/>
        <w:ind w:firstLine="480"/>
      </w:pPr>
      <w:r>
        <w:rPr>
          <w:rFonts w:hint="eastAsia"/>
        </w:rPr>
        <w:t>①</w:t>
      </w:r>
      <w:r>
        <w:t>施工场地定期洒水，防止产生大量扬尘，在大风日加大洒水量及洒水频次。</w:t>
      </w:r>
    </w:p>
    <w:p w14:paraId="0A777AF2">
      <w:pPr>
        <w:adjustRightInd w:val="0"/>
        <w:snapToGrid w:val="0"/>
        <w:ind w:firstLine="480"/>
      </w:pPr>
      <w:r>
        <w:rPr>
          <w:rFonts w:hint="eastAsia"/>
        </w:rPr>
        <w:t>②</w:t>
      </w:r>
      <w:r>
        <w:t>避免在春季大风季节以及夏季暴雨时节施工，尽可能缩短施工时间，提高施工效率，减少地表裸露的时间。遇有大风天气时，应避免进行挖掘、回填等大土方量作业并采取喷水抑尘措施。</w:t>
      </w:r>
    </w:p>
    <w:p w14:paraId="24B43DEE">
      <w:pPr>
        <w:adjustRightInd w:val="0"/>
        <w:snapToGrid w:val="0"/>
        <w:ind w:firstLine="480"/>
      </w:pPr>
      <w:r>
        <w:rPr>
          <w:rFonts w:hint="eastAsia"/>
        </w:rPr>
        <w:t>③</w:t>
      </w:r>
      <w:r>
        <w:t>加强施工区的规划管理：建筑材料的堆场采取防尘、抑尘措施，如在大风天气，对散料堆场采取洒水、密闭存储、围挡、防尘布苫盖等。</w:t>
      </w:r>
    </w:p>
    <w:p w14:paraId="31B886CA">
      <w:pPr>
        <w:adjustRightInd w:val="0"/>
        <w:snapToGrid w:val="0"/>
        <w:ind w:firstLine="480"/>
      </w:pPr>
      <w:r>
        <w:rPr>
          <w:rFonts w:hint="eastAsia"/>
        </w:rPr>
        <w:t>④</w:t>
      </w:r>
      <w:r>
        <w:t>对于</w:t>
      </w:r>
      <w:r>
        <w:rPr>
          <w:rFonts w:hint="eastAsia"/>
        </w:rPr>
        <w:t>施工</w:t>
      </w:r>
      <w:r>
        <w:t>道路附近的居民点，道路施工边界设置围挡；施工道路路基形成后，及时碾压、洒水，以保持湿润状态。施工单位需配备简易洒水车对施工场地和道路洒水，每天洒水不少于 4 次。</w:t>
      </w:r>
    </w:p>
    <w:p w14:paraId="0F17B71F">
      <w:pPr>
        <w:adjustRightInd w:val="0"/>
        <w:snapToGrid w:val="0"/>
        <w:ind w:firstLine="480"/>
      </w:pPr>
      <w:r>
        <w:rPr>
          <w:rFonts w:hint="eastAsia"/>
        </w:rPr>
        <w:t>⑤</w:t>
      </w:r>
      <w:r>
        <w:t>施工工程中产生的弃土、弃料及其他建筑垃圾，应及时清运；若在工地内堆置超过一周的，则应采取覆盖防尘布或防尘网、定期喷水压尘等防尘措施。</w:t>
      </w:r>
    </w:p>
    <w:p w14:paraId="1BD8DB88">
      <w:pPr>
        <w:adjustRightInd w:val="0"/>
        <w:snapToGrid w:val="0"/>
        <w:ind w:firstLine="480"/>
      </w:pPr>
      <w:r>
        <w:rPr>
          <w:rFonts w:hint="eastAsia"/>
        </w:rPr>
        <w:t>⑥</w:t>
      </w:r>
      <w:r>
        <w:t>装砂料、渣土、垃圾的运输车辆，应尽可能采用密闭车斗；若无密闭车斗，装载高度不得超过车辆槽帮上沿，车斗应用苫布或篷布遮盖严实，苫布边缘至少要遮住槽帮上沿以下 15cm，保证装载的物料等不露出；根据需要装载物料后进行洒水抑尘；卸车时应尽量减少落差，减少扬尘。</w:t>
      </w:r>
    </w:p>
    <w:p w14:paraId="696ABDE1">
      <w:pPr>
        <w:adjustRightInd w:val="0"/>
        <w:snapToGrid w:val="0"/>
        <w:ind w:firstLine="480"/>
      </w:pPr>
      <w:r>
        <w:rPr>
          <w:rFonts w:hint="eastAsia"/>
        </w:rPr>
        <w:t>⑦</w:t>
      </w:r>
      <w:r>
        <w:t>对出入工地且车身、车轮粘有泥土的车辆进行清洗，以防止泥土被带出污染公路路面。</w:t>
      </w:r>
    </w:p>
    <w:p w14:paraId="3F0359E6">
      <w:pPr>
        <w:adjustRightInd w:val="0"/>
        <w:snapToGrid w:val="0"/>
        <w:ind w:firstLine="480"/>
      </w:pPr>
      <w:r>
        <w:rPr>
          <w:rFonts w:hint="eastAsia"/>
        </w:rPr>
        <w:t>⑧</w:t>
      </w:r>
      <w:r>
        <w:t>运输车辆行驶经过沿途居民点时注意控制车速，减速慢行，防止行车时产生大量扬尘对周边居民点造成影响。</w:t>
      </w:r>
    </w:p>
    <w:p w14:paraId="7E9C9B60">
      <w:pPr>
        <w:adjustRightInd w:val="0"/>
        <w:snapToGrid w:val="0"/>
        <w:ind w:firstLine="480"/>
      </w:pPr>
      <w:r>
        <w:fldChar w:fldCharType="begin"/>
      </w:r>
      <w:r>
        <w:instrText xml:space="preserve"> </w:instrText>
      </w:r>
      <w:r>
        <w:rPr>
          <w:rFonts w:hint="eastAsia"/>
        </w:rPr>
        <w:instrText xml:space="preserve">= 9 \* GB3</w:instrText>
      </w:r>
      <w:r>
        <w:instrText xml:space="preserve"> </w:instrText>
      </w:r>
      <w:r>
        <w:fldChar w:fldCharType="separate"/>
      </w:r>
      <w:r>
        <w:rPr>
          <w:rFonts w:hint="eastAsia"/>
        </w:rPr>
        <w:t>⑨</w:t>
      </w:r>
      <w:r>
        <w:fldChar w:fldCharType="end"/>
      </w:r>
      <w:r>
        <w:t>开挖时，对作业面适当喷水，使其保持一定的湿度，以减少扬尘量。而且，建筑材料和建筑垃圾应及时清运。</w:t>
      </w:r>
    </w:p>
    <w:p w14:paraId="5901B55F">
      <w:pPr>
        <w:adjustRightInd w:val="0"/>
        <w:snapToGrid w:val="0"/>
        <w:ind w:firstLine="480"/>
      </w:pPr>
      <w:r>
        <w:fldChar w:fldCharType="begin"/>
      </w:r>
      <w:r>
        <w:instrText xml:space="preserve"> </w:instrText>
      </w:r>
      <w:r>
        <w:rPr>
          <w:rFonts w:hint="eastAsia"/>
        </w:rPr>
        <w:instrText xml:space="preserve">= 10 \* GB3</w:instrText>
      </w:r>
      <w:r>
        <w:instrText xml:space="preserve"> </w:instrText>
      </w:r>
      <w:r>
        <w:fldChar w:fldCharType="separate"/>
      </w:r>
      <w:r>
        <w:rPr>
          <w:rFonts w:hint="eastAsia"/>
        </w:rPr>
        <w:t>⑩</w:t>
      </w:r>
      <w:r>
        <w:fldChar w:fldCharType="end"/>
      </w:r>
      <w:r>
        <w:t>对施工现场进行科学管理，尽量减少搬运环节，搬运时轻举轻放，防止包装袋破裂。</w:t>
      </w:r>
    </w:p>
    <w:p w14:paraId="3197F553">
      <w:pPr>
        <w:adjustRightInd w:val="0"/>
        <w:snapToGrid w:val="0"/>
        <w:ind w:firstLine="480"/>
      </w:pPr>
      <w:r>
        <w:t>（2）燃油</w:t>
      </w:r>
      <w:r>
        <w:rPr>
          <w:rFonts w:hint="eastAsia"/>
        </w:rPr>
        <w:t>废气的削减与控制</w:t>
      </w:r>
    </w:p>
    <w:p w14:paraId="2DAB35A3">
      <w:pPr>
        <w:adjustRightInd w:val="0"/>
        <w:snapToGrid w:val="0"/>
        <w:ind w:firstLine="480"/>
      </w:pPr>
      <w:r>
        <w:rPr>
          <w:rFonts w:hint="eastAsia"/>
        </w:rPr>
        <w:t>①</w:t>
      </w:r>
      <w:r>
        <w:t>运输车辆严禁超载运输，避免超过车载负荷而使尾气排放量上升。</w:t>
      </w:r>
    </w:p>
    <w:p w14:paraId="1C3588CE">
      <w:pPr>
        <w:adjustRightInd w:val="0"/>
        <w:snapToGrid w:val="0"/>
        <w:ind w:firstLine="480"/>
      </w:pPr>
      <w:r>
        <w:rPr>
          <w:rFonts w:hint="eastAsia"/>
        </w:rPr>
        <w:t>②</w:t>
      </w:r>
      <w:r>
        <w:t>加强对施工机械、车辆的维修保养，禁止以柴油为燃料的施工机械超负荷工作，避免因机械保养不当而导致的尾气排放量增大，对于排放量严重超标的机械应禁止使用。</w:t>
      </w:r>
    </w:p>
    <w:p w14:paraId="4CCE1177">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严格执行《在用汽车报废标准》，推行强制更新报废制度。特别是发动机耗油多、效率低、排放尾气严重超标的老旧车辆，应予以更新。加强对燃油机械设备的维护和保养，使发动机处于正常、良好的工作状态。</w:t>
      </w:r>
    </w:p>
    <w:p w14:paraId="1880D8C6">
      <w:pPr>
        <w:adjustRightInd w:val="0"/>
        <w:snapToGrid w:val="0"/>
        <w:ind w:firstLine="480"/>
      </w:pPr>
      <w:r>
        <w:rPr>
          <w:rFonts w:hint="eastAsia"/>
        </w:rPr>
        <w:t>（3）</w:t>
      </w:r>
      <w:r>
        <w:t>钻爆粉尘</w:t>
      </w:r>
    </w:p>
    <w:p w14:paraId="2208F5E7">
      <w:pPr>
        <w:adjustRightInd w:val="0"/>
        <w:snapToGrid w:val="0"/>
        <w:ind w:firstLine="480"/>
      </w:pPr>
      <w:r>
        <w:t>钻孔时需要水冷，产生的粉尘量较少；爆破应多打眼、少装药的方式，减少爆破振动，爆前采用喷雾洒水，即在距工作面15-20m处安装除尘喷雾装置，在打开喷雾装置之前，爆破后30分钟关闭。通过采取措施后，钻爆过程产生的粉尘较少，对环境影响较小。</w:t>
      </w:r>
    </w:p>
    <w:p w14:paraId="4CCE6DD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8.1.2施工期</w:t>
      </w:r>
      <w:r>
        <w:rPr>
          <w:rFonts w:hint="eastAsia" w:ascii="Times New Roman" w:eastAsia="宋体"/>
          <w:sz w:val="28"/>
          <w:szCs w:val="28"/>
          <w:lang w:val="en-US"/>
        </w:rPr>
        <w:t>水</w:t>
      </w:r>
      <w:r>
        <w:rPr>
          <w:rFonts w:ascii="Times New Roman" w:eastAsia="宋体"/>
          <w:sz w:val="28"/>
          <w:szCs w:val="28"/>
          <w:lang w:val="en-US"/>
        </w:rPr>
        <w:t>污染防治措施分析</w:t>
      </w:r>
    </w:p>
    <w:p w14:paraId="2657CF08">
      <w:pPr>
        <w:adjustRightInd w:val="0"/>
        <w:snapToGrid w:val="0"/>
        <w:ind w:firstLine="480"/>
      </w:pPr>
      <w:r>
        <w:rPr>
          <w:rFonts w:hint="eastAsia"/>
        </w:rPr>
        <w:t>（1）地表水</w:t>
      </w:r>
    </w:p>
    <w:p w14:paraId="11AE3329">
      <w:pPr>
        <w:adjustRightInd w:val="0"/>
        <w:snapToGrid w:val="0"/>
        <w:ind w:firstLine="480"/>
      </w:pPr>
      <w:r>
        <w:rPr>
          <w:rFonts w:hint="eastAsia"/>
        </w:rPr>
        <w:t>①施工废水防治措施</w:t>
      </w:r>
    </w:p>
    <w:p w14:paraId="62ED69C9">
      <w:pPr>
        <w:adjustRightInd w:val="0"/>
        <w:snapToGrid w:val="0"/>
        <w:ind w:firstLine="480"/>
      </w:pPr>
      <w:r>
        <w:rPr>
          <w:rFonts w:hint="eastAsia"/>
        </w:rPr>
        <w:t>施工设备与车辆清洗必须集中到施工生产区进行，并在施工生产区布设沉淀池，废水统一收集后进入沉淀池处理，经处理后的废水全部回用于道路洒水，沉淀污泥送本项目设置的弃渣场。</w:t>
      </w:r>
    </w:p>
    <w:p w14:paraId="49001F35">
      <w:pPr>
        <w:adjustRightInd w:val="0"/>
        <w:snapToGrid w:val="0"/>
        <w:ind w:firstLine="480"/>
      </w:pPr>
      <w:r>
        <w:rPr>
          <w:rFonts w:hint="eastAsia"/>
        </w:rPr>
        <w:t>②施工生活污水防治措施</w:t>
      </w:r>
    </w:p>
    <w:p w14:paraId="24BA1045">
      <w:pPr>
        <w:adjustRightInd w:val="0"/>
        <w:snapToGrid w:val="0"/>
        <w:ind w:firstLine="480"/>
      </w:pPr>
      <w:r>
        <w:rPr>
          <w:rFonts w:hint="eastAsia"/>
        </w:rPr>
        <w:t>对于施工期生活污水，施工人员生活简单，生活污水中主要污染物是</w:t>
      </w:r>
      <w:r>
        <w:t>SS</w:t>
      </w:r>
      <w:r>
        <w:rPr>
          <w:rFonts w:hint="eastAsia"/>
        </w:rPr>
        <w:t>、</w:t>
      </w:r>
      <w:r>
        <w:t>COD</w:t>
      </w:r>
      <w:r>
        <w:rPr>
          <w:rFonts w:hint="eastAsia"/>
        </w:rPr>
        <w:t>cr，浓度较低。生活污水经化粪池处理定期清运用于周边林地施肥，不外排。</w:t>
      </w:r>
    </w:p>
    <w:p w14:paraId="110EDCA5">
      <w:pPr>
        <w:adjustRightInd w:val="0"/>
        <w:snapToGrid w:val="0"/>
        <w:ind w:firstLine="480"/>
      </w:pPr>
      <w:r>
        <w:fldChar w:fldCharType="begin"/>
      </w:r>
      <w:r>
        <w:instrText xml:space="preserve"> = 3 \* GB3 </w:instrText>
      </w:r>
      <w:r>
        <w:fldChar w:fldCharType="separate"/>
      </w:r>
      <w:r>
        <w:rPr>
          <w:rFonts w:hint="eastAsia"/>
        </w:rPr>
        <w:t>③</w:t>
      </w:r>
      <w:r>
        <w:fldChar w:fldCharType="end"/>
      </w:r>
      <w:r>
        <w:rPr>
          <w:rFonts w:hint="eastAsia"/>
        </w:rPr>
        <w:t>为了防止项目施工过程中周边地表水产生影响，环评要求</w:t>
      </w:r>
    </w:p>
    <w:p w14:paraId="0233548D">
      <w:pPr>
        <w:adjustRightInd w:val="0"/>
        <w:snapToGrid w:val="0"/>
        <w:ind w:firstLine="480"/>
      </w:pPr>
      <w:r>
        <w:rPr>
          <w:rFonts w:hint="eastAsia"/>
        </w:rPr>
        <w:t>a</w:t>
      </w:r>
      <w:r>
        <w:t>.严格划定施工边界，</w:t>
      </w:r>
      <w:r>
        <w:rPr>
          <w:rFonts w:hint="eastAsia"/>
        </w:rPr>
        <w:t>严禁任意扩大施工区域，严禁野蛮施工</w:t>
      </w:r>
      <w:r>
        <w:t>。</w:t>
      </w:r>
    </w:p>
    <w:p w14:paraId="063F57F4">
      <w:pPr>
        <w:adjustRightInd w:val="0"/>
        <w:snapToGrid w:val="0"/>
        <w:ind w:firstLine="480"/>
      </w:pPr>
      <w:r>
        <w:rPr>
          <w:rFonts w:hint="eastAsia"/>
        </w:rPr>
        <w:t>b</w:t>
      </w:r>
      <w:r>
        <w:t>.临近</w:t>
      </w:r>
      <w:r>
        <w:rPr>
          <w:rFonts w:hint="eastAsia"/>
        </w:rPr>
        <w:t>地表水区域</w:t>
      </w:r>
      <w:r>
        <w:t>的工程施工时应设置截、排、引流以及拦挡措施，确保所有废水不进入</w:t>
      </w:r>
      <w:r>
        <w:rPr>
          <w:rFonts w:hint="eastAsia"/>
        </w:rPr>
        <w:t>地表水环境</w:t>
      </w:r>
      <w:r>
        <w:t>。</w:t>
      </w:r>
    </w:p>
    <w:p w14:paraId="471DDDFF">
      <w:pPr>
        <w:adjustRightInd w:val="0"/>
        <w:snapToGrid w:val="0"/>
        <w:ind w:firstLine="480"/>
      </w:pPr>
      <w:r>
        <w:rPr>
          <w:rFonts w:hint="eastAsia"/>
        </w:rPr>
        <w:t>c</w:t>
      </w:r>
      <w:r>
        <w:t>.运输车辆</w:t>
      </w:r>
      <w:r>
        <w:rPr>
          <w:rFonts w:hint="eastAsia"/>
        </w:rPr>
        <w:t>运输</w:t>
      </w:r>
      <w:r>
        <w:t>时应减速行驶，防止建筑材料和弃渣掉落。施工弃渣应及时清运，</w:t>
      </w:r>
      <w:r>
        <w:rPr>
          <w:rFonts w:hint="eastAsia"/>
        </w:rPr>
        <w:t>禁止乱弃。</w:t>
      </w:r>
    </w:p>
    <w:p w14:paraId="5FDA4C81">
      <w:pPr>
        <w:adjustRightInd w:val="0"/>
        <w:snapToGrid w:val="0"/>
        <w:ind w:firstLine="480"/>
      </w:pPr>
      <w:r>
        <w:t>d.</w:t>
      </w:r>
      <w:r>
        <w:rPr>
          <w:rFonts w:hint="eastAsia"/>
        </w:rPr>
        <w:t>施工过程中设置围挡，以防各风机机位开挖过程造成山体滑坡，影响地表径流。</w:t>
      </w:r>
    </w:p>
    <w:p w14:paraId="54B5C95A">
      <w:pPr>
        <w:adjustRightInd w:val="0"/>
        <w:snapToGrid w:val="0"/>
        <w:ind w:firstLine="480"/>
      </w:pPr>
      <w:r>
        <w:rPr>
          <w:rFonts w:hint="eastAsia"/>
        </w:rPr>
        <w:t>（2）地下水</w:t>
      </w:r>
    </w:p>
    <w:p w14:paraId="5CFA6F64">
      <w:pPr>
        <w:adjustRightInd w:val="0"/>
        <w:snapToGrid w:val="0"/>
        <w:ind w:firstLine="480"/>
      </w:pPr>
      <w:r>
        <w:rPr>
          <w:rFonts w:hint="eastAsia"/>
        </w:rPr>
        <w:t>①</w:t>
      </w:r>
      <w:r>
        <w:t>施工废水适当处理后回用于生产，生活污水经处理后用于营地周围植被的灌溉，减少渗入地下污水的量。</w:t>
      </w:r>
    </w:p>
    <w:p w14:paraId="0E90262C">
      <w:pPr>
        <w:adjustRightInd w:val="0"/>
        <w:snapToGrid w:val="0"/>
        <w:ind w:firstLine="480"/>
      </w:pPr>
      <w:r>
        <w:rPr>
          <w:rFonts w:hint="eastAsia"/>
        </w:rPr>
        <w:t>②</w:t>
      </w:r>
      <w:r>
        <w:t>做好废污水处理设施基础和地坪的防渗措施，防止废污水渗漏污染地下水。</w:t>
      </w:r>
    </w:p>
    <w:p w14:paraId="4B152D77">
      <w:pPr>
        <w:adjustRightInd w:val="0"/>
        <w:snapToGrid w:val="0"/>
        <w:ind w:firstLine="480"/>
      </w:pPr>
      <w:r>
        <w:fldChar w:fldCharType="begin"/>
      </w:r>
      <w:r>
        <w:instrText xml:space="preserve"> = 3 \* GB3 </w:instrText>
      </w:r>
      <w:r>
        <w:fldChar w:fldCharType="separate"/>
      </w:r>
      <w:r>
        <w:rPr>
          <w:rFonts w:hint="eastAsia"/>
        </w:rPr>
        <w:t>③</w:t>
      </w:r>
      <w:r>
        <w:fldChar w:fldCharType="end"/>
      </w:r>
      <w:r>
        <w:t>对生活垃圾采取集中存放、及时清运的措施，并做好垃圾转运站的防渗措施，尽可能减少因雨水淋溶而带来的地下水污染问题。</w:t>
      </w:r>
    </w:p>
    <w:p w14:paraId="067E1303">
      <w:pPr>
        <w:adjustRightInd w:val="0"/>
        <w:snapToGrid w:val="0"/>
        <w:ind w:firstLine="480"/>
      </w:pPr>
      <w:r>
        <w:t>（3）对饮用水水源保护区的保护措施</w:t>
      </w:r>
    </w:p>
    <w:p w14:paraId="2DAC1955">
      <w:pPr>
        <w:adjustRightInd w:val="0"/>
        <w:snapToGrid w:val="0"/>
        <w:ind w:firstLine="480"/>
      </w:pPr>
      <w:r>
        <w:t>项目附近</w:t>
      </w:r>
      <w:r>
        <w:rPr>
          <w:rFonts w:hint="eastAsia"/>
        </w:rPr>
        <w:t>的衡阳县岣嵝乡环洞村山溪水饮用水水源保护区作为本项目地表水环境保护目标</w:t>
      </w:r>
      <w:r>
        <w:t>。</w:t>
      </w:r>
      <w:r>
        <w:rPr>
          <w:rFonts w:hint="eastAsia"/>
        </w:rPr>
        <w:t>根据各饮用水水源保护区、本风电场的各风机机位和场内道路的布置情况可知，项目3</w:t>
      </w:r>
      <w:r>
        <w:t>#</w:t>
      </w:r>
      <w:r>
        <w:rPr>
          <w:rFonts w:hint="eastAsia"/>
        </w:rPr>
        <w:t>风机机位及3</w:t>
      </w:r>
      <w:r>
        <w:t>#~4#</w:t>
      </w:r>
      <w:r>
        <w:rPr>
          <w:rFonts w:hint="eastAsia"/>
        </w:rPr>
        <w:t>风机场内道路位于衡阳县岣嵝乡环洞村山溪水饮用水水源保护区的汇水范围内，其余各风机机位和场内道路均不在风电场周边饮用水水源保护区汇水范围内。</w:t>
      </w:r>
    </w:p>
    <w:p w14:paraId="3E54910B">
      <w:pPr>
        <w:adjustRightInd w:val="0"/>
        <w:snapToGrid w:val="0"/>
        <w:ind w:firstLine="480"/>
      </w:pPr>
      <w:r>
        <w:t>经分析，项目建设过程中，一般情况下不会对饮用水水源保护区造成影响。环评要求禁止随意变更设计，特别是禁止在水源保护区内进行施工和建设活动，若因工程原因必须要在水源保护区内进行施工和建设活动的，需重新进行环境影响评价。</w:t>
      </w:r>
    </w:p>
    <w:p w14:paraId="4D4D318E">
      <w:pPr>
        <w:adjustRightInd w:val="0"/>
        <w:snapToGrid w:val="0"/>
        <w:ind w:firstLine="480"/>
      </w:pPr>
      <w:r>
        <w:rPr>
          <w:rFonts w:hint="eastAsia"/>
        </w:rPr>
        <w:t>为了降低项目施工过程中对各饮用水水源保护区产生影响</w:t>
      </w:r>
      <w:r>
        <w:t>，对于</w:t>
      </w:r>
      <w:r>
        <w:rPr>
          <w:rFonts w:hint="eastAsia"/>
        </w:rPr>
        <w:t>各</w:t>
      </w:r>
      <w:r>
        <w:t>饮用水水源保护区的保护措施主要有：</w:t>
      </w:r>
    </w:p>
    <w:p w14:paraId="2572F745">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场地开挖时，尽量使整个场地保留一定的坡度，坡度尽量从外向内倾斜，既利于排水畅通，又可防止暴雨造成回填土的冲刷。</w:t>
      </w:r>
    </w:p>
    <w:p w14:paraId="4684CE02">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场内道路开挖根据规划好的线路放好样，先清除植被集中堆放，再统一运输到 项目区外处理，道路可根据地形实地优化最佳开挖方案，尽量少回填，少造成水土流失。</w:t>
      </w:r>
    </w:p>
    <w:p w14:paraId="6FE0088D">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道路开挖阶段由于弃渣场拦挡措施没有建好，会有一定的水土流失，如开挖量较大，弃土较多时，可设一临时堆放点，用汽车运输至该临时堆放点，待弃渣场拦挡措施完善后，再运输至弃渣场统一堆放。</w:t>
      </w:r>
    </w:p>
    <w:p w14:paraId="00B503A9">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道路开挖阶段应及时开挖临时排水沟和临时沉沙池，最好两侧都设置排水沟，受条件限制的至少一侧要设置，临时沉沙池数量尽量多，减少泥沙对下游的影响。</w:t>
      </w:r>
    </w:p>
    <w:p w14:paraId="3B5A1661">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基础开挖工期尽量安排在每年的10月份以后至第二年的4月份以前，雨季尽量不安排施工，特别是3#风机及临近的道路，禁止在雨季进行施工。施工期间要密切注意天气预报，及时掌握雨情水情，确实要连续施工的，要组织人力物力，加快施工进度，缩短雨季施工时间。</w:t>
      </w:r>
    </w:p>
    <w:p w14:paraId="0A19529F">
      <w:pPr>
        <w:adjustRightInd w:val="0"/>
        <w:snapToGrid w:val="0"/>
        <w:ind w:firstLine="480"/>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t>雨天（特别是暴雨天）禁止基础开挖，同时要准备好充足的防雨材料，例如雨具、油布、彩条布等，遇突然下雨时，要对开挖面、基坑、裸露边坡、场内道路、临时堆土等进行覆盖。</w:t>
      </w:r>
    </w:p>
    <w:p w14:paraId="0883525D">
      <w:pPr>
        <w:adjustRightInd w:val="0"/>
        <w:snapToGrid w:val="0"/>
        <w:ind w:firstLine="480"/>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t>雨季施工需配备足够的编织袋，一是对有可能流失到风机场外的泥沙设置临时拦挡，二是对临时堆土进行拦挡，既防止水土流失又减少场内堆土的占地。</w:t>
      </w:r>
    </w:p>
    <w:p w14:paraId="30FB80E5">
      <w:pPr>
        <w:adjustRightInd w:val="0"/>
        <w:snapToGrid w:val="0"/>
        <w:ind w:firstLine="480"/>
      </w:pPr>
      <w:r>
        <w:fldChar w:fldCharType="begin"/>
      </w:r>
      <w:r>
        <w:instrText xml:space="preserve"> </w:instrText>
      </w:r>
      <w:r>
        <w:rPr>
          <w:rFonts w:hint="eastAsia"/>
        </w:rPr>
        <w:instrText xml:space="preserve">= 8 \* GB3</w:instrText>
      </w:r>
      <w:r>
        <w:instrText xml:space="preserve"> </w:instrText>
      </w:r>
      <w:r>
        <w:fldChar w:fldCharType="separate"/>
      </w:r>
      <w:r>
        <w:rPr>
          <w:rFonts w:hint="eastAsia"/>
        </w:rPr>
        <w:t>⑧</w:t>
      </w:r>
      <w:r>
        <w:fldChar w:fldCharType="end"/>
      </w:r>
      <w:r>
        <w:t>风机基础开挖边坡成型后，在边坡顶上两侧开挖截水沟，截水沟用浆砌石或混凝土现浇，底端设置沉沙池。</w:t>
      </w:r>
    </w:p>
    <w:p w14:paraId="3B8C9321">
      <w:pPr>
        <w:adjustRightInd w:val="0"/>
        <w:snapToGrid w:val="0"/>
        <w:ind w:firstLine="480"/>
      </w:pPr>
      <w:r>
        <w:fldChar w:fldCharType="begin"/>
      </w:r>
      <w:r>
        <w:instrText xml:space="preserve"> </w:instrText>
      </w:r>
      <w:r>
        <w:rPr>
          <w:rFonts w:hint="eastAsia"/>
        </w:rPr>
        <w:instrText xml:space="preserve">= 9 \* GB3</w:instrText>
      </w:r>
      <w:r>
        <w:instrText xml:space="preserve"> </w:instrText>
      </w:r>
      <w:r>
        <w:fldChar w:fldCharType="separate"/>
      </w:r>
      <w:r>
        <w:rPr>
          <w:rFonts w:hint="eastAsia"/>
        </w:rPr>
        <w:t>⑨</w:t>
      </w:r>
      <w:r>
        <w:fldChar w:fldCharType="end"/>
      </w:r>
      <w:r>
        <w:t>风机、道路填筑边坡采取撒播草籽的方式恢复植被。弃渣场边坡和顶面采取撒播草籽的方式恢复植被，同时配套栽种乔木和灌木。</w:t>
      </w:r>
    </w:p>
    <w:p w14:paraId="1AF52CD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8.1.3施工期</w:t>
      </w:r>
      <w:r>
        <w:rPr>
          <w:rFonts w:hint="eastAsia" w:ascii="Times New Roman" w:eastAsia="宋体"/>
          <w:sz w:val="28"/>
          <w:szCs w:val="28"/>
          <w:lang w:val="en-US"/>
        </w:rPr>
        <w:t>噪声</w:t>
      </w:r>
      <w:r>
        <w:rPr>
          <w:rFonts w:ascii="Times New Roman" w:eastAsia="宋体"/>
          <w:sz w:val="28"/>
          <w:szCs w:val="28"/>
          <w:lang w:val="en-US"/>
        </w:rPr>
        <w:t>污染防治措施分析</w:t>
      </w:r>
    </w:p>
    <w:p w14:paraId="4AC5CB08">
      <w:pPr>
        <w:tabs>
          <w:tab w:val="clear" w:pos="480"/>
        </w:tabs>
        <w:adjustRightInd w:val="0"/>
        <w:snapToGrid w:val="0"/>
        <w:ind w:firstLine="0" w:firstLineChars="0"/>
        <w:outlineLvl w:val="3"/>
        <w:rPr>
          <w:b/>
          <w:kern w:val="0"/>
          <w:lang w:val="zh-CN"/>
        </w:rPr>
      </w:pPr>
      <w:r>
        <w:rPr>
          <w:b/>
          <w:kern w:val="0"/>
          <w:lang w:val="zh-CN"/>
        </w:rPr>
        <w:t>8.1.3.1</w:t>
      </w:r>
      <w:r>
        <w:rPr>
          <w:rFonts w:hint="eastAsia"/>
          <w:b/>
          <w:kern w:val="0"/>
          <w:lang w:val="zh-CN"/>
        </w:rPr>
        <w:t>噪声源可控制措施</w:t>
      </w:r>
    </w:p>
    <w:p w14:paraId="210AE213">
      <w:pPr>
        <w:adjustRightInd w:val="0"/>
        <w:snapToGrid w:val="0"/>
        <w:ind w:firstLine="480"/>
      </w:pPr>
      <w:r>
        <w:t>主要是指固定点源控制</w:t>
      </w:r>
    </w:p>
    <w:p w14:paraId="398FC985">
      <w:pPr>
        <w:adjustRightInd w:val="0"/>
        <w:snapToGrid w:val="0"/>
        <w:ind w:firstLine="480"/>
      </w:pPr>
      <w:r>
        <w:rPr>
          <w:rFonts w:hint="eastAsia"/>
        </w:rPr>
        <w:t>①</w:t>
      </w:r>
      <w:r>
        <w:t>施工单位尽量选用低噪声的施工机械和设备，从源头上降低噪声的影响。应尽量缩短高噪音机械设备的使用时间，配备、使用减震坐垫和隔音装置，降低噪声源的声级强度；</w:t>
      </w:r>
    </w:p>
    <w:p w14:paraId="5C32CC41">
      <w:pPr>
        <w:adjustRightInd w:val="0"/>
        <w:snapToGrid w:val="0"/>
        <w:ind w:firstLine="480"/>
      </w:pPr>
      <w:r>
        <w:rPr>
          <w:rFonts w:hint="eastAsia"/>
        </w:rPr>
        <w:t>②</w:t>
      </w:r>
      <w:r>
        <w:t>加强设备的维护和保养，保持机械润滑，降低运行噪声；</w:t>
      </w:r>
    </w:p>
    <w:p w14:paraId="23D2CAC2">
      <w:pPr>
        <w:adjustRightInd w:val="0"/>
        <w:snapToGrid w:val="0"/>
        <w:ind w:firstLine="480"/>
      </w:pPr>
      <w:r>
        <w:rPr>
          <w:rFonts w:hint="eastAsia"/>
        </w:rPr>
        <w:t>③</w:t>
      </w:r>
      <w:r>
        <w:t>施工爆破过程中，优先采用先进爆破技术，如微差松动爆破可降低噪声 3~10dB</w:t>
      </w:r>
      <w:r>
        <w:rPr>
          <w:rFonts w:hint="eastAsia"/>
        </w:rPr>
        <w:t>。</w:t>
      </w:r>
    </w:p>
    <w:p w14:paraId="68B93297">
      <w:pPr>
        <w:tabs>
          <w:tab w:val="clear" w:pos="480"/>
        </w:tabs>
        <w:adjustRightInd w:val="0"/>
        <w:snapToGrid w:val="0"/>
        <w:ind w:firstLine="0" w:firstLineChars="0"/>
        <w:outlineLvl w:val="3"/>
        <w:rPr>
          <w:b/>
          <w:kern w:val="0"/>
          <w:lang w:val="zh-CN"/>
        </w:rPr>
      </w:pPr>
      <w:r>
        <w:rPr>
          <w:b/>
          <w:kern w:val="0"/>
          <w:lang w:val="zh-CN"/>
        </w:rPr>
        <w:t>8.1.3.2</w:t>
      </w:r>
      <w:r>
        <w:rPr>
          <w:rFonts w:hint="eastAsia"/>
          <w:b/>
          <w:kern w:val="0"/>
          <w:lang w:val="zh-CN"/>
        </w:rPr>
        <w:t>施工期噪声控制措施</w:t>
      </w:r>
    </w:p>
    <w:p w14:paraId="23D6BAF3">
      <w:pPr>
        <w:adjustRightInd w:val="0"/>
        <w:snapToGrid w:val="0"/>
        <w:ind w:firstLine="480"/>
      </w:pPr>
      <w:r>
        <w:t>为降低进场改建道路、场内新建道路及进站新建道路施工和车辆运输对本项目新建和改建道路沿线居民的影响，应采取以下措施：</w:t>
      </w:r>
    </w:p>
    <w:p w14:paraId="7FCECBEC">
      <w:pPr>
        <w:adjustRightInd w:val="0"/>
        <w:snapToGrid w:val="0"/>
        <w:ind w:firstLine="480"/>
      </w:pPr>
      <w:r>
        <w:rPr>
          <w:rFonts w:hint="eastAsia"/>
        </w:rPr>
        <w:t>①</w:t>
      </w:r>
      <w:r>
        <w:t>施工单位必须选用符合国家有关环境保护标准的施工机械，如运输车辆噪声符合《汽车定置噪声限制》(GB16170-1996)和《机动车辆允许噪声》(GB1495-79)，其它施工机械符合 GB12523-2011《建筑施工场界环境噪声排放标准》，从根本上降低噪声源强。</w:t>
      </w:r>
    </w:p>
    <w:p w14:paraId="3B722029">
      <w:pPr>
        <w:adjustRightInd w:val="0"/>
        <w:snapToGrid w:val="0"/>
        <w:ind w:firstLine="480"/>
      </w:pPr>
      <w:r>
        <w:rPr>
          <w:rFonts w:hint="eastAsia"/>
        </w:rPr>
        <w:t>②</w:t>
      </w:r>
      <w:r>
        <w:t>施工中，加强各种机械设备的维修和保养，做好机械设备使用前的检修，使设备性能处于良好状态，运行时可减少噪声。</w:t>
      </w:r>
    </w:p>
    <w:p w14:paraId="24488F73">
      <w:pPr>
        <w:adjustRightInd w:val="0"/>
        <w:snapToGrid w:val="0"/>
        <w:ind w:firstLine="480"/>
      </w:pPr>
      <w:r>
        <w:rPr>
          <w:rFonts w:hint="eastAsia"/>
        </w:rPr>
        <w:t>③</w:t>
      </w:r>
      <w:r>
        <w:t>进场改建道路、场内新建道路及进站新建道路施工应尽量缩短高噪声施工作业、机械设备的使用时间，靠近居民路段应禁止夜间施工，昼间尽量在上午 8:30～11:30、下午 2:30～6:30 进行施工；并尽量知会受影响的居民，做好防范措施。</w:t>
      </w:r>
    </w:p>
    <w:p w14:paraId="0EB3FE5B">
      <w:pPr>
        <w:adjustRightInd w:val="0"/>
        <w:snapToGrid w:val="0"/>
        <w:ind w:firstLine="480"/>
      </w:pPr>
      <w:r>
        <w:rPr>
          <w:rFonts w:hint="eastAsia"/>
        </w:rPr>
        <w:t>④</w:t>
      </w:r>
      <w:r>
        <w:t>为减少施工运输车辆对运输道路两侧居民</w:t>
      </w:r>
      <w:r>
        <w:rPr>
          <w:rFonts w:hint="eastAsia"/>
        </w:rPr>
        <w:t>的影响</w:t>
      </w:r>
      <w:r>
        <w:t>，材料运输应选在白天进行，同时加强道路养护和车辆的维修保养，在靠近居民路段设减速</w:t>
      </w:r>
      <w:r>
        <w:rPr>
          <w:rFonts w:hint="eastAsia"/>
        </w:rPr>
        <w:t>禁鸣</w:t>
      </w:r>
      <w:r>
        <w:t>警示牌，降低机动</w:t>
      </w:r>
      <w:r>
        <w:rPr>
          <w:rFonts w:hint="eastAsia"/>
          <w:lang w:eastAsia="zh-CN"/>
        </w:rPr>
        <w:t>车辆行驶</w:t>
      </w:r>
      <w:r>
        <w:t>的振动速度。</w:t>
      </w:r>
    </w:p>
    <w:p w14:paraId="2A3198CA">
      <w:pPr>
        <w:adjustRightInd w:val="0"/>
        <w:snapToGrid w:val="0"/>
        <w:ind w:firstLine="480"/>
      </w:pPr>
      <w:r>
        <w:rPr>
          <w:rFonts w:hint="eastAsia"/>
        </w:rPr>
        <w:t>⑤</w:t>
      </w:r>
      <w:r>
        <w:t>应加强施工管理措施，要求该区域施工发包合同条款中具有声环境质量保护条款，同时进行噪声监测、环境保护工程监理和政府及社会各界的监督。</w:t>
      </w:r>
    </w:p>
    <w:p w14:paraId="4BBF4BE8">
      <w:pPr>
        <w:adjustRightInd w:val="0"/>
        <w:snapToGrid w:val="0"/>
        <w:ind w:firstLine="480"/>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rPr>
          <w:rFonts w:hint="eastAsia"/>
        </w:rPr>
        <w:t>距运输道路较近的居民点设置减速和禁鸣标识。在道路两侧较近的集中居民点时，严禁鸣笛，减速慢行降低对周边声环境的影响。</w:t>
      </w:r>
    </w:p>
    <w:p w14:paraId="04CFEAE9">
      <w:pPr>
        <w:tabs>
          <w:tab w:val="clear" w:pos="480"/>
        </w:tabs>
        <w:adjustRightInd w:val="0"/>
        <w:snapToGrid w:val="0"/>
        <w:ind w:firstLine="0" w:firstLineChars="0"/>
        <w:outlineLvl w:val="3"/>
        <w:rPr>
          <w:b/>
          <w:kern w:val="0"/>
          <w:lang w:val="zh-CN"/>
        </w:rPr>
      </w:pPr>
      <w:r>
        <w:rPr>
          <w:b/>
          <w:kern w:val="0"/>
          <w:lang w:val="zh-CN"/>
        </w:rPr>
        <w:t>8.1.3.3</w:t>
      </w:r>
      <w:r>
        <w:rPr>
          <w:rFonts w:hint="eastAsia"/>
          <w:b/>
          <w:kern w:val="0"/>
          <w:lang w:val="zh-CN"/>
        </w:rPr>
        <w:t>其他措施</w:t>
      </w:r>
    </w:p>
    <w:p w14:paraId="3773A823">
      <w:pPr>
        <w:adjustRightInd w:val="0"/>
        <w:snapToGrid w:val="0"/>
        <w:ind w:firstLine="480"/>
      </w:pPr>
      <w:r>
        <w:t>（1）合理安排施工时间</w:t>
      </w:r>
    </w:p>
    <w:p w14:paraId="6B062918">
      <w:pPr>
        <w:adjustRightInd w:val="0"/>
        <w:snapToGrid w:val="0"/>
        <w:ind w:firstLine="480"/>
      </w:pPr>
      <w:r>
        <w:t>施工单位应合理安排施工时间，严禁夜间进行爆破等源强大的施工活动，尽量避免夜间施工，防止对周围居民的噪声干扰。</w:t>
      </w:r>
    </w:p>
    <w:p w14:paraId="66636A83">
      <w:pPr>
        <w:adjustRightInd w:val="0"/>
        <w:snapToGrid w:val="0"/>
        <w:ind w:firstLine="480"/>
      </w:pPr>
      <w:r>
        <w:t>（2）劳动保护措施</w:t>
      </w:r>
    </w:p>
    <w:p w14:paraId="0EFA19E8">
      <w:pPr>
        <w:adjustRightInd w:val="0"/>
        <w:snapToGrid w:val="0"/>
        <w:ind w:firstLine="480"/>
      </w:pPr>
      <w:r>
        <w:t>对于强噪声源，如作业区，尽量提高作业的自动化程度，实现远距离的监视操作，既可以减少作业人员，又可以使作业人员尽量远离噪声源。在施工过程中，</w:t>
      </w:r>
    </w:p>
    <w:p w14:paraId="2BC0857E">
      <w:pPr>
        <w:adjustRightInd w:val="0"/>
        <w:snapToGrid w:val="0"/>
        <w:ind w:firstLine="480"/>
      </w:pPr>
      <w:r>
        <w:t>当施工人员进入强噪声环境中作业时，如凿岩、钻孔、开挖、机械检修工等，应给施工人员配戴防噪声耳塞、耳罩、防声棉、防噪声头盔等个人防护工具，具体的防护工具根据不同岗位择优选取使用。</w:t>
      </w:r>
    </w:p>
    <w:p w14:paraId="13CDECB2">
      <w:pPr>
        <w:adjustRightInd w:val="0"/>
        <w:snapToGrid w:val="0"/>
        <w:ind w:firstLine="480"/>
      </w:pPr>
      <w:r>
        <w:t>（3）发布公告公示</w:t>
      </w:r>
    </w:p>
    <w:p w14:paraId="5DFE2BCC">
      <w:pPr>
        <w:adjustRightInd w:val="0"/>
        <w:snapToGrid w:val="0"/>
        <w:ind w:firstLine="480"/>
      </w:pPr>
      <w:r>
        <w:t>加强与敏感点的沟通，在施工前首先在工程影响范围内，特别是工程周边敏感目标处，以张贴公告或其他方式对施工情况发布公告，以获得谅解。</w:t>
      </w:r>
    </w:p>
    <w:p w14:paraId="7AE327B8">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8.1.4施工期</w:t>
      </w:r>
      <w:r>
        <w:rPr>
          <w:rFonts w:hint="eastAsia" w:ascii="Times New Roman" w:eastAsia="宋体"/>
          <w:sz w:val="28"/>
          <w:szCs w:val="28"/>
          <w:lang w:val="en-US"/>
        </w:rPr>
        <w:t>固体废物</w:t>
      </w:r>
      <w:r>
        <w:rPr>
          <w:rFonts w:ascii="Times New Roman" w:eastAsia="宋体"/>
          <w:sz w:val="28"/>
          <w:szCs w:val="28"/>
          <w:lang w:val="en-US"/>
        </w:rPr>
        <w:t>污染防治措施分析</w:t>
      </w:r>
    </w:p>
    <w:p w14:paraId="7777AC49">
      <w:pPr>
        <w:adjustRightInd w:val="0"/>
        <w:snapToGrid w:val="0"/>
        <w:ind w:firstLine="480"/>
      </w:pPr>
      <w:r>
        <w:t>（1）工程弃渣</w:t>
      </w:r>
    </w:p>
    <w:p w14:paraId="451962D5">
      <w:pPr>
        <w:adjustRightInd w:val="0"/>
        <w:snapToGrid w:val="0"/>
        <w:ind w:firstLine="480"/>
      </w:pPr>
      <w:r>
        <w:t>本项目产生的废弃土石方和沉淀池沉渣均送弃渣场处理。为了防止弃渣增加水土流失量，应该对弃渣采取妥善处理处置措施。堆渣前，先拦后弃，砌筑挡墙，在弃渣的过程中要逐层压实，始终保持渣场平整，并且根据弃渣场的现状，修建完善的截排水设施和沉砂池等防护设施，并考虑场内排水，从而避免环境污染和水土流失。施工完毕后要对渣场进行迹地恢复，加强植树种草等绿化措施，防治水土流失。渣场须严格按照水土保持方案有关要求进行防护措施设计，具体措施见“水土保持方案”章节。为防止各渣场受降水影响而出现滑坡或被暴雨洪水冲溃的可能，堆渣时严格控制边坡坡度；运行期设置水土保持监测点，对渣体稳定性进行监测，及时发现并排除险情。</w:t>
      </w:r>
    </w:p>
    <w:p w14:paraId="79F15806">
      <w:pPr>
        <w:adjustRightInd w:val="0"/>
        <w:snapToGrid w:val="0"/>
        <w:ind w:firstLine="480"/>
      </w:pPr>
      <w:r>
        <w:t>（2）生活垃圾</w:t>
      </w:r>
    </w:p>
    <w:p w14:paraId="3ACAC56E">
      <w:pPr>
        <w:adjustRightInd w:val="0"/>
        <w:snapToGrid w:val="0"/>
        <w:ind w:firstLine="480"/>
      </w:pPr>
      <w:r>
        <w:t>为预防施工区生活垃圾任意堆放和丢弃而污染环境，按照《城市环境卫生设施设置标准》(CJJ27-2005)的相关要求，施工期间在每个施工区设立垃圾桶(箱)，安排专人定期定点收集生活垃圾，交由乡镇环卫部门统一收集后进行卫生填埋。</w:t>
      </w:r>
    </w:p>
    <w:p w14:paraId="1004F27E">
      <w:pPr>
        <w:adjustRightInd w:val="0"/>
        <w:snapToGrid w:val="0"/>
        <w:ind w:firstLine="480"/>
      </w:pPr>
      <w:r>
        <w:rPr>
          <w:rFonts w:hint="eastAsia"/>
        </w:rPr>
        <w:t>（3）沉淀池沉渣</w:t>
      </w:r>
    </w:p>
    <w:p w14:paraId="28D783F9">
      <w:pPr>
        <w:adjustRightInd w:val="0"/>
        <w:snapToGrid w:val="0"/>
        <w:ind w:firstLine="480"/>
      </w:pPr>
      <w:r>
        <w:rPr>
          <w:rFonts w:hint="eastAsia"/>
        </w:rPr>
        <w:t>施工过程中产生的沉淀池沉渣送就近弃渣场</w:t>
      </w:r>
      <w:r>
        <w:t>。</w:t>
      </w:r>
    </w:p>
    <w:p w14:paraId="6EEEA3C6">
      <w:pPr>
        <w:adjustRightInd w:val="0"/>
        <w:snapToGrid w:val="0"/>
        <w:ind w:firstLine="480"/>
      </w:pPr>
      <w:r>
        <w:rPr>
          <w:rFonts w:hint="eastAsia"/>
        </w:rPr>
        <w:t>（4）施工期危险废物</w:t>
      </w:r>
    </w:p>
    <w:p w14:paraId="540DC53C">
      <w:pPr>
        <w:adjustRightInd w:val="0"/>
        <w:snapToGrid w:val="0"/>
        <w:ind w:firstLine="480"/>
      </w:pPr>
      <w:r>
        <w:rPr>
          <w:rFonts w:hint="eastAsia"/>
        </w:rPr>
        <w:t>本项目机械修配场主要承担施工机械的小修及简单零件和金属构件的加工任务，施工期产生的危险废物主要为废机油、含油抹布，由于施工期维修量很少，故废机油和含油抹布产生量极少。本项目施工期若产生废机油和含油抹布，环评要求，建设单位将产生的废机油和含油抹布委托有资质的单位处理。</w:t>
      </w:r>
    </w:p>
    <w:p w14:paraId="2F5474A0">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8.1.5施工期</w:t>
      </w:r>
      <w:r>
        <w:rPr>
          <w:rFonts w:hint="eastAsia" w:ascii="Times New Roman" w:eastAsia="宋体"/>
          <w:sz w:val="28"/>
          <w:szCs w:val="28"/>
          <w:lang w:val="en-US"/>
        </w:rPr>
        <w:t>生态环境保护</w:t>
      </w:r>
      <w:r>
        <w:rPr>
          <w:rFonts w:ascii="Times New Roman" w:eastAsia="宋体"/>
          <w:sz w:val="28"/>
          <w:szCs w:val="28"/>
          <w:lang w:val="en-US"/>
        </w:rPr>
        <w:t>措施分析</w:t>
      </w:r>
    </w:p>
    <w:p w14:paraId="560AF232">
      <w:pPr>
        <w:tabs>
          <w:tab w:val="clear" w:pos="480"/>
        </w:tabs>
        <w:adjustRightInd w:val="0"/>
        <w:snapToGrid w:val="0"/>
        <w:ind w:firstLine="0" w:firstLineChars="0"/>
        <w:outlineLvl w:val="3"/>
        <w:rPr>
          <w:b/>
          <w:kern w:val="0"/>
          <w:lang w:val="zh-CN"/>
        </w:rPr>
      </w:pPr>
      <w:r>
        <w:rPr>
          <w:b/>
          <w:kern w:val="0"/>
          <w:lang w:val="zh-CN"/>
        </w:rPr>
        <w:t>8.1.5.1</w:t>
      </w:r>
      <w:r>
        <w:rPr>
          <w:rFonts w:hint="eastAsia"/>
          <w:b/>
          <w:kern w:val="0"/>
          <w:lang w:val="zh-CN"/>
        </w:rPr>
        <w:t>工程占地生态保护措施</w:t>
      </w:r>
    </w:p>
    <w:p w14:paraId="7CFA3A5B">
      <w:pPr>
        <w:adjustRightInd w:val="0"/>
        <w:snapToGrid w:val="0"/>
        <w:ind w:firstLine="480"/>
      </w:pPr>
      <w:r>
        <w:t>（1）永久占地生态影响减缓措施</w:t>
      </w:r>
    </w:p>
    <w:p w14:paraId="269DBF3A">
      <w:pPr>
        <w:adjustRightInd w:val="0"/>
        <w:snapToGrid w:val="0"/>
        <w:ind w:firstLine="480"/>
      </w:pPr>
      <w:r>
        <w:t>项目风机基础、箱变基础、升压站等永久占地严格根据施工规范施工，避免因增加施工占地进一步造成对周边地表植被破坏；项目各风机机位均布置山头上，尽量利用植被条件较差的区域，在借土填筑路基时，做好填挖平衡，开挖产生的弃土主要就近回填道路；同时严格按照设计要求控制各种施工场地用地面积，防止滥用土地，以减少对植被的破坏。</w:t>
      </w:r>
    </w:p>
    <w:p w14:paraId="0CBDEBD1">
      <w:pPr>
        <w:adjustRightInd w:val="0"/>
        <w:snapToGrid w:val="0"/>
        <w:ind w:firstLine="480"/>
      </w:pPr>
      <w:r>
        <w:t>（2）临时占地生态保护措施</w:t>
      </w:r>
    </w:p>
    <w:p w14:paraId="6D0C58EF">
      <w:pPr>
        <w:adjustRightInd w:val="0"/>
        <w:snapToGrid w:val="0"/>
        <w:ind w:firstLine="480"/>
      </w:pPr>
      <w:r>
        <w:rPr>
          <w:rFonts w:hint="eastAsia"/>
        </w:rPr>
        <w:t>①</w:t>
      </w:r>
      <w:r>
        <w:t>项目风机安装场地、施工道路等临时占地施工时也应严格按照施工规范进行，不得扩大临时占地施工区域，避免进一步扩大对周边区域地表植被的破坏。就近利用洼地、道路内弯堆积废方并做好挡墙等水土保持设施，如就近没有挖方可以利用，也可选择植被比较稀疏、运输又较为方便的山坡、低丘等地，采取集中取土的措施，把修路造地和平整土地较好地结合起来。</w:t>
      </w:r>
    </w:p>
    <w:p w14:paraId="0DBCC8E1">
      <w:pPr>
        <w:adjustRightInd w:val="0"/>
        <w:snapToGrid w:val="0"/>
        <w:ind w:firstLine="480"/>
      </w:pPr>
      <w:r>
        <w:rPr>
          <w:rFonts w:hint="eastAsia"/>
        </w:rPr>
        <w:t>②</w:t>
      </w:r>
      <w:r>
        <w:t>设置施工生产区一处，结合项目区域实际情况，设置在升压站一侧，尽量减少施工营地的临时占地面积；同时避免占用耕地，主要为荒地和草地。</w:t>
      </w:r>
    </w:p>
    <w:p w14:paraId="1E73238D">
      <w:pPr>
        <w:adjustRightInd w:val="0"/>
        <w:snapToGrid w:val="0"/>
        <w:ind w:firstLine="480"/>
      </w:pPr>
      <w:r>
        <w:rPr>
          <w:rFonts w:hint="eastAsia"/>
        </w:rPr>
        <w:t>③</w:t>
      </w:r>
      <w:r>
        <w:t>施工道路生态保护措施</w:t>
      </w:r>
    </w:p>
    <w:p w14:paraId="42279A76">
      <w:pPr>
        <w:adjustRightInd w:val="0"/>
        <w:snapToGrid w:val="0"/>
        <w:ind w:firstLine="480"/>
      </w:pPr>
      <w:r>
        <w:t>a合理规划设计施工道路，采取半挖变填方式减少占地和弃土产生的环境影响，减少新增临时占地；线路穿越林地时，尽量选择在森林的边缘穿过，以避免形成新的隔离带，山体易滑坡的地方，施工后及时种植一些根系发达的物种或者建好防护坡，以防止因为施工道路的修建造成新的水土流失。</w:t>
      </w:r>
    </w:p>
    <w:p w14:paraId="045D6A3A">
      <w:pPr>
        <w:adjustRightInd w:val="0"/>
        <w:snapToGrid w:val="0"/>
        <w:ind w:firstLine="480"/>
      </w:pPr>
      <w:r>
        <w:t>b新建施工道路应在保证满足施工运输的前提下，进一步缩减施工道路宽度，减少临时占地；施工道路设置为泥结碎石路面，以便于施工结束后施工道路临时占地的清理整治和植被恢复。</w:t>
      </w:r>
    </w:p>
    <w:p w14:paraId="0EC0DFE1">
      <w:pPr>
        <w:adjustRightInd w:val="0"/>
        <w:snapToGrid w:val="0"/>
        <w:ind w:firstLine="480"/>
      </w:pPr>
      <w:r>
        <w:rPr>
          <w:rFonts w:hint="eastAsia"/>
        </w:rPr>
        <w:t>④</w:t>
      </w:r>
      <w:r>
        <w:t>弃渣场生态保护措施</w:t>
      </w:r>
    </w:p>
    <w:p w14:paraId="1859860B">
      <w:pPr>
        <w:adjustRightInd w:val="0"/>
        <w:snapToGrid w:val="0"/>
        <w:ind w:firstLine="480"/>
      </w:pPr>
      <w:r>
        <w:t>a 截排水措施</w:t>
      </w:r>
    </w:p>
    <w:p w14:paraId="3D781C87">
      <w:pPr>
        <w:adjustRightInd w:val="0"/>
        <w:snapToGrid w:val="0"/>
        <w:ind w:firstLine="480"/>
      </w:pPr>
      <w:r>
        <w:t>按照“上截下拦”的原则，该类型弃渣场需在上游沿等高线及边坡修建截水沟，拦截并引开上游坡面径流；弃渣场两侧、下游及弃渣边坡坡顶设臵浆砌石排水沟，将场内外汇水排出；堆渣顶应根据渣场推进方向、弃渣方向及积水情况开挖临时排水沟，连接周边浆砌石排水沟；各类截排水沟、临时排水设施须通过沉沙池连接，并通过沉沙池沉降后排入周边排水系统；</w:t>
      </w:r>
    </w:p>
    <w:p w14:paraId="43EB3A4A">
      <w:pPr>
        <w:adjustRightInd w:val="0"/>
        <w:snapToGrid w:val="0"/>
        <w:ind w:firstLine="480"/>
      </w:pPr>
      <w:r>
        <w:t>b 拦挡措施</w:t>
      </w:r>
    </w:p>
    <w:p w14:paraId="3227FB28">
      <w:pPr>
        <w:adjustRightInd w:val="0"/>
        <w:snapToGrid w:val="0"/>
        <w:ind w:firstLine="480"/>
      </w:pPr>
      <w:r>
        <w:t>严格按照“先拦后弃”的要求，弃渣前在弃渣场下边坡坡脚修建挡渣墙；为保证弃渣边坡的稳定，从挡渣墙顶至弃渣面按1:1.5放坡。</w:t>
      </w:r>
    </w:p>
    <w:p w14:paraId="42DAF1F1">
      <w:pPr>
        <w:adjustRightInd w:val="0"/>
        <w:snapToGrid w:val="0"/>
        <w:ind w:firstLine="480"/>
      </w:pPr>
      <w:r>
        <w:t>c整地及迹地恢复措施</w:t>
      </w:r>
    </w:p>
    <w:p w14:paraId="64807E2B">
      <w:pPr>
        <w:adjustRightInd w:val="0"/>
        <w:snapToGrid w:val="0"/>
        <w:ind w:firstLine="480"/>
      </w:pPr>
      <w:r>
        <w:t>弃渣结束后对弃渣面及边坡进行平整，回填种植土，弃渣边坡采用植假俭草草皮护坡。</w:t>
      </w:r>
    </w:p>
    <w:p w14:paraId="30752CBC">
      <w:pPr>
        <w:adjustRightInd w:val="0"/>
        <w:snapToGrid w:val="0"/>
        <w:ind w:firstLine="480"/>
      </w:pPr>
      <w:r>
        <w:t>d其它措施</w:t>
      </w:r>
    </w:p>
    <w:p w14:paraId="1A41FE78">
      <w:pPr>
        <w:adjustRightInd w:val="0"/>
        <w:snapToGrid w:val="0"/>
        <w:ind w:firstLine="480"/>
      </w:pPr>
      <w:r>
        <w:t>为保护土壤资源，弃渣场施工前需将弃渣场内的表土剥离并集中保存，表土采取彩条布覆盖防护。</w:t>
      </w:r>
    </w:p>
    <w:p w14:paraId="70CBF0B9">
      <w:pPr>
        <w:adjustRightInd w:val="0"/>
        <w:snapToGrid w:val="0"/>
        <w:ind w:firstLine="480"/>
      </w:pPr>
      <w:r>
        <w:fldChar w:fldCharType="begin"/>
      </w:r>
      <w:r>
        <w:instrText xml:space="preserve"> = 5 \* GB3 </w:instrText>
      </w:r>
      <w:r>
        <w:fldChar w:fldCharType="separate"/>
      </w:r>
      <w:r>
        <w:rPr>
          <w:rFonts w:hint="eastAsia"/>
        </w:rPr>
        <w:t>⑤</w:t>
      </w:r>
      <w:r>
        <w:fldChar w:fldCharType="end"/>
      </w:r>
      <w:r>
        <w:t>表土生态保护措施</w:t>
      </w:r>
    </w:p>
    <w:p w14:paraId="5ADECCB6">
      <w:pPr>
        <w:adjustRightInd w:val="0"/>
        <w:snapToGrid w:val="0"/>
        <w:ind w:firstLine="480"/>
      </w:pPr>
      <w:r>
        <w:t>为保护有限的表土资源，施工前对风机平台、施工道路、弃渣场、施工生产区等临时占地表层土进行剥离，用于后期植被恢复覆土，根据项目区实际情况，表土平均剥离厚度为30cm，剥离的表层土集中堆置区内地势较平缓的空地。各项工程施工前或开挖前，先剥离表层土，应设置表土临时堆场，临时堆土堆高小于3m，堆放边坡不超过1:1。项目表土堆场四周应设置截排水沟，且设置挡土墙。</w:t>
      </w:r>
    </w:p>
    <w:p w14:paraId="30604459">
      <w:pPr>
        <w:tabs>
          <w:tab w:val="clear" w:pos="480"/>
        </w:tabs>
        <w:adjustRightInd w:val="0"/>
        <w:snapToGrid w:val="0"/>
        <w:ind w:firstLine="0" w:firstLineChars="0"/>
        <w:outlineLvl w:val="3"/>
        <w:rPr>
          <w:b/>
          <w:kern w:val="0"/>
          <w:lang w:val="zh-CN"/>
        </w:rPr>
      </w:pPr>
      <w:r>
        <w:rPr>
          <w:b/>
          <w:kern w:val="0"/>
          <w:lang w:val="zh-CN"/>
        </w:rPr>
        <w:t>8.1.5.2</w:t>
      </w:r>
      <w:r>
        <w:rPr>
          <w:rFonts w:hint="eastAsia"/>
          <w:b/>
          <w:kern w:val="0"/>
          <w:lang w:val="zh-CN"/>
        </w:rPr>
        <w:t>陆生植物生态环境保护措施</w:t>
      </w:r>
    </w:p>
    <w:p w14:paraId="782AE930">
      <w:pPr>
        <w:tabs>
          <w:tab w:val="clear" w:pos="480"/>
        </w:tabs>
        <w:adjustRightInd w:val="0"/>
        <w:snapToGrid w:val="0"/>
        <w:ind w:firstLine="482"/>
        <w:rPr>
          <w:b/>
          <w:bCs/>
        </w:rPr>
      </w:pPr>
      <w:r>
        <w:rPr>
          <w:rFonts w:hint="eastAsia"/>
          <w:b/>
          <w:bCs/>
        </w:rPr>
        <w:t>（1）生态环境的避让措施</w:t>
      </w:r>
    </w:p>
    <w:p w14:paraId="2140D4FE">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优化场内道路的布设，应尽量利用现有乡村小路、山间便道或防火带作为施工道路，尽量选择荒地、未利用地等区域，减轻工程对评价区林地的破坏。</w:t>
      </w:r>
    </w:p>
    <w:p w14:paraId="4F37E62B">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优化风电机组区施工布置，风机基础平台应尽量利用山头的自然地势和环境，杜绝对山头进行大面积平整，避开植被发育、地形险要区域，尽量选择在山势较为平缓的山脊建设。</w:t>
      </w:r>
    </w:p>
    <w:p w14:paraId="2E85EDEB">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优化临时占地区的选址，本工程临时占地区主要有弃渣场区、生产生活区、临时道路区等，临时占地区选址应尽量选择裸地、荒地、未利用地，对临时占地区采取“永临结合”的方式，尽量减小本工程对占用区植被的影响。施工结束后，应及时对临时占地区域采取平整压实处理，避免水土流失等对植被的破坏。</w:t>
      </w:r>
    </w:p>
    <w:p w14:paraId="6305123B">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加强施工监理，施工活动要保证在征地红线范围内进行，禁止施工人员越线施工。施工便道及临时占地要尽量选用已有的便道，或缩小范围，以减少对草地和林地的占用。</w:t>
      </w:r>
    </w:p>
    <w:p w14:paraId="549954AC">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工程取、施工营地、材料堆场等临时占地应当尽量选在荒地或草地，以减少对林地等地区的损害。</w:t>
      </w:r>
    </w:p>
    <w:p w14:paraId="19523243">
      <w:pPr>
        <w:tabs>
          <w:tab w:val="clear" w:pos="480"/>
        </w:tabs>
        <w:adjustRightInd w:val="0"/>
        <w:snapToGrid w:val="0"/>
        <w:ind w:firstLine="482"/>
        <w:rPr>
          <w:b/>
          <w:bCs/>
        </w:rPr>
      </w:pPr>
      <w:r>
        <w:rPr>
          <w:rFonts w:hint="eastAsia"/>
          <w:b/>
          <w:bCs/>
        </w:rPr>
        <w:t>（2）生态环境的减缓措施</w:t>
      </w:r>
    </w:p>
    <w:p w14:paraId="015EFDC6">
      <w:pPr>
        <w:adjustRightInd w:val="0"/>
        <w:snapToGrid w:val="0"/>
        <w:ind w:firstLine="480"/>
      </w:pPr>
      <w:r>
        <w:t>生态影响的削减是对难以避免的不利生态影响采取一定措施减轻受影响的范围和程度。生态影响的削减通常是采取先进的生态设计方法减少损失。根据工程特点，建议采用以下生态影响的消减措施。</w:t>
      </w:r>
    </w:p>
    <w:p w14:paraId="343A48B5">
      <w:pPr>
        <w:adjustRightInd w:val="0"/>
        <w:snapToGrid w:val="0"/>
        <w:ind w:firstLine="480"/>
      </w:pPr>
      <w:r>
        <w:t>（1）为了防止施工占地区表层土的损耗，风机基础、箱变基础、电缆沟等地开挖时，应将表层土与下层土分开，要求将施工开挖地表面30cm厚的表层土剥离，进行留存用于今后的回填，以恢复土壤理化性质。待施工结束后用于施工场地平整，进行绿化。临时表土堆存场应采取设土袋挡护、拍实、表层覆盖草垫或苫盖纤维布等覆盖物，进行临时防护。</w:t>
      </w:r>
    </w:p>
    <w:p w14:paraId="3B040EF0">
      <w:pPr>
        <w:adjustRightInd w:val="0"/>
        <w:snapToGrid w:val="0"/>
        <w:ind w:firstLine="480"/>
      </w:pPr>
      <w:r>
        <w:t>（2）对于确是需要在坡度大于15°的地区放置风机的区域，施工时应及时在坡脚处设置草袋挡土墙挡护或坡面种植草本植物等防护措施加以防护，以减少水土流失现象发生。</w:t>
      </w:r>
    </w:p>
    <w:p w14:paraId="25BDE199">
      <w:pPr>
        <w:adjustRightInd w:val="0"/>
        <w:snapToGrid w:val="0"/>
        <w:ind w:firstLine="480"/>
      </w:pPr>
      <w:r>
        <w:t>（3）施工期应避免在雨季施工，减少土石方的开挖，尽量保持挖填平衡，减少施工弃土的产生，产生的弃土临时堆放好以便后期回覆利用，严禁就地倾倒覆压植被，同时采取护坡、挡土墙等防护措施。</w:t>
      </w:r>
    </w:p>
    <w:p w14:paraId="008462A2">
      <w:pPr>
        <w:adjustRightInd w:val="0"/>
        <w:snapToGrid w:val="0"/>
        <w:ind w:firstLine="480"/>
      </w:pPr>
      <w:r>
        <w:t>（4）运输粉末样散料的车辆应用防尘篷布遮盖严实，避免其散落对周围植物产生的不利影响。</w:t>
      </w:r>
    </w:p>
    <w:p w14:paraId="71C88F3B">
      <w:pPr>
        <w:adjustRightInd w:val="0"/>
        <w:snapToGrid w:val="0"/>
        <w:ind w:firstLine="480"/>
      </w:pPr>
      <w:r>
        <w:t>（5）对扰动、覆盖区植物进行前期勘察，若发现珍稀植物、较大树移栽保护回用绿化，尤其是占地区内阔叶树种，发现后采取移栽作为后期绿化树种，节约绿化成本及保护当地生态。</w:t>
      </w:r>
    </w:p>
    <w:p w14:paraId="362BB4FC">
      <w:pPr>
        <w:adjustRightInd w:val="0"/>
        <w:snapToGrid w:val="0"/>
        <w:ind w:firstLine="480"/>
      </w:pPr>
      <w:r>
        <w:t>（6）施工结束后，应及时对临时占地进行植被恢复。工程临时占地区植被恢复尽量选用乔-灌-草相结合的方式进行绿化，绿化树种选择应在“适地适树”的原则下，尽量以当地的优良乡土树种为主，适当引进新的优良树种、草种，保证绿化栽植的成活率。</w:t>
      </w:r>
    </w:p>
    <w:p w14:paraId="45CAF1CD">
      <w:pPr>
        <w:adjustRightInd w:val="0"/>
        <w:snapToGrid w:val="0"/>
        <w:ind w:firstLine="480"/>
      </w:pPr>
      <w:r>
        <w:t>（7）严控高挖深填，余方沿线倾倒，减轻弃渣等对植物及其生长环境的影响。</w:t>
      </w:r>
    </w:p>
    <w:p w14:paraId="15AB1F8A">
      <w:pPr>
        <w:adjustRightInd w:val="0"/>
        <w:snapToGrid w:val="0"/>
        <w:ind w:firstLine="480"/>
      </w:pPr>
      <w:r>
        <w:t>（8）对于表土不足的，应外借表土进行植被恢复。</w:t>
      </w:r>
    </w:p>
    <w:tbl>
      <w:tblPr>
        <w:tblStyle w:val="88"/>
        <w:tblW w:w="5000" w:type="pct"/>
        <w:jc w:val="center"/>
        <w:tblLayout w:type="autofit"/>
        <w:tblCellMar>
          <w:top w:w="0" w:type="dxa"/>
          <w:left w:w="108" w:type="dxa"/>
          <w:bottom w:w="0" w:type="dxa"/>
          <w:right w:w="108" w:type="dxa"/>
        </w:tblCellMar>
      </w:tblPr>
      <w:tblGrid>
        <w:gridCol w:w="4263"/>
        <w:gridCol w:w="4264"/>
      </w:tblGrid>
      <w:tr w14:paraId="0BD048C6">
        <w:tblPrEx>
          <w:tblCellMar>
            <w:top w:w="0" w:type="dxa"/>
            <w:left w:w="108" w:type="dxa"/>
            <w:bottom w:w="0" w:type="dxa"/>
            <w:right w:w="108" w:type="dxa"/>
          </w:tblCellMar>
        </w:tblPrEx>
        <w:trPr>
          <w:jc w:val="center"/>
        </w:trPr>
        <w:tc>
          <w:tcPr>
            <w:tcW w:w="2500" w:type="pct"/>
          </w:tcPr>
          <w:p w14:paraId="60E5B158">
            <w:pPr>
              <w:ind w:firstLine="0" w:firstLineChars="0"/>
            </w:pPr>
            <w:r>
              <w:drawing>
                <wp:inline distT="0" distB="0" distL="0" distR="0">
                  <wp:extent cx="2105025" cy="1905000"/>
                  <wp:effectExtent l="0" t="0" r="9525" b="0"/>
                  <wp:docPr id="54509765" name="图片 54509765" descr="F:\江华东大风电\其他工程区\已建风机\DSC0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9765" name="图片 54509765" descr="F:\江华东大风电\其他工程区\已建风机\DSC01106.JPG"/>
                          <pic:cNvPicPr>
                            <a:picLocks noChangeAspect="1" noChangeArrowheads="1"/>
                          </pic:cNvPicPr>
                        </pic:nvPicPr>
                        <pic:blipFill>
                          <a:blip r:embed="rId119">
                            <a:extLst>
                              <a:ext uri="{28A0092B-C50C-407E-A947-70E740481C1C}">
                                <a14:useLocalDpi xmlns:a14="http://schemas.microsoft.com/office/drawing/2010/main" val="0"/>
                              </a:ext>
                            </a:extLst>
                          </a:blip>
                          <a:srcRect r="17076"/>
                          <a:stretch>
                            <a:fillRect/>
                          </a:stretch>
                        </pic:blipFill>
                        <pic:spPr>
                          <a:xfrm>
                            <a:off x="0" y="0"/>
                            <a:ext cx="2105025" cy="1905000"/>
                          </a:xfrm>
                          <a:prstGeom prst="rect">
                            <a:avLst/>
                          </a:prstGeom>
                          <a:noFill/>
                          <a:ln>
                            <a:noFill/>
                          </a:ln>
                        </pic:spPr>
                      </pic:pic>
                    </a:graphicData>
                  </a:graphic>
                </wp:inline>
              </w:drawing>
            </w:r>
          </w:p>
        </w:tc>
        <w:tc>
          <w:tcPr>
            <w:tcW w:w="2500" w:type="pct"/>
          </w:tcPr>
          <w:p w14:paraId="66D1705B">
            <w:pPr>
              <w:ind w:firstLine="0" w:firstLineChars="0"/>
            </w:pPr>
            <w:r>
              <w:drawing>
                <wp:inline distT="0" distB="0" distL="0" distR="0">
                  <wp:extent cx="2095500" cy="1847850"/>
                  <wp:effectExtent l="0" t="0" r="0" b="0"/>
                  <wp:docPr id="1800507830" name="图片 1800507830" descr="F:\江华东大风电\其他工程区\已建风机\DSC0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07830" name="图片 1800507830" descr="F:\江华东大风电\其他工程区\已建风机\DSC01148.JPG"/>
                          <pic:cNvPicPr>
                            <a:picLocks noChangeAspect="1" noChangeArrowheads="1"/>
                          </pic:cNvPicPr>
                        </pic:nvPicPr>
                        <pic:blipFill>
                          <a:blip r:embed="rId120">
                            <a:extLst>
                              <a:ext uri="{28A0092B-C50C-407E-A947-70E740481C1C}">
                                <a14:useLocalDpi xmlns:a14="http://schemas.microsoft.com/office/drawing/2010/main" val="0"/>
                              </a:ext>
                            </a:extLst>
                          </a:blip>
                          <a:srcRect r="15083"/>
                          <a:stretch>
                            <a:fillRect/>
                          </a:stretch>
                        </pic:blipFill>
                        <pic:spPr>
                          <a:xfrm>
                            <a:off x="0" y="0"/>
                            <a:ext cx="2095500" cy="1847850"/>
                          </a:xfrm>
                          <a:prstGeom prst="rect">
                            <a:avLst/>
                          </a:prstGeom>
                          <a:noFill/>
                          <a:ln>
                            <a:noFill/>
                          </a:ln>
                        </pic:spPr>
                      </pic:pic>
                    </a:graphicData>
                  </a:graphic>
                </wp:inline>
              </w:drawing>
            </w:r>
          </w:p>
        </w:tc>
      </w:tr>
      <w:tr w14:paraId="48C85785">
        <w:tblPrEx>
          <w:tblCellMar>
            <w:top w:w="0" w:type="dxa"/>
            <w:left w:w="108" w:type="dxa"/>
            <w:bottom w:w="0" w:type="dxa"/>
            <w:right w:w="108" w:type="dxa"/>
          </w:tblCellMar>
        </w:tblPrEx>
        <w:trPr>
          <w:jc w:val="center"/>
        </w:trPr>
        <w:tc>
          <w:tcPr>
            <w:tcW w:w="2500" w:type="pct"/>
          </w:tcPr>
          <w:p w14:paraId="5084951E">
            <w:pPr>
              <w:ind w:firstLine="0" w:firstLineChars="0"/>
            </w:pPr>
            <w:r>
              <w:rPr>
                <w:rFonts w:hAnsi="宋体"/>
              </w:rPr>
              <w:t>场内道路边排水沟示意图</w:t>
            </w:r>
          </w:p>
        </w:tc>
        <w:tc>
          <w:tcPr>
            <w:tcW w:w="2500" w:type="pct"/>
          </w:tcPr>
          <w:p w14:paraId="09597ACA">
            <w:pPr>
              <w:ind w:firstLine="0" w:firstLineChars="0"/>
            </w:pPr>
            <w:r>
              <w:rPr>
                <w:rFonts w:hAnsi="宋体"/>
              </w:rPr>
              <w:t>风机安装场地植草示意图</w:t>
            </w:r>
          </w:p>
        </w:tc>
      </w:tr>
    </w:tbl>
    <w:p w14:paraId="48D275BD">
      <w:pPr>
        <w:adjustRightInd w:val="0"/>
        <w:snapToGrid w:val="0"/>
        <w:ind w:firstLine="480"/>
      </w:pPr>
      <w:r>
        <w:rPr>
          <w:rFonts w:hint="eastAsia"/>
        </w:rPr>
        <w:t>（3）生态环境的修复与补偿措施</w:t>
      </w:r>
    </w:p>
    <w:p w14:paraId="4CFBA721">
      <w:pPr>
        <w:adjustRightInd w:val="0"/>
        <w:snapToGrid w:val="0"/>
        <w:ind w:firstLine="480"/>
      </w:pPr>
      <w:r>
        <w:rPr>
          <w:rFonts w:hint="eastAsia"/>
        </w:rPr>
        <w:t>①</w:t>
      </w:r>
      <w:r>
        <w:t>植被修复原则</w:t>
      </w:r>
    </w:p>
    <w:p w14:paraId="6D478429">
      <w:pPr>
        <w:adjustRightInd w:val="0"/>
        <w:snapToGrid w:val="0"/>
        <w:ind w:firstLine="480"/>
      </w:pPr>
      <w:r>
        <w:rPr>
          <w:rFonts w:hint="eastAsia"/>
        </w:rPr>
        <w:t>a</w:t>
      </w:r>
      <w:r>
        <w:t xml:space="preserve"> 保护原有生态系统的原则</w:t>
      </w:r>
    </w:p>
    <w:p w14:paraId="6BA61DAA">
      <w:pPr>
        <w:adjustRightInd w:val="0"/>
        <w:snapToGrid w:val="0"/>
        <w:ind w:firstLine="480"/>
      </w:pPr>
      <w:r>
        <w:t>评价区位于</w:t>
      </w:r>
      <w:r>
        <w:rPr>
          <w:rFonts w:hint="eastAsia"/>
        </w:rPr>
        <w:t>衡阳市衡阳县境</w:t>
      </w:r>
      <w:r>
        <w:t>内，本工程建设不可避免的会破坏评价区森林生态系统、灌丛/草地生态系统、农业生态系统等，原区域生态系统内植被破坏，生态系统结构及功能受到影响。因此在植被修复过程中，必须尽量保护施工占地区域原有体系的生态环境，尽量发展以针叶林、阔叶林植被为主体的生态系统。</w:t>
      </w:r>
    </w:p>
    <w:p w14:paraId="5ECCFDDD">
      <w:pPr>
        <w:adjustRightInd w:val="0"/>
        <w:snapToGrid w:val="0"/>
        <w:ind w:firstLine="480"/>
      </w:pPr>
      <w:r>
        <w:rPr>
          <w:rFonts w:hint="eastAsia"/>
        </w:rPr>
        <w:t>b</w:t>
      </w:r>
      <w:r>
        <w:t xml:space="preserve"> 保护生物多样性的原则</w:t>
      </w:r>
    </w:p>
    <w:p w14:paraId="7933F1E8">
      <w:pPr>
        <w:adjustRightInd w:val="0"/>
        <w:snapToGrid w:val="0"/>
        <w:ind w:firstLine="480"/>
      </w:pPr>
      <w:r>
        <w:t>植被修复措施不仅考虑植被覆盖率，而且需要在利用当地原有物种的情况下，尽量使物种多样化，避免单一。在保证物种多样性的前提下，防止外来入侵物种的扩散。</w:t>
      </w:r>
    </w:p>
    <w:p w14:paraId="58D43D54">
      <w:pPr>
        <w:adjustRightInd w:val="0"/>
        <w:snapToGrid w:val="0"/>
        <w:ind w:firstLine="480"/>
      </w:pPr>
      <w:r>
        <w:rPr>
          <w:rFonts w:hint="eastAsia"/>
        </w:rPr>
        <w:t>②</w:t>
      </w:r>
      <w:r>
        <w:t>恢复植物的选择</w:t>
      </w:r>
    </w:p>
    <w:p w14:paraId="614196A8">
      <w:pPr>
        <w:adjustRightInd w:val="0"/>
        <w:snapToGrid w:val="0"/>
        <w:ind w:firstLine="480"/>
      </w:pPr>
      <w:r>
        <w:rPr>
          <w:rFonts w:hint="eastAsia"/>
        </w:rPr>
        <w:t>a</w:t>
      </w:r>
      <w:r>
        <w:t>生态适应性原则：植物生态习性必须与当地条件相适应。评价区在</w:t>
      </w:r>
      <w:r>
        <w:rPr>
          <w:rFonts w:hint="eastAsia"/>
        </w:rPr>
        <w:t>中亚热带典型常绿阔叶林北部植被亚地带—湘中、湘东植被区—衡阳盆地植被小区</w:t>
      </w:r>
      <w:r>
        <w:t>。在进行植被恢复时应尽量选择适应亚热地区环境的植物，应以中生性树种为主。</w:t>
      </w:r>
    </w:p>
    <w:p w14:paraId="2C3D8E63">
      <w:pPr>
        <w:adjustRightInd w:val="0"/>
        <w:snapToGrid w:val="0"/>
        <w:ind w:firstLine="480"/>
      </w:pPr>
      <w:r>
        <w:rPr>
          <w:rFonts w:hint="eastAsia"/>
        </w:rPr>
        <w:t>b</w:t>
      </w:r>
      <w:r>
        <w:t>本土植物优先原则：乡土树种对植被恢复具有重要作用，其能快速融于周边生态环境，减轻对景观的影响，并可阻止外来物种入侵。由于乡土种在当地食物链中已经形成相对稳定的结构，与</w:t>
      </w:r>
      <w:r>
        <w:rPr>
          <w:rFonts w:hint="eastAsia"/>
          <w:lang w:eastAsia="zh-CN"/>
        </w:rPr>
        <w:t>环境</w:t>
      </w:r>
      <w:r>
        <w:t>建立了和谐的关系，其适应性强、生长快、自我繁殖和更新能力强，有利于保护生物多样性和维持当地生态平衡。</w:t>
      </w:r>
    </w:p>
    <w:p w14:paraId="508C4042">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植被恢复方法</w:t>
      </w:r>
    </w:p>
    <w:p w14:paraId="2F8A0B14">
      <w:pPr>
        <w:adjustRightInd w:val="0"/>
        <w:snapToGrid w:val="0"/>
        <w:ind w:firstLine="480"/>
      </w:pPr>
      <w:r>
        <w:t>植物恢复区主要包括施工迹地区植被恢复和工程施工创伤区植被恢复，根据本工程特点，建议采用以下植被恢复方法：</w:t>
      </w:r>
    </w:p>
    <w:p w14:paraId="5DD7D5B5">
      <w:pPr>
        <w:adjustRightInd w:val="0"/>
        <w:snapToGrid w:val="0"/>
        <w:ind w:firstLine="480"/>
      </w:pPr>
      <w:r>
        <w:rPr>
          <w:rFonts w:hint="eastAsia"/>
        </w:rPr>
        <w:t>a</w:t>
      </w:r>
      <w:r>
        <w:t>工程施工迹地植被恢复应以经果林、水土保持林和景观园林绿化等模式为主。水土保持林一般采用株间混交的方式种植，品字形排列；经果林一般采用条带状种植；草籽采用撒播方式种植；景观园林绿化根据景观造型，一般采用孤植、点植、丛植等较为灵活的栽植方式，花卉采用片植，草皮采用满铺。</w:t>
      </w:r>
    </w:p>
    <w:p w14:paraId="3C2E599F">
      <w:pPr>
        <w:adjustRightInd w:val="0"/>
        <w:snapToGrid w:val="0"/>
        <w:ind w:firstLine="480"/>
      </w:pPr>
      <w:r>
        <w:rPr>
          <w:rFonts w:hint="eastAsia"/>
        </w:rPr>
        <w:t>b</w:t>
      </w:r>
      <w:r>
        <w:t>工程施工创伤面主要包括开挖边坡、堆渣和土料迹地边坡等，植被恢复措施包括种植槽栽植攀援植物和灌草绿化、厚层基材植被护坡、撒播灌草护坡、液力喷播植草护坡和框格植草护坡等。</w:t>
      </w:r>
    </w:p>
    <w:p w14:paraId="5930EC92">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植被恢复方案</w:t>
      </w:r>
    </w:p>
    <w:p w14:paraId="44F085A4">
      <w:pPr>
        <w:adjustRightInd w:val="0"/>
        <w:snapToGrid w:val="0"/>
        <w:ind w:firstLine="480"/>
      </w:pPr>
      <w:r>
        <w:t>为减缓工程建设对施工迹地区植被的影响，施工结束后应根据原风机区、道路区、弃渣场区、施工生产生活区植被情况和地质地貌情况等实行不同的恢复方案（详见表</w:t>
      </w:r>
      <w:r>
        <w:rPr>
          <w:rFonts w:hint="eastAsia"/>
        </w:rPr>
        <w:t>8.1</w:t>
      </w:r>
      <w:r>
        <w:t>-1）。</w:t>
      </w:r>
    </w:p>
    <w:p w14:paraId="5A43ADEF">
      <w:pPr>
        <w:tabs>
          <w:tab w:val="clear" w:pos="480"/>
        </w:tabs>
        <w:spacing w:line="240" w:lineRule="auto"/>
        <w:ind w:firstLine="0" w:firstLineChars="0"/>
        <w:jc w:val="center"/>
        <w:rPr>
          <w:b/>
          <w:bCs/>
          <w:kern w:val="0"/>
          <w:szCs w:val="22"/>
        </w:rPr>
      </w:pPr>
      <w:r>
        <w:rPr>
          <w:b/>
          <w:bCs/>
          <w:kern w:val="0"/>
          <w:szCs w:val="22"/>
        </w:rPr>
        <w:t>表</w:t>
      </w:r>
      <w:r>
        <w:rPr>
          <w:rFonts w:hint="eastAsia"/>
          <w:b/>
          <w:bCs/>
          <w:kern w:val="0"/>
          <w:szCs w:val="22"/>
        </w:rPr>
        <w:t>8</w:t>
      </w:r>
      <w:r>
        <w:rPr>
          <w:b/>
          <w:bCs/>
          <w:kern w:val="0"/>
          <w:szCs w:val="22"/>
        </w:rPr>
        <w:t>.1-1施工迹地生态恢复措施一览表</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309"/>
        <w:gridCol w:w="7290"/>
      </w:tblGrid>
      <w:tr w14:paraId="26DF9F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1" w:type="pct"/>
            <w:tcMar>
              <w:top w:w="72" w:type="dxa"/>
              <w:left w:w="144" w:type="dxa"/>
              <w:bottom w:w="72" w:type="dxa"/>
              <w:right w:w="144" w:type="dxa"/>
            </w:tcMar>
            <w:vAlign w:val="center"/>
          </w:tcPr>
          <w:p w14:paraId="71747CFE">
            <w:pPr>
              <w:tabs>
                <w:tab w:val="clear" w:pos="480"/>
              </w:tabs>
              <w:adjustRightInd w:val="0"/>
              <w:snapToGrid w:val="0"/>
              <w:spacing w:line="240" w:lineRule="auto"/>
              <w:ind w:firstLine="0" w:firstLineChars="0"/>
              <w:jc w:val="center"/>
              <w:rPr>
                <w:b/>
                <w:sz w:val="21"/>
                <w:szCs w:val="21"/>
              </w:rPr>
            </w:pPr>
            <w:r>
              <w:rPr>
                <w:b/>
                <w:sz w:val="21"/>
                <w:szCs w:val="21"/>
                <w:lang w:bidi="ar"/>
              </w:rPr>
              <w:t>工程区</w:t>
            </w:r>
          </w:p>
        </w:tc>
        <w:tc>
          <w:tcPr>
            <w:tcW w:w="4239" w:type="pct"/>
            <w:tcMar>
              <w:top w:w="72" w:type="dxa"/>
              <w:left w:w="144" w:type="dxa"/>
              <w:bottom w:w="72" w:type="dxa"/>
              <w:right w:w="144" w:type="dxa"/>
            </w:tcMar>
            <w:vAlign w:val="center"/>
          </w:tcPr>
          <w:p w14:paraId="1CEC0DF1">
            <w:pPr>
              <w:tabs>
                <w:tab w:val="clear" w:pos="480"/>
              </w:tabs>
              <w:adjustRightInd w:val="0"/>
              <w:snapToGrid w:val="0"/>
              <w:spacing w:line="240" w:lineRule="auto"/>
              <w:ind w:firstLine="0" w:firstLineChars="0"/>
              <w:jc w:val="center"/>
              <w:rPr>
                <w:b/>
                <w:sz w:val="21"/>
                <w:szCs w:val="21"/>
              </w:rPr>
            </w:pPr>
            <w:r>
              <w:rPr>
                <w:b/>
                <w:sz w:val="21"/>
                <w:szCs w:val="21"/>
                <w:lang w:bidi="ar"/>
              </w:rPr>
              <w:t>植被恢复措施</w:t>
            </w:r>
          </w:p>
        </w:tc>
      </w:tr>
      <w:tr w14:paraId="7635BE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1" w:type="pct"/>
            <w:tcMar>
              <w:top w:w="72" w:type="dxa"/>
              <w:left w:w="144" w:type="dxa"/>
              <w:bottom w:w="72" w:type="dxa"/>
              <w:right w:w="144" w:type="dxa"/>
            </w:tcMar>
            <w:vAlign w:val="center"/>
          </w:tcPr>
          <w:p w14:paraId="6BE99BBE">
            <w:pPr>
              <w:tabs>
                <w:tab w:val="clear" w:pos="480"/>
              </w:tabs>
              <w:adjustRightInd w:val="0"/>
              <w:snapToGrid w:val="0"/>
              <w:spacing w:line="240" w:lineRule="auto"/>
              <w:ind w:firstLine="0" w:firstLineChars="0"/>
              <w:jc w:val="center"/>
              <w:rPr>
                <w:sz w:val="21"/>
                <w:szCs w:val="21"/>
              </w:rPr>
            </w:pPr>
            <w:r>
              <w:rPr>
                <w:sz w:val="21"/>
                <w:szCs w:val="21"/>
                <w:lang w:bidi="ar"/>
              </w:rPr>
              <w:t>风机基础区</w:t>
            </w:r>
          </w:p>
        </w:tc>
        <w:tc>
          <w:tcPr>
            <w:tcW w:w="4239" w:type="pct"/>
            <w:tcMar>
              <w:top w:w="72" w:type="dxa"/>
              <w:left w:w="144" w:type="dxa"/>
              <w:bottom w:w="72" w:type="dxa"/>
              <w:right w:w="144" w:type="dxa"/>
            </w:tcMar>
            <w:vAlign w:val="center"/>
          </w:tcPr>
          <w:p w14:paraId="7C08BC89">
            <w:pPr>
              <w:tabs>
                <w:tab w:val="clear" w:pos="480"/>
              </w:tabs>
              <w:autoSpaceDE w:val="0"/>
              <w:autoSpaceDN w:val="0"/>
              <w:adjustRightInd w:val="0"/>
              <w:snapToGrid w:val="0"/>
              <w:spacing w:line="240" w:lineRule="auto"/>
              <w:ind w:firstLine="0" w:firstLineChars="0"/>
              <w:jc w:val="left"/>
              <w:rPr>
                <w:sz w:val="21"/>
                <w:szCs w:val="21"/>
              </w:rPr>
            </w:pPr>
            <w:r>
              <w:rPr>
                <w:kern w:val="0"/>
                <w:sz w:val="21"/>
                <w:szCs w:val="21"/>
              </w:rPr>
              <w:t>区填方边坡种植狗牙根草皮，草皮采用密铺的方式；挖方边坡采用挂网喷播植草绿化的方式，喷播厚度为10cm，草籽选用狗牙根和冬茅草，混播比例为1:1，混播密度为12g/m</w:t>
            </w:r>
            <w:r>
              <w:rPr>
                <w:kern w:val="0"/>
                <w:sz w:val="21"/>
                <w:szCs w:val="21"/>
                <w:vertAlign w:val="superscript"/>
              </w:rPr>
              <w:t>2</w:t>
            </w:r>
            <w:r>
              <w:rPr>
                <w:kern w:val="0"/>
                <w:sz w:val="21"/>
                <w:szCs w:val="21"/>
              </w:rPr>
              <w:t>；风机平台采用覆土撒播草籽的方式，覆土厚度为30cm，撒播狗牙根和冬茅草草籽，混播比例为1:1，混播密度为80kg/hm</w:t>
            </w:r>
            <w:r>
              <w:rPr>
                <w:kern w:val="0"/>
                <w:sz w:val="21"/>
                <w:szCs w:val="21"/>
                <w:vertAlign w:val="superscript"/>
              </w:rPr>
              <w:t>2</w:t>
            </w:r>
            <w:r>
              <w:rPr>
                <w:rFonts w:hint="eastAsia"/>
                <w:kern w:val="0"/>
                <w:sz w:val="21"/>
                <w:szCs w:val="21"/>
              </w:rPr>
              <w:t>。</w:t>
            </w:r>
          </w:p>
        </w:tc>
      </w:tr>
      <w:tr w14:paraId="4FD6B6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1" w:type="pct"/>
            <w:tcMar>
              <w:top w:w="72" w:type="dxa"/>
              <w:left w:w="144" w:type="dxa"/>
              <w:bottom w:w="72" w:type="dxa"/>
              <w:right w:w="144" w:type="dxa"/>
            </w:tcMar>
            <w:vAlign w:val="center"/>
          </w:tcPr>
          <w:p w14:paraId="06ECED6B">
            <w:pPr>
              <w:tabs>
                <w:tab w:val="clear" w:pos="480"/>
              </w:tabs>
              <w:adjustRightInd w:val="0"/>
              <w:snapToGrid w:val="0"/>
              <w:spacing w:line="240" w:lineRule="auto"/>
              <w:ind w:firstLine="0" w:firstLineChars="0"/>
              <w:jc w:val="center"/>
              <w:rPr>
                <w:sz w:val="21"/>
                <w:szCs w:val="21"/>
              </w:rPr>
            </w:pPr>
            <w:r>
              <w:rPr>
                <w:sz w:val="21"/>
                <w:szCs w:val="21"/>
                <w:lang w:bidi="ar"/>
              </w:rPr>
              <w:t>新建道路区</w:t>
            </w:r>
          </w:p>
        </w:tc>
        <w:tc>
          <w:tcPr>
            <w:tcW w:w="4239" w:type="pct"/>
            <w:tcMar>
              <w:top w:w="72" w:type="dxa"/>
              <w:left w:w="144" w:type="dxa"/>
              <w:bottom w:w="72" w:type="dxa"/>
              <w:right w:w="144" w:type="dxa"/>
            </w:tcMar>
            <w:vAlign w:val="center"/>
          </w:tcPr>
          <w:p w14:paraId="4A5CDEF0">
            <w:pPr>
              <w:tabs>
                <w:tab w:val="clear" w:pos="480"/>
              </w:tabs>
              <w:autoSpaceDE w:val="0"/>
              <w:autoSpaceDN w:val="0"/>
              <w:adjustRightInd w:val="0"/>
              <w:snapToGrid w:val="0"/>
              <w:spacing w:line="240" w:lineRule="auto"/>
              <w:ind w:firstLine="0" w:firstLineChars="0"/>
              <w:jc w:val="left"/>
              <w:rPr>
                <w:kern w:val="0"/>
                <w:sz w:val="21"/>
                <w:szCs w:val="21"/>
              </w:rPr>
            </w:pPr>
            <w:r>
              <w:rPr>
                <w:kern w:val="0"/>
                <w:sz w:val="21"/>
                <w:szCs w:val="21"/>
              </w:rPr>
              <w:t>挖方边坡：根据边坡岩性，采取挂网喷播和喷播绿化的方式。</w:t>
            </w:r>
          </w:p>
          <w:p w14:paraId="67E17873">
            <w:pPr>
              <w:tabs>
                <w:tab w:val="clear" w:pos="480"/>
              </w:tabs>
              <w:autoSpaceDE w:val="0"/>
              <w:autoSpaceDN w:val="0"/>
              <w:adjustRightInd w:val="0"/>
              <w:snapToGrid w:val="0"/>
              <w:spacing w:line="240" w:lineRule="auto"/>
              <w:ind w:firstLine="0" w:firstLineChars="0"/>
              <w:jc w:val="left"/>
              <w:rPr>
                <w:sz w:val="21"/>
                <w:szCs w:val="21"/>
              </w:rPr>
            </w:pPr>
            <w:r>
              <w:rPr>
                <w:kern w:val="0"/>
                <w:sz w:val="21"/>
                <w:szCs w:val="21"/>
              </w:rPr>
              <w:t>填方边坡撒播草籽：填方边坡形成后，立即覆土，然后撒播草籽恢复植被。草籽采用狗牙根和白三叶，混播比例为1:1，撒播密度为80kg/hm</w:t>
            </w:r>
            <w:r>
              <w:rPr>
                <w:kern w:val="0"/>
                <w:sz w:val="21"/>
                <w:szCs w:val="21"/>
                <w:vertAlign w:val="superscript"/>
              </w:rPr>
              <w:t>2</w:t>
            </w:r>
          </w:p>
        </w:tc>
      </w:tr>
      <w:tr w14:paraId="309A48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1" w:type="pct"/>
            <w:tcMar>
              <w:top w:w="72" w:type="dxa"/>
              <w:left w:w="144" w:type="dxa"/>
              <w:bottom w:w="72" w:type="dxa"/>
              <w:right w:w="144" w:type="dxa"/>
            </w:tcMar>
            <w:vAlign w:val="center"/>
          </w:tcPr>
          <w:p w14:paraId="7B2E084A">
            <w:pPr>
              <w:tabs>
                <w:tab w:val="clear" w:pos="480"/>
              </w:tabs>
              <w:adjustRightInd w:val="0"/>
              <w:snapToGrid w:val="0"/>
              <w:spacing w:line="240" w:lineRule="auto"/>
              <w:ind w:firstLine="0" w:firstLineChars="0"/>
              <w:jc w:val="center"/>
              <w:rPr>
                <w:sz w:val="21"/>
                <w:szCs w:val="21"/>
              </w:rPr>
            </w:pPr>
            <w:r>
              <w:rPr>
                <w:sz w:val="21"/>
                <w:szCs w:val="21"/>
                <w:lang w:bidi="ar"/>
              </w:rPr>
              <w:t>集电线路区</w:t>
            </w:r>
          </w:p>
        </w:tc>
        <w:tc>
          <w:tcPr>
            <w:tcW w:w="4239" w:type="pct"/>
            <w:tcMar>
              <w:top w:w="72" w:type="dxa"/>
              <w:left w:w="144" w:type="dxa"/>
              <w:bottom w:w="72" w:type="dxa"/>
              <w:right w:w="144" w:type="dxa"/>
            </w:tcMar>
            <w:vAlign w:val="center"/>
          </w:tcPr>
          <w:p w14:paraId="3000FA97">
            <w:pPr>
              <w:tabs>
                <w:tab w:val="clear" w:pos="480"/>
              </w:tabs>
              <w:adjustRightInd w:val="0"/>
              <w:snapToGrid w:val="0"/>
              <w:spacing w:line="240" w:lineRule="auto"/>
              <w:ind w:firstLine="0" w:firstLineChars="0"/>
              <w:rPr>
                <w:sz w:val="21"/>
                <w:szCs w:val="21"/>
              </w:rPr>
            </w:pPr>
            <w:r>
              <w:rPr>
                <w:sz w:val="21"/>
                <w:szCs w:val="21"/>
                <w:lang w:bidi="ar"/>
              </w:rPr>
              <w:t>对扰动的施工迹地进行填凹平整，采取植物措施恢复植被。集电线路区不宜种植乔灌木，主体设计针对该区采取了撒播草籽的绿化恢复措施，草籽量满足后期绿化需求。</w:t>
            </w:r>
          </w:p>
        </w:tc>
      </w:tr>
      <w:tr w14:paraId="2B203F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1" w:type="pct"/>
            <w:tcMar>
              <w:top w:w="72" w:type="dxa"/>
              <w:left w:w="144" w:type="dxa"/>
              <w:bottom w:w="72" w:type="dxa"/>
              <w:right w:w="144" w:type="dxa"/>
            </w:tcMar>
            <w:vAlign w:val="center"/>
          </w:tcPr>
          <w:p w14:paraId="29DC2194">
            <w:pPr>
              <w:tabs>
                <w:tab w:val="clear" w:pos="480"/>
              </w:tabs>
              <w:adjustRightInd w:val="0"/>
              <w:snapToGrid w:val="0"/>
              <w:spacing w:line="240" w:lineRule="auto"/>
              <w:ind w:firstLine="0" w:firstLineChars="0"/>
              <w:jc w:val="center"/>
              <w:rPr>
                <w:sz w:val="21"/>
                <w:szCs w:val="21"/>
              </w:rPr>
            </w:pPr>
            <w:r>
              <w:rPr>
                <w:sz w:val="21"/>
                <w:szCs w:val="21"/>
                <w:lang w:bidi="ar"/>
              </w:rPr>
              <w:t>弃渣场区</w:t>
            </w:r>
          </w:p>
        </w:tc>
        <w:tc>
          <w:tcPr>
            <w:tcW w:w="4239" w:type="pct"/>
            <w:tcMar>
              <w:top w:w="72" w:type="dxa"/>
              <w:left w:w="144" w:type="dxa"/>
              <w:bottom w:w="72" w:type="dxa"/>
              <w:right w:w="144" w:type="dxa"/>
            </w:tcMar>
            <w:vAlign w:val="center"/>
          </w:tcPr>
          <w:p w14:paraId="7D0104C0">
            <w:pPr>
              <w:tabs>
                <w:tab w:val="clear" w:pos="480"/>
              </w:tabs>
              <w:autoSpaceDE w:val="0"/>
              <w:autoSpaceDN w:val="0"/>
              <w:adjustRightInd w:val="0"/>
              <w:snapToGrid w:val="0"/>
              <w:spacing w:line="240" w:lineRule="auto"/>
              <w:ind w:firstLine="0" w:firstLineChars="0"/>
              <w:jc w:val="left"/>
              <w:rPr>
                <w:kern w:val="0"/>
                <w:sz w:val="21"/>
                <w:szCs w:val="21"/>
              </w:rPr>
            </w:pPr>
            <w:r>
              <w:rPr>
                <w:kern w:val="0"/>
                <w:sz w:val="21"/>
                <w:szCs w:val="21"/>
              </w:rPr>
              <w:t>采用树、草种相结合的方式配置</w:t>
            </w:r>
            <w:r>
              <w:rPr>
                <w:rFonts w:hint="eastAsia"/>
                <w:kern w:val="0"/>
                <w:sz w:val="21"/>
                <w:szCs w:val="21"/>
              </w:rPr>
              <w:t>。</w:t>
            </w:r>
            <w:r>
              <w:rPr>
                <w:kern w:val="0"/>
                <w:sz w:val="21"/>
                <w:szCs w:val="21"/>
              </w:rPr>
              <w:t>边坡：根据弃渣场堆渣高度，弃渣场采用撒播狗牙根草籽护坡；马道和弃渣面：根据各弃渣场立地条件结合同类工程的成功经验，顶部种植水土保持林，马道撒播草籽。树种选用当地适生的乔灌木，乔木选用马尾松，灌木选用胡枝子，草种选用狗牙根</w:t>
            </w:r>
            <w:r>
              <w:rPr>
                <w:rFonts w:hint="eastAsia"/>
                <w:kern w:val="0"/>
                <w:sz w:val="21"/>
                <w:szCs w:val="21"/>
              </w:rPr>
              <w:t>。</w:t>
            </w:r>
          </w:p>
        </w:tc>
      </w:tr>
      <w:tr w14:paraId="0D251C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1" w:type="pct"/>
            <w:tcMar>
              <w:top w:w="72" w:type="dxa"/>
              <w:left w:w="144" w:type="dxa"/>
              <w:bottom w:w="72" w:type="dxa"/>
              <w:right w:w="144" w:type="dxa"/>
            </w:tcMar>
            <w:vAlign w:val="center"/>
          </w:tcPr>
          <w:p w14:paraId="0F396D5C">
            <w:pPr>
              <w:tabs>
                <w:tab w:val="clear" w:pos="480"/>
              </w:tabs>
              <w:adjustRightInd w:val="0"/>
              <w:snapToGrid w:val="0"/>
              <w:spacing w:line="240" w:lineRule="auto"/>
              <w:ind w:firstLine="0" w:firstLineChars="0"/>
              <w:jc w:val="center"/>
              <w:rPr>
                <w:sz w:val="21"/>
                <w:szCs w:val="21"/>
              </w:rPr>
            </w:pPr>
            <w:r>
              <w:rPr>
                <w:sz w:val="21"/>
                <w:szCs w:val="21"/>
                <w:lang w:bidi="ar"/>
              </w:rPr>
              <w:t>施工生产生活区</w:t>
            </w:r>
          </w:p>
        </w:tc>
        <w:tc>
          <w:tcPr>
            <w:tcW w:w="4239" w:type="pct"/>
            <w:tcMar>
              <w:top w:w="72" w:type="dxa"/>
              <w:left w:w="144" w:type="dxa"/>
              <w:bottom w:w="72" w:type="dxa"/>
              <w:right w:w="144" w:type="dxa"/>
            </w:tcMar>
            <w:vAlign w:val="center"/>
          </w:tcPr>
          <w:p w14:paraId="29250B09">
            <w:pPr>
              <w:tabs>
                <w:tab w:val="clear" w:pos="480"/>
              </w:tabs>
              <w:adjustRightInd w:val="0"/>
              <w:snapToGrid w:val="0"/>
              <w:spacing w:line="240" w:lineRule="auto"/>
              <w:ind w:firstLine="0" w:firstLineChars="0"/>
              <w:rPr>
                <w:sz w:val="21"/>
                <w:szCs w:val="21"/>
              </w:rPr>
            </w:pPr>
            <w:r>
              <w:rPr>
                <w:sz w:val="21"/>
                <w:szCs w:val="21"/>
                <w:lang w:bidi="ar"/>
              </w:rPr>
              <w:t>根据项目区苗圃苗木供应情况，结合施工生产生活区立地条件，选择交叉种植胡枝子和杜鹃，带土球种植，株行距为1.0m×1.0m，种植穴规格为0.5m×0.5m（直径×坑深）；林下撒播狗牙根和白三叶草籽，撒播密度80kg/hm</w:t>
            </w:r>
            <w:r>
              <w:rPr>
                <w:sz w:val="21"/>
                <w:szCs w:val="21"/>
                <w:vertAlign w:val="superscript"/>
                <w:lang w:bidi="ar"/>
              </w:rPr>
              <w:t>2</w:t>
            </w:r>
            <w:r>
              <w:rPr>
                <w:sz w:val="21"/>
                <w:szCs w:val="21"/>
                <w:lang w:bidi="ar"/>
              </w:rPr>
              <w:t>，覆土厚度为0.3m。草混播在春秋两季进行，混播后顶面用镐耙浅层耕作，坡面用木板轻拍地表，保证草籽同土壤充分结合。施工生产生活区植物措施工程量为：覆土1800m</w:t>
            </w:r>
            <w:r>
              <w:rPr>
                <w:sz w:val="21"/>
                <w:szCs w:val="21"/>
                <w:vertAlign w:val="superscript"/>
                <w:lang w:bidi="ar"/>
              </w:rPr>
              <w:t>3</w:t>
            </w:r>
            <w:r>
              <w:rPr>
                <w:sz w:val="21"/>
                <w:szCs w:val="21"/>
                <w:lang w:bidi="ar"/>
              </w:rPr>
              <w:t>、种植胡枝子3000株、杜鹃3000株、混播草籽48kg</w:t>
            </w:r>
            <w:r>
              <w:rPr>
                <w:rFonts w:hint="eastAsia"/>
                <w:sz w:val="21"/>
                <w:szCs w:val="21"/>
                <w:lang w:bidi="ar"/>
              </w:rPr>
              <w:t>。</w:t>
            </w:r>
          </w:p>
        </w:tc>
      </w:tr>
    </w:tbl>
    <w:p w14:paraId="63D59250">
      <w:pPr>
        <w:adjustRightInd w:val="0"/>
        <w:snapToGrid w:val="0"/>
        <w:ind w:firstLine="480"/>
      </w:pPr>
      <w:r>
        <w:rPr>
          <w:rFonts w:hint="eastAsia"/>
        </w:rPr>
        <w:t>（4）生态环境的管理措施</w:t>
      </w:r>
    </w:p>
    <w:p w14:paraId="135AEBB2">
      <w:pPr>
        <w:adjustRightInd w:val="0"/>
        <w:snapToGrid w:val="0"/>
        <w:ind w:firstLine="480"/>
      </w:pPr>
      <w:r>
        <w:rPr>
          <w:rFonts w:hint="eastAsia"/>
        </w:rPr>
        <w:t>①</w:t>
      </w:r>
      <w:r>
        <w:t>防止外来入侵物种的扩散。加大宣传力度，对外来入侵植物的危害以及传播途径向施工人员进行宣传；对现有的外来种，利用工程施工的机会，采用有效的防治措施，消除其危害。</w:t>
      </w:r>
    </w:p>
    <w:p w14:paraId="2210BCF8">
      <w:pPr>
        <w:adjustRightInd w:val="0"/>
        <w:snapToGrid w:val="0"/>
        <w:ind w:firstLine="480"/>
      </w:pPr>
      <w:r>
        <w:rPr>
          <w:rFonts w:hint="eastAsia"/>
        </w:rPr>
        <w:t>②</w:t>
      </w:r>
      <w:r>
        <w:t>预防火灾。在工程建设期，更应加强防护，如在施工区、临时居住区及周围山上竖立防火警示牌，划出可生火范围、巡回检查、搞好消防队伍及设施的建设等，以预防和杜绝火灾发生。</w:t>
      </w:r>
    </w:p>
    <w:p w14:paraId="772E3D7F">
      <w:pPr>
        <w:adjustRightInd w:val="0"/>
        <w:snapToGrid w:val="0"/>
        <w:ind w:firstLine="480"/>
      </w:pPr>
      <w:r>
        <w:rPr>
          <w:rFonts w:hint="eastAsia"/>
        </w:rPr>
        <w:t>③</w:t>
      </w:r>
      <w:r>
        <w:t>落实监督机制，保证各项生态措施的实施。工程建设施工期、运行期都应进行生态影响的监测或调查。通过监测，了解植被的变化，数量变化以及生态系统整体性变化，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14:paraId="43FA354F">
      <w:pPr>
        <w:adjustRightInd w:val="0"/>
        <w:snapToGrid w:val="0"/>
        <w:ind w:firstLine="480"/>
      </w:pPr>
      <w:r>
        <w:rPr>
          <w:rFonts w:hint="eastAsia"/>
        </w:rPr>
        <w:t>（</w:t>
      </w:r>
      <w:r>
        <w:t>5</w:t>
      </w:r>
      <w:r>
        <w:rPr>
          <w:rFonts w:hint="eastAsia"/>
        </w:rPr>
        <w:t>）生态公益林的保护措施</w:t>
      </w:r>
    </w:p>
    <w:p w14:paraId="70DC016C">
      <w:pPr>
        <w:adjustRightInd w:val="0"/>
        <w:snapToGrid w:val="0"/>
        <w:ind w:firstLine="480"/>
      </w:pPr>
      <w:r>
        <w:t>生态公益林的维护和改善对评价区生态环境，保持生态平衡，保护生物多样性等具有极其重要的作用。为此，应该采取有效措施加以保护：</w:t>
      </w:r>
    </w:p>
    <w:p w14:paraId="432F7163">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优化工程布置，通过优化公益林区风机点位、进场道路、集电线路位置，使工程尽量避绕评价区生态公益林。</w:t>
      </w:r>
    </w:p>
    <w:p w14:paraId="0E1DC533">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确因工程建设必须征用、征收或者占用生态公益林林地的，用地单位应当向所在地的林业行政主管部门提出申请，经审核后，按照管理权限报上级林业行政主管部门审核，再由国土资源行政主管部门依法办理土地征占用审批手续，并按照规定标准缴纳森林植被恢复费或采取异地补偿的方式进行保护。同时，建议与林业行政主管部门沟通，将施工道路纳入林区防火、营林道路，可加强对生态公益林的管护。</w:t>
      </w:r>
    </w:p>
    <w:p w14:paraId="2722EE06">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在施工期内，应当加强对生态公益林的保护，制止破坏林地、林木的行为、清除可能的火灾隐患，做好病虫害预防工作，对发生严重的病虫害、火灾或其他自然灾害，应当立即报告当地人民政府和林业行政主管部门，采取措施进行防治。</w:t>
      </w:r>
    </w:p>
    <w:p w14:paraId="02123460">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施工期应采取标语、广播、电视、讲座等形式，广泛开展生态公益林区划分布、管护要求、环境道德、生态意识、生态保护知识及森林效能等方面的宣传教育。建立生态公益林范围界限标志。</w:t>
      </w:r>
    </w:p>
    <w:p w14:paraId="0F6FF256">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在施工期应加强施工管理，保护植物的</w:t>
      </w:r>
      <w:r>
        <w:rPr>
          <w:rFonts w:hint="eastAsia"/>
          <w:lang w:eastAsia="zh-CN"/>
        </w:rPr>
        <w:t>环境</w:t>
      </w:r>
      <w:r>
        <w:t>条件，杜绝对征地范围以外的林地产生不利影响的任何行为。施工结束后，应以乔、灌、草结合的方式对临时占地范围内的公益林植被进行恢复。</w:t>
      </w:r>
    </w:p>
    <w:p w14:paraId="54B08E35">
      <w:pPr>
        <w:adjustRightInd w:val="0"/>
        <w:snapToGrid w:val="0"/>
        <w:ind w:firstLine="480"/>
      </w:pPr>
      <w:r>
        <w:rPr>
          <w:rFonts w:hint="eastAsia"/>
        </w:rPr>
        <w:t>（6）对石漠化预防治理措施</w:t>
      </w:r>
    </w:p>
    <w:p w14:paraId="144C643E">
      <w:pPr>
        <w:adjustRightInd w:val="0"/>
        <w:snapToGrid w:val="0"/>
        <w:ind w:firstLine="480"/>
      </w:pPr>
      <w:r>
        <w:t>由于本项目多处存在基岩裸露的情况，为防止发生石漠化现象，在项目建设过程中，建议严格落实表土收集和防护，对临时占地区域采取及时恢复植被，落实水土保持措施、落实生态保护措施，根据当地植被条件，选择本土植被及适应性强的植被进行植被恢复，并采取以下措施，防止造成地区石漠化现象。</w:t>
      </w:r>
    </w:p>
    <w:p w14:paraId="51AE61F5">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植被恢复优先考虑抗旱性、适应性和抗逆性的基础上，选择生长迅速、萌芽力强、自然更新良好的树种。现场调查过程中，在评价区内发现杉木、马尾松、檵木能够适应当地的环境，可作为优选树种。</w:t>
      </w:r>
    </w:p>
    <w:p w14:paraId="29F0E021">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石灰岩丘陵因其干旱、高温、少土等特性，树木生长较缓慢，因此，石灰岩被恢复是一个较为漫长的过程。建议在恢复的过程中采取改良土壤的措施，可采取保存表土、异地取土至恢复区域、增加土壤厚度等措施优化土壤。</w:t>
      </w:r>
    </w:p>
    <w:p w14:paraId="18D30996">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由于植被恢复时易受动物干扰，在现场调查过程中，发现有少量牛羊放牧，由于山羊（或其它羊种）的食性非常杂，是石灰岩植被恢复的大敌。建议恢复过程中协调当地居民放牧地区，防止破坏恢复植被。</w:t>
      </w:r>
    </w:p>
    <w:p w14:paraId="732390C9">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在植被恢复地区山脚缓坡栽种带刺的蔓性植物，如云实，刺多，且其蔓生速度不快，不至于覆盖其它植物生长的领地，在一定程度上防止人为干扰。</w:t>
      </w:r>
    </w:p>
    <w:p w14:paraId="3676724B">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联合林业部门进行植物造林活动等。</w:t>
      </w:r>
    </w:p>
    <w:p w14:paraId="790B8A13">
      <w:pPr>
        <w:tabs>
          <w:tab w:val="clear" w:pos="480"/>
        </w:tabs>
        <w:adjustRightInd w:val="0"/>
        <w:snapToGrid w:val="0"/>
        <w:ind w:firstLine="0" w:firstLineChars="0"/>
        <w:outlineLvl w:val="3"/>
        <w:rPr>
          <w:b/>
          <w:kern w:val="0"/>
          <w:lang w:val="zh-CN"/>
        </w:rPr>
      </w:pPr>
      <w:r>
        <w:rPr>
          <w:b/>
          <w:kern w:val="0"/>
          <w:lang w:val="zh-CN"/>
        </w:rPr>
        <w:t>8.1.5.3</w:t>
      </w:r>
      <w:r>
        <w:rPr>
          <w:rFonts w:hint="eastAsia"/>
          <w:b/>
          <w:kern w:val="0"/>
          <w:lang w:val="zh-CN"/>
        </w:rPr>
        <w:t>野生动物生态环境保护措施</w:t>
      </w:r>
    </w:p>
    <w:p w14:paraId="4ABCEB25">
      <w:pPr>
        <w:adjustRightInd w:val="0"/>
        <w:snapToGrid w:val="0"/>
        <w:ind w:firstLine="480"/>
      </w:pPr>
      <w:r>
        <w:rPr>
          <w:rFonts w:hint="eastAsia"/>
        </w:rPr>
        <w:t>（1）生态影响的避让和减缓措施</w:t>
      </w:r>
    </w:p>
    <w:p w14:paraId="4C95C82D">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设置警示牌：提高施工人员的保护意识，组织施工人员学习相关法律，施工人员必须遵守《中华人民共和国野生动物</w:t>
      </w:r>
      <w:bookmarkStart w:id="210" w:name="_Toc478148625"/>
      <w:bookmarkStart w:id="211" w:name="_Toc448490659"/>
      <w:r>
        <w:t>保护法》，严禁施工</w:t>
      </w:r>
      <w:bookmarkEnd w:id="210"/>
      <w:bookmarkEnd w:id="211"/>
      <w:r>
        <w:t>人</w:t>
      </w:r>
      <w:bookmarkStart w:id="212" w:name="_Toc448490660"/>
      <w:bookmarkStart w:id="213" w:name="_Toc478148626"/>
      <w:r>
        <w:t>员捕猎野生动物，特</w:t>
      </w:r>
      <w:bookmarkEnd w:id="212"/>
      <w:bookmarkEnd w:id="213"/>
      <w:r>
        <w:t>别是国家级和省级重点保护动物。</w:t>
      </w:r>
    </w:p>
    <w:p w14:paraId="292D491B">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提高鸟类对风电机敏感性，在风机的叶片上涂上能吸引鸟类注意力的反射紫外线涂层或鲜艳颜色，如红色、橙色等，提高鸟类的注意力，避免白天鸟类撞击风机。</w:t>
      </w:r>
    </w:p>
    <w:p w14:paraId="495A53B8">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建议在鸟类迁徙季节时采用声音驱鸟法进行驱鸟，使鸟类在迁徙中能及时回避，减少鸟类碰撞风机的概率。</w:t>
      </w:r>
    </w:p>
    <w:p w14:paraId="294A9B8D">
      <w:pPr>
        <w:adjustRightInd w:val="0"/>
        <w:snapToGrid w:val="0"/>
        <w:ind w:firstLine="480"/>
      </w:pPr>
      <w:r>
        <w:rPr>
          <w:rFonts w:hint="eastAsia"/>
        </w:rPr>
        <w:t>（2）生态影响的减缓措施</w:t>
      </w:r>
    </w:p>
    <w:p w14:paraId="2E3E44AB">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优选施工时间，避开野生动物活动的高峰时段。野生鸟类和兽类大多是早晨、黄昏或夜间外出觅食，正午是鸟类休息时间。为了减少工程施工噪声对野生动物的惊扰，应做好施工方式和时间的计划，并力求避免在晨昏和正午施工。</w:t>
      </w:r>
    </w:p>
    <w:p w14:paraId="25DD22CC">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由于鸟类对光源有很强的敏感性，无论是在施工期还是在风机运行期，都要严格控制光源的使用，在确保航空器安全的前提下，尽可能少的</w:t>
      </w:r>
      <w:bookmarkStart w:id="214" w:name="_Toc478148627"/>
      <w:bookmarkStart w:id="215" w:name="_Toc448490661"/>
      <w:r>
        <w:t>在风机机身安装光源</w:t>
      </w:r>
      <w:bookmarkEnd w:id="214"/>
      <w:bookmarkEnd w:id="215"/>
      <w:r>
        <w:t>，如确有必要安装，应考虑安装白色闪光灯，不要安装红色的闪光灯，亮度和闪烁次数尽可能小；运行期如果碰到有大雾、暴雨或大风的夜晚，风电场室外的照明尽量最小化，不要使用钠蒸汽灯，禁止长时间开启明亮的照明设备，建议使用声控灯，给需要照明的设备加装必要的遮光设施，防止灯光外泄，以防止鸟类遭受不必要的伤害。</w:t>
      </w:r>
    </w:p>
    <w:p w14:paraId="2F8CBB4F">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施工期严格限制污染物的排放。避免生活垃圾、施工和生活污水直接排放。修建化粪池、沉淀池等污水处理设施进行处理。处理后的污水，可用于场区内的绿化和施工区域的洒水作业，既减少飞尘污染，也减少外排。最大限度地保护野生动物</w:t>
      </w:r>
      <w:r>
        <w:rPr>
          <w:rFonts w:hint="eastAsia"/>
          <w:lang w:eastAsia="zh-CN"/>
        </w:rPr>
        <w:t>环境</w:t>
      </w:r>
      <w:r>
        <w:t>。施工及运行期产生的固体垃圾，通过收集后，定时送环卫部门统一集中处理。</w:t>
      </w:r>
    </w:p>
    <w:p w14:paraId="44FA9F50">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设置宣传教育栏，施工期间若发现野生动物的幼体或卵等，不要伤害，要及时通知林业部门专门人员救护。</w:t>
      </w:r>
    </w:p>
    <w:p w14:paraId="5DBEA331">
      <w:pPr>
        <w:adjustRightInd w:val="0"/>
        <w:snapToGrid w:val="0"/>
        <w:ind w:firstLine="480"/>
      </w:pPr>
      <w:r>
        <w:rPr>
          <w:rFonts w:hint="eastAsia"/>
        </w:rPr>
        <w:t>（3）生态环境的恢复与补偿措施</w:t>
      </w:r>
    </w:p>
    <w:p w14:paraId="7587748D">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工程完工后尽快做好生态环境的恢复工作，每个风机和集电线路施工完成后，在临时占地及其附近合理复绿，种植本地植被，尽快恢复动物</w:t>
      </w:r>
      <w:r>
        <w:rPr>
          <w:rFonts w:hint="eastAsia"/>
          <w:lang w:eastAsia="zh-CN"/>
        </w:rPr>
        <w:t>环境</w:t>
      </w:r>
      <w:r>
        <w:t>，以尽量减少</w:t>
      </w:r>
      <w:r>
        <w:rPr>
          <w:rFonts w:hint="eastAsia"/>
          <w:lang w:eastAsia="zh-CN"/>
        </w:rPr>
        <w:t>环境</w:t>
      </w:r>
      <w:r>
        <w:t>破坏对动物的不利影响。</w:t>
      </w:r>
    </w:p>
    <w:p w14:paraId="688F38AF">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加强监测，科学管理营运。本项目运营2年内，聘请鸟类观测人员，观测风机区的鸟类数量，因风机致死的鸟类种类和数量。根据2年内监测的结果，对风机运行时间进行调整。对致死鸟类数量较大的风机，要进行关停。致死数量少的，可在迁徙季节遇到大风大雾时段适时关闭风机，尽量减少对鸟类的影响。</w:t>
      </w:r>
    </w:p>
    <w:p w14:paraId="597E8E54">
      <w:pPr>
        <w:adjustRightInd w:val="0"/>
        <w:snapToGrid w:val="0"/>
        <w:ind w:firstLine="480"/>
      </w:pPr>
      <w:r>
        <w:rPr>
          <w:rFonts w:hint="eastAsia"/>
        </w:rPr>
        <w:t>（</w:t>
      </w:r>
      <w:r>
        <w:t>4</w:t>
      </w:r>
      <w:r>
        <w:rPr>
          <w:rFonts w:hint="eastAsia"/>
        </w:rPr>
        <w:t>）生态影响的管理措施</w:t>
      </w:r>
    </w:p>
    <w:p w14:paraId="672716E9">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施工期制定严格的施工纪律和规章制度，规范施工行为，严格控制施工人员数量、设备和施工作业时间，严格划定施工范围，严禁越</w:t>
      </w:r>
      <w:bookmarkStart w:id="216" w:name="_Toc478148629"/>
      <w:bookmarkStart w:id="217" w:name="_Toc448490663"/>
      <w:r>
        <w:t>界施工，严禁施工人</w:t>
      </w:r>
      <w:bookmarkEnd w:id="216"/>
      <w:bookmarkEnd w:id="217"/>
      <w:r>
        <w:t>员进入非施工区域或从事与施工活动无关的活动，特别是要杜绝捕杀、伤害、惊吓、袭击动物等行为。开展施工期的工程环境监理工作，切实保障各项措施的落实，控制工程施工对植被资源和野生动物的影响。</w:t>
      </w:r>
    </w:p>
    <w:p w14:paraId="61A6E626">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施工期做好施工营地的卫生，避免吸引啮齿类动物，导致啮齿类动物集群，若啮齿类动物集群，将会使以其为食的蛇类和猛禽聚集于此，增加蛇类和猛禽类动物事故发生的概率；运营时控制风电场内及周边地区昆虫的数量，防止来此觅食的鸟类撞击风机。</w:t>
      </w:r>
    </w:p>
    <w:p w14:paraId="5AD82329">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加强野生动物的救护管理体系，建立与林业野生动物管理单位的联系制度，接受其指导。施工期和运</w:t>
      </w:r>
      <w:r>
        <w:rPr>
          <w:rFonts w:hint="eastAsia"/>
        </w:rPr>
        <w:t>营</w:t>
      </w:r>
      <w:r>
        <w:t>期发生</w:t>
      </w:r>
      <w:r>
        <w:rPr>
          <w:rFonts w:hint="eastAsia"/>
        </w:rPr>
        <w:t>的与</w:t>
      </w:r>
      <w:r>
        <w:t>野生动物有关的问题，及时向</w:t>
      </w:r>
      <w:r>
        <w:rPr>
          <w:rFonts w:hint="eastAsia"/>
        </w:rPr>
        <w:t>衡东县</w:t>
      </w:r>
      <w:r>
        <w:t>林业动物管理部门报告。如发现病伤的野生动物或者被遗弃的幼体、鸟卵等，不得私自处理，要及时通知</w:t>
      </w:r>
      <w:r>
        <w:rPr>
          <w:rFonts w:hint="eastAsia"/>
        </w:rPr>
        <w:t>衡东县</w:t>
      </w:r>
      <w:r>
        <w:t>林业野生动物管理部门，派专业技术人员进行救护。</w:t>
      </w:r>
    </w:p>
    <w:p w14:paraId="30C9B031">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鸟类应急方案与措施：迁徙候鸟撞机事故发生后，能否有效而迅速的作出应急反应，对于生态保护和候鸟保护</w:t>
      </w:r>
      <w:r>
        <w:rPr>
          <w:rFonts w:hint="eastAsia"/>
        </w:rPr>
        <w:t>是至关重要的</w:t>
      </w:r>
      <w:r>
        <w:t>，因此，拟建工程应制定鸟类事故应急预案，建立应付突发性事故的抢险救护指挥系统，设立处理突发性事故的风险资金，配备一定数量的鸟类救护工作必需的器材、设备和药品，做好值班人员与林业部门对接工作。</w:t>
      </w:r>
    </w:p>
    <w:p w14:paraId="4479088A">
      <w:pPr>
        <w:adjustRightInd w:val="0"/>
        <w:snapToGrid w:val="0"/>
        <w:ind w:firstLine="480"/>
      </w:pPr>
      <w:r>
        <w:t>主要内容包括：</w:t>
      </w:r>
    </w:p>
    <w:p w14:paraId="72496D92">
      <w:pPr>
        <w:adjustRightInd w:val="0"/>
        <w:snapToGrid w:val="0"/>
        <w:ind w:firstLine="480"/>
      </w:pPr>
      <w:r>
        <w:rPr>
          <w:rFonts w:hint="eastAsia"/>
        </w:rPr>
        <w:t>a</w:t>
      </w:r>
      <w:r>
        <w:t>成立应急领导小组。由项目负责人担任组长，有关单位人员担任成员。其任务是方便统一应急行动，一旦发生事故，能确保在最短的时间将事故控制，以减少对环境的破坏。</w:t>
      </w:r>
    </w:p>
    <w:p w14:paraId="05FD7945">
      <w:pPr>
        <w:adjustRightInd w:val="0"/>
        <w:snapToGrid w:val="0"/>
        <w:ind w:firstLine="480"/>
      </w:pPr>
      <w:r>
        <w:rPr>
          <w:rFonts w:hint="eastAsia"/>
        </w:rPr>
        <w:t>b</w:t>
      </w:r>
      <w:r>
        <w:t>组建应急队伍。以建设单位领导、风电场值班人员、鸟类观测技术人员等组建应急队伍，另外联系当地相关部门，如</w:t>
      </w:r>
      <w:r>
        <w:rPr>
          <w:rFonts w:hint="eastAsia"/>
        </w:rPr>
        <w:t>衡东县</w:t>
      </w:r>
      <w:r>
        <w:t>公安、环保、林业、野生动植物保护部门，紧急状况下及时告知，并采取应急行动。</w:t>
      </w:r>
    </w:p>
    <w:p w14:paraId="68221006">
      <w:pPr>
        <w:adjustRightInd w:val="0"/>
        <w:snapToGrid w:val="0"/>
        <w:ind w:firstLine="480"/>
      </w:pPr>
      <w:r>
        <w:rPr>
          <w:rFonts w:hint="eastAsia"/>
        </w:rPr>
        <w:t>c</w:t>
      </w:r>
      <w:r>
        <w:t>加强培训。对应急队伍成员做定期的应急讲座，建立快速报警系统和通讯指挥联络系统，保证事故发生后救援器材以最快的时间到达现场。</w:t>
      </w:r>
    </w:p>
    <w:p w14:paraId="7DCDACB6">
      <w:pPr>
        <w:adjustRightInd w:val="0"/>
        <w:snapToGrid w:val="0"/>
        <w:ind w:firstLine="480"/>
      </w:pPr>
      <w:r>
        <w:rPr>
          <w:rFonts w:hint="eastAsia"/>
        </w:rPr>
        <w:t>d</w:t>
      </w:r>
      <w:r>
        <w:t>预备应急物资和设备。设立应急物资和设备仓库，由风电场值班人员担任仓库管理员，担负应急物资和备品、备件的供应任务以及运输任务。</w:t>
      </w:r>
    </w:p>
    <w:p w14:paraId="5667CFF5">
      <w:pPr>
        <w:adjustRightInd w:val="0"/>
        <w:snapToGrid w:val="0"/>
        <w:ind w:firstLine="480"/>
      </w:pPr>
      <w:r>
        <w:rPr>
          <w:rFonts w:hint="eastAsia"/>
        </w:rPr>
        <w:t>e</w:t>
      </w:r>
      <w:r>
        <w:t>事故应急处理：接到报警后，项目部人员和林业部门专业技术人员应携带救护器材和药品前往现场，初步了解事故性质，及时对受伤的鸟类进行紧急救护并同时向建设单位高层和</w:t>
      </w:r>
      <w:r>
        <w:rPr>
          <w:rFonts w:hint="eastAsia"/>
        </w:rPr>
        <w:t>衡东县</w:t>
      </w:r>
      <w:r>
        <w:t>林业部门报告。</w:t>
      </w:r>
    </w:p>
    <w:p w14:paraId="67A1BDFF">
      <w:pPr>
        <w:adjustRightInd w:val="0"/>
        <w:snapToGrid w:val="0"/>
        <w:ind w:firstLine="480"/>
      </w:pPr>
      <w:r>
        <w:rPr>
          <w:rFonts w:hint="eastAsia"/>
        </w:rPr>
        <w:t>f</w:t>
      </w:r>
      <w:r>
        <w:t>加强与当地人民政府应急机构的联系。在事故现场，由领导小组领导，其他各个协调管理机构对现场进行处理，本项目建设单位主要进行协调和沟通工作，并负责工作的汇报。由地方林业部门、环保部门对事故性质、参数与后果进行评估，为指挥部门提供决策依据。</w:t>
      </w:r>
    </w:p>
    <w:p w14:paraId="4302D13A">
      <w:pPr>
        <w:adjustRightInd w:val="0"/>
        <w:snapToGrid w:val="0"/>
        <w:ind w:firstLine="480"/>
      </w:pPr>
      <w:r>
        <w:rPr>
          <w:rFonts w:hint="eastAsia"/>
        </w:rPr>
        <w:t>（5）对迁徙鸟类的保护措施</w:t>
      </w:r>
    </w:p>
    <w:p w14:paraId="5E2185FF">
      <w:pPr>
        <w:adjustRightInd w:val="0"/>
        <w:snapToGrid w:val="0"/>
        <w:ind w:firstLine="480"/>
      </w:pPr>
      <w:r>
        <w:t>由于本工程距离鸟类迁徙次要通道较近，难免会有部分迁徙鸟类途径项目风机区域，因而对鸟类迁徙季节施行保护措施是非常有必要的，建议采取以下保护措施：</w:t>
      </w:r>
    </w:p>
    <w:p w14:paraId="471E5F01">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加强在运营期的鸟类监测活动，采用人工观测记录或者视频监测系统进行观测鸟类迁徙活动。根据鸟类观测结果，在发现大量鸟类迁徙的情况下关闭可能威胁到鸟类迁徙的风机，避免迁徙鸟类撞击风机叶片。</w:t>
      </w:r>
    </w:p>
    <w:p w14:paraId="732F7B42">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由于部分鸟类在夜晚进行迁飞，风机夜晚发电将增加迁徙鸟类撞伤概率，因此建议迁徙季节降低夜晚发电频率，尤其是天气晴好的夜晚，关闭风机，尽最大可能避免迁徙鸟类撞伤概率。</w:t>
      </w:r>
    </w:p>
    <w:p w14:paraId="7F988144">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在条件允许的情况下，在风机运营期间聘请鸟类专家对工程区内鸟类迁徙路线进行监测，并根据监测结果采取相应的保护措施。</w:t>
      </w:r>
    </w:p>
    <w:p w14:paraId="18A41C4B">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在鸟类观测站配备相应的鸟类救护设备，对巡护人员进行基础救护培训，加强巡护过程中对鸟类的救护，鸟类伤势严重的情况下及时送往野保站进行救护。</w:t>
      </w:r>
    </w:p>
    <w:p w14:paraId="6ADE3632">
      <w:pPr>
        <w:adjustRightInd w:val="0"/>
        <w:snapToGrid w:val="0"/>
        <w:ind w:firstLine="480"/>
      </w:pPr>
      <w:r>
        <w:rPr>
          <w:rFonts w:hint="eastAsia"/>
        </w:rPr>
        <w:t>（6）对重点保护野生动物的保护措施</w:t>
      </w:r>
    </w:p>
    <w:p w14:paraId="69D20AE8">
      <w:pPr>
        <w:adjustRightInd w:val="0"/>
        <w:snapToGrid w:val="0"/>
        <w:ind w:firstLine="480"/>
      </w:pPr>
      <w:r>
        <w:t>评价区范围内陆生脊椎动物中，无国家Ⅰ级重点保护野生动物分布，国家Ⅱ级重点保护野生动物5种</w:t>
      </w:r>
      <w:bookmarkStart w:id="218" w:name="_Toc478148631"/>
      <w:bookmarkStart w:id="219" w:name="_Toc443555181"/>
      <w:bookmarkStart w:id="220" w:name="_Toc448490664"/>
      <w:bookmarkStart w:id="221" w:name="_Toc342465783"/>
      <w:bookmarkStart w:id="222" w:name="_Toc322593932"/>
      <w:r>
        <w:t>，湖南省重点保护野生动物</w:t>
      </w:r>
      <w:bookmarkEnd w:id="218"/>
      <w:bookmarkEnd w:id="219"/>
      <w:bookmarkEnd w:id="220"/>
      <w:bookmarkEnd w:id="221"/>
      <w:bookmarkEnd w:id="222"/>
      <w:r>
        <w:t>85种。</w:t>
      </w:r>
    </w:p>
    <w:p w14:paraId="39F9521B">
      <w:pPr>
        <w:adjustRightInd w:val="0"/>
        <w:snapToGrid w:val="0"/>
        <w:ind w:firstLine="480"/>
      </w:pPr>
      <w:r>
        <w:t>评价区内的重点保护动物主要为山区林地、灌丛、草地中活动的种类，工程对其影响主要是风机对鸟类迁徙和捕食的影响、人为捕捉的影响、噪声、震动及占用</w:t>
      </w:r>
      <w:r>
        <w:rPr>
          <w:rFonts w:hint="eastAsia"/>
          <w:lang w:eastAsia="zh-CN"/>
        </w:rPr>
        <w:t>环境</w:t>
      </w:r>
      <w:r>
        <w:t>的影响、污染与破坏环境的影响等。因此对这些野生动物的主要保护措施主要为，在风机叶片上涂吸引鸟类注意的颜色、夜间尽量减少灯光的使用等</w:t>
      </w:r>
      <w:r>
        <w:rPr>
          <w:rFonts w:hint="eastAsia"/>
        </w:rPr>
        <w:t>来</w:t>
      </w:r>
      <w:r>
        <w:t>防止鸟类撞击风机；对施工人员进行宣传教育，发放这些国家重点保护动物的图册以便施工人员识别，严禁施工人员捕杀野生动物、破坏动物巢穴，减少</w:t>
      </w:r>
      <w:r>
        <w:rPr>
          <w:rFonts w:hint="eastAsia"/>
          <w:lang w:eastAsia="zh-CN"/>
        </w:rPr>
        <w:t>环境</w:t>
      </w:r>
      <w:r>
        <w:t>占用和破坏；严禁高噪声设备在夜间施工等，施工结束后，要尽快做好周围生态环境的恢复工作；施工时加强污染物的监管和处理工作，防治其对周边环境的污染。国家重点保护动物的具体保护措施见表</w:t>
      </w:r>
      <w:r>
        <w:rPr>
          <w:rFonts w:hint="eastAsia"/>
        </w:rPr>
        <w:t>8.1-2</w:t>
      </w:r>
      <w:r>
        <w:t>。</w:t>
      </w:r>
    </w:p>
    <w:p w14:paraId="2CCF97E6">
      <w:pPr>
        <w:adjustRightInd w:val="0"/>
        <w:snapToGrid w:val="0"/>
        <w:ind w:firstLine="480"/>
      </w:pPr>
      <w:r>
        <w:rPr>
          <w:rFonts w:hint="eastAsia"/>
        </w:rPr>
        <w:t>①</w:t>
      </w:r>
      <w:r>
        <w:t>加强有关野生动物保护的宣传，在主要的施工区、施工人员的生活区等关键区域设立野生动物保护的宣传栏，对施工区域内可能出现的又极易被捕杀的重点保护野生动物做重点标示及说明，包括动物图片、保护级别、保护意义及对捕杀野生保护动物的惩罚措施，提高施工人员对野生动物的保护意识</w:t>
      </w:r>
    </w:p>
    <w:p w14:paraId="33030DF9">
      <w:pPr>
        <w:adjustRightInd w:val="0"/>
        <w:snapToGrid w:val="0"/>
        <w:ind w:firstLine="480"/>
      </w:pPr>
      <w:r>
        <w:rPr>
          <w:rFonts w:hint="eastAsia"/>
        </w:rPr>
        <w:t>②</w:t>
      </w:r>
      <w:r>
        <w:t>加大栖息地保护，施工过程应合理安排，尽量避开敏感期，缩小影响范围，缩短影响时间。减少人为对环境的干扰、污染与破坏。合理安排设施设备的使用，减少噪声设备的使用时间和强度。根据实际情况采取爆破方式，采用乳化炸药，进行无声爆破，防止爆破噪声对重点保护野生动物的惊扰。</w:t>
      </w:r>
    </w:p>
    <w:p w14:paraId="173BE4DF">
      <w:pPr>
        <w:adjustRightInd w:val="0"/>
        <w:snapToGrid w:val="0"/>
        <w:ind w:firstLine="480"/>
      </w:pPr>
      <w:r>
        <w:rPr>
          <w:rFonts w:hint="eastAsia"/>
        </w:rPr>
        <w:t>③</w:t>
      </w:r>
      <w:r>
        <w:t>恢复和改善重点保护野生动物的栖息地环境，并开展定期的重点保护野生动物及</w:t>
      </w:r>
      <w:r>
        <w:rPr>
          <w:rFonts w:hint="eastAsia"/>
          <w:lang w:eastAsia="zh-CN"/>
        </w:rPr>
        <w:t>环境</w:t>
      </w:r>
      <w:r>
        <w:t>调查监测与研究。保护自然植被，防止因工程施工对植被可能出现的破坏，并通过加快植树造林，尽快恢复工程临时占用的林地，从根本上有效的保护评价区鸟类及其它动物</w:t>
      </w:r>
      <w:r>
        <w:rPr>
          <w:rFonts w:hint="eastAsia"/>
        </w:rPr>
        <w:t>。</w:t>
      </w:r>
    </w:p>
    <w:p w14:paraId="6FC80990">
      <w:pPr>
        <w:adjustRightInd w:val="0"/>
        <w:snapToGrid w:val="0"/>
        <w:spacing w:line="240" w:lineRule="auto"/>
        <w:ind w:firstLine="0" w:firstLineChars="0"/>
        <w:jc w:val="center"/>
        <w:rPr>
          <w:b/>
          <w:bCs/>
        </w:rPr>
      </w:pPr>
      <w:r>
        <w:rPr>
          <w:b/>
          <w:bCs/>
        </w:rPr>
        <w:t>表</w:t>
      </w:r>
      <w:r>
        <w:rPr>
          <w:rFonts w:hint="eastAsia"/>
          <w:b/>
          <w:bCs/>
        </w:rPr>
        <w:t>8.1-2</w:t>
      </w:r>
      <w:r>
        <w:rPr>
          <w:b/>
          <w:bCs/>
        </w:rPr>
        <w:t>国家重点保护动物的保护措施</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7"/>
        <w:gridCol w:w="3135"/>
        <w:gridCol w:w="849"/>
        <w:gridCol w:w="849"/>
        <w:gridCol w:w="709"/>
        <w:gridCol w:w="672"/>
      </w:tblGrid>
      <w:tr w14:paraId="7F9262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12"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6823CF3F">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中文名、拉丁名</w:t>
            </w:r>
          </w:p>
        </w:tc>
        <w:tc>
          <w:tcPr>
            <w:tcW w:w="1879"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0D2A07E">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分布</w:t>
            </w:r>
          </w:p>
        </w:tc>
        <w:tc>
          <w:tcPr>
            <w:tcW w:w="509"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B63DE3C">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居留型</w:t>
            </w:r>
          </w:p>
        </w:tc>
        <w:tc>
          <w:tcPr>
            <w:tcW w:w="509"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151832E">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区系</w:t>
            </w:r>
          </w:p>
          <w:p w14:paraId="5F225E64">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类型</w:t>
            </w:r>
          </w:p>
        </w:tc>
        <w:tc>
          <w:tcPr>
            <w:tcW w:w="425" w:type="pct"/>
            <w:tcBorders>
              <w:top w:val="single" w:color="auto" w:sz="12"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48C04B6">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数量</w:t>
            </w:r>
          </w:p>
          <w:p w14:paraId="4A9D808D">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等级</w:t>
            </w:r>
          </w:p>
        </w:tc>
        <w:tc>
          <w:tcPr>
            <w:tcW w:w="403" w:type="pct"/>
            <w:tcBorders>
              <w:top w:val="single" w:color="auto" w:sz="12"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1759712D">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保护</w:t>
            </w:r>
          </w:p>
          <w:p w14:paraId="5D57778E">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等级</w:t>
            </w:r>
          </w:p>
        </w:tc>
      </w:tr>
      <w:tr w14:paraId="7ABBDE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2DE7C826">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1</w:t>
            </w:r>
            <w:r>
              <w:rPr>
                <w:sz w:val="18"/>
                <w:szCs w:val="18"/>
              </w:rPr>
              <w:t>.雀鹰</w:t>
            </w:r>
          </w:p>
          <w:p w14:paraId="2FF62A0E">
            <w:pPr>
              <w:widowControl/>
              <w:tabs>
                <w:tab w:val="left" w:pos="173"/>
                <w:tab w:val="clear" w:pos="480"/>
              </w:tabs>
              <w:adjustRightInd w:val="0"/>
              <w:snapToGrid w:val="0"/>
              <w:spacing w:line="240" w:lineRule="auto"/>
              <w:ind w:firstLine="0" w:firstLineChars="0"/>
              <w:jc w:val="center"/>
              <w:rPr>
                <w:kern w:val="0"/>
                <w:sz w:val="18"/>
                <w:szCs w:val="18"/>
              </w:rPr>
            </w:pPr>
            <w:r>
              <w:rPr>
                <w:i/>
                <w:sz w:val="18"/>
                <w:szCs w:val="18"/>
              </w:rPr>
              <w:t>Accipiter nisus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1B8232C">
            <w:pPr>
              <w:widowControl/>
              <w:tabs>
                <w:tab w:val="clear" w:pos="480"/>
              </w:tabs>
              <w:adjustRightInd w:val="0"/>
              <w:snapToGrid w:val="0"/>
              <w:spacing w:line="240" w:lineRule="auto"/>
              <w:ind w:firstLine="0" w:firstLineChars="0"/>
              <w:rPr>
                <w:kern w:val="0"/>
                <w:sz w:val="18"/>
                <w:szCs w:val="18"/>
              </w:rPr>
            </w:pPr>
            <w:r>
              <w:rPr>
                <w:bCs/>
                <w:sz w:val="18"/>
                <w:szCs w:val="18"/>
              </w:rPr>
              <w:t>栖息于针叶林、混交林、阔叶林等山地森林和林缘地带。</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029F86B">
            <w:pPr>
              <w:widowControl/>
              <w:tabs>
                <w:tab w:val="clear" w:pos="480"/>
              </w:tabs>
              <w:adjustRightInd w:val="0"/>
              <w:snapToGrid w:val="0"/>
              <w:spacing w:line="240" w:lineRule="auto"/>
              <w:ind w:firstLine="0" w:firstLineChars="0"/>
              <w:jc w:val="center"/>
              <w:rPr>
                <w:bCs/>
                <w:kern w:val="0"/>
                <w:sz w:val="18"/>
                <w:szCs w:val="18"/>
              </w:rPr>
            </w:pPr>
            <w:r>
              <w:rPr>
                <w:sz w:val="18"/>
                <w:szCs w:val="18"/>
              </w:rPr>
              <w:t>冬候鸟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52C0BDE">
            <w:pPr>
              <w:widowControl/>
              <w:tabs>
                <w:tab w:val="clear" w:pos="480"/>
              </w:tabs>
              <w:adjustRightInd w:val="0"/>
              <w:snapToGrid w:val="0"/>
              <w:spacing w:line="240" w:lineRule="auto"/>
              <w:ind w:firstLine="0" w:firstLineChars="0"/>
              <w:jc w:val="center"/>
              <w:rPr>
                <w:bCs/>
                <w:kern w:val="0"/>
                <w:sz w:val="18"/>
                <w:szCs w:val="18"/>
              </w:rPr>
            </w:pPr>
            <w:r>
              <w:rPr>
                <w:sz w:val="18"/>
                <w:szCs w:val="18"/>
              </w:rPr>
              <w:t>古北种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5D02C2C">
            <w:pPr>
              <w:widowControl/>
              <w:tabs>
                <w:tab w:val="clear" w:pos="480"/>
              </w:tabs>
              <w:adjustRightInd w:val="0"/>
              <w:snapToGrid w:val="0"/>
              <w:spacing w:line="240" w:lineRule="auto"/>
              <w:ind w:firstLine="0" w:firstLineChars="0"/>
              <w:jc w:val="center"/>
              <w:rPr>
                <w:kern w:val="0"/>
                <w:sz w:val="18"/>
                <w:szCs w:val="18"/>
              </w:rPr>
            </w:pPr>
            <w:r>
              <w:rPr>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5E3B7CBC">
            <w:pPr>
              <w:adjustRightInd w:val="0"/>
              <w:snapToGrid w:val="0"/>
              <w:spacing w:line="240" w:lineRule="auto"/>
              <w:ind w:firstLine="0" w:firstLineChars="0"/>
              <w:jc w:val="center"/>
              <w:rPr>
                <w:sz w:val="18"/>
                <w:szCs w:val="18"/>
              </w:rPr>
            </w:pPr>
            <w:r>
              <w:rPr>
                <w:sz w:val="18"/>
                <w:szCs w:val="18"/>
              </w:rPr>
              <w:t>国家</w:t>
            </w:r>
          </w:p>
          <w:p w14:paraId="2B2D0F97">
            <w:pPr>
              <w:widowControl/>
              <w:tabs>
                <w:tab w:val="clear" w:pos="480"/>
              </w:tabs>
              <w:adjustRightInd w:val="0"/>
              <w:snapToGrid w:val="0"/>
              <w:spacing w:line="240" w:lineRule="auto"/>
              <w:ind w:firstLine="0" w:firstLineChars="0"/>
              <w:jc w:val="center"/>
              <w:rPr>
                <w:kern w:val="0"/>
                <w:sz w:val="18"/>
                <w:szCs w:val="18"/>
              </w:rPr>
            </w:pPr>
            <w:r>
              <w:rPr>
                <w:sz w:val="18"/>
                <w:szCs w:val="18"/>
              </w:rPr>
              <w:t>Ⅱ级</w:t>
            </w:r>
          </w:p>
        </w:tc>
      </w:tr>
      <w:tr w14:paraId="28A338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145E9113">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2</w:t>
            </w:r>
            <w:r>
              <w:rPr>
                <w:sz w:val="18"/>
                <w:szCs w:val="18"/>
              </w:rPr>
              <w:t>.黑鸢</w:t>
            </w:r>
          </w:p>
          <w:p w14:paraId="0AF04778">
            <w:pPr>
              <w:widowControl/>
              <w:tabs>
                <w:tab w:val="left" w:pos="173"/>
                <w:tab w:val="clear" w:pos="480"/>
              </w:tabs>
              <w:adjustRightInd w:val="0"/>
              <w:snapToGrid w:val="0"/>
              <w:spacing w:line="240" w:lineRule="auto"/>
              <w:ind w:firstLine="0" w:firstLineChars="0"/>
              <w:jc w:val="center"/>
              <w:rPr>
                <w:kern w:val="0"/>
                <w:sz w:val="18"/>
                <w:szCs w:val="18"/>
              </w:rPr>
            </w:pPr>
            <w:r>
              <w:rPr>
                <w:i/>
                <w:sz w:val="18"/>
                <w:szCs w:val="18"/>
              </w:rPr>
              <w:t>Milvus migrans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EF27799">
            <w:pPr>
              <w:widowControl/>
              <w:tabs>
                <w:tab w:val="clear" w:pos="480"/>
              </w:tabs>
              <w:adjustRightInd w:val="0"/>
              <w:snapToGrid w:val="0"/>
              <w:spacing w:line="240" w:lineRule="auto"/>
              <w:ind w:firstLine="0" w:firstLineChars="0"/>
              <w:rPr>
                <w:bCs/>
                <w:kern w:val="0"/>
                <w:sz w:val="18"/>
                <w:szCs w:val="18"/>
              </w:rPr>
            </w:pPr>
            <w:r>
              <w:rPr>
                <w:bCs/>
                <w:sz w:val="18"/>
                <w:szCs w:val="18"/>
              </w:rPr>
              <w:t>栖息于开阔平原、草地、荒原和低山丘陵地带。</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6E2FA7A">
            <w:pPr>
              <w:widowControl/>
              <w:tabs>
                <w:tab w:val="clear" w:pos="480"/>
              </w:tabs>
              <w:adjustRightInd w:val="0"/>
              <w:snapToGrid w:val="0"/>
              <w:spacing w:line="240" w:lineRule="auto"/>
              <w:ind w:firstLine="0" w:firstLineChars="0"/>
              <w:jc w:val="center"/>
              <w:rPr>
                <w:bCs/>
                <w:kern w:val="0"/>
                <w:sz w:val="18"/>
                <w:szCs w:val="18"/>
              </w:rPr>
            </w:pPr>
            <w:r>
              <w:rPr>
                <w:bCs/>
                <w:sz w:val="18"/>
                <w:szCs w:val="18"/>
              </w:rPr>
              <w:t>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CB0089D">
            <w:pPr>
              <w:widowControl/>
              <w:tabs>
                <w:tab w:val="clear" w:pos="480"/>
              </w:tabs>
              <w:adjustRightInd w:val="0"/>
              <w:snapToGrid w:val="0"/>
              <w:spacing w:line="240" w:lineRule="auto"/>
              <w:ind w:firstLine="0" w:firstLineChars="0"/>
              <w:jc w:val="center"/>
              <w:rPr>
                <w:bCs/>
                <w:kern w:val="0"/>
                <w:sz w:val="18"/>
                <w:szCs w:val="18"/>
              </w:rPr>
            </w:pPr>
            <w:r>
              <w:rPr>
                <w:bCs/>
                <w:sz w:val="18"/>
                <w:szCs w:val="18"/>
              </w:rPr>
              <w:t>古北种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8475744">
            <w:pPr>
              <w:widowControl/>
              <w:tabs>
                <w:tab w:val="clear" w:pos="480"/>
              </w:tabs>
              <w:adjustRightInd w:val="0"/>
              <w:snapToGrid w:val="0"/>
              <w:spacing w:line="240" w:lineRule="auto"/>
              <w:ind w:firstLine="0" w:firstLineChars="0"/>
              <w:jc w:val="center"/>
              <w:rPr>
                <w:kern w:val="0"/>
                <w:sz w:val="18"/>
                <w:szCs w:val="18"/>
              </w:rPr>
            </w:pPr>
            <w:r>
              <w:rPr>
                <w:bCs/>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33EB724B">
            <w:pPr>
              <w:autoSpaceDN w:val="0"/>
              <w:adjustRightInd w:val="0"/>
              <w:snapToGrid w:val="0"/>
              <w:spacing w:line="240" w:lineRule="auto"/>
              <w:ind w:firstLine="0" w:firstLineChars="0"/>
              <w:jc w:val="center"/>
              <w:textAlignment w:val="center"/>
              <w:rPr>
                <w:bCs/>
                <w:sz w:val="18"/>
                <w:szCs w:val="18"/>
              </w:rPr>
            </w:pPr>
            <w:r>
              <w:rPr>
                <w:bCs/>
                <w:sz w:val="18"/>
                <w:szCs w:val="18"/>
              </w:rPr>
              <w:t>国家</w:t>
            </w:r>
          </w:p>
          <w:p w14:paraId="6A8C6FA0">
            <w:pPr>
              <w:widowControl/>
              <w:tabs>
                <w:tab w:val="clear" w:pos="480"/>
              </w:tabs>
              <w:adjustRightInd w:val="0"/>
              <w:snapToGrid w:val="0"/>
              <w:spacing w:line="240" w:lineRule="auto"/>
              <w:ind w:firstLine="0" w:firstLineChars="0"/>
              <w:jc w:val="center"/>
              <w:rPr>
                <w:kern w:val="0"/>
                <w:sz w:val="18"/>
                <w:szCs w:val="18"/>
              </w:rPr>
            </w:pPr>
            <w:r>
              <w:rPr>
                <w:bCs/>
                <w:sz w:val="18"/>
                <w:szCs w:val="18"/>
              </w:rPr>
              <w:t>Ⅱ级</w:t>
            </w:r>
          </w:p>
        </w:tc>
      </w:tr>
      <w:tr w14:paraId="20201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18C6C4A0">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3</w:t>
            </w:r>
            <w:r>
              <w:rPr>
                <w:sz w:val="18"/>
                <w:szCs w:val="18"/>
              </w:rPr>
              <w:t>.红隼</w:t>
            </w:r>
          </w:p>
          <w:p w14:paraId="1C71F1CA">
            <w:pPr>
              <w:widowControl/>
              <w:tabs>
                <w:tab w:val="left" w:pos="173"/>
                <w:tab w:val="clear" w:pos="480"/>
              </w:tabs>
              <w:adjustRightInd w:val="0"/>
              <w:snapToGrid w:val="0"/>
              <w:spacing w:line="240" w:lineRule="auto"/>
              <w:ind w:firstLine="0" w:firstLineChars="0"/>
              <w:jc w:val="center"/>
              <w:rPr>
                <w:i/>
                <w:kern w:val="0"/>
                <w:sz w:val="18"/>
                <w:szCs w:val="18"/>
              </w:rPr>
            </w:pPr>
            <w:r>
              <w:rPr>
                <w:i/>
                <w:iCs/>
                <w:sz w:val="18"/>
                <w:szCs w:val="18"/>
              </w:rPr>
              <w:t>Falco tinnunculus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A5586AE">
            <w:pPr>
              <w:widowControl/>
              <w:tabs>
                <w:tab w:val="clear" w:pos="480"/>
              </w:tabs>
              <w:adjustRightInd w:val="0"/>
              <w:snapToGrid w:val="0"/>
              <w:spacing w:line="240" w:lineRule="auto"/>
              <w:ind w:firstLine="0" w:firstLineChars="0"/>
              <w:rPr>
                <w:kern w:val="0"/>
                <w:sz w:val="18"/>
                <w:szCs w:val="18"/>
              </w:rPr>
            </w:pPr>
            <w:r>
              <w:rPr>
                <w:sz w:val="18"/>
                <w:szCs w:val="18"/>
              </w:rPr>
              <w:t>栖息在山区植物稀疏的混合林、开垦耕地及旷野灌丛草地。</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E1CB92C">
            <w:pPr>
              <w:widowControl/>
              <w:tabs>
                <w:tab w:val="clear" w:pos="480"/>
              </w:tabs>
              <w:adjustRightInd w:val="0"/>
              <w:snapToGrid w:val="0"/>
              <w:spacing w:line="240" w:lineRule="auto"/>
              <w:ind w:firstLine="0" w:firstLineChars="0"/>
              <w:jc w:val="center"/>
              <w:rPr>
                <w:kern w:val="0"/>
                <w:sz w:val="18"/>
                <w:szCs w:val="18"/>
              </w:rPr>
            </w:pPr>
            <w:r>
              <w:rPr>
                <w:sz w:val="18"/>
                <w:szCs w:val="18"/>
              </w:rPr>
              <w:t>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EF89F68">
            <w:pPr>
              <w:widowControl/>
              <w:tabs>
                <w:tab w:val="clear" w:pos="480"/>
              </w:tabs>
              <w:adjustRightInd w:val="0"/>
              <w:snapToGrid w:val="0"/>
              <w:spacing w:line="240" w:lineRule="auto"/>
              <w:ind w:firstLine="0" w:firstLineChars="0"/>
              <w:jc w:val="center"/>
              <w:rPr>
                <w:kern w:val="0"/>
                <w:sz w:val="18"/>
                <w:szCs w:val="18"/>
              </w:rPr>
            </w:pPr>
            <w:r>
              <w:rPr>
                <w:sz w:val="18"/>
                <w:szCs w:val="18"/>
              </w:rPr>
              <w:t>广布种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3082B21">
            <w:pPr>
              <w:widowControl/>
              <w:tabs>
                <w:tab w:val="clear" w:pos="480"/>
              </w:tabs>
              <w:adjustRightInd w:val="0"/>
              <w:snapToGrid w:val="0"/>
              <w:spacing w:line="240" w:lineRule="auto"/>
              <w:ind w:firstLine="0" w:firstLineChars="0"/>
              <w:jc w:val="center"/>
              <w:rPr>
                <w:kern w:val="0"/>
                <w:sz w:val="18"/>
                <w:szCs w:val="18"/>
              </w:rPr>
            </w:pPr>
            <w:r>
              <w:rPr>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5B6B5C5D">
            <w:pPr>
              <w:adjustRightInd w:val="0"/>
              <w:snapToGrid w:val="0"/>
              <w:spacing w:line="240" w:lineRule="auto"/>
              <w:ind w:firstLine="0" w:firstLineChars="0"/>
              <w:jc w:val="center"/>
              <w:rPr>
                <w:sz w:val="18"/>
                <w:szCs w:val="18"/>
              </w:rPr>
            </w:pPr>
            <w:r>
              <w:rPr>
                <w:sz w:val="18"/>
                <w:szCs w:val="18"/>
              </w:rPr>
              <w:t>国家</w:t>
            </w:r>
          </w:p>
          <w:p w14:paraId="40C351A6">
            <w:pPr>
              <w:widowControl/>
              <w:tabs>
                <w:tab w:val="clear" w:pos="480"/>
              </w:tabs>
              <w:adjustRightInd w:val="0"/>
              <w:snapToGrid w:val="0"/>
              <w:spacing w:line="240" w:lineRule="auto"/>
              <w:ind w:firstLine="0" w:firstLineChars="0"/>
              <w:jc w:val="center"/>
              <w:rPr>
                <w:kern w:val="0"/>
                <w:sz w:val="18"/>
                <w:szCs w:val="18"/>
              </w:rPr>
            </w:pPr>
            <w:r>
              <w:rPr>
                <w:sz w:val="18"/>
                <w:szCs w:val="18"/>
              </w:rPr>
              <w:t>Ⅱ级</w:t>
            </w:r>
          </w:p>
        </w:tc>
      </w:tr>
      <w:tr w14:paraId="349F40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4" w:space="0"/>
              <w:right w:val="single" w:color="auto" w:sz="4" w:space="0"/>
            </w:tcBorders>
            <w:tcMar>
              <w:top w:w="15" w:type="dxa"/>
              <w:left w:w="15" w:type="dxa"/>
              <w:bottom w:w="15" w:type="dxa"/>
              <w:right w:w="15" w:type="dxa"/>
            </w:tcMar>
            <w:vAlign w:val="center"/>
          </w:tcPr>
          <w:p w14:paraId="0AEF7A9C">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4</w:t>
            </w:r>
            <w:r>
              <w:rPr>
                <w:sz w:val="18"/>
                <w:szCs w:val="18"/>
              </w:rPr>
              <w:t>.东方草鸮</w:t>
            </w:r>
          </w:p>
          <w:p w14:paraId="203F7390">
            <w:pPr>
              <w:widowControl/>
              <w:tabs>
                <w:tab w:val="clear" w:pos="480"/>
              </w:tabs>
              <w:adjustRightInd w:val="0"/>
              <w:snapToGrid w:val="0"/>
              <w:spacing w:line="240" w:lineRule="auto"/>
              <w:ind w:firstLine="0" w:firstLineChars="0"/>
              <w:jc w:val="center"/>
              <w:rPr>
                <w:bCs/>
                <w:kern w:val="0"/>
                <w:sz w:val="18"/>
                <w:szCs w:val="18"/>
              </w:rPr>
            </w:pPr>
            <w:r>
              <w:rPr>
                <w:i/>
                <w:sz w:val="18"/>
                <w:szCs w:val="18"/>
              </w:rPr>
              <w:t>Tyto longimembris</w:t>
            </w:r>
          </w:p>
        </w:tc>
        <w:tc>
          <w:tcPr>
            <w:tcW w:w="187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D411A54">
            <w:pPr>
              <w:widowControl/>
              <w:tabs>
                <w:tab w:val="clear" w:pos="480"/>
              </w:tabs>
              <w:adjustRightInd w:val="0"/>
              <w:snapToGrid w:val="0"/>
              <w:spacing w:line="240" w:lineRule="auto"/>
              <w:ind w:firstLine="0" w:firstLineChars="0"/>
              <w:rPr>
                <w:bCs/>
                <w:kern w:val="0"/>
                <w:sz w:val="18"/>
                <w:szCs w:val="18"/>
              </w:rPr>
            </w:pPr>
            <w:r>
              <w:rPr>
                <w:sz w:val="18"/>
                <w:szCs w:val="18"/>
              </w:rPr>
              <w:t>栖息于山麓草灌丛中，经常活动于茂密的热带草原，沼泽地，特别是芦苇荡边的蔗田，隐藏在地面上的高草中。</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59BD924">
            <w:pPr>
              <w:widowControl/>
              <w:tabs>
                <w:tab w:val="clear" w:pos="480"/>
              </w:tabs>
              <w:adjustRightInd w:val="0"/>
              <w:snapToGrid w:val="0"/>
              <w:spacing w:line="240" w:lineRule="auto"/>
              <w:ind w:firstLine="0" w:firstLineChars="0"/>
              <w:jc w:val="center"/>
              <w:rPr>
                <w:bCs/>
                <w:kern w:val="0"/>
                <w:sz w:val="18"/>
                <w:szCs w:val="18"/>
              </w:rPr>
            </w:pPr>
            <w:r>
              <w:rPr>
                <w:sz w:val="18"/>
                <w:szCs w:val="18"/>
              </w:rPr>
              <w:t>留鸟</w:t>
            </w:r>
          </w:p>
        </w:tc>
        <w:tc>
          <w:tcPr>
            <w:tcW w:w="509"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6E5FEA3">
            <w:pPr>
              <w:widowControl/>
              <w:tabs>
                <w:tab w:val="clear" w:pos="480"/>
              </w:tabs>
              <w:adjustRightInd w:val="0"/>
              <w:snapToGrid w:val="0"/>
              <w:spacing w:line="240" w:lineRule="auto"/>
              <w:ind w:firstLine="0" w:firstLineChars="0"/>
              <w:jc w:val="center"/>
              <w:rPr>
                <w:bCs/>
                <w:kern w:val="0"/>
                <w:sz w:val="18"/>
                <w:szCs w:val="18"/>
              </w:rPr>
            </w:pPr>
            <w:r>
              <w:rPr>
                <w:sz w:val="18"/>
                <w:szCs w:val="18"/>
              </w:rPr>
              <w:t>东洋种</w:t>
            </w:r>
          </w:p>
        </w:tc>
        <w:tc>
          <w:tcPr>
            <w:tcW w:w="42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06694C7">
            <w:pPr>
              <w:widowControl/>
              <w:tabs>
                <w:tab w:val="clear" w:pos="480"/>
              </w:tabs>
              <w:adjustRightInd w:val="0"/>
              <w:snapToGrid w:val="0"/>
              <w:spacing w:line="240" w:lineRule="auto"/>
              <w:ind w:firstLine="0" w:firstLineChars="0"/>
              <w:jc w:val="center"/>
              <w:rPr>
                <w:bCs/>
                <w:kern w:val="0"/>
                <w:sz w:val="18"/>
                <w:szCs w:val="18"/>
              </w:rPr>
            </w:pPr>
            <w:r>
              <w:rPr>
                <w:sz w:val="18"/>
                <w:szCs w:val="18"/>
              </w:rPr>
              <w:t>+</w:t>
            </w:r>
          </w:p>
        </w:tc>
        <w:tc>
          <w:tcPr>
            <w:tcW w:w="403" w:type="pct"/>
            <w:tcBorders>
              <w:top w:val="single" w:color="auto" w:sz="4" w:space="0"/>
              <w:left w:val="single" w:color="auto" w:sz="4" w:space="0"/>
              <w:bottom w:val="single" w:color="auto" w:sz="4" w:space="0"/>
              <w:right w:val="single" w:color="auto" w:sz="12" w:space="0"/>
            </w:tcBorders>
            <w:tcMar>
              <w:top w:w="15" w:type="dxa"/>
              <w:left w:w="15" w:type="dxa"/>
              <w:bottom w:w="15" w:type="dxa"/>
              <w:right w:w="15" w:type="dxa"/>
            </w:tcMar>
            <w:vAlign w:val="center"/>
          </w:tcPr>
          <w:p w14:paraId="7A66366F">
            <w:pPr>
              <w:autoSpaceDN w:val="0"/>
              <w:adjustRightInd w:val="0"/>
              <w:snapToGrid w:val="0"/>
              <w:spacing w:line="240" w:lineRule="auto"/>
              <w:ind w:firstLine="0" w:firstLineChars="0"/>
              <w:jc w:val="center"/>
              <w:textAlignment w:val="center"/>
              <w:rPr>
                <w:sz w:val="18"/>
                <w:szCs w:val="18"/>
              </w:rPr>
            </w:pPr>
            <w:r>
              <w:rPr>
                <w:sz w:val="18"/>
                <w:szCs w:val="18"/>
              </w:rPr>
              <w:t>国家</w:t>
            </w:r>
          </w:p>
          <w:p w14:paraId="3E433D9B">
            <w:pPr>
              <w:widowControl/>
              <w:tabs>
                <w:tab w:val="clear" w:pos="480"/>
              </w:tabs>
              <w:adjustRightInd w:val="0"/>
              <w:snapToGrid w:val="0"/>
              <w:spacing w:line="240" w:lineRule="auto"/>
              <w:ind w:firstLine="0" w:firstLineChars="0"/>
              <w:jc w:val="center"/>
              <w:rPr>
                <w:bCs/>
                <w:kern w:val="0"/>
                <w:sz w:val="18"/>
                <w:szCs w:val="18"/>
              </w:rPr>
            </w:pPr>
            <w:r>
              <w:rPr>
                <w:sz w:val="18"/>
                <w:szCs w:val="18"/>
              </w:rPr>
              <w:t>Ⅱ级</w:t>
            </w:r>
          </w:p>
        </w:tc>
      </w:tr>
      <w:tr w14:paraId="039A9A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75" w:type="pct"/>
            <w:tcBorders>
              <w:top w:val="single" w:color="auto" w:sz="4" w:space="0"/>
              <w:left w:val="single" w:color="auto" w:sz="12" w:space="0"/>
              <w:bottom w:val="single" w:color="auto" w:sz="12" w:space="0"/>
              <w:right w:val="single" w:color="auto" w:sz="4" w:space="0"/>
            </w:tcBorders>
            <w:tcMar>
              <w:top w:w="15" w:type="dxa"/>
              <w:left w:w="15" w:type="dxa"/>
              <w:bottom w:w="15" w:type="dxa"/>
              <w:right w:w="15" w:type="dxa"/>
            </w:tcMar>
            <w:vAlign w:val="center"/>
          </w:tcPr>
          <w:p w14:paraId="5C6CA74D">
            <w:pPr>
              <w:tabs>
                <w:tab w:val="clear" w:pos="480"/>
              </w:tabs>
              <w:autoSpaceDN w:val="0"/>
              <w:adjustRightInd w:val="0"/>
              <w:snapToGrid w:val="0"/>
              <w:spacing w:line="240" w:lineRule="auto"/>
              <w:ind w:firstLine="0" w:firstLineChars="0"/>
              <w:jc w:val="center"/>
              <w:textAlignment w:val="center"/>
              <w:rPr>
                <w:kern w:val="0"/>
                <w:sz w:val="18"/>
                <w:szCs w:val="18"/>
              </w:rPr>
            </w:pPr>
            <w:r>
              <w:rPr>
                <w:rFonts w:hint="eastAsia"/>
                <w:sz w:val="18"/>
                <w:szCs w:val="18"/>
              </w:rPr>
              <w:t>5</w:t>
            </w:r>
            <w:r>
              <w:rPr>
                <w:sz w:val="18"/>
                <w:szCs w:val="18"/>
              </w:rPr>
              <w:t>.斑头鸺鹠</w:t>
            </w:r>
          </w:p>
          <w:p w14:paraId="4F5B2956">
            <w:pPr>
              <w:widowControl/>
              <w:tabs>
                <w:tab w:val="clear" w:pos="480"/>
              </w:tabs>
              <w:adjustRightInd w:val="0"/>
              <w:snapToGrid w:val="0"/>
              <w:spacing w:line="240" w:lineRule="auto"/>
              <w:ind w:firstLine="0" w:firstLineChars="0"/>
              <w:jc w:val="center"/>
              <w:rPr>
                <w:kern w:val="0"/>
                <w:sz w:val="18"/>
                <w:szCs w:val="18"/>
              </w:rPr>
            </w:pPr>
            <w:r>
              <w:rPr>
                <w:i/>
                <w:iCs/>
                <w:kern w:val="0"/>
                <w:sz w:val="18"/>
                <w:szCs w:val="18"/>
              </w:rPr>
              <w:t>Glaucidium cuculoides</w:t>
            </w:r>
          </w:p>
        </w:tc>
        <w:tc>
          <w:tcPr>
            <w:tcW w:w="1879"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774DA573">
            <w:pPr>
              <w:widowControl/>
              <w:tabs>
                <w:tab w:val="clear" w:pos="480"/>
              </w:tabs>
              <w:adjustRightInd w:val="0"/>
              <w:snapToGrid w:val="0"/>
              <w:spacing w:line="240" w:lineRule="auto"/>
              <w:ind w:firstLine="0" w:firstLineChars="0"/>
              <w:rPr>
                <w:kern w:val="0"/>
                <w:sz w:val="18"/>
                <w:szCs w:val="18"/>
              </w:rPr>
            </w:pPr>
            <w:r>
              <w:rPr>
                <w:sz w:val="18"/>
                <w:szCs w:val="18"/>
              </w:rPr>
              <w:t>栖息于从平原、低山丘陵到海拔2000m左右的中山地带的阔叶林、混交林、次生林和林缘灌丛。</w:t>
            </w:r>
          </w:p>
        </w:tc>
        <w:tc>
          <w:tcPr>
            <w:tcW w:w="509"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78D12B7A">
            <w:pPr>
              <w:widowControl/>
              <w:tabs>
                <w:tab w:val="clear" w:pos="480"/>
              </w:tabs>
              <w:adjustRightInd w:val="0"/>
              <w:snapToGrid w:val="0"/>
              <w:spacing w:line="240" w:lineRule="auto"/>
              <w:ind w:firstLine="0" w:firstLineChars="0"/>
              <w:jc w:val="center"/>
              <w:rPr>
                <w:kern w:val="0"/>
                <w:sz w:val="18"/>
                <w:szCs w:val="18"/>
              </w:rPr>
            </w:pPr>
            <w:r>
              <w:rPr>
                <w:sz w:val="18"/>
                <w:szCs w:val="18"/>
              </w:rPr>
              <w:t>留鸟</w:t>
            </w:r>
          </w:p>
        </w:tc>
        <w:tc>
          <w:tcPr>
            <w:tcW w:w="509"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0B7DED85">
            <w:pPr>
              <w:widowControl/>
              <w:tabs>
                <w:tab w:val="clear" w:pos="480"/>
              </w:tabs>
              <w:adjustRightInd w:val="0"/>
              <w:snapToGrid w:val="0"/>
              <w:spacing w:line="240" w:lineRule="auto"/>
              <w:ind w:firstLine="0" w:firstLineChars="0"/>
              <w:jc w:val="center"/>
              <w:rPr>
                <w:kern w:val="0"/>
                <w:sz w:val="18"/>
                <w:szCs w:val="18"/>
              </w:rPr>
            </w:pPr>
            <w:r>
              <w:rPr>
                <w:sz w:val="18"/>
                <w:szCs w:val="18"/>
              </w:rPr>
              <w:t>东洋种</w:t>
            </w:r>
          </w:p>
        </w:tc>
        <w:tc>
          <w:tcPr>
            <w:tcW w:w="425" w:type="pct"/>
            <w:tcBorders>
              <w:top w:val="single" w:color="auto" w:sz="4" w:space="0"/>
              <w:left w:val="single" w:color="auto" w:sz="4" w:space="0"/>
              <w:bottom w:val="single" w:color="auto" w:sz="12" w:space="0"/>
              <w:right w:val="single" w:color="auto" w:sz="4" w:space="0"/>
            </w:tcBorders>
            <w:tcMar>
              <w:top w:w="15" w:type="dxa"/>
              <w:left w:w="15" w:type="dxa"/>
              <w:bottom w:w="15" w:type="dxa"/>
              <w:right w:w="15" w:type="dxa"/>
            </w:tcMar>
            <w:vAlign w:val="center"/>
          </w:tcPr>
          <w:p w14:paraId="790DC714">
            <w:pPr>
              <w:widowControl/>
              <w:tabs>
                <w:tab w:val="clear" w:pos="480"/>
              </w:tabs>
              <w:adjustRightInd w:val="0"/>
              <w:snapToGrid w:val="0"/>
              <w:spacing w:line="240" w:lineRule="auto"/>
              <w:ind w:firstLine="0" w:firstLineChars="0"/>
              <w:jc w:val="center"/>
              <w:rPr>
                <w:kern w:val="0"/>
                <w:sz w:val="18"/>
                <w:szCs w:val="18"/>
              </w:rPr>
            </w:pPr>
            <w:r>
              <w:rPr>
                <w:sz w:val="18"/>
                <w:szCs w:val="18"/>
              </w:rPr>
              <w:t>+</w:t>
            </w:r>
          </w:p>
        </w:tc>
        <w:tc>
          <w:tcPr>
            <w:tcW w:w="403" w:type="pct"/>
            <w:tcBorders>
              <w:top w:val="single" w:color="auto" w:sz="4" w:space="0"/>
              <w:left w:val="single" w:color="auto" w:sz="4" w:space="0"/>
              <w:bottom w:val="single" w:color="auto" w:sz="12" w:space="0"/>
              <w:right w:val="single" w:color="auto" w:sz="12" w:space="0"/>
            </w:tcBorders>
            <w:tcMar>
              <w:top w:w="15" w:type="dxa"/>
              <w:left w:w="15" w:type="dxa"/>
              <w:bottom w:w="15" w:type="dxa"/>
              <w:right w:w="15" w:type="dxa"/>
            </w:tcMar>
            <w:vAlign w:val="center"/>
          </w:tcPr>
          <w:p w14:paraId="209B3A36">
            <w:pPr>
              <w:autoSpaceDN w:val="0"/>
              <w:adjustRightInd w:val="0"/>
              <w:snapToGrid w:val="0"/>
              <w:spacing w:line="240" w:lineRule="auto"/>
              <w:ind w:firstLine="0" w:firstLineChars="0"/>
              <w:jc w:val="center"/>
              <w:textAlignment w:val="center"/>
              <w:rPr>
                <w:sz w:val="18"/>
                <w:szCs w:val="18"/>
              </w:rPr>
            </w:pPr>
            <w:r>
              <w:rPr>
                <w:sz w:val="18"/>
                <w:szCs w:val="18"/>
              </w:rPr>
              <w:t>国家</w:t>
            </w:r>
          </w:p>
          <w:p w14:paraId="7E14EB7A">
            <w:pPr>
              <w:widowControl/>
              <w:tabs>
                <w:tab w:val="clear" w:pos="480"/>
              </w:tabs>
              <w:adjustRightInd w:val="0"/>
              <w:snapToGrid w:val="0"/>
              <w:spacing w:line="240" w:lineRule="auto"/>
              <w:ind w:firstLine="0" w:firstLineChars="0"/>
              <w:jc w:val="center"/>
              <w:rPr>
                <w:kern w:val="0"/>
                <w:sz w:val="18"/>
                <w:szCs w:val="18"/>
              </w:rPr>
            </w:pPr>
            <w:r>
              <w:rPr>
                <w:sz w:val="18"/>
                <w:szCs w:val="18"/>
              </w:rPr>
              <w:t>Ⅱ级</w:t>
            </w:r>
          </w:p>
        </w:tc>
      </w:tr>
    </w:tbl>
    <w:p w14:paraId="5D2847E0">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8.1.6施工期</w:t>
      </w:r>
      <w:r>
        <w:rPr>
          <w:rFonts w:hint="eastAsia" w:ascii="Times New Roman" w:eastAsia="宋体"/>
          <w:sz w:val="28"/>
          <w:szCs w:val="28"/>
          <w:lang w:val="en-US"/>
        </w:rPr>
        <w:t>水土保持</w:t>
      </w:r>
      <w:r>
        <w:rPr>
          <w:rFonts w:ascii="Times New Roman" w:eastAsia="宋体"/>
          <w:sz w:val="28"/>
          <w:szCs w:val="28"/>
          <w:lang w:val="en-US"/>
        </w:rPr>
        <w:t>措施分析</w:t>
      </w:r>
    </w:p>
    <w:p w14:paraId="6D5A33BD">
      <w:pPr>
        <w:tabs>
          <w:tab w:val="clear" w:pos="480"/>
        </w:tabs>
        <w:adjustRightInd w:val="0"/>
        <w:snapToGrid w:val="0"/>
        <w:ind w:firstLine="0" w:firstLineChars="0"/>
        <w:outlineLvl w:val="3"/>
        <w:rPr>
          <w:b/>
          <w:kern w:val="0"/>
          <w:lang w:val="zh-CN"/>
        </w:rPr>
      </w:pPr>
      <w:r>
        <w:rPr>
          <w:b/>
          <w:kern w:val="0"/>
          <w:lang w:val="zh-CN"/>
        </w:rPr>
        <w:t>8.1.6.1</w:t>
      </w:r>
      <w:r>
        <w:rPr>
          <w:rFonts w:hint="eastAsia"/>
          <w:b/>
          <w:kern w:val="0"/>
          <w:lang w:val="zh-CN"/>
        </w:rPr>
        <w:t>措施总体布局</w:t>
      </w:r>
    </w:p>
    <w:p w14:paraId="387FD1EC">
      <w:pPr>
        <w:adjustRightInd w:val="0"/>
        <w:snapToGrid w:val="0"/>
        <w:ind w:firstLine="480"/>
      </w:pPr>
      <w:r>
        <w:rPr>
          <w:rFonts w:hint="eastAsia"/>
        </w:rPr>
        <w:t>项目区水土保持措施防治措施体系见下图。</w:t>
      </w:r>
    </w:p>
    <w:p w14:paraId="1AA512BE">
      <w:pPr>
        <w:tabs>
          <w:tab w:val="clear" w:pos="480"/>
        </w:tabs>
        <w:autoSpaceDE w:val="0"/>
        <w:ind w:firstLine="0" w:firstLineChars="0"/>
        <w:rPr>
          <w:rFonts w:ascii="宋体" w:hAnsi="宋体"/>
          <w:bCs/>
          <w:spacing w:val="10"/>
          <w:sz w:val="21"/>
          <w:szCs w:val="21"/>
        </w:rPr>
      </w:pPr>
      <w:r>
        <w:drawing>
          <wp:inline distT="0" distB="0" distL="114300" distR="114300">
            <wp:extent cx="4827905" cy="5769610"/>
            <wp:effectExtent l="0" t="0" r="0" b="0"/>
            <wp:docPr id="1308639211" name="图片 130863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39211" name="图片 1308639211"/>
                    <pic:cNvPicPr>
                      <a:picLocks noChangeAspect="1"/>
                    </pic:cNvPicPr>
                  </pic:nvPicPr>
                  <pic:blipFill>
                    <a:blip r:embed="rId121"/>
                    <a:srcRect l="5191" t="457" r="6113" b="642"/>
                    <a:stretch>
                      <a:fillRect/>
                    </a:stretch>
                  </pic:blipFill>
                  <pic:spPr>
                    <a:xfrm>
                      <a:off x="0" y="0"/>
                      <a:ext cx="4827905" cy="5769610"/>
                    </a:xfrm>
                    <a:prstGeom prst="rect">
                      <a:avLst/>
                    </a:prstGeom>
                    <a:noFill/>
                    <a:ln>
                      <a:noFill/>
                    </a:ln>
                  </pic:spPr>
                </pic:pic>
              </a:graphicData>
            </a:graphic>
          </wp:inline>
        </w:drawing>
      </w:r>
    </w:p>
    <w:p w14:paraId="49CCCBDA">
      <w:pPr>
        <w:tabs>
          <w:tab w:val="clear" w:pos="480"/>
        </w:tabs>
        <w:autoSpaceDE w:val="0"/>
        <w:ind w:firstLine="522"/>
        <w:jc w:val="center"/>
        <w:rPr>
          <w:rFonts w:hAnsi="宋体"/>
          <w:b/>
          <w:bCs/>
          <w:spacing w:val="10"/>
        </w:rPr>
      </w:pPr>
      <w:r>
        <w:rPr>
          <w:rFonts w:hint="eastAsia" w:hAnsi="宋体"/>
          <w:b/>
          <w:bCs/>
          <w:spacing w:val="10"/>
        </w:rPr>
        <w:t>图</w:t>
      </w:r>
      <w:r>
        <w:rPr>
          <w:b/>
          <w:bCs/>
          <w:spacing w:val="10"/>
        </w:rPr>
        <w:t>8.1</w:t>
      </w:r>
      <w:r>
        <w:rPr>
          <w:rFonts w:hint="eastAsia"/>
          <w:b/>
          <w:bCs/>
          <w:spacing w:val="10"/>
        </w:rPr>
        <w:t>-</w:t>
      </w:r>
      <w:r>
        <w:rPr>
          <w:b/>
          <w:bCs/>
          <w:spacing w:val="10"/>
        </w:rPr>
        <w:t xml:space="preserve">1  </w:t>
      </w:r>
      <w:r>
        <w:rPr>
          <w:rFonts w:hint="eastAsia" w:hAnsi="宋体"/>
          <w:b/>
          <w:bCs/>
          <w:spacing w:val="10"/>
        </w:rPr>
        <w:t>水土流失防治措施体系图</w:t>
      </w:r>
    </w:p>
    <w:p w14:paraId="50B55950">
      <w:pPr>
        <w:tabs>
          <w:tab w:val="clear" w:pos="480"/>
        </w:tabs>
        <w:adjustRightInd w:val="0"/>
        <w:snapToGrid w:val="0"/>
        <w:ind w:firstLine="0" w:firstLineChars="0"/>
        <w:outlineLvl w:val="3"/>
        <w:rPr>
          <w:b/>
          <w:kern w:val="0"/>
          <w:lang w:val="zh-CN"/>
        </w:rPr>
      </w:pPr>
      <w:r>
        <w:rPr>
          <w:b/>
          <w:kern w:val="0"/>
          <w:lang w:val="zh-CN"/>
        </w:rPr>
        <w:t>8.1.6.2</w:t>
      </w:r>
      <w:r>
        <w:rPr>
          <w:rFonts w:hint="eastAsia"/>
          <w:b/>
          <w:kern w:val="0"/>
          <w:lang w:val="zh-CN"/>
        </w:rPr>
        <w:t>具体措施</w:t>
      </w:r>
    </w:p>
    <w:p w14:paraId="58303A36">
      <w:pPr>
        <w:adjustRightInd w:val="0"/>
        <w:snapToGrid w:val="0"/>
        <w:ind w:firstLine="480"/>
      </w:pPr>
      <w:r>
        <w:rPr>
          <w:rFonts w:hint="eastAsia"/>
        </w:rPr>
        <w:t>（1）风电机组区</w:t>
      </w:r>
    </w:p>
    <w:p w14:paraId="4D3615E3">
      <w:pPr>
        <w:adjustRightInd w:val="0"/>
        <w:snapToGrid w:val="0"/>
        <w:ind w:firstLine="480"/>
      </w:pPr>
      <w:r>
        <w:t>工程措施：截水沟</w:t>
      </w:r>
      <w:r>
        <w:rPr>
          <w:rFonts w:hint="eastAsia"/>
        </w:rPr>
        <w:t>630</w:t>
      </w:r>
      <w:r>
        <w:t>m、排水沟</w:t>
      </w:r>
      <w:r>
        <w:rPr>
          <w:rFonts w:hint="eastAsia"/>
        </w:rPr>
        <w:t>1750</w:t>
      </w:r>
      <w:r>
        <w:t>m、沉沙池</w:t>
      </w:r>
      <w:r>
        <w:rPr>
          <w:rFonts w:hint="eastAsia"/>
        </w:rPr>
        <w:t>20</w:t>
      </w:r>
      <w:r>
        <w:t>个、急流槽</w:t>
      </w:r>
      <w:r>
        <w:rPr>
          <w:rFonts w:hint="eastAsia"/>
        </w:rPr>
        <w:t>100</w:t>
      </w:r>
      <w:r>
        <w:t>m，土地整治</w:t>
      </w:r>
      <w:r>
        <w:rPr>
          <w:rFonts w:hint="eastAsia"/>
        </w:rPr>
        <w:t>24630</w:t>
      </w:r>
      <w:r>
        <w:t>hm</w:t>
      </w:r>
      <w:r>
        <w:rPr>
          <w:vertAlign w:val="superscript"/>
        </w:rPr>
        <w:t>2</w:t>
      </w:r>
      <w:r>
        <w:t>。</w:t>
      </w:r>
    </w:p>
    <w:p w14:paraId="2EF2915D">
      <w:pPr>
        <w:adjustRightInd w:val="0"/>
        <w:snapToGrid w:val="0"/>
        <w:ind w:firstLine="480"/>
      </w:pPr>
      <w:r>
        <w:t>植物措施：挂网喷播绿化</w:t>
      </w:r>
      <w:r>
        <w:rPr>
          <w:rFonts w:hint="eastAsia"/>
        </w:rPr>
        <w:t>4149</w:t>
      </w:r>
      <w:r>
        <w:t>m</w:t>
      </w:r>
      <w:r>
        <w:rPr>
          <w:vertAlign w:val="superscript"/>
        </w:rPr>
        <w:t>2</w:t>
      </w:r>
      <w:r>
        <w:t>、撒播草籽</w:t>
      </w:r>
      <w:r>
        <w:rPr>
          <w:rFonts w:hint="eastAsia"/>
        </w:rPr>
        <w:t>20250</w:t>
      </w:r>
      <w:r>
        <w:t>m</w:t>
      </w:r>
      <w:r>
        <w:rPr>
          <w:vertAlign w:val="superscript"/>
        </w:rPr>
        <w:t>2</w:t>
      </w:r>
      <w:r>
        <w:t>、撒播灌草</w:t>
      </w:r>
      <w:r>
        <w:rPr>
          <w:rFonts w:hint="eastAsia"/>
        </w:rPr>
        <w:t>4452</w:t>
      </w:r>
      <w:r>
        <w:t>m</w:t>
      </w:r>
      <w:r>
        <w:rPr>
          <w:vertAlign w:val="superscript"/>
        </w:rPr>
        <w:t>2</w:t>
      </w:r>
      <w:r>
        <w:t>。</w:t>
      </w:r>
    </w:p>
    <w:p w14:paraId="2ABF65D8">
      <w:pPr>
        <w:adjustRightInd w:val="0"/>
        <w:snapToGrid w:val="0"/>
        <w:ind w:firstLine="480"/>
      </w:pPr>
      <w:r>
        <w:t>临时措施：表土剥离0.70万m</w:t>
      </w:r>
      <w:r>
        <w:rPr>
          <w:vertAlign w:val="superscript"/>
        </w:rPr>
        <w:t>3</w:t>
      </w:r>
      <w:r>
        <w:t>、表土回填0.70万m</w:t>
      </w:r>
      <w:r>
        <w:rPr>
          <w:vertAlign w:val="superscript"/>
        </w:rPr>
        <w:t>3</w:t>
      </w:r>
      <w:r>
        <w:t>、临时拦挡1300m、临时排水沟1750m、临时沉沙池20个、临时苫盖20000m</w:t>
      </w:r>
      <w:r>
        <w:rPr>
          <w:vertAlign w:val="superscript"/>
        </w:rPr>
        <w:t>2</w:t>
      </w:r>
      <w:r>
        <w:t>。</w:t>
      </w:r>
    </w:p>
    <w:p w14:paraId="0BB2C6C5">
      <w:pPr>
        <w:adjustRightInd w:val="0"/>
        <w:snapToGrid w:val="0"/>
        <w:ind w:firstLine="480"/>
      </w:pPr>
      <w:r>
        <w:rPr>
          <w:rFonts w:hint="eastAsia"/>
        </w:rPr>
        <w:t>（2）升压站区</w:t>
      </w:r>
    </w:p>
    <w:p w14:paraId="648028FD">
      <w:pPr>
        <w:adjustRightInd w:val="0"/>
        <w:snapToGrid w:val="0"/>
        <w:ind w:firstLine="480"/>
      </w:pPr>
      <w:r>
        <w:t>工程措施：浆砌石截水沟</w:t>
      </w:r>
      <w:r>
        <w:rPr>
          <w:rFonts w:hint="eastAsia"/>
        </w:rPr>
        <w:t>157</w:t>
      </w:r>
      <w:r>
        <w:t>m（主体已有）、浆砌石排水沟</w:t>
      </w:r>
      <w:r>
        <w:rPr>
          <w:rFonts w:hint="eastAsia"/>
        </w:rPr>
        <w:t>85</w:t>
      </w:r>
      <w:r>
        <w:t>m（主体已有）、混凝土排水沟</w:t>
      </w:r>
      <w:r>
        <w:rPr>
          <w:rFonts w:hint="eastAsia"/>
        </w:rPr>
        <w:t>400</w:t>
      </w:r>
      <w:r>
        <w:t>m（主体已有）、</w:t>
      </w:r>
      <w:r>
        <w:rPr>
          <w:rFonts w:hint="eastAsia"/>
        </w:rPr>
        <w:t>浆砌片石格构式草坡护坡900</w:t>
      </w:r>
      <w:r>
        <w:t>m</w:t>
      </w:r>
      <w:r>
        <w:rPr>
          <w:vertAlign w:val="superscript"/>
        </w:rPr>
        <w:t>3</w:t>
      </w:r>
      <w:r>
        <w:t>（主体已有）、沉沙池3个、急流槽</w:t>
      </w:r>
      <w:r>
        <w:rPr>
          <w:rFonts w:hint="eastAsia"/>
        </w:rPr>
        <w:t>12</w:t>
      </w:r>
      <w:r>
        <w:t>m，土地整治0.</w:t>
      </w:r>
      <w:r>
        <w:rPr>
          <w:rFonts w:hint="eastAsia"/>
        </w:rPr>
        <w:t>38</w:t>
      </w:r>
      <w:r>
        <w:t>hm</w:t>
      </w:r>
      <w:r>
        <w:rPr>
          <w:vertAlign w:val="superscript"/>
        </w:rPr>
        <w:t>2</w:t>
      </w:r>
      <w:r>
        <w:t>。</w:t>
      </w:r>
    </w:p>
    <w:p w14:paraId="23B15F4F">
      <w:pPr>
        <w:adjustRightInd w:val="0"/>
        <w:snapToGrid w:val="0"/>
        <w:ind w:firstLine="480"/>
      </w:pPr>
      <w:r>
        <w:t>植物措施：挂网喷播绿化</w:t>
      </w:r>
      <w:r>
        <w:rPr>
          <w:rFonts w:hint="eastAsia"/>
        </w:rPr>
        <w:t>2300</w:t>
      </w:r>
      <w:r>
        <w:t>m</w:t>
      </w:r>
      <w:r>
        <w:rPr>
          <w:vertAlign w:val="superscript"/>
        </w:rPr>
        <w:t>2</w:t>
      </w:r>
      <w:r>
        <w:t>、站内景观绿化</w:t>
      </w:r>
      <w:r>
        <w:rPr>
          <w:rFonts w:hint="eastAsia"/>
        </w:rPr>
        <w:t>650</w:t>
      </w:r>
      <w:r>
        <w:t>m</w:t>
      </w:r>
      <w:r>
        <w:rPr>
          <w:vertAlign w:val="superscript"/>
        </w:rPr>
        <w:t>2</w:t>
      </w:r>
      <w:r>
        <w:t>（主体已有）、</w:t>
      </w:r>
      <w:r>
        <w:rPr>
          <w:rFonts w:hint="eastAsia"/>
        </w:rPr>
        <w:t>浆砌片石格构式草坡护坡900</w:t>
      </w:r>
      <w:r>
        <w:t>m</w:t>
      </w:r>
      <w:r>
        <w:rPr>
          <w:vertAlign w:val="superscript"/>
        </w:rPr>
        <w:t>2</w:t>
      </w:r>
      <w:r>
        <w:t>（主体已有）。</w:t>
      </w:r>
    </w:p>
    <w:p w14:paraId="66A214AA">
      <w:pPr>
        <w:adjustRightInd w:val="0"/>
        <w:snapToGrid w:val="0"/>
        <w:ind w:firstLine="480"/>
      </w:pPr>
      <w:r>
        <w:t>临时措施：表土剥离0.08万m</w:t>
      </w:r>
      <w:r>
        <w:rPr>
          <w:vertAlign w:val="superscript"/>
        </w:rPr>
        <w:t>3</w:t>
      </w:r>
      <w:r>
        <w:t>、表土回填0.08万m</w:t>
      </w:r>
      <w:r>
        <w:rPr>
          <w:vertAlign w:val="superscript"/>
        </w:rPr>
        <w:t>3</w:t>
      </w:r>
      <w:r>
        <w:t>、临时拦挡160m、临时排水沟</w:t>
      </w:r>
      <w:r>
        <w:rPr>
          <w:rFonts w:hint="eastAsia"/>
        </w:rPr>
        <w:t>310</w:t>
      </w:r>
      <w:r>
        <w:t>m、临时沉沙池3个、临时苫盖</w:t>
      </w:r>
      <w:r>
        <w:rPr>
          <w:rFonts w:hint="eastAsia"/>
        </w:rPr>
        <w:t>1900</w:t>
      </w:r>
      <w:r>
        <w:t>m</w:t>
      </w:r>
      <w:r>
        <w:rPr>
          <w:vertAlign w:val="superscript"/>
        </w:rPr>
        <w:t>2</w:t>
      </w:r>
      <w:r>
        <w:t>。</w:t>
      </w:r>
    </w:p>
    <w:p w14:paraId="72FFBC16">
      <w:pPr>
        <w:adjustRightInd w:val="0"/>
        <w:snapToGrid w:val="0"/>
        <w:ind w:firstLine="480"/>
      </w:pPr>
      <w:r>
        <w:rPr>
          <w:rFonts w:hint="eastAsia"/>
        </w:rPr>
        <w:t>（3）交通道路区</w:t>
      </w:r>
    </w:p>
    <w:p w14:paraId="57DF7B45">
      <w:pPr>
        <w:adjustRightInd w:val="0"/>
        <w:snapToGrid w:val="0"/>
        <w:ind w:firstLine="480"/>
      </w:pPr>
      <w:r>
        <w:t>工程措施：截水沟</w:t>
      </w:r>
      <w:r>
        <w:rPr>
          <w:rFonts w:hint="eastAsia"/>
        </w:rPr>
        <w:t>2959</w:t>
      </w:r>
      <w:r>
        <w:t>m、排水沟</w:t>
      </w:r>
      <w:r>
        <w:rPr>
          <w:rFonts w:hint="eastAsia"/>
        </w:rPr>
        <w:t>28327</w:t>
      </w:r>
      <w:r>
        <w:t>m（主体已有</w:t>
      </w:r>
      <w:r>
        <w:rPr>
          <w:rFonts w:hint="eastAsia"/>
        </w:rPr>
        <w:t>23800</w:t>
      </w:r>
      <w:r>
        <w:t>m）、沉沙池</w:t>
      </w:r>
      <w:r>
        <w:rPr>
          <w:rFonts w:hint="eastAsia"/>
        </w:rPr>
        <w:t>77</w:t>
      </w:r>
      <w:r>
        <w:t>个、急流槽</w:t>
      </w:r>
      <w:r>
        <w:rPr>
          <w:rFonts w:hint="eastAsia"/>
        </w:rPr>
        <w:t>1317</w:t>
      </w:r>
      <w:r>
        <w:t>m、路面排水槽</w:t>
      </w:r>
      <w:r>
        <w:rPr>
          <w:rFonts w:hint="eastAsia"/>
        </w:rPr>
        <w:t>334</w:t>
      </w:r>
      <w:r>
        <w:t>m、土地整治</w:t>
      </w:r>
      <w:r>
        <w:rPr>
          <w:rFonts w:hint="eastAsia"/>
        </w:rPr>
        <w:t>24.57</w:t>
      </w:r>
      <w:r>
        <w:t>hm</w:t>
      </w:r>
      <w:r>
        <w:rPr>
          <w:vertAlign w:val="superscript"/>
        </w:rPr>
        <w:t>2</w:t>
      </w:r>
      <w:r>
        <w:t>（斜坡面积）。</w:t>
      </w:r>
    </w:p>
    <w:p w14:paraId="3388F9D5">
      <w:pPr>
        <w:adjustRightInd w:val="0"/>
        <w:snapToGrid w:val="0"/>
        <w:ind w:firstLine="480"/>
      </w:pPr>
      <w:r>
        <w:t>植物措施：挂网喷播植草</w:t>
      </w:r>
      <w:r>
        <w:rPr>
          <w:rFonts w:hint="eastAsia"/>
        </w:rPr>
        <w:t>6.50</w:t>
      </w:r>
      <w:r>
        <w:t>万m</w:t>
      </w:r>
      <w:r>
        <w:rPr>
          <w:vertAlign w:val="superscript"/>
        </w:rPr>
        <w:t>2</w:t>
      </w:r>
      <w:r>
        <w:t>、客土喷播植草</w:t>
      </w:r>
      <w:r>
        <w:rPr>
          <w:rFonts w:hint="eastAsia"/>
        </w:rPr>
        <w:t>4.81</w:t>
      </w:r>
      <w:r>
        <w:t>万m</w:t>
      </w:r>
      <w:r>
        <w:rPr>
          <w:vertAlign w:val="superscript"/>
        </w:rPr>
        <w:t>2</w:t>
      </w:r>
      <w:r>
        <w:t>、撒播草籽</w:t>
      </w:r>
      <w:r>
        <w:rPr>
          <w:rFonts w:hint="eastAsia"/>
        </w:rPr>
        <w:t>13.26</w:t>
      </w:r>
      <w:r>
        <w:t>万m</w:t>
      </w:r>
      <w:r>
        <w:rPr>
          <w:vertAlign w:val="superscript"/>
        </w:rPr>
        <w:t>2</w:t>
      </w:r>
      <w:r>
        <w:t>、栽植乔木</w:t>
      </w:r>
      <w:r>
        <w:rPr>
          <w:rFonts w:hint="eastAsia"/>
        </w:rPr>
        <w:t>10063</w:t>
      </w:r>
      <w:r>
        <w:t>株。</w:t>
      </w:r>
    </w:p>
    <w:p w14:paraId="28E52C35">
      <w:pPr>
        <w:adjustRightInd w:val="0"/>
        <w:snapToGrid w:val="0"/>
        <w:ind w:firstLine="480"/>
      </w:pPr>
      <w:r>
        <w:t>临时措施：表土剥离4.07万m</w:t>
      </w:r>
      <w:r>
        <w:rPr>
          <w:vertAlign w:val="superscript"/>
        </w:rPr>
        <w:t>3</w:t>
      </w:r>
      <w:r>
        <w:t>、表土回填</w:t>
      </w:r>
      <w:r>
        <w:rPr>
          <w:rFonts w:hint="eastAsia"/>
        </w:rPr>
        <w:t>4</w:t>
      </w:r>
      <w:r>
        <w:t>.07万m</w:t>
      </w:r>
      <w:r>
        <w:rPr>
          <w:vertAlign w:val="superscript"/>
        </w:rPr>
        <w:t>3</w:t>
      </w:r>
      <w:r>
        <w:t>、临时拦挡</w:t>
      </w:r>
      <w:r>
        <w:rPr>
          <w:rFonts w:hint="eastAsia"/>
        </w:rPr>
        <w:t>5180</w:t>
      </w:r>
      <w:r>
        <w:t>m、临时排水沟</w:t>
      </w:r>
      <w:r>
        <w:rPr>
          <w:rFonts w:hint="eastAsia"/>
        </w:rPr>
        <w:t>31461</w:t>
      </w:r>
      <w:r>
        <w:t>m、临时沉沙池</w:t>
      </w:r>
      <w:r>
        <w:rPr>
          <w:rFonts w:hint="eastAsia"/>
        </w:rPr>
        <w:t>77</w:t>
      </w:r>
      <w:r>
        <w:t>个、临时苫盖</w:t>
      </w:r>
      <w:r>
        <w:rPr>
          <w:rFonts w:hint="eastAsia"/>
        </w:rPr>
        <w:t>113965</w:t>
      </w:r>
      <w:r>
        <w:t>m</w:t>
      </w:r>
      <w:r>
        <w:rPr>
          <w:vertAlign w:val="superscript"/>
        </w:rPr>
        <w:t>2</w:t>
      </w:r>
      <w:r>
        <w:t>。</w:t>
      </w:r>
    </w:p>
    <w:p w14:paraId="7ADDC032">
      <w:pPr>
        <w:adjustRightInd w:val="0"/>
        <w:snapToGrid w:val="0"/>
        <w:ind w:firstLine="480"/>
      </w:pPr>
      <w:r>
        <w:rPr>
          <w:rFonts w:hint="eastAsia"/>
        </w:rPr>
        <w:t>（4）集电线路区</w:t>
      </w:r>
    </w:p>
    <w:p w14:paraId="2823414A">
      <w:pPr>
        <w:adjustRightInd w:val="0"/>
        <w:snapToGrid w:val="0"/>
        <w:ind w:firstLine="480"/>
      </w:pPr>
      <w:r>
        <w:t>工程措施：土地整治</w:t>
      </w:r>
      <w:r>
        <w:rPr>
          <w:rFonts w:hint="eastAsia"/>
        </w:rPr>
        <w:t>0.02</w:t>
      </w:r>
      <w:r>
        <w:t>hm</w:t>
      </w:r>
      <w:r>
        <w:rPr>
          <w:vertAlign w:val="superscript"/>
        </w:rPr>
        <w:t>2</w:t>
      </w:r>
      <w:r>
        <w:t>。</w:t>
      </w:r>
    </w:p>
    <w:p w14:paraId="6B8C88ED">
      <w:pPr>
        <w:adjustRightInd w:val="0"/>
        <w:snapToGrid w:val="0"/>
        <w:ind w:firstLine="480"/>
      </w:pPr>
      <w:r>
        <w:t>植物措施：撒播草籽</w:t>
      </w:r>
      <w:r>
        <w:rPr>
          <w:rFonts w:hint="eastAsia"/>
        </w:rPr>
        <w:t>0.02h</w:t>
      </w:r>
      <w:r>
        <w:t>m</w:t>
      </w:r>
      <w:r>
        <w:rPr>
          <w:vertAlign w:val="superscript"/>
        </w:rPr>
        <w:t>2</w:t>
      </w:r>
      <w:r>
        <w:rPr>
          <w:rFonts w:hint="eastAsia"/>
        </w:rPr>
        <w:t>，</w:t>
      </w:r>
      <w:r>
        <w:t>共需草籽</w:t>
      </w:r>
      <w:r>
        <w:rPr>
          <w:rFonts w:hint="eastAsia"/>
        </w:rPr>
        <w:t>1.6</w:t>
      </w:r>
      <w:r>
        <w:t>kg。</w:t>
      </w:r>
    </w:p>
    <w:p w14:paraId="096DCC29">
      <w:pPr>
        <w:adjustRightInd w:val="0"/>
        <w:snapToGrid w:val="0"/>
        <w:ind w:firstLine="480"/>
      </w:pPr>
      <w:r>
        <w:t>临时措施：表土剥离</w:t>
      </w:r>
      <w:r>
        <w:rPr>
          <w:rFonts w:hint="eastAsia"/>
        </w:rPr>
        <w:t>0.04</w:t>
      </w:r>
      <w:r>
        <w:t>万m</w:t>
      </w:r>
      <w:r>
        <w:rPr>
          <w:vertAlign w:val="superscript"/>
        </w:rPr>
        <w:t>3</w:t>
      </w:r>
      <w:r>
        <w:t>、表土回填</w:t>
      </w:r>
      <w:r>
        <w:rPr>
          <w:rFonts w:hint="eastAsia"/>
        </w:rPr>
        <w:t>0.04</w:t>
      </w:r>
      <w:r>
        <w:t>万m</w:t>
      </w:r>
      <w:r>
        <w:rPr>
          <w:vertAlign w:val="superscript"/>
        </w:rPr>
        <w:t>3</w:t>
      </w:r>
      <w:r>
        <w:t>、临时拦挡</w:t>
      </w:r>
      <w:r>
        <w:rPr>
          <w:rFonts w:hint="eastAsia"/>
        </w:rPr>
        <w:t>180</w:t>
      </w:r>
      <w:r>
        <w:t>m、临时排水沟</w:t>
      </w:r>
      <w:r>
        <w:rPr>
          <w:rFonts w:hint="eastAsia"/>
        </w:rPr>
        <w:t>750</w:t>
      </w:r>
      <w:r>
        <w:t>m、临时沉沙池</w:t>
      </w:r>
      <w:r>
        <w:rPr>
          <w:rFonts w:hint="eastAsia"/>
        </w:rPr>
        <w:t>50</w:t>
      </w:r>
      <w:r>
        <w:t>个、临时苫盖</w:t>
      </w:r>
      <w:r>
        <w:rPr>
          <w:rFonts w:hint="eastAsia"/>
        </w:rPr>
        <w:t>500</w:t>
      </w:r>
      <w:r>
        <w:t>m</w:t>
      </w:r>
      <w:r>
        <w:rPr>
          <w:vertAlign w:val="superscript"/>
        </w:rPr>
        <w:t>2</w:t>
      </w:r>
      <w:r>
        <w:t>。</w:t>
      </w:r>
    </w:p>
    <w:p w14:paraId="543DEF46">
      <w:pPr>
        <w:adjustRightInd w:val="0"/>
        <w:snapToGrid w:val="0"/>
        <w:ind w:firstLine="480"/>
      </w:pPr>
      <w:r>
        <w:rPr>
          <w:rFonts w:hint="eastAsia"/>
        </w:rPr>
        <w:t>（5）施工生产生活区</w:t>
      </w:r>
    </w:p>
    <w:p w14:paraId="67113AFA">
      <w:pPr>
        <w:adjustRightInd w:val="0"/>
        <w:snapToGrid w:val="0"/>
        <w:ind w:firstLine="480"/>
      </w:pPr>
      <w:r>
        <w:t>工程措施：土地整治0.</w:t>
      </w:r>
      <w:r>
        <w:rPr>
          <w:rFonts w:hint="eastAsia"/>
        </w:rPr>
        <w:t>40</w:t>
      </w:r>
      <w:r>
        <w:t>hm</w:t>
      </w:r>
      <w:r>
        <w:rPr>
          <w:vertAlign w:val="superscript"/>
        </w:rPr>
        <w:t>2</w:t>
      </w:r>
      <w:r>
        <w:t>。</w:t>
      </w:r>
    </w:p>
    <w:p w14:paraId="1B106DE7">
      <w:pPr>
        <w:adjustRightInd w:val="0"/>
        <w:snapToGrid w:val="0"/>
        <w:ind w:firstLine="480"/>
      </w:pPr>
      <w:r>
        <w:t>植物措施：撒播草籽0.</w:t>
      </w:r>
      <w:r>
        <w:rPr>
          <w:rFonts w:hint="eastAsia"/>
        </w:rPr>
        <w:t>40</w:t>
      </w:r>
      <w:r>
        <w:t>hm</w:t>
      </w:r>
      <w:r>
        <w:rPr>
          <w:vertAlign w:val="superscript"/>
        </w:rPr>
        <w:t>2</w:t>
      </w:r>
      <w:r>
        <w:t>、种植枫香</w:t>
      </w:r>
      <w:r>
        <w:rPr>
          <w:rFonts w:hint="eastAsia"/>
        </w:rPr>
        <w:t>480</w:t>
      </w:r>
      <w:r>
        <w:t>株、种植杉树</w:t>
      </w:r>
      <w:r>
        <w:rPr>
          <w:rFonts w:hint="eastAsia"/>
        </w:rPr>
        <w:t>480</w:t>
      </w:r>
      <w:r>
        <w:t>株。</w:t>
      </w:r>
    </w:p>
    <w:p w14:paraId="6054EBAA">
      <w:pPr>
        <w:adjustRightInd w:val="0"/>
        <w:snapToGrid w:val="0"/>
        <w:ind w:firstLine="480"/>
      </w:pPr>
      <w:r>
        <w:t>临时措施：表土剥离0.</w:t>
      </w:r>
      <w:r>
        <w:rPr>
          <w:rFonts w:hint="eastAsia"/>
        </w:rPr>
        <w:t>12</w:t>
      </w:r>
      <w:r>
        <w:t>万m</w:t>
      </w:r>
      <w:r>
        <w:rPr>
          <w:vertAlign w:val="superscript"/>
        </w:rPr>
        <w:t>3</w:t>
      </w:r>
      <w:r>
        <w:t>、表土回填0.</w:t>
      </w:r>
      <w:r>
        <w:rPr>
          <w:rFonts w:hint="eastAsia"/>
        </w:rPr>
        <w:t>12</w:t>
      </w:r>
      <w:r>
        <w:t>万m</w:t>
      </w:r>
      <w:r>
        <w:rPr>
          <w:vertAlign w:val="superscript"/>
        </w:rPr>
        <w:t>3</w:t>
      </w:r>
      <w:r>
        <w:t>、临时排水沟</w:t>
      </w:r>
      <w:r>
        <w:rPr>
          <w:rFonts w:hint="eastAsia"/>
        </w:rPr>
        <w:t>180</w:t>
      </w:r>
      <w:r>
        <w:t>m、临时沉沙池2个、临时苫盖</w:t>
      </w:r>
      <w:r>
        <w:rPr>
          <w:rFonts w:hint="eastAsia"/>
        </w:rPr>
        <w:t>1500</w:t>
      </w:r>
      <w:r>
        <w:t>m</w:t>
      </w:r>
      <w:r>
        <w:rPr>
          <w:vertAlign w:val="superscript"/>
        </w:rPr>
        <w:t>2</w:t>
      </w:r>
      <w:r>
        <w:t>、临时拦挡1</w:t>
      </w:r>
      <w:r>
        <w:rPr>
          <w:rFonts w:hint="eastAsia"/>
        </w:rPr>
        <w:t>32</w:t>
      </w:r>
      <w:r>
        <w:t>m。</w:t>
      </w:r>
    </w:p>
    <w:p w14:paraId="34E1D42A">
      <w:pPr>
        <w:adjustRightInd w:val="0"/>
        <w:snapToGrid w:val="0"/>
        <w:ind w:firstLine="480"/>
      </w:pPr>
      <w:r>
        <w:rPr>
          <w:rFonts w:hint="eastAsia"/>
        </w:rPr>
        <w:t>（</w:t>
      </w:r>
      <w:r>
        <w:t>6</w:t>
      </w:r>
      <w:r>
        <w:rPr>
          <w:rFonts w:hint="eastAsia"/>
        </w:rPr>
        <w:t>）弃渣场</w:t>
      </w:r>
    </w:p>
    <w:p w14:paraId="56952F51">
      <w:pPr>
        <w:adjustRightInd w:val="0"/>
        <w:snapToGrid w:val="0"/>
        <w:ind w:firstLine="480"/>
      </w:pPr>
      <w:r>
        <w:t>工程措施：截水沟</w:t>
      </w:r>
      <w:r>
        <w:rPr>
          <w:rFonts w:hint="eastAsia"/>
        </w:rPr>
        <w:t>1935</w:t>
      </w:r>
      <w:r>
        <w:t>m、排水沟</w:t>
      </w:r>
      <w:r>
        <w:rPr>
          <w:rFonts w:hint="eastAsia"/>
        </w:rPr>
        <w:t>413</w:t>
      </w:r>
      <w:r>
        <w:t>m、马道排水沟</w:t>
      </w:r>
      <w:r>
        <w:rPr>
          <w:rFonts w:hint="eastAsia"/>
        </w:rPr>
        <w:t>282</w:t>
      </w:r>
      <w:r>
        <w:t>m、沉沙池</w:t>
      </w:r>
      <w:r>
        <w:rPr>
          <w:rFonts w:hint="eastAsia"/>
        </w:rPr>
        <w:t>28</w:t>
      </w:r>
      <w:r>
        <w:t>个、急流槽</w:t>
      </w:r>
      <w:r>
        <w:rPr>
          <w:rFonts w:hint="eastAsia"/>
        </w:rPr>
        <w:t>126</w:t>
      </w:r>
      <w:r>
        <w:t>m、挡渣墙</w:t>
      </w:r>
      <w:r>
        <w:rPr>
          <w:rFonts w:hint="eastAsia"/>
        </w:rPr>
        <w:t>197</w:t>
      </w:r>
      <w:r>
        <w:t>m、土地整治</w:t>
      </w:r>
      <w:r>
        <w:rPr>
          <w:rFonts w:hint="eastAsia"/>
        </w:rPr>
        <w:t>3.50</w:t>
      </w:r>
      <w:r>
        <w:t>m</w:t>
      </w:r>
      <w:r>
        <w:rPr>
          <w:vertAlign w:val="superscript"/>
        </w:rPr>
        <w:t>2</w:t>
      </w:r>
      <w:r>
        <w:t>。</w:t>
      </w:r>
    </w:p>
    <w:p w14:paraId="34450B05">
      <w:pPr>
        <w:adjustRightInd w:val="0"/>
        <w:snapToGrid w:val="0"/>
        <w:ind w:firstLine="480"/>
      </w:pPr>
      <w:r>
        <w:t>植物措施：撒播草籽</w:t>
      </w:r>
      <w:r>
        <w:rPr>
          <w:rFonts w:hint="eastAsia"/>
        </w:rPr>
        <w:t>2.72</w:t>
      </w:r>
      <w:r>
        <w:t>hm</w:t>
      </w:r>
      <w:r>
        <w:rPr>
          <w:vertAlign w:val="superscript"/>
        </w:rPr>
        <w:t>2</w:t>
      </w:r>
      <w:r>
        <w:t>、撒播灌草</w:t>
      </w:r>
      <w:r>
        <w:rPr>
          <w:rFonts w:hint="eastAsia"/>
        </w:rPr>
        <w:t>0.78</w:t>
      </w:r>
      <w:r>
        <w:t>hm</w:t>
      </w:r>
      <w:r>
        <w:rPr>
          <w:vertAlign w:val="superscript"/>
        </w:rPr>
        <w:t>2</w:t>
      </w:r>
      <w:r>
        <w:t>、栽植枫香</w:t>
      </w:r>
      <w:r>
        <w:rPr>
          <w:rFonts w:hint="eastAsia"/>
        </w:rPr>
        <w:t>3520</w:t>
      </w:r>
      <w:r>
        <w:t>株、栽植杉树</w:t>
      </w:r>
      <w:r>
        <w:rPr>
          <w:rFonts w:hint="eastAsia"/>
        </w:rPr>
        <w:t>3520</w:t>
      </w:r>
      <w:r>
        <w:t>株。</w:t>
      </w:r>
    </w:p>
    <w:p w14:paraId="57C49B6D">
      <w:pPr>
        <w:adjustRightInd w:val="0"/>
        <w:snapToGrid w:val="0"/>
        <w:ind w:firstLine="480"/>
      </w:pPr>
      <w:r>
        <w:t>临时措施：表土剥离0.43万m</w:t>
      </w:r>
      <w:r>
        <w:rPr>
          <w:vertAlign w:val="superscript"/>
        </w:rPr>
        <w:t>3</w:t>
      </w:r>
      <w:r>
        <w:t>、表土回填0.43万m</w:t>
      </w:r>
      <w:r>
        <w:rPr>
          <w:vertAlign w:val="superscript"/>
        </w:rPr>
        <w:t>3</w:t>
      </w:r>
      <w:r>
        <w:t>、临时拦挡</w:t>
      </w:r>
      <w:r>
        <w:rPr>
          <w:rFonts w:hint="eastAsia"/>
        </w:rPr>
        <w:t>202</w:t>
      </w:r>
      <w:r>
        <w:t>m、临时排水沟</w:t>
      </w:r>
      <w:r>
        <w:rPr>
          <w:rFonts w:hint="eastAsia"/>
        </w:rPr>
        <w:t>628</w:t>
      </w:r>
      <w:r>
        <w:t>m、临时沉沙池</w:t>
      </w:r>
      <w:r>
        <w:rPr>
          <w:rFonts w:hint="eastAsia"/>
        </w:rPr>
        <w:t>14</w:t>
      </w:r>
      <w:r>
        <w:t>座、临时苫盖</w:t>
      </w:r>
      <w:r>
        <w:rPr>
          <w:rFonts w:hint="eastAsia"/>
        </w:rPr>
        <w:t>5500</w:t>
      </w:r>
      <w:r>
        <w:t>m</w:t>
      </w:r>
      <w:r>
        <w:rPr>
          <w:vertAlign w:val="superscript"/>
        </w:rPr>
        <w:t>2</w:t>
      </w:r>
      <w:r>
        <w:t>。</w:t>
      </w:r>
    </w:p>
    <w:p w14:paraId="2C8B91EB">
      <w:pPr>
        <w:pStyle w:val="4"/>
        <w:tabs>
          <w:tab w:val="clear" w:pos="480"/>
          <w:tab w:val="clear" w:pos="630"/>
        </w:tabs>
        <w:spacing w:before="0" w:after="0"/>
        <w:rPr>
          <w:sz w:val="30"/>
          <w:szCs w:val="30"/>
          <w:lang w:val="en-US"/>
        </w:rPr>
      </w:pPr>
      <w:bookmarkStart w:id="223" w:name="_Toc116978013"/>
      <w:bookmarkStart w:id="224" w:name="_Toc143799399"/>
      <w:r>
        <w:rPr>
          <w:sz w:val="30"/>
          <w:szCs w:val="30"/>
          <w:lang w:val="en-US"/>
        </w:rPr>
        <w:t>8.2</w:t>
      </w:r>
      <w:r>
        <w:rPr>
          <w:rFonts w:hint="eastAsia"/>
          <w:sz w:val="30"/>
          <w:szCs w:val="30"/>
          <w:lang w:val="en-US"/>
        </w:rPr>
        <w:t>运营期</w:t>
      </w:r>
      <w:r>
        <w:rPr>
          <w:sz w:val="30"/>
          <w:szCs w:val="30"/>
          <w:lang w:val="en-US"/>
        </w:rPr>
        <w:t>污染防治措施分析</w:t>
      </w:r>
      <w:bookmarkEnd w:id="223"/>
      <w:bookmarkEnd w:id="224"/>
    </w:p>
    <w:p w14:paraId="0169BEBD">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8.2.1</w:t>
      </w:r>
      <w:r>
        <w:rPr>
          <w:rFonts w:hint="eastAsia" w:ascii="Times New Roman" w:eastAsia="宋体"/>
          <w:sz w:val="28"/>
          <w:szCs w:val="28"/>
          <w:lang w:val="en-US"/>
        </w:rPr>
        <w:t>运营期</w:t>
      </w:r>
      <w:r>
        <w:rPr>
          <w:rFonts w:ascii="Times New Roman" w:eastAsia="宋体"/>
          <w:sz w:val="28"/>
          <w:szCs w:val="28"/>
          <w:lang w:val="en-US"/>
        </w:rPr>
        <w:t>大气污染防治措施分析</w:t>
      </w:r>
    </w:p>
    <w:p w14:paraId="50C70E62">
      <w:pPr>
        <w:adjustRightInd w:val="0"/>
        <w:snapToGrid w:val="0"/>
        <w:ind w:firstLine="480"/>
      </w:pPr>
      <w:r>
        <w:t>本项目运营期职工日常生活所需能源均采用电能，产生的大气污染物主要为食堂烹饪过程中产生的油烟。在食堂安装油烟净化装置，烹饪产生的油烟经处理达《饮食业油烟排放标准》（GB18483-2001）后经专用通道由屋顶排放，且项目区域内地势宽阔，经过大气扩散后对外环境影响较小。</w:t>
      </w:r>
    </w:p>
    <w:p w14:paraId="7F7FA881">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8.2.2</w:t>
      </w:r>
      <w:r>
        <w:rPr>
          <w:rFonts w:hint="eastAsia" w:ascii="Times New Roman" w:eastAsia="宋体"/>
          <w:sz w:val="28"/>
          <w:szCs w:val="28"/>
          <w:lang w:val="en-US"/>
        </w:rPr>
        <w:t>运营期水</w:t>
      </w:r>
      <w:r>
        <w:rPr>
          <w:rFonts w:ascii="Times New Roman" w:eastAsia="宋体"/>
          <w:sz w:val="28"/>
          <w:szCs w:val="28"/>
          <w:lang w:val="en-US"/>
        </w:rPr>
        <w:t>污染防治措施分析</w:t>
      </w:r>
    </w:p>
    <w:p w14:paraId="5F705F89">
      <w:pPr>
        <w:adjustRightInd w:val="0"/>
        <w:snapToGrid w:val="0"/>
        <w:ind w:firstLine="480"/>
      </w:pPr>
      <w:r>
        <w:rPr>
          <w:rFonts w:hint="eastAsia"/>
        </w:rPr>
        <w:t>（1）运营期水污染防治措施</w:t>
      </w:r>
    </w:p>
    <w:p w14:paraId="750E0294">
      <w:pPr>
        <w:adjustRightInd w:val="0"/>
        <w:snapToGrid w:val="0"/>
        <w:ind w:firstLine="480"/>
      </w:pPr>
      <w:r>
        <w:t>运营期电站管理人员生活污水经一体化污水处理设备(处理量为 0.50m</w:t>
      </w:r>
      <w:r>
        <w:rPr>
          <w:vertAlign w:val="superscript"/>
        </w:rPr>
        <w:t>3</w:t>
      </w:r>
      <w:r>
        <w:t>/h)、处理系统。生活污水处理流程见</w:t>
      </w:r>
      <w:r>
        <w:rPr>
          <w:rFonts w:hint="eastAsia"/>
        </w:rPr>
        <w:t>下图</w:t>
      </w:r>
      <w:r>
        <w:t>。</w:t>
      </w:r>
    </w:p>
    <w:p w14:paraId="3585D29D">
      <w:pPr>
        <w:adjustRightInd w:val="0"/>
        <w:snapToGrid w:val="0"/>
        <w:ind w:firstLine="480"/>
      </w:pPr>
      <w:r>
        <w:t>本项目采用地埋式生化处理池是近年发展起来的生活污水处理技术，其特点是占地体积小，运行稳定，处理效果理想，地埋处理费用约 0.6 元/t。因此，本项目废水处理工艺无论从技术角度还是经济角度来看，都是可行的。</w:t>
      </w:r>
    </w:p>
    <w:p w14:paraId="69EDABC5">
      <w:pPr>
        <w:adjustRightInd w:val="0"/>
        <w:snapToGrid w:val="0"/>
        <w:ind w:firstLine="480"/>
      </w:pPr>
      <w:r>
        <w:t>项目废水处理工艺无论从技术角度还是经济角度来看，都是可行的。</w:t>
      </w:r>
    </w:p>
    <w:p w14:paraId="5DE3A37E">
      <w:pPr>
        <w:tabs>
          <w:tab w:val="clear" w:pos="480"/>
        </w:tabs>
        <w:adjustRightInd w:val="0"/>
        <w:snapToGrid w:val="0"/>
        <w:ind w:firstLine="0" w:firstLineChars="0"/>
      </w:pPr>
      <w:r>
        <w:drawing>
          <wp:inline distT="0" distB="0" distL="0" distR="0">
            <wp:extent cx="5277485" cy="12204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2"/>
                    <a:stretch>
                      <a:fillRect/>
                    </a:stretch>
                  </pic:blipFill>
                  <pic:spPr>
                    <a:xfrm>
                      <a:off x="0" y="0"/>
                      <a:ext cx="5277485" cy="1220470"/>
                    </a:xfrm>
                    <a:prstGeom prst="rect">
                      <a:avLst/>
                    </a:prstGeom>
                  </pic:spPr>
                </pic:pic>
              </a:graphicData>
            </a:graphic>
          </wp:inline>
        </w:drawing>
      </w:r>
    </w:p>
    <w:p w14:paraId="01040D71">
      <w:pPr>
        <w:tabs>
          <w:tab w:val="clear" w:pos="480"/>
        </w:tabs>
        <w:adjustRightInd w:val="0"/>
        <w:snapToGrid w:val="0"/>
        <w:ind w:firstLine="0" w:firstLineChars="0"/>
        <w:jc w:val="center"/>
        <w:rPr>
          <w:b/>
          <w:bCs/>
        </w:rPr>
      </w:pPr>
      <w:r>
        <w:rPr>
          <w:rFonts w:hint="eastAsia"/>
          <w:b/>
          <w:bCs/>
        </w:rPr>
        <w:t>图8</w:t>
      </w:r>
      <w:r>
        <w:rPr>
          <w:b/>
          <w:bCs/>
        </w:rPr>
        <w:t>.2</w:t>
      </w:r>
      <w:r>
        <w:rPr>
          <w:rFonts w:hint="eastAsia"/>
          <w:b/>
          <w:bCs/>
        </w:rPr>
        <w:t>-</w:t>
      </w:r>
      <w:r>
        <w:rPr>
          <w:b/>
          <w:bCs/>
        </w:rPr>
        <w:t xml:space="preserve">1  </w:t>
      </w:r>
      <w:r>
        <w:rPr>
          <w:rFonts w:hint="eastAsia"/>
          <w:b/>
          <w:bCs/>
        </w:rPr>
        <w:t>运营期生活污水处理流程图</w:t>
      </w:r>
    </w:p>
    <w:p w14:paraId="13845469">
      <w:pPr>
        <w:adjustRightInd w:val="0"/>
        <w:snapToGrid w:val="0"/>
        <w:ind w:firstLine="480"/>
      </w:pPr>
      <w:r>
        <w:rPr>
          <w:rFonts w:hint="eastAsia"/>
        </w:rPr>
        <w:t>根据前述分析可知，本项目运营期劳动定员为1</w:t>
      </w:r>
      <w:r>
        <w:t>0</w:t>
      </w:r>
      <w:r>
        <w:rPr>
          <w:rFonts w:hint="eastAsia"/>
        </w:rPr>
        <w:t>人，运营期生活污水产生量约</w:t>
      </w:r>
      <w:r>
        <w:t>1.2m</w:t>
      </w:r>
      <w:r>
        <w:rPr>
          <w:vertAlign w:val="superscript"/>
        </w:rPr>
        <w:t>3</w:t>
      </w:r>
      <w:r>
        <w:t>/d</w:t>
      </w:r>
      <w:r>
        <w:rPr>
          <w:rFonts w:hint="eastAsia"/>
        </w:rPr>
        <w:t>（0</w:t>
      </w:r>
      <w:r>
        <w:t>.05</w:t>
      </w:r>
      <w:r>
        <w:rPr>
          <w:rFonts w:hint="eastAsia"/>
        </w:rPr>
        <w:t>m</w:t>
      </w:r>
      <w:r>
        <w:rPr>
          <w:vertAlign w:val="superscript"/>
        </w:rPr>
        <w:t>3</w:t>
      </w:r>
      <w:r>
        <w:t>/</w:t>
      </w:r>
      <w:r>
        <w:rPr>
          <w:rFonts w:hint="eastAsia"/>
        </w:rPr>
        <w:t>h），生活污水水质简单，主要污染物为</w:t>
      </w:r>
      <w:r>
        <w:t>BOD</w:t>
      </w:r>
      <w:r>
        <w:rPr>
          <w:vertAlign w:val="subscript"/>
        </w:rPr>
        <w:t>5</w:t>
      </w:r>
      <w:r>
        <w:rPr>
          <w:rFonts w:hint="eastAsia"/>
        </w:rPr>
        <w:t>、</w:t>
      </w:r>
      <w:r>
        <w:t>COD</w:t>
      </w:r>
      <w:r>
        <w:rPr>
          <w:rFonts w:hint="eastAsia"/>
        </w:rPr>
        <w:t>、</w:t>
      </w:r>
      <w:r>
        <w:t>SS</w:t>
      </w:r>
      <w:r>
        <w:rPr>
          <w:rFonts w:hint="eastAsia"/>
        </w:rPr>
        <w:t>和氨氮，浓度分别为</w:t>
      </w:r>
      <w:r>
        <w:t>150mg/L</w:t>
      </w:r>
      <w:r>
        <w:rPr>
          <w:rFonts w:hint="eastAsia"/>
        </w:rPr>
        <w:t>、</w:t>
      </w:r>
      <w:r>
        <w:t>250mg/L</w:t>
      </w:r>
      <w:r>
        <w:rPr>
          <w:rFonts w:hint="eastAsia"/>
        </w:rPr>
        <w:t>、</w:t>
      </w:r>
      <w:r>
        <w:t>200mg/L</w:t>
      </w:r>
      <w:r>
        <w:rPr>
          <w:rFonts w:hint="eastAsia"/>
        </w:rPr>
        <w:t>、</w:t>
      </w:r>
      <w:r>
        <w:t>25mg/L</w:t>
      </w:r>
      <w:r>
        <w:rPr>
          <w:rFonts w:hint="eastAsia"/>
        </w:rPr>
        <w:t>。因此，本项目生活污水经厂区</w:t>
      </w:r>
      <w:r>
        <w:t>一体化污水处理设备(处理量为 0.50m</w:t>
      </w:r>
      <w:r>
        <w:rPr>
          <w:vertAlign w:val="superscript"/>
        </w:rPr>
        <w:t>3</w:t>
      </w:r>
      <w:r>
        <w:t>/h)</w:t>
      </w:r>
      <w:r>
        <w:rPr>
          <w:rFonts w:hint="eastAsia"/>
        </w:rPr>
        <w:t>处理后用于厂区绿化，不外排。该措施可行。</w:t>
      </w:r>
    </w:p>
    <w:p w14:paraId="56A70800">
      <w:pPr>
        <w:adjustRightInd w:val="0"/>
        <w:snapToGrid w:val="0"/>
        <w:ind w:firstLine="480"/>
      </w:pPr>
      <w:r>
        <w:rPr>
          <w:rFonts w:hint="eastAsia"/>
        </w:rPr>
        <w:t>（</w:t>
      </w:r>
      <w:r>
        <w:t>2</w:t>
      </w:r>
      <w:r>
        <w:rPr>
          <w:rFonts w:hint="eastAsia"/>
        </w:rPr>
        <w:t>）运营期地表水风险防范措施</w:t>
      </w:r>
    </w:p>
    <w:p w14:paraId="60EAD4C2">
      <w:pPr>
        <w:adjustRightInd w:val="0"/>
        <w:snapToGrid w:val="0"/>
        <w:ind w:firstLine="480"/>
      </w:pPr>
      <w:r>
        <w:rPr>
          <w:rFonts w:hint="eastAsia"/>
        </w:rPr>
        <w:t>为了减少项目运营期对周边饮用水源保护区产生影响。环评提出如下防治措施：</w:t>
      </w:r>
    </w:p>
    <w:p w14:paraId="2BF0F616">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在饮用水源保护区路段的道路两侧设置防撞护栏，防止事故状况下车辆侧翻入水源保护区；</w:t>
      </w:r>
    </w:p>
    <w:p w14:paraId="561D7B23">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项目需制定突发环境事件应急预案，应急预案中明确指出发生风险事故情况下的应急措施；</w:t>
      </w:r>
    </w:p>
    <w:p w14:paraId="4409E30D">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饮用水源保护区路段的场内道路设置一定的坡度，防止事故情况下废水进入饮用水水源保护区及汇水范围。</w:t>
      </w:r>
    </w:p>
    <w:p w14:paraId="4A5854C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8.2.3</w:t>
      </w:r>
      <w:r>
        <w:rPr>
          <w:rFonts w:hint="eastAsia" w:ascii="Times New Roman" w:eastAsia="宋体"/>
          <w:sz w:val="28"/>
          <w:szCs w:val="28"/>
          <w:lang w:val="en-US"/>
        </w:rPr>
        <w:t>运营期噪声</w:t>
      </w:r>
      <w:r>
        <w:rPr>
          <w:rFonts w:ascii="Times New Roman" w:eastAsia="宋体"/>
          <w:sz w:val="28"/>
          <w:szCs w:val="28"/>
          <w:lang w:val="en-US"/>
        </w:rPr>
        <w:t>污染防治措施分析</w:t>
      </w:r>
    </w:p>
    <w:p w14:paraId="39B9DF3D">
      <w:pPr>
        <w:adjustRightInd w:val="0"/>
        <w:snapToGrid w:val="0"/>
        <w:ind w:firstLine="480"/>
      </w:pPr>
      <w:r>
        <w:rPr>
          <w:rFonts w:hint="eastAsia"/>
        </w:rPr>
        <w:t>（1）正常风机噪声控制措施</w:t>
      </w:r>
    </w:p>
    <w:p w14:paraId="2AB60BCA">
      <w:pPr>
        <w:adjustRightInd w:val="0"/>
        <w:snapToGrid w:val="0"/>
        <w:ind w:firstLine="480"/>
      </w:pPr>
      <w:r>
        <w:t>为保障风电机组运行不对周围声环境敏感目标产生不利影响，在机组招标设计时，选择低噪并具有较好防噪设施的机组；运行期加强对机组的维护，定期检修风机转动连接处，使其处于良好的运行状态。</w:t>
      </w:r>
    </w:p>
    <w:p w14:paraId="24EF1C0D">
      <w:pPr>
        <w:adjustRightInd w:val="0"/>
        <w:snapToGrid w:val="0"/>
        <w:ind w:firstLine="480"/>
      </w:pPr>
      <w:r>
        <w:rPr>
          <w:rFonts w:hint="eastAsia"/>
        </w:rPr>
        <w:t>（2）偏航系统运行单个风电机组突发噪声防治措施</w:t>
      </w:r>
    </w:p>
    <w:p w14:paraId="0413E622">
      <w:pPr>
        <w:adjustRightInd w:val="0"/>
        <w:snapToGrid w:val="0"/>
        <w:ind w:firstLine="480"/>
      </w:pPr>
      <w:r>
        <w:rPr>
          <w:rFonts w:hint="eastAsia"/>
        </w:rPr>
        <w:t>风电机组在运行过程中应加强偏航系统的维护保养并应尽量避免运行偏航系统，将风电机组对噪声敏感建筑物的影响降低至最小。</w:t>
      </w:r>
    </w:p>
    <w:p w14:paraId="0A705DCD">
      <w:pPr>
        <w:adjustRightInd w:val="0"/>
        <w:snapToGrid w:val="0"/>
        <w:ind w:firstLine="480"/>
      </w:pPr>
      <w:r>
        <w:rPr>
          <w:rFonts w:hint="eastAsia"/>
        </w:rPr>
        <w:t>（3）升压站</w:t>
      </w:r>
    </w:p>
    <w:p w14:paraId="13CB44D6">
      <w:pPr>
        <w:adjustRightInd w:val="0"/>
        <w:snapToGrid w:val="0"/>
        <w:ind w:firstLine="480"/>
      </w:pPr>
      <w:r>
        <w:t>为减少升压站对周围声环境产生不利影响，变电站采用低噪声变压器，并对变电站的总平面面布局进行优化，将主变压器布置在站址中央或远离站外环境敏感建筑物一侧的方向，充分利用站内建筑及周围地形对噪声的阻挡作用。计算结果表明升压站本期工程投入运行后，变电站厂界能够满足《工业企业厂界环境噪声排放标准》（GB12348-2008）表1之2类标准：昼间60 dB，夜间50 dB。</w:t>
      </w:r>
    </w:p>
    <w:p w14:paraId="781C8487">
      <w:pPr>
        <w:adjustRightInd w:val="0"/>
        <w:snapToGrid w:val="0"/>
        <w:ind w:firstLine="480"/>
      </w:pPr>
      <w:r>
        <w:rPr>
          <w:rFonts w:hint="eastAsia"/>
        </w:rPr>
        <w:t>（4）敏感点的噪声污染控制措施</w:t>
      </w:r>
    </w:p>
    <w:p w14:paraId="7915377C">
      <w:pPr>
        <w:adjustRightInd w:val="0"/>
        <w:snapToGrid w:val="0"/>
        <w:ind w:firstLine="480"/>
      </w:pPr>
      <w:r>
        <w:rPr>
          <w:rFonts w:hint="eastAsia"/>
        </w:rPr>
        <w:t>根据前述分析可知，项目运营期2</w:t>
      </w:r>
      <w:r>
        <w:t>#</w:t>
      </w:r>
      <w:r>
        <w:rPr>
          <w:rFonts w:hint="eastAsia"/>
        </w:rPr>
        <w:t>机位东北侧的环洞村扶贫基地居民点的噪声超标3</w:t>
      </w:r>
      <w:r>
        <w:t>.3</w:t>
      </w:r>
      <w:r>
        <w:rPr>
          <w:rFonts w:hint="eastAsia"/>
        </w:rPr>
        <w:t>d</w:t>
      </w:r>
      <w:r>
        <w:t>B</w:t>
      </w:r>
      <w:r>
        <w:rPr>
          <w:rFonts w:hint="eastAsia"/>
        </w:rPr>
        <w:t>（A）</w:t>
      </w:r>
      <w:r>
        <w:t>。</w:t>
      </w:r>
      <w:r>
        <w:rPr>
          <w:rFonts w:hint="eastAsia"/>
        </w:rPr>
        <w:t>建设单位已针对这些居民做了公众参与调查，调查结果显示，该户居民同意本项目建设。</w:t>
      </w:r>
    </w:p>
    <w:p w14:paraId="3DFE8768">
      <w:pPr>
        <w:adjustRightInd w:val="0"/>
        <w:snapToGrid w:val="0"/>
        <w:ind w:firstLine="480"/>
      </w:pPr>
      <w:r>
        <w:rPr>
          <w:rFonts w:hint="eastAsia"/>
        </w:rPr>
        <w:t>建设单位拟对位于噪声预测超标的居民点附近的</w:t>
      </w:r>
      <w:r>
        <w:t>2#</w:t>
      </w:r>
      <w:r>
        <w:rPr>
          <w:rFonts w:hint="eastAsia"/>
        </w:rPr>
        <w:t>风机机位采取尾缘锯齿方案（Trailing-Edge Serrations）与降噪VG方案（Vortex generation for noise reduction）。</w:t>
      </w:r>
    </w:p>
    <w:p w14:paraId="689D8841">
      <w:pPr>
        <w:adjustRightInd w:val="0"/>
        <w:snapToGrid w:val="0"/>
        <w:ind w:firstLine="480"/>
      </w:pPr>
      <w:r>
        <w:rPr>
          <w:rFonts w:hint="eastAsia"/>
        </w:rPr>
        <w:t>①尾缘锯齿方案（Trailing-Edge Serrations）</w:t>
      </w:r>
    </w:p>
    <w:p w14:paraId="7E811FE5">
      <w:pPr>
        <w:adjustRightInd w:val="0"/>
        <w:snapToGrid w:val="0"/>
        <w:ind w:firstLine="480"/>
      </w:pPr>
      <w:r>
        <w:rPr>
          <w:rFonts w:hint="eastAsia"/>
        </w:rPr>
        <w:t>参考同类风电场项目</w:t>
      </w:r>
      <w:r>
        <w:t>，为了降低气动噪声，在叶片上采用尾缘锯齿，见图8</w:t>
      </w:r>
      <w:r>
        <w:rPr>
          <w:rFonts w:hint="eastAsia"/>
        </w:rPr>
        <w:t>.2-</w:t>
      </w:r>
      <w:r>
        <w:t>2。根据叶片气动噪声源的位置选取锯齿安装位置，一般为叶片尖部1/3长度范围,锯齿一般安装在叶片压力面。</w:t>
      </w:r>
      <w:r>
        <w:rPr>
          <w:rFonts w:hint="eastAsia"/>
        </w:rPr>
        <w:t>根据</w:t>
      </w:r>
      <w:r>
        <w:t>叶片几何外形包括弦长、扭角、相对厚度分布、尾缘钝度、叶片表面粗糙度等，以及来流风速、来流风向、来流的湍流度大小、偏航、仰角等整机参数，进行叶片尾缘锯齿设计，包括锯齿的安装区间、锯齿的安装角度、锯齿长度、锯齿宽度等。叶片尾缘锯齿安装区间见图8</w:t>
      </w:r>
      <w:r>
        <w:rPr>
          <w:rFonts w:hint="eastAsia"/>
        </w:rPr>
        <w:t>.2-</w:t>
      </w:r>
      <w:r>
        <w:t>3，依据叶片局部弦长分别采用不同锯齿型号。</w:t>
      </w:r>
    </w:p>
    <w:p w14:paraId="3AB17ED1">
      <w:pPr>
        <w:tabs>
          <w:tab w:val="clear" w:pos="480"/>
        </w:tabs>
        <w:ind w:firstLine="480"/>
      </w:pPr>
      <w:r>
        <w:drawing>
          <wp:inline distT="0" distB="0" distL="0" distR="0">
            <wp:extent cx="5266690" cy="1310005"/>
            <wp:effectExtent l="0" t="0" r="0" b="4445"/>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266690" cy="1310005"/>
                    </a:xfrm>
                    <a:prstGeom prst="rect">
                      <a:avLst/>
                    </a:prstGeom>
                    <a:noFill/>
                    <a:ln>
                      <a:noFill/>
                    </a:ln>
                  </pic:spPr>
                </pic:pic>
              </a:graphicData>
            </a:graphic>
          </wp:inline>
        </w:drawing>
      </w:r>
      <w:r>
        <w:t xml:space="preserve"> </w:t>
      </w:r>
    </w:p>
    <w:p w14:paraId="465ADDAF">
      <w:pPr>
        <w:tabs>
          <w:tab w:val="clear" w:pos="480"/>
        </w:tabs>
        <w:ind w:firstLine="0" w:firstLineChars="0"/>
        <w:jc w:val="center"/>
        <w:rPr>
          <w:b/>
        </w:rPr>
      </w:pPr>
      <w:r>
        <w:rPr>
          <w:rFonts w:hint="eastAsia" w:ascii="宋体" w:hAnsi="宋体"/>
          <w:b/>
        </w:rPr>
        <w:t>图</w:t>
      </w:r>
      <w:r>
        <w:rPr>
          <w:b/>
        </w:rPr>
        <w:t>8.2-2</w:t>
      </w:r>
      <w:r>
        <w:rPr>
          <w:rFonts w:hint="eastAsia"/>
          <w:b/>
        </w:rPr>
        <w:t xml:space="preserve"> </w:t>
      </w:r>
      <w:r>
        <w:rPr>
          <w:rFonts w:hint="eastAsia" w:ascii="宋体" w:hAnsi="宋体"/>
          <w:b/>
        </w:rPr>
        <w:t>尾缘锯齿示意图</w:t>
      </w:r>
    </w:p>
    <w:p w14:paraId="26F76089">
      <w:pPr>
        <w:tabs>
          <w:tab w:val="clear" w:pos="480"/>
        </w:tabs>
        <w:ind w:firstLine="0" w:firstLineChars="0"/>
        <w:jc w:val="center"/>
        <w:rPr>
          <w:b/>
        </w:rPr>
      </w:pPr>
      <w:r>
        <w:drawing>
          <wp:inline distT="0" distB="0" distL="0" distR="0">
            <wp:extent cx="5275580" cy="1609090"/>
            <wp:effectExtent l="0" t="0" r="1270" b="0"/>
            <wp:docPr id="1028302707" name="图片 102830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02707" name="图片 10283027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275580" cy="1609090"/>
                    </a:xfrm>
                    <a:prstGeom prst="rect">
                      <a:avLst/>
                    </a:prstGeom>
                    <a:noFill/>
                    <a:ln>
                      <a:noFill/>
                    </a:ln>
                  </pic:spPr>
                </pic:pic>
              </a:graphicData>
            </a:graphic>
          </wp:inline>
        </w:drawing>
      </w:r>
      <w:r>
        <w:rPr>
          <w:b/>
        </w:rPr>
        <w:t xml:space="preserve"> </w:t>
      </w:r>
    </w:p>
    <w:p w14:paraId="7B3F3910">
      <w:pPr>
        <w:tabs>
          <w:tab w:val="clear" w:pos="480"/>
        </w:tabs>
        <w:ind w:firstLine="0" w:firstLineChars="0"/>
        <w:jc w:val="center"/>
        <w:rPr>
          <w:b/>
        </w:rPr>
      </w:pPr>
      <w:r>
        <w:rPr>
          <w:rFonts w:hint="eastAsia" w:ascii="宋体" w:hAnsi="宋体"/>
          <w:b/>
        </w:rPr>
        <w:t>图</w:t>
      </w:r>
      <w:r>
        <w:rPr>
          <w:b/>
        </w:rPr>
        <w:t>8</w:t>
      </w:r>
      <w:r>
        <w:rPr>
          <w:rFonts w:hint="eastAsia"/>
          <w:b/>
        </w:rPr>
        <w:t>.2-</w:t>
      </w:r>
      <w:r>
        <w:rPr>
          <w:b/>
        </w:rPr>
        <w:t>3</w:t>
      </w:r>
      <w:r>
        <w:rPr>
          <w:rFonts w:hint="eastAsia"/>
          <w:b/>
        </w:rPr>
        <w:t xml:space="preserve"> </w:t>
      </w:r>
      <w:r>
        <w:rPr>
          <w:rFonts w:hint="eastAsia" w:ascii="宋体" w:hAnsi="宋体"/>
          <w:b/>
        </w:rPr>
        <w:t>叶片尾缘锯齿安装区间</w:t>
      </w:r>
    </w:p>
    <w:p w14:paraId="437D1E16">
      <w:pPr>
        <w:adjustRightInd w:val="0"/>
        <w:snapToGrid w:val="0"/>
        <w:ind w:firstLine="480"/>
      </w:pPr>
      <w:r>
        <w:t>根据</w:t>
      </w:r>
      <w:r>
        <w:rPr>
          <w:rFonts w:hint="eastAsia"/>
        </w:rPr>
        <w:t>理论计算，</w:t>
      </w:r>
      <w:r>
        <w:t>安装锯齿尾缘之后，气动噪声</w:t>
      </w:r>
      <w:r>
        <w:rPr>
          <w:rFonts w:hint="eastAsia"/>
        </w:rPr>
        <w:t>可</w:t>
      </w:r>
      <w:r>
        <w:t>普遍下降2.1-2.5分贝。在轮毂高度风速为9米/秒以上，出现了理论上的最高噪声等级，风速变大后，由于叶片变桨导致噪声等级降低。风力机实际运行过程中，考虑湍流、风切、偏航等情况，噪声等级也会相应降低。</w:t>
      </w:r>
    </w:p>
    <w:p w14:paraId="31F814D3">
      <w:pPr>
        <w:adjustRightInd w:val="0"/>
        <w:snapToGrid w:val="0"/>
        <w:ind w:firstLine="480"/>
      </w:pPr>
      <w:r>
        <w:rPr>
          <w:rFonts w:hint="eastAsia"/>
        </w:rPr>
        <w:t>②降噪VG方案（Vortex generation for noise reduction）</w:t>
      </w:r>
    </w:p>
    <w:p w14:paraId="1543AC89">
      <w:pPr>
        <w:adjustRightInd w:val="0"/>
        <w:snapToGrid w:val="0"/>
        <w:ind w:firstLine="480"/>
      </w:pPr>
      <w:r>
        <w:t>降噪VG主要安装在叶片尖部30%叶片长度区域，安装降噪VG后，减少翼型表面紊流附面层压力脉动及叶片前缘对空气的冲击噪声，将叶片表面产生的大涡转变为无数微小湍流，延缓翼型后部涡脱落，见图5</w:t>
      </w:r>
      <w:r>
        <w:rPr>
          <w:rFonts w:hint="eastAsia"/>
        </w:rPr>
        <w:t>.2</w:t>
      </w:r>
      <w:r>
        <w:t>-3。降低噪</w:t>
      </w:r>
      <w:r>
        <w:rPr>
          <w:rFonts w:hint="eastAsia"/>
        </w:rPr>
        <w:t>声</w:t>
      </w:r>
      <w:r>
        <w:t>的同时还可以增加升力，降噪效果一般为2dB（A），发电量提升0.5%~1.0%。安装示意见图8</w:t>
      </w:r>
      <w:r>
        <w:rPr>
          <w:rFonts w:hint="eastAsia"/>
        </w:rPr>
        <w:t>.2</w:t>
      </w:r>
      <w:r>
        <w:t>-4，位于叶片吸力面。</w:t>
      </w:r>
    </w:p>
    <w:p w14:paraId="603EBAFD">
      <w:pPr>
        <w:tabs>
          <w:tab w:val="clear" w:pos="480"/>
        </w:tabs>
        <w:ind w:firstLine="0" w:firstLineChars="0"/>
        <w:jc w:val="center"/>
        <w:rPr>
          <w:b/>
        </w:rPr>
      </w:pPr>
      <w:r>
        <w:drawing>
          <wp:inline distT="0" distB="0" distL="0" distR="0">
            <wp:extent cx="2708275" cy="1819910"/>
            <wp:effectExtent l="0" t="0" r="0" b="8890"/>
            <wp:docPr id="470482485" name="图片 47048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82485" name="图片 47048248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2708275" cy="1819910"/>
                    </a:xfrm>
                    <a:prstGeom prst="rect">
                      <a:avLst/>
                    </a:prstGeom>
                    <a:noFill/>
                    <a:ln>
                      <a:noFill/>
                    </a:ln>
                  </pic:spPr>
                </pic:pic>
              </a:graphicData>
            </a:graphic>
          </wp:inline>
        </w:drawing>
      </w:r>
      <w:r>
        <w:rPr>
          <w:rFonts w:hint="eastAsia"/>
          <w:b/>
        </w:rPr>
        <w:t xml:space="preserve"> </w:t>
      </w:r>
      <w:r>
        <w:drawing>
          <wp:inline distT="0" distB="0" distL="0" distR="0">
            <wp:extent cx="2435225" cy="1828800"/>
            <wp:effectExtent l="0" t="0" r="3175" b="0"/>
            <wp:docPr id="218724168" name="图片 21872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24168" name="图片 21872416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2435225" cy="1828800"/>
                    </a:xfrm>
                    <a:prstGeom prst="rect">
                      <a:avLst/>
                    </a:prstGeom>
                    <a:noFill/>
                    <a:ln>
                      <a:noFill/>
                    </a:ln>
                  </pic:spPr>
                </pic:pic>
              </a:graphicData>
            </a:graphic>
          </wp:inline>
        </w:drawing>
      </w:r>
    </w:p>
    <w:p w14:paraId="61987717">
      <w:pPr>
        <w:tabs>
          <w:tab w:val="clear" w:pos="480"/>
        </w:tabs>
        <w:ind w:firstLine="0" w:firstLineChars="0"/>
        <w:jc w:val="center"/>
        <w:rPr>
          <w:b/>
        </w:rPr>
      </w:pPr>
      <w:r>
        <w:rPr>
          <w:rFonts w:hint="eastAsia" w:ascii="宋体" w:hAnsi="宋体"/>
          <w:b/>
        </w:rPr>
        <w:t>图</w:t>
      </w:r>
      <w:r>
        <w:rPr>
          <w:rFonts w:hint="eastAsia"/>
          <w:b/>
        </w:rPr>
        <w:t xml:space="preserve">5.2-3 </w:t>
      </w:r>
      <w:r>
        <w:rPr>
          <w:rFonts w:hint="eastAsia" w:ascii="宋体" w:hAnsi="宋体"/>
          <w:b/>
        </w:rPr>
        <w:t>降噪</w:t>
      </w:r>
      <w:r>
        <w:rPr>
          <w:rFonts w:hint="eastAsia"/>
          <w:b/>
        </w:rPr>
        <w:t>VG</w:t>
      </w:r>
      <w:r>
        <w:rPr>
          <w:rFonts w:hint="eastAsia" w:ascii="宋体" w:hAnsi="宋体"/>
          <w:b/>
        </w:rPr>
        <w:t>原理</w:t>
      </w:r>
    </w:p>
    <w:p w14:paraId="311D9EE0">
      <w:pPr>
        <w:tabs>
          <w:tab w:val="clear" w:pos="480"/>
        </w:tabs>
        <w:ind w:firstLine="0" w:firstLineChars="0"/>
        <w:jc w:val="center"/>
        <w:rPr>
          <w:b/>
        </w:rPr>
      </w:pPr>
      <w:r>
        <w:drawing>
          <wp:inline distT="0" distB="0" distL="0" distR="0">
            <wp:extent cx="5257800" cy="2391410"/>
            <wp:effectExtent l="0" t="0" r="0" b="8890"/>
            <wp:docPr id="982619502" name="图片 98261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19502" name="图片 9826195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257800" cy="2391410"/>
                    </a:xfrm>
                    <a:prstGeom prst="rect">
                      <a:avLst/>
                    </a:prstGeom>
                    <a:noFill/>
                    <a:ln>
                      <a:noFill/>
                    </a:ln>
                  </pic:spPr>
                </pic:pic>
              </a:graphicData>
            </a:graphic>
          </wp:inline>
        </w:drawing>
      </w:r>
      <w:r>
        <w:rPr>
          <w:b/>
        </w:rPr>
        <w:t xml:space="preserve"> </w:t>
      </w:r>
    </w:p>
    <w:p w14:paraId="5864B1F8">
      <w:pPr>
        <w:tabs>
          <w:tab w:val="clear" w:pos="480"/>
        </w:tabs>
        <w:ind w:firstLine="0" w:firstLineChars="0"/>
        <w:jc w:val="center"/>
        <w:rPr>
          <w:b/>
        </w:rPr>
      </w:pPr>
      <w:r>
        <w:rPr>
          <w:rFonts w:hint="eastAsia" w:ascii="宋体" w:hAnsi="宋体"/>
          <w:b/>
        </w:rPr>
        <w:t>图</w:t>
      </w:r>
      <w:r>
        <w:rPr>
          <w:b/>
        </w:rPr>
        <w:t>8</w:t>
      </w:r>
      <w:r>
        <w:rPr>
          <w:rFonts w:hint="eastAsia"/>
          <w:b/>
        </w:rPr>
        <w:t xml:space="preserve">.2-4 </w:t>
      </w:r>
      <w:r>
        <w:rPr>
          <w:rFonts w:hint="eastAsia" w:ascii="宋体" w:hAnsi="宋体"/>
          <w:b/>
        </w:rPr>
        <w:t>叶片表面降噪</w:t>
      </w:r>
      <w:r>
        <w:rPr>
          <w:rFonts w:hint="eastAsia"/>
          <w:b/>
        </w:rPr>
        <w:t>VG</w:t>
      </w:r>
      <w:r>
        <w:rPr>
          <w:rFonts w:hint="eastAsia" w:ascii="宋体" w:hAnsi="宋体"/>
          <w:b/>
        </w:rPr>
        <w:t>安装示意图</w:t>
      </w:r>
    </w:p>
    <w:p w14:paraId="2A0C5295">
      <w:pPr>
        <w:adjustRightInd w:val="0"/>
        <w:snapToGrid w:val="0"/>
        <w:ind w:firstLine="480"/>
      </w:pPr>
      <w:r>
        <w:rPr>
          <w:rFonts w:hint="eastAsia"/>
        </w:rPr>
        <w:t>总结：</w:t>
      </w:r>
    </w:p>
    <w:p w14:paraId="35C8EFA7">
      <w:pPr>
        <w:adjustRightInd w:val="0"/>
        <w:snapToGrid w:val="0"/>
        <w:ind w:firstLine="480"/>
      </w:pPr>
      <w:r>
        <w:rPr>
          <w:rFonts w:hint="eastAsia"/>
        </w:rPr>
        <w:t>叶片加装锯齿尾缘后，气动噪声源声功率最大降低2.5dB(A)。叶片加装降噪VG后，气动噪声源声功率最大降低2dB(A)。采用锯齿尾缘、降噪VG等降噪措施后，机组最大气动噪声源声功率约为105dB(A)，采取措施后，环洞村扶贫基地处居民点夜间噪声可满足声环境质量标准要求。</w:t>
      </w:r>
    </w:p>
    <w:p w14:paraId="789EA51E">
      <w:pPr>
        <w:adjustRightInd w:val="0"/>
        <w:snapToGrid w:val="0"/>
        <w:ind w:firstLine="480"/>
      </w:pPr>
      <w:r>
        <w:rPr>
          <w:rFonts w:hint="eastAsia"/>
        </w:rPr>
        <w:t>（5）其他措施</w:t>
      </w:r>
    </w:p>
    <w:p w14:paraId="79316CBA">
      <w:pPr>
        <w:adjustRightInd w:val="0"/>
        <w:snapToGrid w:val="0"/>
        <w:ind w:firstLine="480"/>
      </w:pPr>
      <w:r>
        <w:rPr>
          <w:rFonts w:hint="eastAsia"/>
        </w:rPr>
        <w:t>建设单位应预留环保资金，落实跟踪监测计划，运营期应对噪声超标</w:t>
      </w:r>
      <w:r>
        <w:t>的</w:t>
      </w:r>
      <w:r>
        <w:rPr>
          <w:rFonts w:hint="eastAsia"/>
        </w:rPr>
        <w:t>居民点（环洞村扶贫基地）以及其他距离噪声防护距离较近的居民点进行跟踪监测，若出现噪声超标现象，建设单位应立即采取必要的措施，如为噪声超标的居民加装隔声窗等措施，以降低或消除风机噪声对周边居民产生的不利影响</w:t>
      </w:r>
      <w:r>
        <w:t>。</w:t>
      </w:r>
    </w:p>
    <w:p w14:paraId="78250D15">
      <w:pPr>
        <w:adjustRightInd w:val="0"/>
        <w:snapToGrid w:val="0"/>
        <w:ind w:firstLine="480"/>
      </w:pPr>
      <w:r>
        <w:rPr>
          <w:rFonts w:hint="eastAsia"/>
        </w:rPr>
        <w:t>（5）控规距离</w:t>
      </w:r>
    </w:p>
    <w:p w14:paraId="4073E606">
      <w:pPr>
        <w:adjustRightInd w:val="0"/>
        <w:snapToGrid w:val="0"/>
        <w:ind w:firstLine="480"/>
      </w:pPr>
      <w:r>
        <w:rPr>
          <w:rFonts w:hint="eastAsia"/>
        </w:rPr>
        <w:t>根据预测结果及相关要求，环评建议以风力发电机组安装平台边界外延</w:t>
      </w:r>
      <w:r>
        <w:t>350m</w:t>
      </w:r>
      <w:r>
        <w:rPr>
          <w:rFonts w:hint="eastAsia"/>
        </w:rPr>
        <w:t>范围的区域划定为风电机组的噪声影响控制区，在该区域范围内，不得新建居民住宅、学校、医院等噪声敏感建筑物。</w:t>
      </w:r>
    </w:p>
    <w:p w14:paraId="394C56B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8.2.4</w:t>
      </w:r>
      <w:r>
        <w:rPr>
          <w:rFonts w:hint="eastAsia" w:ascii="Times New Roman" w:eastAsia="宋体"/>
          <w:sz w:val="28"/>
          <w:szCs w:val="28"/>
          <w:lang w:val="en-US"/>
        </w:rPr>
        <w:t>运营期固体废物</w:t>
      </w:r>
      <w:r>
        <w:rPr>
          <w:rFonts w:ascii="Times New Roman" w:eastAsia="宋体"/>
          <w:sz w:val="28"/>
          <w:szCs w:val="28"/>
          <w:lang w:val="en-US"/>
        </w:rPr>
        <w:t>污染防治措施分析</w:t>
      </w:r>
    </w:p>
    <w:p w14:paraId="40A7587D">
      <w:pPr>
        <w:adjustRightInd w:val="0"/>
        <w:snapToGrid w:val="0"/>
        <w:ind w:firstLine="480"/>
      </w:pPr>
      <w:r>
        <w:t>运营期间，风电场规划10名工作人员，营运期由于生活垃圾产生量小，可在升压站设置垃圾箱，将生活垃圾进行分类收集后交由乡镇环卫部门统一收集后进行卫生填埋。污水处理过程中产生的污泥将自行堆肥，主要用于场区的绿化和生态恢复。因此，本项目固废处理后能实现无害化要求，从处置途径和处置方式上看可行。</w:t>
      </w:r>
    </w:p>
    <w:p w14:paraId="6EFA7B1D">
      <w:pPr>
        <w:adjustRightInd w:val="0"/>
        <w:snapToGrid w:val="0"/>
        <w:ind w:firstLine="480"/>
      </w:pPr>
      <w:r>
        <w:t>运营期，风电机组更换废机油时，需安排专业人员进行操作，用专门的油桶将废机油进行收集并在升压站内设置专用暂存间进行暂存，最终定期交由有相关资质的单位合理处置，严禁随意丢弃。油桶和暂存间须设置明显标志，暂存间地面应进行防渗处理。</w:t>
      </w:r>
    </w:p>
    <w:p w14:paraId="1A520139">
      <w:pPr>
        <w:adjustRightInd w:val="0"/>
        <w:snapToGrid w:val="0"/>
        <w:ind w:firstLine="480"/>
      </w:pPr>
      <w:r>
        <w:t>运营期，升压站更换下来的废旧蓄电池属于危险废物。因此，建设方须严格按照国家危废转移、处置有关规定对变压器废油和退役的蓄电池进行转移、处置，从而确保全部变压器废油和退役的蓄电池按国家有关规定进行转移、处置。</w:t>
      </w:r>
    </w:p>
    <w:p w14:paraId="57059A95">
      <w:pPr>
        <w:adjustRightInd w:val="0"/>
        <w:snapToGrid w:val="0"/>
        <w:ind w:firstLine="480"/>
      </w:pPr>
      <w:r>
        <w:t>升压站变压器使用变压器油，事故发生时会发生变压器油外泄。变电站内设置污油排蓄系统，即按最大一台主变压器的油量，设一座事故油池，</w:t>
      </w:r>
      <w:r>
        <w:rPr>
          <w:rFonts w:hint="eastAsia"/>
        </w:rPr>
        <w:t>事故油池容积不小于3</w:t>
      </w:r>
      <w:r>
        <w:t>0</w:t>
      </w:r>
      <w:r>
        <w:rPr>
          <w:rFonts w:hint="eastAsia"/>
        </w:rPr>
        <w:t>m</w:t>
      </w:r>
      <w:r>
        <w:rPr>
          <w:vertAlign w:val="superscript"/>
        </w:rPr>
        <w:t>3</w:t>
      </w:r>
      <w:r>
        <w:rPr>
          <w:rFonts w:hint="eastAsia"/>
        </w:rPr>
        <w:t>，注意加盖防雨，相关的管道、池壁和池底均进行水泥防渗处理，以免泄漏变压器油对周边环境造成影响。一旦变压器事故时排油或漏油，所有的油水混合物渗过卵石层并通过排油槽到达事故油池，</w:t>
      </w:r>
      <w:r>
        <w:t>在此过程中卵石层起到冷却油的作用，不易发生火灾。废变压器油属于危险废物，集中收集后委托有危险废物处理资质的单位妥善处理。升压站泄漏的变压器油可以得到妥善处置。</w:t>
      </w:r>
    </w:p>
    <w:p w14:paraId="0D082CC9">
      <w:pPr>
        <w:adjustRightInd w:val="0"/>
        <w:snapToGrid w:val="0"/>
        <w:ind w:firstLine="480"/>
      </w:pPr>
      <w:r>
        <w:t>升压站或风机机组更换下来的废机油、废矿物油、废旧蓄电池以及变压器事故排放的变压器油等，均属于危险废物。建设方须严格按照国家危废转移、处置有关规定进行转移、处置。本项目设置了危险废物暂存间，</w:t>
      </w:r>
      <w:r>
        <w:rPr>
          <w:rFonts w:hint="eastAsia"/>
        </w:rPr>
        <w:t>废机油、废液压油、废旧蓄电池、废含油检修垃圾在危废暂存间暂存后交由有资质的单位处理。</w:t>
      </w:r>
    </w:p>
    <w:p w14:paraId="0DAAC8A7">
      <w:pPr>
        <w:adjustRightInd w:val="0"/>
        <w:snapToGrid w:val="0"/>
        <w:ind w:firstLine="480"/>
      </w:pPr>
      <w:r>
        <w:rPr>
          <w:rFonts w:hint="eastAsia"/>
        </w:rPr>
        <w:t>（1）管理要求</w:t>
      </w:r>
    </w:p>
    <w:p w14:paraId="6BE079E5">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暂存要求</w:t>
      </w:r>
    </w:p>
    <w:p w14:paraId="1DB12E1F">
      <w:pPr>
        <w:adjustRightInd w:val="0"/>
        <w:snapToGrid w:val="0"/>
        <w:ind w:firstLine="480"/>
      </w:pPr>
      <w:r>
        <w:rPr>
          <w:rFonts w:hint="eastAsia"/>
        </w:rPr>
        <w:t>本项目在升压站内设置了1座危废暂存间，</w:t>
      </w:r>
      <w:bookmarkStart w:id="225" w:name="_Hlk30506925"/>
      <w:r>
        <w:rPr>
          <w:rFonts w:hint="eastAsia"/>
        </w:rPr>
        <w:t>为保证厂区内暂存的危险废物不对环境产生污染，依据《危险废物贮存污染控制标准》（</w:t>
      </w:r>
      <w:r>
        <w:t>GB18597</w:t>
      </w:r>
      <w:r>
        <w:rPr>
          <w:rFonts w:hint="eastAsia"/>
        </w:rPr>
        <w:t>-</w:t>
      </w:r>
      <w:r>
        <w:t>2023</w:t>
      </w:r>
      <w:r>
        <w:rPr>
          <w:rFonts w:hint="eastAsia"/>
        </w:rPr>
        <w:t>）、《危险废物收集贮存运输技术规范》（</w:t>
      </w:r>
      <w:r>
        <w:t>HJ2025-2012</w:t>
      </w:r>
      <w:r>
        <w:rPr>
          <w:rFonts w:hint="eastAsia"/>
        </w:rPr>
        <w:t>）及相关国家及地方法律法规，建设单位要确保危险废物暂存设施需满足以下安全措施：</w:t>
      </w:r>
    </w:p>
    <w:p w14:paraId="31430C57">
      <w:pPr>
        <w:adjustRightInd w:val="0"/>
        <w:snapToGrid w:val="0"/>
        <w:ind w:firstLine="480"/>
      </w:pPr>
      <w:r>
        <w:rPr>
          <w:rFonts w:hint="eastAsia"/>
        </w:rPr>
        <w:t>a危险废物的收集应根据危险废物产生的工艺特征、排放周期、危险废物特性、废物管理计划等因素制定收集计划、制定详细的操作规程并配备必要的个人防护装备。</w:t>
      </w:r>
    </w:p>
    <w:p w14:paraId="743D3E78">
      <w:pPr>
        <w:adjustRightInd w:val="0"/>
        <w:snapToGrid w:val="0"/>
        <w:ind w:firstLine="480"/>
      </w:pPr>
      <w:r>
        <w:t>b</w:t>
      </w:r>
      <w:r>
        <w:rPr>
          <w:rFonts w:hint="eastAsia"/>
        </w:rPr>
        <w:t>危险废物收集时，应合理确定包装形式，包装材质要与危险废物相容；不相容的危险废物不应混合包装；包装应能有效隔断危险废物迁移扩散途径，并达到防渗、防漏要求；包装好的危险废物应设置相应的标签，标签信息应填写完整翔实。</w:t>
      </w:r>
    </w:p>
    <w:p w14:paraId="6C926BC4">
      <w:pPr>
        <w:adjustRightInd w:val="0"/>
        <w:snapToGrid w:val="0"/>
        <w:ind w:firstLine="480"/>
      </w:pPr>
      <w:r>
        <w:t>c</w:t>
      </w:r>
      <w:r>
        <w:rPr>
          <w:rFonts w:hint="eastAsia"/>
        </w:rPr>
        <w:t>根据收集设备、运转车辆以及现场人员等实际情况确定相应作业区域，同时设置作业界线标志和警示牌；作业区域内设置危废收集专用通道和人员避险通道等。</w:t>
      </w:r>
    </w:p>
    <w:p w14:paraId="483D26E1">
      <w:pPr>
        <w:adjustRightInd w:val="0"/>
        <w:snapToGrid w:val="0"/>
        <w:ind w:firstLine="480"/>
      </w:pPr>
      <w:r>
        <w:t>d</w:t>
      </w:r>
      <w:r>
        <w:rPr>
          <w:rFonts w:hint="eastAsia"/>
        </w:rPr>
        <w:t>内部转运尽量避开办公区和生活区，并填写《危险废物厂内转运记录表》等。</w:t>
      </w:r>
    </w:p>
    <w:p w14:paraId="6D095622">
      <w:pPr>
        <w:adjustRightInd w:val="0"/>
        <w:snapToGrid w:val="0"/>
        <w:ind w:firstLine="480"/>
      </w:pPr>
      <w:r>
        <w:t>e</w:t>
      </w:r>
      <w:r>
        <w:rPr>
          <w:rFonts w:hint="eastAsia"/>
        </w:rPr>
        <w:t>危险废物贮存采取设置室内单独间临时贮存方式，禁止一般废物与危险废物混放，并针对危险废物设置环境保护图形标志和警示标志；按照危险废物的种类和特性进行分区贮存，每个贮存区域之间宜设置挡墙间隔，并设置防雨、防火、防雷、防扬尘装置；危险废物贮存间应留有搬运通道，并做到及时清运。</w:t>
      </w:r>
    </w:p>
    <w:p w14:paraId="1A3A52BC">
      <w:pPr>
        <w:adjustRightInd w:val="0"/>
        <w:snapToGrid w:val="0"/>
        <w:ind w:firstLine="480"/>
      </w:pPr>
      <w:r>
        <w:t>f</w:t>
      </w:r>
      <w:r>
        <w:rPr>
          <w:rFonts w:hint="eastAsia"/>
        </w:rPr>
        <w:t>临时贮存场所内基础必须防渗，用以存放装载液体、半固体危险废物容器的地方，必须有耐腐蚀的硬化地面，且表面无缝隙。</w:t>
      </w:r>
    </w:p>
    <w:p w14:paraId="4A84BDDA">
      <w:pPr>
        <w:adjustRightInd w:val="0"/>
        <w:snapToGrid w:val="0"/>
        <w:ind w:firstLine="480"/>
      </w:pPr>
      <w:r>
        <w:t>g</w:t>
      </w:r>
      <w:r>
        <w:rPr>
          <w:rFonts w:hint="eastAsia"/>
        </w:rPr>
        <w:t>建立危险废物档案制度，对暂存的废物种类、数量、特性、包装容器类别、存放库位、存入日期、运出日期等详细记录在案并长期保存。</w:t>
      </w:r>
    </w:p>
    <w:p w14:paraId="61743FF1">
      <w:pPr>
        <w:adjustRightInd w:val="0"/>
        <w:snapToGrid w:val="0"/>
        <w:ind w:firstLine="480"/>
      </w:pPr>
      <w:r>
        <w:t>h</w:t>
      </w:r>
      <w:r>
        <w:rPr>
          <w:rFonts w:hint="eastAsia"/>
        </w:rPr>
        <w:t>建立危险废物存放装置的定期巡查、维护制度。</w:t>
      </w:r>
    </w:p>
    <w:p w14:paraId="43C5E208">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危险废物转移相关规定</w:t>
      </w:r>
    </w:p>
    <w:p w14:paraId="197D32D0">
      <w:pPr>
        <w:adjustRightInd w:val="0"/>
        <w:snapToGrid w:val="0"/>
        <w:ind w:firstLine="480"/>
      </w:pPr>
      <w:r>
        <w:rPr>
          <w:rFonts w:hint="eastAsia"/>
        </w:rPr>
        <w:t>根据国务院令第</w:t>
      </w:r>
      <w:r>
        <w:t>591</w:t>
      </w:r>
      <w:r>
        <w:rPr>
          <w:rFonts w:hint="eastAsia"/>
        </w:rPr>
        <w:t>号《危险化学品安全管理条例》、原国家环境保护总局令第</w:t>
      </w:r>
      <w:r>
        <w:t>5</w:t>
      </w:r>
      <w:r>
        <w:rPr>
          <w:rFonts w:hint="eastAsia"/>
        </w:rPr>
        <w:t>号《危险废物转移联单管理办法》有关规定，在危险废物外运至处置单位时必须严格遵守以下要求：</w:t>
      </w:r>
    </w:p>
    <w:p w14:paraId="73130A3C">
      <w:pPr>
        <w:adjustRightInd w:val="0"/>
        <w:snapToGrid w:val="0"/>
        <w:ind w:firstLine="480"/>
      </w:pPr>
      <w:r>
        <w:t>a</w:t>
      </w:r>
      <w:r>
        <w:rPr>
          <w:rFonts w:hint="eastAsia"/>
        </w:rPr>
        <w:t>危险废物在转移前，建设单位须按照国家有关规定报批危险废物转移计划；经批准后，建设单位应当向当地环境保护行政主管部门申请领取联单。转移前三日内报告移出地环境保护行政主管部门，并同时将预期到达时间报告接受地环境保护行政主管部门。</w:t>
      </w:r>
    </w:p>
    <w:p w14:paraId="3C7C943C">
      <w:pPr>
        <w:adjustRightInd w:val="0"/>
        <w:snapToGrid w:val="0"/>
        <w:ind w:firstLine="480"/>
      </w:pPr>
      <w:r>
        <w:t>b</w:t>
      </w:r>
      <w:r>
        <w:rPr>
          <w:rFonts w:hint="eastAsia"/>
        </w:rPr>
        <w:t>危险废物产生单位每转移一车、船（次）同类危险废物，应填写一份联单。每车、船（次）有多类危险废物的，应当按每一类危险废物填写一份联单。</w:t>
      </w:r>
    </w:p>
    <w:p w14:paraId="124FA621">
      <w:pPr>
        <w:adjustRightInd w:val="0"/>
        <w:snapToGrid w:val="0"/>
        <w:ind w:firstLine="480"/>
      </w:pPr>
      <w:r>
        <w:t>c</w:t>
      </w:r>
      <w:r>
        <w:rPr>
          <w:rFonts w:hint="eastAsia"/>
        </w:rPr>
        <w:t>危险废物运输单位应当如实填写联单的运输单位栏目，按照国家有关危险物品运输的规定，将危险废物安全运抵联单载明的接受地点，并将联单第一联、第二联副联、第三联、第四联、第五联随转移的危险废物交付危险废物接受单位。</w:t>
      </w:r>
    </w:p>
    <w:p w14:paraId="14A4FBC9">
      <w:pPr>
        <w:adjustRightInd w:val="0"/>
        <w:snapToGrid w:val="0"/>
        <w:ind w:firstLine="480"/>
      </w:pPr>
      <w:r>
        <w:t>d</w:t>
      </w:r>
      <w:r>
        <w:rPr>
          <w:rFonts w:hint="eastAsia"/>
        </w:rPr>
        <w:t>危险废物接受单位应当按照联单填写的内容对危险废物核实验收，如实填写联单中接受单位栏目并加盖公章。接受单位应当将联单第一联、第二联副联自接受危险废物之日起十日内交付建设单位，联单第一联由建设单位自留存档，联单第二联副联由建设单位在二日内报送环境主管部门。</w:t>
      </w:r>
    </w:p>
    <w:p w14:paraId="185BFF8D">
      <w:pPr>
        <w:adjustRightInd w:val="0"/>
        <w:snapToGrid w:val="0"/>
        <w:ind w:firstLine="480"/>
      </w:pPr>
      <w:r>
        <w:t>e</w:t>
      </w:r>
      <w:r>
        <w:rPr>
          <w:rFonts w:hint="eastAsia"/>
        </w:rPr>
        <w:t>联单保存期限为五年；贮存危险废物的，其联单保存期限与危险废物贮存期限相同。环境保护行政主管部门认为有必要延长联单保存期限的，产生单位应当按照要求延期保存联单。</w:t>
      </w:r>
    </w:p>
    <w:p w14:paraId="1C677A2C">
      <w:pPr>
        <w:adjustRightInd w:val="0"/>
        <w:snapToGrid w:val="0"/>
        <w:ind w:firstLine="480"/>
      </w:pPr>
      <w:r>
        <w:t>f</w:t>
      </w:r>
      <w:r>
        <w:rPr>
          <w:rFonts w:hint="eastAsia"/>
        </w:rPr>
        <w:t>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14:paraId="48C6BB6E">
      <w:pPr>
        <w:adjustRightInd w:val="0"/>
        <w:snapToGrid w:val="0"/>
        <w:ind w:firstLine="480"/>
      </w:pPr>
      <w:r>
        <w:t>g</w:t>
      </w:r>
      <w:r>
        <w:rPr>
          <w:rFonts w:hint="eastAsia"/>
        </w:rPr>
        <w:t>处置单位在运输危险废物时必须配备押运人员，并随时处于押运人员的监管之下，不得超装、超载，严格按照所在城市规定的行车时间和行车路线行驶，不得进入危险化学品运输车辆禁止通行的区域。</w:t>
      </w:r>
    </w:p>
    <w:p w14:paraId="0B1155D0">
      <w:pPr>
        <w:adjustRightInd w:val="0"/>
        <w:snapToGrid w:val="0"/>
        <w:ind w:firstLine="480"/>
      </w:pPr>
      <w:r>
        <w:t>h</w:t>
      </w:r>
      <w:r>
        <w:rPr>
          <w:rFonts w:hint="eastAsia"/>
        </w:rPr>
        <w:t>危险废物在运输途中若发生被盗、丢失、流散、泄漏等情况时，公司及押运人员必须立即向当地公安部门报告，并采取一切可能的警示措施。</w:t>
      </w:r>
    </w:p>
    <w:p w14:paraId="3315C0CA">
      <w:pPr>
        <w:adjustRightInd w:val="0"/>
        <w:snapToGrid w:val="0"/>
        <w:ind w:firstLine="480"/>
      </w:pPr>
      <w:r>
        <w:t>i</w:t>
      </w:r>
      <w:r>
        <w:rPr>
          <w:rFonts w:hint="eastAsia"/>
        </w:rPr>
        <w:t>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一事故造成的危害进行监测、处置，直至符合国家环境保护标准。</w:t>
      </w:r>
    </w:p>
    <w:p w14:paraId="6491D002">
      <w:pPr>
        <w:adjustRightInd w:val="0"/>
        <w:snapToGrid w:val="0"/>
        <w:ind w:firstLine="480"/>
      </w:pPr>
      <w:r>
        <w:rPr>
          <w:rFonts w:hint="eastAsia"/>
        </w:rPr>
        <w:t>综上所述，本项目产生的固体废物进行分类后，其中危险废物委托具有相关处理资质的单位处置，一般废物定期清运，不会对环境产生二次污染，其处置方法及去向具有可行性。</w:t>
      </w:r>
    </w:p>
    <w:p w14:paraId="48E5D9A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8.2.5</w:t>
      </w:r>
      <w:r>
        <w:rPr>
          <w:rFonts w:hint="eastAsia" w:ascii="Times New Roman" w:eastAsia="宋体"/>
          <w:sz w:val="28"/>
          <w:szCs w:val="28"/>
          <w:lang w:val="en-US"/>
        </w:rPr>
        <w:t>运营期地下水</w:t>
      </w:r>
      <w:r>
        <w:rPr>
          <w:rFonts w:ascii="Times New Roman" w:eastAsia="宋体"/>
          <w:sz w:val="28"/>
          <w:szCs w:val="28"/>
          <w:lang w:val="en-US"/>
        </w:rPr>
        <w:t>污染防治措施分析</w:t>
      </w:r>
    </w:p>
    <w:p w14:paraId="34DAEDD3">
      <w:pPr>
        <w:adjustRightInd w:val="0"/>
        <w:snapToGrid w:val="0"/>
        <w:ind w:firstLine="480"/>
      </w:pPr>
      <w:r>
        <w:rPr>
          <w:rFonts w:hint="eastAsia"/>
        </w:rPr>
        <w:t>①</w:t>
      </w:r>
      <w:r>
        <w:t>加强环境卫生管理，避免垃圾随意丢弃。</w:t>
      </w:r>
    </w:p>
    <w:p w14:paraId="4DE2868D">
      <w:pPr>
        <w:adjustRightInd w:val="0"/>
        <w:snapToGrid w:val="0"/>
        <w:ind w:firstLine="480"/>
      </w:pPr>
      <w:r>
        <w:rPr>
          <w:rFonts w:hint="eastAsia"/>
        </w:rPr>
        <w:t>②</w:t>
      </w:r>
      <w:r>
        <w:t>定期对风机进行检查，发现有漏油等情况应尽快采取措施，避免废油对地下水产生影响，同时对于事故油池采取严格的防渗措施。</w:t>
      </w:r>
    </w:p>
    <w:p w14:paraId="0650B355">
      <w:pPr>
        <w:adjustRightInd w:val="0"/>
        <w:snapToGrid w:val="0"/>
        <w:ind w:firstLine="480"/>
      </w:pPr>
      <w:r>
        <w:rPr>
          <w:rFonts w:hint="eastAsia"/>
        </w:rPr>
        <w:t>③</w:t>
      </w:r>
      <w:r>
        <w:t>对危险废物临时暂存场所地面与裙脚用坚固、防渗的材料建造。</w:t>
      </w:r>
    </w:p>
    <w:p w14:paraId="60FC6AC4">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8.2.6</w:t>
      </w:r>
      <w:r>
        <w:rPr>
          <w:rFonts w:hint="eastAsia" w:ascii="Times New Roman" w:eastAsia="宋体"/>
          <w:sz w:val="28"/>
          <w:szCs w:val="28"/>
          <w:lang w:val="en-US"/>
        </w:rPr>
        <w:t>运营期电磁污染防治措施</w:t>
      </w:r>
    </w:p>
    <w:p w14:paraId="4E98C575">
      <w:pPr>
        <w:adjustRightInd w:val="0"/>
        <w:snapToGrid w:val="0"/>
        <w:ind w:firstLine="480"/>
      </w:pPr>
      <w:r>
        <w:rPr>
          <w:rFonts w:hint="eastAsia"/>
        </w:rPr>
        <w:t>（1）</w:t>
      </w:r>
      <w:r>
        <w:t>严格按照《35～110kV变电所设计规范》（GB50059－2011）及《35kV～220kV无人值班变电站设计规程》（DL/T5103－2012）的要求选择电气设备，对高压一次设备采用均压措施</w:t>
      </w:r>
      <w:r>
        <w:rPr>
          <w:rFonts w:hint="eastAsia"/>
        </w:rPr>
        <w:t>。</w:t>
      </w:r>
    </w:p>
    <w:p w14:paraId="55DBF4B1">
      <w:pPr>
        <w:adjustRightInd w:val="0"/>
        <w:snapToGrid w:val="0"/>
        <w:ind w:firstLine="480"/>
      </w:pPr>
      <w:r>
        <w:rPr>
          <w:rFonts w:hint="eastAsia"/>
        </w:rPr>
        <w:t>（2）</w:t>
      </w:r>
      <w:r>
        <w:t>控制导体和电气设备安全距离，选用具有抗干扰能力的设备，设置防雷接地保护装置等；</w:t>
      </w:r>
      <w:r>
        <w:rPr>
          <w:rFonts w:hint="eastAsia"/>
        </w:rPr>
        <w:t>同时在升压站设备定货时，要求导线、母线、均压环、管母线终端球和其它金具等提高加工工艺，防止尖端放电和起电晕。</w:t>
      </w:r>
    </w:p>
    <w:p w14:paraId="7247064F">
      <w:pPr>
        <w:adjustRightInd w:val="0"/>
        <w:snapToGrid w:val="0"/>
        <w:ind w:firstLine="480"/>
      </w:pPr>
      <w:r>
        <w:rPr>
          <w:rFonts w:hint="eastAsia"/>
        </w:rPr>
        <w:t>（3）</w:t>
      </w:r>
      <w:r>
        <w:t>控制配电构架高度、对地和相间距离，控制设备间连线离地面的最低高度，</w:t>
      </w:r>
      <w:r>
        <w:rPr>
          <w:rFonts w:hint="eastAsia"/>
        </w:rPr>
        <w:t>确保110kV升压站厂界工频电场强度满足标准。</w:t>
      </w:r>
    </w:p>
    <w:p w14:paraId="29CA0700">
      <w:pPr>
        <w:adjustRightInd w:val="0"/>
        <w:snapToGrid w:val="0"/>
        <w:ind w:firstLine="480"/>
      </w:pPr>
      <w:r>
        <w:rPr>
          <w:rFonts w:hint="eastAsia"/>
        </w:rPr>
        <w:t>（4）</w:t>
      </w:r>
      <w:r>
        <w:t>为避免运营期外来人员进入</w:t>
      </w:r>
      <w:r>
        <w:rPr>
          <w:rFonts w:hint="eastAsia"/>
        </w:rPr>
        <w:t>升压站</w:t>
      </w:r>
      <w:r>
        <w:t>附近、保证外来人员的生命安全，升压站四周</w:t>
      </w:r>
      <w:r>
        <w:rPr>
          <w:rFonts w:hint="eastAsia"/>
        </w:rPr>
        <w:t>应</w:t>
      </w:r>
      <w:r>
        <w:t>设置高</w:t>
      </w:r>
      <w:r>
        <w:rPr>
          <w:rFonts w:hint="eastAsia"/>
        </w:rPr>
        <w:t>的实</w:t>
      </w:r>
      <w:r>
        <w:t>体围墙，围墙周围挂设警示标志，禁止外来人员进入变电所区域。</w:t>
      </w:r>
    </w:p>
    <w:p w14:paraId="467B600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8.2.7</w:t>
      </w:r>
      <w:r>
        <w:rPr>
          <w:rFonts w:hint="eastAsia" w:ascii="Times New Roman" w:eastAsia="宋体"/>
          <w:sz w:val="28"/>
          <w:szCs w:val="28"/>
          <w:lang w:val="en-US"/>
        </w:rPr>
        <w:t>运营期生态环境保护措施</w:t>
      </w:r>
    </w:p>
    <w:p w14:paraId="0620660F">
      <w:pPr>
        <w:adjustRightInd w:val="0"/>
        <w:snapToGrid w:val="0"/>
        <w:ind w:firstLine="480"/>
      </w:pPr>
      <w:r>
        <w:rPr>
          <w:rFonts w:hint="eastAsia"/>
        </w:rPr>
        <w:t>（</w:t>
      </w:r>
      <w:r>
        <w:t>1</w:t>
      </w:r>
      <w:r>
        <w:rPr>
          <w:rFonts w:hint="eastAsia"/>
        </w:rPr>
        <w:t>）生态恢复措施</w:t>
      </w:r>
    </w:p>
    <w:p w14:paraId="23F7FBAF">
      <w:pPr>
        <w:adjustRightInd w:val="0"/>
        <w:snapToGrid w:val="0"/>
        <w:ind w:firstLine="480"/>
      </w:pPr>
      <w:r>
        <w:rPr>
          <w:rFonts w:hint="eastAsia"/>
        </w:rPr>
        <w:t>工程完工后尽快做好生态环境的恢复工作，以尽量减少</w:t>
      </w:r>
      <w:r>
        <w:rPr>
          <w:rFonts w:hint="eastAsia"/>
          <w:lang w:eastAsia="zh-CN"/>
        </w:rPr>
        <w:t>环境</w:t>
      </w:r>
      <w:r>
        <w:rPr>
          <w:rFonts w:hint="eastAsia"/>
        </w:rPr>
        <w:t>破坏对动物的不利影响。每个风机和集电线路施工完成后，在临时占地及其附近合理绿化，种植本地土著的灌木为主，尽快恢复动物</w:t>
      </w:r>
      <w:r>
        <w:rPr>
          <w:rFonts w:hint="eastAsia"/>
          <w:lang w:eastAsia="zh-CN"/>
        </w:rPr>
        <w:t>环境</w:t>
      </w:r>
      <w:r>
        <w:rPr>
          <w:rFonts w:hint="eastAsia"/>
        </w:rPr>
        <w:t>。应可能即时恢复自然植被、掩盖施工痕迹，保护生态环境，使之与自然环境和风景相协调。在植被恢复措施中；同时应关注主要植草、乔灌木的比例，尽量使其比重协调，避免区域内某一物种的锐减或锐增，减少对生态稳定性的影响。建议选择当地容易恢复的优势植物种类进行植被恢复，如杉木、白茅、龙牙草等。</w:t>
      </w:r>
    </w:p>
    <w:p w14:paraId="7B7F1ED2">
      <w:pPr>
        <w:adjustRightInd w:val="0"/>
        <w:snapToGrid w:val="0"/>
        <w:ind w:firstLine="480"/>
      </w:pPr>
      <w:r>
        <w:rPr>
          <w:rFonts w:hint="eastAsia"/>
        </w:rPr>
        <w:t>风机及道路施工造成一定植被破坏，考虑风机运转安全，以及道路植被恢复主要为边坡，因为采取高大乔木恢复不科学合理。白茅草是项目所在地常见物种，适合于板岩、砂岩等基岩风化土壤生存，龙牙草同样是当地优势物种，存活率高，广泛适用于山地环境植被恢复和水土保持，特别是边坡环境植被恢复，通过白茅、喷洒龙牙草草籽可以有效减少施工过程产生的生物损失，同时起到很好的植被恢复及水土保持作用，因而拟采取的生态恢复措施合理可行。</w:t>
      </w:r>
    </w:p>
    <w:p w14:paraId="56CE4B9C">
      <w:pPr>
        <w:adjustRightInd w:val="0"/>
        <w:snapToGrid w:val="0"/>
        <w:ind w:firstLine="480"/>
      </w:pPr>
      <w:r>
        <w:rPr>
          <w:rFonts w:hint="eastAsia"/>
        </w:rPr>
        <w:t>（2）野生动物生态环境保护措施</w:t>
      </w:r>
    </w:p>
    <w:p w14:paraId="43377A1C">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运营期在迁徙强度大的季节，如春秋两季，如果碰到有大雾、暴雨或大风的夜晚，风电场室外的照明尽量最小化，不要使用钠蒸汽灯，禁止长时间开启明亮的照明设备。建议使用声控灯，给需要照明的设备加装必要的遮光设施，防止灯光外泄。</w:t>
      </w:r>
    </w:p>
    <w:p w14:paraId="4254673A">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对没有达到会影响飞机飞行高度的风机机身上一律不准设光源。根据风机的具体高度和所处的位置以及航空部门评估后的结果，认为确实需要安装防撞灯的，应考虑安装白色闪光灯，不要安装红色的闪光灯，而且要安装尽可能少的灯，亮度也尽可能小，闪烁次数也尽可能小。</w:t>
      </w:r>
    </w:p>
    <w:p w14:paraId="3B08FADB">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对鸟类的保护措施</w:t>
      </w:r>
    </w:p>
    <w:p w14:paraId="628C74C7">
      <w:pPr>
        <w:adjustRightInd w:val="0"/>
        <w:snapToGrid w:val="0"/>
        <w:ind w:firstLine="480"/>
      </w:pPr>
      <w:bookmarkStart w:id="226" w:name="_Toc478148630"/>
      <w:r>
        <w:t>a</w:t>
      </w:r>
      <w:r>
        <w:rPr>
          <w:rFonts w:hint="eastAsia"/>
        </w:rPr>
        <w:t>加强在运营期的鸟类监测活动，</w:t>
      </w:r>
      <w:bookmarkEnd w:id="226"/>
      <w:r>
        <w:t>利用监测设备和专业人员，对风电场实施常年监测，监测候鸟行动，密切注视2-3月和9-10月的迁徙鸟类。遇到候鸟迁徙，立即通知风机管理部门，停止发电，待迁徙鸟类通过以后，再重新启动发电。</w:t>
      </w:r>
    </w:p>
    <w:p w14:paraId="4168F299">
      <w:pPr>
        <w:adjustRightInd w:val="0"/>
        <w:snapToGrid w:val="0"/>
        <w:ind w:firstLine="480"/>
      </w:pPr>
      <w:r>
        <w:t>b</w:t>
      </w:r>
      <w:r>
        <w:rPr>
          <w:rFonts w:hint="eastAsia"/>
        </w:rPr>
        <w:t>在鸟类观测站配备相应的鸟类救护设备，对巡护人员进行基础救护培训，加强巡护过程中对鸟类的救护，鸟类伤势严重的情况下及时送往野保站进行救护。</w:t>
      </w:r>
    </w:p>
    <w:p w14:paraId="722FBE88">
      <w:pPr>
        <w:adjustRightInd w:val="0"/>
        <w:snapToGrid w:val="0"/>
        <w:ind w:firstLine="480"/>
      </w:pPr>
      <w:r>
        <w:t>c</w:t>
      </w:r>
      <w:r>
        <w:rPr>
          <w:rFonts w:hint="eastAsia"/>
        </w:rPr>
        <w:t>提高鸟类对风电机敏感性，在风机的叶片上涂上能吸引鸟类注意力的反射紫外线涂层或鲜艳颜色，如红色、橙色等，提高鸟类的注意力，避免白天鸟类撞击风机。</w:t>
      </w:r>
    </w:p>
    <w:p w14:paraId="2CAD5747">
      <w:pPr>
        <w:adjustRightInd w:val="0"/>
        <w:snapToGrid w:val="0"/>
        <w:ind w:firstLine="480"/>
      </w:pPr>
      <w:r>
        <w:t>d在鸟类迁徙季节，一旦发现成群鸟类进入风电场，须根据鸟类不同生活习性，利用声、光、味、网等专用设施对鸟类进行阻拦或驱赶，以降低风机与鸟类的伤害。</w:t>
      </w:r>
    </w:p>
    <w:p w14:paraId="10F9F99D">
      <w:pPr>
        <w:adjustRightInd w:val="0"/>
        <w:snapToGrid w:val="0"/>
        <w:ind w:firstLine="480"/>
      </w:pPr>
      <w:r>
        <w:rPr>
          <w:rFonts w:hint="eastAsia"/>
        </w:rPr>
        <w:t>e加强监测，科学管理营运。本项目运营</w:t>
      </w:r>
      <w:r>
        <w:t>2</w:t>
      </w:r>
      <w:r>
        <w:rPr>
          <w:rFonts w:hint="eastAsia"/>
        </w:rPr>
        <w:t>年内，聘请鸟类观测人员，观测风机区的鸟类数量，因风机致死的鸟类种类和数量。根据</w:t>
      </w:r>
      <w:r>
        <w:t>2</w:t>
      </w:r>
      <w:r>
        <w:rPr>
          <w:rFonts w:hint="eastAsia"/>
        </w:rPr>
        <w:t>年内监测的结果，对风机运行时间进行调整。对致死鸟类数量较大的风机，要进行关停。致死数量少的，可在迁徙季节遇到大风大雾时段适时关闭风机，尽量减少对鸟类的影响。</w:t>
      </w:r>
    </w:p>
    <w:p w14:paraId="60E9C610">
      <w:pPr>
        <w:adjustRightInd w:val="0"/>
        <w:snapToGrid w:val="0"/>
        <w:ind w:firstLine="480"/>
      </w:pPr>
      <w:r>
        <w:rPr>
          <w:rFonts w:hint="eastAsia"/>
        </w:rPr>
        <w:t>（</w:t>
      </w:r>
      <w:r>
        <w:t>2</w:t>
      </w:r>
      <w:r>
        <w:rPr>
          <w:rFonts w:hint="eastAsia"/>
        </w:rPr>
        <w:t>）生态跟踪监测</w:t>
      </w:r>
    </w:p>
    <w:p w14:paraId="03603F57">
      <w:pPr>
        <w:adjustRightInd w:val="0"/>
        <w:snapToGrid w:val="0"/>
        <w:ind w:firstLine="480"/>
      </w:pPr>
      <w:r>
        <w:rPr>
          <w:rFonts w:hint="eastAsia"/>
        </w:rPr>
        <w:t>监测内容：主要包括工程区域内野生动物的栖息、迁徙情况调查，以及植物的损坏及保护措施落实情况调查。</w:t>
      </w:r>
    </w:p>
    <w:p w14:paraId="1E6A92D2">
      <w:pPr>
        <w:adjustRightInd w:val="0"/>
        <w:snapToGrid w:val="0"/>
        <w:ind w:firstLine="480"/>
      </w:pPr>
      <w:r>
        <w:rPr>
          <w:rFonts w:hint="eastAsia"/>
        </w:rPr>
        <w:t>监测方法：主要采取收集资料、实地调查、公众访问等方式进行。</w:t>
      </w:r>
    </w:p>
    <w:p w14:paraId="798F4E30">
      <w:pPr>
        <w:adjustRightInd w:val="0"/>
        <w:snapToGrid w:val="0"/>
        <w:ind w:firstLine="480"/>
      </w:pPr>
      <w:r>
        <w:rPr>
          <w:rFonts w:hint="eastAsia"/>
        </w:rPr>
        <w:t>监测时间：</w:t>
      </w:r>
      <w:r>
        <w:t>2</w:t>
      </w:r>
      <w:r>
        <w:rPr>
          <w:rFonts w:hint="eastAsia"/>
        </w:rPr>
        <w:t>次，施工期前监测1次，运行期监测1次。</w:t>
      </w:r>
    </w:p>
    <w:p w14:paraId="09B787B8">
      <w:pPr>
        <w:pStyle w:val="4"/>
        <w:tabs>
          <w:tab w:val="clear" w:pos="480"/>
          <w:tab w:val="clear" w:pos="630"/>
        </w:tabs>
        <w:spacing w:before="0" w:after="0"/>
        <w:rPr>
          <w:sz w:val="30"/>
          <w:szCs w:val="30"/>
          <w:lang w:val="en-US"/>
        </w:rPr>
      </w:pPr>
      <w:bookmarkStart w:id="227" w:name="_Toc143799400"/>
      <w:r>
        <w:rPr>
          <w:sz w:val="30"/>
          <w:szCs w:val="30"/>
          <w:lang w:val="en-US"/>
        </w:rPr>
        <w:t>8.3</w:t>
      </w:r>
      <w:r>
        <w:rPr>
          <w:rFonts w:hint="eastAsia"/>
          <w:sz w:val="30"/>
          <w:szCs w:val="30"/>
          <w:lang w:val="en-US"/>
        </w:rPr>
        <w:t>对湖南衡阳岣嵝峰国家森林公园、衡阳岣嵝峰县级自然保护区的保护措施</w:t>
      </w:r>
      <w:bookmarkEnd w:id="227"/>
    </w:p>
    <w:p w14:paraId="60DE501E">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8.3.1</w:t>
      </w:r>
      <w:r>
        <w:rPr>
          <w:rFonts w:hint="eastAsia" w:ascii="Times New Roman" w:eastAsia="宋体"/>
          <w:sz w:val="28"/>
          <w:szCs w:val="28"/>
          <w:lang w:val="en-US"/>
        </w:rPr>
        <w:t>施工期对湖南衡阳岣嵝峰国家森林公园、衡阳岣嵝峰县级自然保护区的保护措施</w:t>
      </w:r>
    </w:p>
    <w:p w14:paraId="4BB48A88">
      <w:pPr>
        <w:adjustRightInd w:val="0"/>
        <w:snapToGrid w:val="0"/>
        <w:ind w:firstLine="480"/>
      </w:pPr>
      <w:r>
        <w:rPr>
          <w:rFonts w:hint="eastAsia"/>
        </w:rPr>
        <w:t>（1）严格控制施工边界，严禁跨界施工，严禁在保护区内施工；</w:t>
      </w:r>
    </w:p>
    <w:p w14:paraId="68335201">
      <w:pPr>
        <w:adjustRightInd w:val="0"/>
        <w:snapToGrid w:val="0"/>
        <w:ind w:firstLine="480"/>
      </w:pPr>
      <w:r>
        <w:rPr>
          <w:rFonts w:hint="eastAsia"/>
        </w:rPr>
        <w:t>（2）严禁将弃渣场设置在保护区的汇水范围内；</w:t>
      </w:r>
    </w:p>
    <w:p w14:paraId="13DDDEF6">
      <w:pPr>
        <w:adjustRightInd w:val="0"/>
        <w:snapToGrid w:val="0"/>
        <w:ind w:firstLine="480"/>
      </w:pPr>
      <w:r>
        <w:rPr>
          <w:rFonts w:hint="eastAsia"/>
        </w:rPr>
        <w:t>（</w:t>
      </w:r>
      <w:r>
        <w:t>3</w:t>
      </w:r>
      <w:r>
        <w:rPr>
          <w:rFonts w:hint="eastAsia"/>
        </w:rPr>
        <w:t>）严禁在保护区的汇水范围内设置沉淀池和堆置表土；</w:t>
      </w:r>
    </w:p>
    <w:p w14:paraId="41BF3ABD">
      <w:pPr>
        <w:adjustRightInd w:val="0"/>
        <w:snapToGrid w:val="0"/>
        <w:ind w:firstLine="480"/>
      </w:pPr>
      <w:r>
        <w:rPr>
          <w:rFonts w:hint="eastAsia"/>
        </w:rPr>
        <w:t>（4）在保护区附近的风机机位和道路施工时，设置围挡；</w:t>
      </w:r>
    </w:p>
    <w:p w14:paraId="603D476A">
      <w:pPr>
        <w:adjustRightInd w:val="0"/>
        <w:snapToGrid w:val="0"/>
        <w:ind w:firstLine="480"/>
      </w:pPr>
      <w:r>
        <w:rPr>
          <w:rFonts w:hint="eastAsia"/>
        </w:rPr>
        <w:t>（5）严禁保护区附近的风机机位和道路在雨季施工；</w:t>
      </w:r>
    </w:p>
    <w:p w14:paraId="29E996C9">
      <w:pPr>
        <w:adjustRightInd w:val="0"/>
        <w:snapToGrid w:val="0"/>
        <w:ind w:firstLine="480"/>
      </w:pPr>
      <w:r>
        <w:rPr>
          <w:rFonts w:hint="eastAsia"/>
        </w:rPr>
        <w:t>（6）加强管理，施工期严禁捕捞；</w:t>
      </w:r>
    </w:p>
    <w:p w14:paraId="014A585E">
      <w:pPr>
        <w:adjustRightInd w:val="0"/>
        <w:snapToGrid w:val="0"/>
        <w:ind w:firstLine="480"/>
      </w:pPr>
      <w:r>
        <w:rPr>
          <w:rFonts w:hint="eastAsia"/>
        </w:rPr>
        <w:t>（7）文明施工，严禁</w:t>
      </w:r>
      <w:r>
        <w:rPr>
          <w:rFonts w:hint="eastAsia"/>
          <w:lang w:eastAsia="zh-CN"/>
        </w:rPr>
        <w:t>乱砍滥伐</w:t>
      </w:r>
      <w:r>
        <w:rPr>
          <w:rFonts w:hint="eastAsia"/>
        </w:rPr>
        <w:t>；</w:t>
      </w:r>
    </w:p>
    <w:p w14:paraId="1C2CBC3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8.3.</w:t>
      </w:r>
      <w:r>
        <w:rPr>
          <w:rFonts w:hint="eastAsia" w:ascii="Times New Roman" w:eastAsia="宋体"/>
          <w:sz w:val="28"/>
          <w:szCs w:val="28"/>
          <w:lang w:val="en-US"/>
        </w:rPr>
        <w:t>2运营期对湖南衡阳岣嵝峰国家森林公园、衡阳岣嵝峰县级自然保护区的保护措施</w:t>
      </w:r>
    </w:p>
    <w:p w14:paraId="7B3DF21B">
      <w:pPr>
        <w:adjustRightInd w:val="0"/>
        <w:snapToGrid w:val="0"/>
        <w:ind w:firstLine="480"/>
      </w:pPr>
      <w:r>
        <w:rPr>
          <w:rFonts w:hint="eastAsia"/>
        </w:rPr>
        <w:t>（1）加强管理，严禁捕捞；</w:t>
      </w:r>
    </w:p>
    <w:p w14:paraId="127DF6E0">
      <w:pPr>
        <w:adjustRightInd w:val="0"/>
        <w:snapToGrid w:val="0"/>
        <w:ind w:firstLine="480"/>
      </w:pPr>
      <w:r>
        <w:rPr>
          <w:rFonts w:hint="eastAsia"/>
        </w:rPr>
        <w:t>（2）在保护区附近的道路两侧设置防撞护栏；</w:t>
      </w:r>
    </w:p>
    <w:p w14:paraId="0574B164">
      <w:pPr>
        <w:adjustRightInd w:val="0"/>
        <w:snapToGrid w:val="0"/>
        <w:ind w:firstLine="480"/>
      </w:pPr>
      <w:r>
        <w:rPr>
          <w:rFonts w:hint="eastAsia"/>
        </w:rPr>
        <w:t>（3）运营期工作人员检修时，严禁进入保护区。</w:t>
      </w:r>
    </w:p>
    <w:p w14:paraId="68C5FDC7">
      <w:pPr>
        <w:adjustRightInd w:val="0"/>
        <w:snapToGrid w:val="0"/>
        <w:ind w:firstLine="480"/>
      </w:pPr>
    </w:p>
    <w:p w14:paraId="0EA59AD4">
      <w:pPr>
        <w:ind w:firstLine="480"/>
      </w:pPr>
    </w:p>
    <w:p w14:paraId="02318133">
      <w:pPr>
        <w:adjustRightInd w:val="0"/>
        <w:snapToGrid w:val="0"/>
        <w:ind w:firstLine="480"/>
      </w:pPr>
    </w:p>
    <w:bookmarkEnd w:id="225"/>
    <w:p w14:paraId="40362E43">
      <w:pPr>
        <w:ind w:firstLine="0" w:firstLineChars="0"/>
      </w:pPr>
    </w:p>
    <w:p w14:paraId="576F94AF">
      <w:pPr>
        <w:tabs>
          <w:tab w:val="clear" w:pos="480"/>
        </w:tabs>
        <w:adjustRightInd w:val="0"/>
        <w:snapToGrid w:val="0"/>
        <w:ind w:firstLine="480"/>
        <w:sectPr>
          <w:pgSz w:w="11905" w:h="16838"/>
          <w:pgMar w:top="1440" w:right="1797" w:bottom="1440" w:left="1797" w:header="851" w:footer="992" w:gutter="0"/>
          <w:cols w:space="0" w:num="1"/>
          <w:docGrid w:type="lines" w:linePitch="333" w:charSpace="0"/>
        </w:sectPr>
      </w:pPr>
    </w:p>
    <w:p w14:paraId="1183C481">
      <w:pPr>
        <w:pStyle w:val="3"/>
        <w:tabs>
          <w:tab w:val="clear" w:pos="480"/>
        </w:tabs>
        <w:spacing w:before="0" w:after="0"/>
        <w:jc w:val="center"/>
        <w:rPr>
          <w:rFonts w:ascii="Times New Roman" w:eastAsia="宋体"/>
          <w:bCs w:val="0"/>
          <w:sz w:val="32"/>
          <w:szCs w:val="32"/>
          <w:lang w:val="en-US"/>
        </w:rPr>
      </w:pPr>
      <w:bookmarkStart w:id="228" w:name="_Toc116978014"/>
      <w:bookmarkStart w:id="229" w:name="_Toc143799401"/>
      <w:r>
        <w:rPr>
          <w:rFonts w:ascii="Times New Roman" w:eastAsia="宋体"/>
          <w:bCs w:val="0"/>
          <w:sz w:val="32"/>
          <w:szCs w:val="32"/>
          <w:lang w:val="en-US"/>
        </w:rPr>
        <w:t>9</w:t>
      </w:r>
      <w:r>
        <w:rPr>
          <w:rFonts w:hint="eastAsia" w:ascii="Times New Roman" w:eastAsia="宋体"/>
          <w:bCs w:val="0"/>
          <w:sz w:val="32"/>
          <w:szCs w:val="32"/>
          <w:lang w:val="en-US"/>
        </w:rPr>
        <w:t>总量控制</w:t>
      </w:r>
      <w:bookmarkEnd w:id="228"/>
      <w:bookmarkEnd w:id="229"/>
    </w:p>
    <w:p w14:paraId="071652D2">
      <w:pPr>
        <w:adjustRightInd w:val="0"/>
        <w:snapToGrid w:val="0"/>
        <w:ind w:firstLine="480"/>
      </w:pPr>
      <w:r>
        <w:rPr>
          <w:rFonts w:hint="eastAsia"/>
        </w:rPr>
        <w:t>本项目运营期排放的废气污染物主要为升压站内产生的食堂油烟；运营期升压站产生的生活污水经站内一体化污水处理设施处理后全部用于厂区绿化，不外排。</w:t>
      </w:r>
    </w:p>
    <w:p w14:paraId="2D19759A">
      <w:pPr>
        <w:adjustRightInd w:val="0"/>
        <w:snapToGrid w:val="0"/>
        <w:ind w:firstLine="480"/>
        <w:sectPr>
          <w:pgSz w:w="11905" w:h="16838"/>
          <w:pgMar w:top="1440" w:right="1797" w:bottom="1440" w:left="1797" w:header="851" w:footer="992" w:gutter="0"/>
          <w:cols w:space="0" w:num="1"/>
          <w:docGrid w:type="lines" w:linePitch="333" w:charSpace="0"/>
        </w:sectPr>
      </w:pPr>
      <w:r>
        <w:rPr>
          <w:rFonts w:hint="eastAsia"/>
        </w:rPr>
        <w:t>因此，本项目无需设置总量控制指标。</w:t>
      </w:r>
    </w:p>
    <w:p w14:paraId="43433F62">
      <w:pPr>
        <w:pStyle w:val="3"/>
        <w:tabs>
          <w:tab w:val="clear" w:pos="480"/>
        </w:tabs>
        <w:spacing w:before="0" w:after="0"/>
        <w:jc w:val="center"/>
        <w:rPr>
          <w:rFonts w:ascii="Times New Roman" w:eastAsia="宋体"/>
          <w:bCs w:val="0"/>
          <w:sz w:val="32"/>
          <w:szCs w:val="32"/>
          <w:lang w:val="en-US"/>
        </w:rPr>
      </w:pPr>
      <w:r>
        <w:rPr>
          <w:rFonts w:hint="eastAsia" w:ascii="Times New Roman" w:eastAsia="宋体"/>
          <w:bCs w:val="0"/>
          <w:sz w:val="32"/>
          <w:szCs w:val="32"/>
          <w:lang w:val="en-US"/>
        </w:rPr>
        <w:t xml:space="preserve"> </w:t>
      </w:r>
      <w:bookmarkStart w:id="230" w:name="_Toc116978015"/>
      <w:bookmarkStart w:id="231" w:name="_Toc143799402"/>
      <w:r>
        <w:rPr>
          <w:rFonts w:ascii="Times New Roman" w:eastAsia="宋体"/>
          <w:bCs w:val="0"/>
          <w:sz w:val="32"/>
          <w:szCs w:val="32"/>
          <w:lang w:val="en-US"/>
        </w:rPr>
        <w:t>10</w:t>
      </w:r>
      <w:r>
        <w:rPr>
          <w:rFonts w:hint="eastAsia" w:ascii="Times New Roman" w:eastAsia="宋体"/>
          <w:bCs w:val="0"/>
          <w:sz w:val="32"/>
          <w:szCs w:val="32"/>
          <w:lang w:val="en-US"/>
        </w:rPr>
        <w:t>环境影响经济损益分析</w:t>
      </w:r>
      <w:bookmarkEnd w:id="230"/>
      <w:bookmarkEnd w:id="231"/>
    </w:p>
    <w:p w14:paraId="05E35E35">
      <w:pPr>
        <w:adjustRightInd w:val="0"/>
        <w:snapToGrid w:val="0"/>
        <w:ind w:firstLine="480"/>
      </w:pPr>
      <w:bookmarkStart w:id="232" w:name="_Toc493031127"/>
      <w:bookmarkStart w:id="233" w:name="_Toc488866529"/>
      <w:r>
        <w:t>环境经济损益分析是环境影响评价的一项重要工作内容，是衡量建设项目需要投入的环保治理资金及所收到的环境保护效果。因此，在环境经济损益分析中，除需计算用于控制污染所需的费用外，还需要计算进行的环境保护活动所产生的实际效益。但项目建设的环境经济损益分析较为复杂，有短期与长期、直接与间接的收益与损失，在污染领域也存在极大的不确定性，因此，建设项目的环境经济损益分析包含了货币与非货币两种形式的衡量。本章旨在采用市场价值法与半定量的货币形式，对本工程投入的环保设施所产生的环境经济效益与损失进行简要分析，旨在体现本项目投产后的环境经济损益趋势。</w:t>
      </w:r>
    </w:p>
    <w:p w14:paraId="7EA1D54B">
      <w:pPr>
        <w:adjustRightInd w:val="0"/>
        <w:snapToGrid w:val="0"/>
        <w:ind w:firstLine="480"/>
      </w:pPr>
      <w:r>
        <w:t>环境经济损益分析除了需计算用于治理、控制污染所需的投资和费用外，还要同时核算可能收到的环境经济效益、社会环境效益和环境污染损失。本评价采用指标计算法，通过费用与效益比较，用环境年净效益及环境效益与污染控制费用比来进行分析。</w:t>
      </w:r>
    </w:p>
    <w:bookmarkEnd w:id="232"/>
    <w:bookmarkEnd w:id="233"/>
    <w:p w14:paraId="2180875F">
      <w:pPr>
        <w:pStyle w:val="4"/>
        <w:tabs>
          <w:tab w:val="clear" w:pos="480"/>
          <w:tab w:val="clear" w:pos="630"/>
        </w:tabs>
        <w:spacing w:before="0" w:after="0"/>
        <w:rPr>
          <w:sz w:val="30"/>
          <w:szCs w:val="30"/>
          <w:lang w:val="en-US"/>
        </w:rPr>
      </w:pPr>
      <w:bookmarkStart w:id="234" w:name="_Toc143799403"/>
      <w:bookmarkStart w:id="235" w:name="_Toc116978016"/>
      <w:r>
        <w:rPr>
          <w:sz w:val="30"/>
          <w:szCs w:val="30"/>
          <w:lang w:val="en-US"/>
        </w:rPr>
        <w:t>10.1</w:t>
      </w:r>
      <w:r>
        <w:rPr>
          <w:rFonts w:hint="eastAsia"/>
          <w:sz w:val="30"/>
          <w:szCs w:val="30"/>
          <w:lang w:val="en-US"/>
        </w:rPr>
        <w:t>社会效益</w:t>
      </w:r>
      <w:bookmarkEnd w:id="234"/>
      <w:bookmarkEnd w:id="235"/>
    </w:p>
    <w:p w14:paraId="5AD61B5B">
      <w:pPr>
        <w:adjustRightInd w:val="0"/>
        <w:snapToGrid w:val="0"/>
        <w:ind w:firstLine="480"/>
      </w:pPr>
      <w:bookmarkStart w:id="236" w:name="_Toc174693092"/>
      <w:bookmarkStart w:id="237" w:name="_Toc174693433"/>
      <w:r>
        <w:t>项目建设符合国家产业政策和相关规划，项目的实施对当地社会环境、社会经济等都将产生积极影响。项目社会效益主要体现在对当地社会经济的正面影响，以及对市场和国家经济的贡献。本项目建成后的社会效益主要体现在以下几个方面：</w:t>
      </w:r>
    </w:p>
    <w:p w14:paraId="62E455B6">
      <w:pPr>
        <w:adjustRightInd w:val="0"/>
        <w:snapToGrid w:val="0"/>
        <w:ind w:firstLine="480"/>
      </w:pPr>
      <w:r>
        <w:t>（1）“十四五”期间</w:t>
      </w:r>
      <w:r>
        <w:rPr>
          <w:rFonts w:hint="eastAsia"/>
        </w:rPr>
        <w:t>衡阳县</w:t>
      </w:r>
      <w:r>
        <w:t>经济将进入高速发展期，地方经济将高速发展，对电力的需要又越来越大，本风电场工程的建设将有利于缓解区域电源点不足、供电紧张局面，满足地区经济增长对电力的需求。</w:t>
      </w:r>
    </w:p>
    <w:p w14:paraId="6CB91748">
      <w:pPr>
        <w:adjustRightInd w:val="0"/>
        <w:snapToGrid w:val="0"/>
        <w:ind w:firstLine="480"/>
      </w:pPr>
      <w:r>
        <w:t>（2）由于该工程的投资，满足了当地发展的需求，增加了项目所在地区的财政收入，促进了当地经济的发展。</w:t>
      </w:r>
    </w:p>
    <w:p w14:paraId="13BF2224">
      <w:pPr>
        <w:adjustRightInd w:val="0"/>
        <w:snapToGrid w:val="0"/>
        <w:ind w:firstLine="480"/>
      </w:pPr>
      <w:r>
        <w:t>（3）在工程施工中有大量的劳动力输入到工程经过的地方，这些人员的进入增加了当地对社会商品和服务业的消费和需求，促进当地服务业的发展。</w:t>
      </w:r>
    </w:p>
    <w:p w14:paraId="268D71A8">
      <w:pPr>
        <w:adjustRightInd w:val="0"/>
        <w:snapToGrid w:val="0"/>
        <w:ind w:firstLine="480"/>
      </w:pPr>
      <w:r>
        <w:t>（4）工程在当地建设，施工人员中有部分人员来自当地，他们参加一些技术要求不高的工作（如材料运输、基础施工、土建施工），实际上给当地创造了就业机会，这促进了当地经济的发展和居民生活水平的提高。</w:t>
      </w:r>
    </w:p>
    <w:p w14:paraId="1B4E04D0">
      <w:pPr>
        <w:adjustRightInd w:val="0"/>
        <w:snapToGrid w:val="0"/>
        <w:ind w:firstLine="480"/>
      </w:pPr>
      <w:r>
        <w:t>（5）在工程建设和运行中，建设单位对当地居民开展的环保宣传活动，对于增强公众的环境意识，促进当地环境保护工作的深入开展有积极意。</w:t>
      </w:r>
    </w:p>
    <w:bookmarkEnd w:id="236"/>
    <w:bookmarkEnd w:id="237"/>
    <w:p w14:paraId="1B1B5DAE">
      <w:pPr>
        <w:pStyle w:val="4"/>
        <w:tabs>
          <w:tab w:val="clear" w:pos="480"/>
          <w:tab w:val="clear" w:pos="630"/>
        </w:tabs>
        <w:adjustRightInd w:val="0"/>
        <w:snapToGrid w:val="0"/>
        <w:spacing w:before="0" w:after="0"/>
        <w:rPr>
          <w:sz w:val="30"/>
          <w:szCs w:val="30"/>
          <w:lang w:val="en-US"/>
        </w:rPr>
      </w:pPr>
      <w:bookmarkStart w:id="238" w:name="_Toc143799404"/>
      <w:bookmarkStart w:id="239" w:name="_Toc116978017"/>
      <w:r>
        <w:rPr>
          <w:sz w:val="30"/>
          <w:szCs w:val="30"/>
          <w:lang w:val="en-US"/>
        </w:rPr>
        <w:t>10.2</w:t>
      </w:r>
      <w:r>
        <w:rPr>
          <w:rFonts w:hint="eastAsia"/>
          <w:sz w:val="30"/>
          <w:szCs w:val="30"/>
          <w:lang w:val="en-US"/>
        </w:rPr>
        <w:t>经济效益分析</w:t>
      </w:r>
      <w:bookmarkEnd w:id="238"/>
      <w:bookmarkEnd w:id="239"/>
    </w:p>
    <w:p w14:paraId="03E5A5F2">
      <w:pPr>
        <w:adjustRightInd w:val="0"/>
        <w:snapToGrid w:val="0"/>
        <w:ind w:firstLine="480"/>
      </w:pPr>
      <w:r>
        <w:rPr>
          <w:rFonts w:hint="eastAsia"/>
        </w:rPr>
        <w:t>本项目总投资</w:t>
      </w:r>
      <w:r>
        <w:t>37954.51</w:t>
      </w:r>
      <w:r>
        <w:rPr>
          <w:rFonts w:hint="eastAsia"/>
        </w:rPr>
        <w:t>万元（动态），项目建设后，总投资收益率</w:t>
      </w:r>
      <w:r>
        <w:t>4.85</w:t>
      </w:r>
      <w:r>
        <w:rPr>
          <w:rFonts w:hint="eastAsia"/>
        </w:rPr>
        <w:t>%，项目资本金财务内部收益率</w:t>
      </w:r>
      <w:r>
        <w:t>7.75</w:t>
      </w:r>
      <w:r>
        <w:rPr>
          <w:rFonts w:hint="eastAsia"/>
        </w:rPr>
        <w:t>%，项目投资回收期</w:t>
      </w:r>
      <w:r>
        <w:t>12.96</w:t>
      </w:r>
      <w:r>
        <w:rPr>
          <w:rFonts w:hint="eastAsia"/>
        </w:rPr>
        <w:t>a，</w:t>
      </w:r>
      <w:r>
        <w:t>经济效益显著，投资风险性小。</w:t>
      </w:r>
    </w:p>
    <w:p w14:paraId="1C1BDE34">
      <w:pPr>
        <w:adjustRightInd w:val="0"/>
        <w:snapToGrid w:val="0"/>
        <w:ind w:firstLine="480"/>
      </w:pPr>
      <w:r>
        <w:t>本项目</w:t>
      </w:r>
      <w:r>
        <w:rPr>
          <w:rFonts w:hint="eastAsia"/>
        </w:rPr>
        <w:t>的建设</w:t>
      </w:r>
      <w:r>
        <w:t>能增加</w:t>
      </w:r>
      <w:r>
        <w:rPr>
          <w:rFonts w:hint="eastAsia"/>
        </w:rPr>
        <w:t>当地</w:t>
      </w:r>
      <w:r>
        <w:t>财政税源，壮大地方经济，具有显著的经济效益。</w:t>
      </w:r>
    </w:p>
    <w:p w14:paraId="74282796">
      <w:pPr>
        <w:pStyle w:val="4"/>
        <w:tabs>
          <w:tab w:val="clear" w:pos="480"/>
          <w:tab w:val="clear" w:pos="630"/>
        </w:tabs>
        <w:adjustRightInd w:val="0"/>
        <w:snapToGrid w:val="0"/>
        <w:spacing w:before="0" w:after="0"/>
        <w:rPr>
          <w:sz w:val="30"/>
          <w:szCs w:val="30"/>
          <w:lang w:val="en-US"/>
        </w:rPr>
      </w:pPr>
      <w:bookmarkStart w:id="240" w:name="_Toc143799405"/>
      <w:bookmarkStart w:id="241" w:name="_Toc116978018"/>
      <w:r>
        <w:rPr>
          <w:sz w:val="30"/>
          <w:szCs w:val="30"/>
          <w:lang w:val="en-US"/>
        </w:rPr>
        <w:t>10.3</w:t>
      </w:r>
      <w:r>
        <w:rPr>
          <w:rFonts w:hint="eastAsia"/>
          <w:sz w:val="30"/>
          <w:szCs w:val="30"/>
          <w:lang w:val="en-US"/>
        </w:rPr>
        <w:t>环境损益分析</w:t>
      </w:r>
      <w:bookmarkEnd w:id="240"/>
      <w:bookmarkEnd w:id="241"/>
    </w:p>
    <w:p w14:paraId="43839642">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10.3.1</w:t>
      </w:r>
      <w:r>
        <w:rPr>
          <w:rFonts w:hint="eastAsia" w:ascii="Times New Roman" w:eastAsia="宋体"/>
          <w:sz w:val="28"/>
          <w:szCs w:val="28"/>
          <w:lang w:val="en-US"/>
        </w:rPr>
        <w:t>环保措施效果分析</w:t>
      </w:r>
    </w:p>
    <w:p w14:paraId="2A284A0E">
      <w:pPr>
        <w:adjustRightInd w:val="0"/>
        <w:snapToGrid w:val="0"/>
        <w:ind w:firstLine="480"/>
      </w:pPr>
      <w:r>
        <w:t>本工程的环境保护措施主要包括水环境保护、生态环境保护、水土保持、大气和声环境保护、生活垃圾处理等措施。措施实施效果分析见</w:t>
      </w:r>
      <w:r>
        <w:rPr>
          <w:rFonts w:hint="eastAsia"/>
        </w:rPr>
        <w:t>下表</w:t>
      </w:r>
      <w:r>
        <w:t>。</w:t>
      </w:r>
    </w:p>
    <w:p w14:paraId="66ADBA06">
      <w:pPr>
        <w:tabs>
          <w:tab w:val="clear" w:pos="480"/>
        </w:tabs>
        <w:adjustRightInd w:val="0"/>
        <w:snapToGrid w:val="0"/>
        <w:spacing w:line="240" w:lineRule="auto"/>
        <w:ind w:firstLine="0" w:firstLineChars="0"/>
        <w:jc w:val="center"/>
        <w:rPr>
          <w:b/>
          <w:bCs/>
        </w:rPr>
      </w:pPr>
      <w:r>
        <w:rPr>
          <w:rFonts w:hint="eastAsia"/>
          <w:b/>
          <w:bCs/>
        </w:rPr>
        <w:t>表1</w:t>
      </w:r>
      <w:r>
        <w:rPr>
          <w:b/>
          <w:bCs/>
        </w:rPr>
        <w:t>0.3</w:t>
      </w:r>
      <w:r>
        <w:rPr>
          <w:rFonts w:hint="eastAsia"/>
          <w:b/>
          <w:bCs/>
        </w:rPr>
        <w:t>-</w:t>
      </w:r>
      <w:r>
        <w:rPr>
          <w:b/>
          <w:bCs/>
        </w:rPr>
        <w:t xml:space="preserve">1  </w:t>
      </w:r>
      <w:r>
        <w:rPr>
          <w:rFonts w:hint="eastAsia"/>
          <w:b/>
          <w:bCs/>
        </w:rPr>
        <w:t>本项目工程环保措施效果分析表</w:t>
      </w:r>
    </w:p>
    <w:tbl>
      <w:tblPr>
        <w:tblStyle w:val="3683"/>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75"/>
        <w:gridCol w:w="972"/>
        <w:gridCol w:w="2209"/>
        <w:gridCol w:w="504"/>
        <w:gridCol w:w="2184"/>
        <w:gridCol w:w="1330"/>
        <w:gridCol w:w="567"/>
      </w:tblGrid>
      <w:tr w14:paraId="136C48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28" w:type="pct"/>
            <w:gridSpan w:val="2"/>
            <w:vAlign w:val="center"/>
          </w:tcPr>
          <w:p w14:paraId="31C66833">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项</w:t>
            </w:r>
            <w:r>
              <w:rPr>
                <w:rFonts w:ascii="Calibri" w:hAnsi="Calibri"/>
                <w:sz w:val="18"/>
                <w:szCs w:val="18"/>
                <w:lang w:eastAsia="en-US"/>
              </w:rPr>
              <w:tab/>
            </w:r>
            <w:r>
              <w:rPr>
                <w:rFonts w:ascii="Calibri" w:hAnsi="Calibri"/>
                <w:sz w:val="18"/>
                <w:szCs w:val="18"/>
                <w:lang w:eastAsia="en-US"/>
              </w:rPr>
              <w:t>目</w:t>
            </w:r>
          </w:p>
        </w:tc>
        <w:tc>
          <w:tcPr>
            <w:tcW w:w="1324" w:type="pct"/>
            <w:vAlign w:val="center"/>
          </w:tcPr>
          <w:p w14:paraId="23983536">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采取措施前影响分析</w:t>
            </w:r>
          </w:p>
        </w:tc>
        <w:tc>
          <w:tcPr>
            <w:tcW w:w="302" w:type="pct"/>
            <w:vAlign w:val="center"/>
          </w:tcPr>
          <w:p w14:paraId="213E1370">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影响程度</w:t>
            </w:r>
          </w:p>
        </w:tc>
        <w:tc>
          <w:tcPr>
            <w:tcW w:w="1309" w:type="pct"/>
            <w:vAlign w:val="center"/>
          </w:tcPr>
          <w:p w14:paraId="657C79B7">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采取的环保</w:t>
            </w:r>
            <w:r>
              <w:rPr>
                <w:rFonts w:hint="eastAsia" w:ascii="Calibri" w:hAnsi="Calibri"/>
                <w:sz w:val="18"/>
                <w:szCs w:val="18"/>
                <w:lang w:eastAsia="zh-CN"/>
              </w:rPr>
              <w:t>措施</w:t>
            </w:r>
            <w:r>
              <w:rPr>
                <w:rFonts w:ascii="Calibri" w:hAnsi="Calibri"/>
                <w:sz w:val="18"/>
                <w:szCs w:val="18"/>
                <w:lang w:eastAsia="en-US"/>
              </w:rPr>
              <w:t>内容</w:t>
            </w:r>
          </w:p>
        </w:tc>
        <w:tc>
          <w:tcPr>
            <w:tcW w:w="797" w:type="pct"/>
            <w:vAlign w:val="center"/>
          </w:tcPr>
          <w:p w14:paraId="73564D00">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采取措施后影响分析</w:t>
            </w:r>
          </w:p>
        </w:tc>
        <w:tc>
          <w:tcPr>
            <w:tcW w:w="340" w:type="pct"/>
            <w:vAlign w:val="center"/>
          </w:tcPr>
          <w:p w14:paraId="50D4EBF0">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效果</w:t>
            </w:r>
          </w:p>
        </w:tc>
      </w:tr>
      <w:tr w14:paraId="30132E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restart"/>
            <w:vAlign w:val="center"/>
          </w:tcPr>
          <w:p w14:paraId="3C2A23CC">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施工期</w:t>
            </w:r>
          </w:p>
        </w:tc>
        <w:tc>
          <w:tcPr>
            <w:tcW w:w="583" w:type="pct"/>
            <w:vAlign w:val="center"/>
          </w:tcPr>
          <w:p w14:paraId="37AC1982">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水环境</w:t>
            </w:r>
          </w:p>
        </w:tc>
        <w:tc>
          <w:tcPr>
            <w:tcW w:w="1324" w:type="pct"/>
            <w:vAlign w:val="center"/>
          </w:tcPr>
          <w:p w14:paraId="605B663E">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施工期生产废水、生活污水对溪沟水质有影响，污染物主要是 SS、COD、石油类</w:t>
            </w:r>
          </w:p>
        </w:tc>
        <w:tc>
          <w:tcPr>
            <w:tcW w:w="302" w:type="pct"/>
            <w:vAlign w:val="center"/>
          </w:tcPr>
          <w:p w14:paraId="2D6E4672">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-1D</w:t>
            </w:r>
          </w:p>
        </w:tc>
        <w:tc>
          <w:tcPr>
            <w:tcW w:w="1309" w:type="pct"/>
            <w:vAlign w:val="center"/>
          </w:tcPr>
          <w:p w14:paraId="7A9148CB">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生产废水采取沉淀池处理；生活污水采用一体化污水处理系统处理后回用于场区绿化或植被恢复。</w:t>
            </w:r>
          </w:p>
        </w:tc>
        <w:tc>
          <w:tcPr>
            <w:tcW w:w="797" w:type="pct"/>
            <w:vAlign w:val="center"/>
          </w:tcPr>
          <w:p w14:paraId="32A29B98">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生产废水回用，生活污水处理后用于绿化</w:t>
            </w:r>
          </w:p>
        </w:tc>
        <w:tc>
          <w:tcPr>
            <w:tcW w:w="340" w:type="pct"/>
            <w:vAlign w:val="center"/>
          </w:tcPr>
          <w:p w14:paraId="2337D5D6">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0D</w:t>
            </w:r>
          </w:p>
        </w:tc>
      </w:tr>
      <w:tr w14:paraId="54276B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6AE755EB">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47D7FCED">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大气环境</w:t>
            </w:r>
          </w:p>
        </w:tc>
        <w:tc>
          <w:tcPr>
            <w:tcW w:w="1324" w:type="pct"/>
            <w:vAlign w:val="center"/>
          </w:tcPr>
          <w:p w14:paraId="440EE0F2">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施工期的爆破及机械设备和车辆运行产生的有害气体和TSP 对运输道路两侧居民有影响</w:t>
            </w:r>
          </w:p>
        </w:tc>
        <w:tc>
          <w:tcPr>
            <w:tcW w:w="302" w:type="pct"/>
            <w:vAlign w:val="center"/>
          </w:tcPr>
          <w:p w14:paraId="09D87D62">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-2D</w:t>
            </w:r>
          </w:p>
        </w:tc>
        <w:tc>
          <w:tcPr>
            <w:tcW w:w="1309" w:type="pct"/>
            <w:vAlign w:val="center"/>
          </w:tcPr>
          <w:p w14:paraId="514EC76E">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洒水降尘，控制源强，优化施工工艺</w:t>
            </w:r>
          </w:p>
        </w:tc>
        <w:tc>
          <w:tcPr>
            <w:tcW w:w="797" w:type="pct"/>
            <w:vAlign w:val="center"/>
          </w:tcPr>
          <w:p w14:paraId="5645B4F4">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减小对大气环境的污染</w:t>
            </w:r>
          </w:p>
        </w:tc>
        <w:tc>
          <w:tcPr>
            <w:tcW w:w="340" w:type="pct"/>
            <w:vAlign w:val="center"/>
          </w:tcPr>
          <w:p w14:paraId="4B3BE75B">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-1D</w:t>
            </w:r>
          </w:p>
        </w:tc>
      </w:tr>
      <w:tr w14:paraId="0C815C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0750CE27">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42015F52">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声环境</w:t>
            </w:r>
          </w:p>
        </w:tc>
        <w:tc>
          <w:tcPr>
            <w:tcW w:w="1324" w:type="pct"/>
            <w:vAlign w:val="center"/>
          </w:tcPr>
          <w:p w14:paraId="49B2AC9F">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机械设备和车辆运行噪声对运输道路两侧居民有影响</w:t>
            </w:r>
          </w:p>
        </w:tc>
        <w:tc>
          <w:tcPr>
            <w:tcW w:w="302" w:type="pct"/>
            <w:vAlign w:val="center"/>
          </w:tcPr>
          <w:p w14:paraId="669535D0">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-2D</w:t>
            </w:r>
          </w:p>
        </w:tc>
        <w:tc>
          <w:tcPr>
            <w:tcW w:w="1309" w:type="pct"/>
            <w:vAlign w:val="center"/>
          </w:tcPr>
          <w:p w14:paraId="053E558A">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采取低噪声工艺和设备，禁止夜间爆破、禁止大声鸣笛、限制车速</w:t>
            </w:r>
          </w:p>
        </w:tc>
        <w:tc>
          <w:tcPr>
            <w:tcW w:w="797" w:type="pct"/>
            <w:vAlign w:val="center"/>
          </w:tcPr>
          <w:p w14:paraId="436454F7">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减小对道路两侧居民的影响</w:t>
            </w:r>
          </w:p>
        </w:tc>
        <w:tc>
          <w:tcPr>
            <w:tcW w:w="340" w:type="pct"/>
            <w:vAlign w:val="center"/>
          </w:tcPr>
          <w:p w14:paraId="7B1C6CA8">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-1D</w:t>
            </w:r>
          </w:p>
        </w:tc>
      </w:tr>
      <w:tr w14:paraId="452982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59C92A79">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156F5135">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生活垃圾</w:t>
            </w:r>
          </w:p>
        </w:tc>
        <w:tc>
          <w:tcPr>
            <w:tcW w:w="1324" w:type="pct"/>
            <w:vAlign w:val="center"/>
          </w:tcPr>
          <w:p w14:paraId="6A8B0B49">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生活垃圾乱堆乱放对水质和环境卫生有影响</w:t>
            </w:r>
          </w:p>
        </w:tc>
        <w:tc>
          <w:tcPr>
            <w:tcW w:w="302" w:type="pct"/>
            <w:vAlign w:val="center"/>
          </w:tcPr>
          <w:p w14:paraId="733CCFBA">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-1D</w:t>
            </w:r>
          </w:p>
        </w:tc>
        <w:tc>
          <w:tcPr>
            <w:tcW w:w="1309" w:type="pct"/>
            <w:vAlign w:val="center"/>
          </w:tcPr>
          <w:p w14:paraId="7EF9F519">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施工期采用垃圾桶分类收集，填埋处理 。</w:t>
            </w:r>
          </w:p>
        </w:tc>
        <w:tc>
          <w:tcPr>
            <w:tcW w:w="797" w:type="pct"/>
            <w:vAlign w:val="center"/>
          </w:tcPr>
          <w:p w14:paraId="563CBAE3">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基本减免影响</w:t>
            </w:r>
          </w:p>
        </w:tc>
        <w:tc>
          <w:tcPr>
            <w:tcW w:w="340" w:type="pct"/>
            <w:vAlign w:val="center"/>
          </w:tcPr>
          <w:p w14:paraId="72DA8B93">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0C</w:t>
            </w:r>
          </w:p>
        </w:tc>
      </w:tr>
      <w:tr w14:paraId="73FB51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6490E077">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250026AD">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人群健康</w:t>
            </w:r>
          </w:p>
        </w:tc>
        <w:tc>
          <w:tcPr>
            <w:tcW w:w="1324" w:type="pct"/>
            <w:vAlign w:val="center"/>
          </w:tcPr>
          <w:p w14:paraId="11D86E7A">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施工人员进驻和生活垃圾可能引发疾病流行</w:t>
            </w:r>
          </w:p>
        </w:tc>
        <w:tc>
          <w:tcPr>
            <w:tcW w:w="302" w:type="pct"/>
            <w:vAlign w:val="center"/>
          </w:tcPr>
          <w:p w14:paraId="3712F791">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-1D</w:t>
            </w:r>
          </w:p>
        </w:tc>
        <w:tc>
          <w:tcPr>
            <w:tcW w:w="1309" w:type="pct"/>
            <w:vAlign w:val="center"/>
          </w:tcPr>
          <w:p w14:paraId="6DB046D2">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定期调查，疫情防控。卫生清理</w:t>
            </w:r>
          </w:p>
        </w:tc>
        <w:tc>
          <w:tcPr>
            <w:tcW w:w="797" w:type="pct"/>
            <w:vAlign w:val="center"/>
          </w:tcPr>
          <w:p w14:paraId="1E99DBA1">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避免传染性疾病的发生； 改善医疗卫生条件</w:t>
            </w:r>
          </w:p>
        </w:tc>
        <w:tc>
          <w:tcPr>
            <w:tcW w:w="340" w:type="pct"/>
            <w:vAlign w:val="center"/>
          </w:tcPr>
          <w:p w14:paraId="0F8B745A">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0C</w:t>
            </w:r>
          </w:p>
        </w:tc>
      </w:tr>
      <w:tr w14:paraId="7B135D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0B6E9272">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Merge w:val="restart"/>
            <w:vAlign w:val="center"/>
          </w:tcPr>
          <w:p w14:paraId="2BF4D18B">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生态环境</w:t>
            </w:r>
          </w:p>
        </w:tc>
        <w:tc>
          <w:tcPr>
            <w:tcW w:w="1324" w:type="pct"/>
            <w:vAlign w:val="center"/>
          </w:tcPr>
          <w:p w14:paraId="6A1788D3">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施工临时占地、弃渣，对区域植被和动物</w:t>
            </w:r>
            <w:r>
              <w:rPr>
                <w:rFonts w:hint="eastAsia" w:ascii="Calibri" w:hAnsi="Calibri"/>
                <w:sz w:val="18"/>
                <w:szCs w:val="18"/>
                <w:lang w:eastAsia="zh-CN"/>
              </w:rPr>
              <w:t>环境</w:t>
            </w:r>
            <w:r>
              <w:rPr>
                <w:rFonts w:ascii="Calibri" w:hAnsi="Calibri"/>
                <w:sz w:val="18"/>
                <w:szCs w:val="18"/>
                <w:lang w:eastAsia="en-US"/>
              </w:rPr>
              <w:t>有影响</w:t>
            </w:r>
          </w:p>
        </w:tc>
        <w:tc>
          <w:tcPr>
            <w:tcW w:w="302" w:type="pct"/>
            <w:vAlign w:val="center"/>
          </w:tcPr>
          <w:p w14:paraId="23E903DC">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-2D</w:t>
            </w:r>
          </w:p>
        </w:tc>
        <w:tc>
          <w:tcPr>
            <w:tcW w:w="1309" w:type="pct"/>
            <w:vAlign w:val="center"/>
          </w:tcPr>
          <w:p w14:paraId="3D45D667">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加强施工人员的环保意识教育和宣传；核实调查、恢复措施</w:t>
            </w:r>
          </w:p>
        </w:tc>
        <w:tc>
          <w:tcPr>
            <w:tcW w:w="797" w:type="pct"/>
            <w:vAlign w:val="center"/>
          </w:tcPr>
          <w:p w14:paraId="3B3F1232">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有效减少植被破坏，保护国家重点保护动物</w:t>
            </w:r>
          </w:p>
        </w:tc>
        <w:tc>
          <w:tcPr>
            <w:tcW w:w="340" w:type="pct"/>
            <w:vAlign w:val="center"/>
          </w:tcPr>
          <w:p w14:paraId="7DA9EDC3">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-1D</w:t>
            </w:r>
          </w:p>
        </w:tc>
      </w:tr>
      <w:tr w14:paraId="1BFE1A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30FFAD92">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Merge w:val="continue"/>
            <w:vAlign w:val="center"/>
          </w:tcPr>
          <w:p w14:paraId="5BB27D66">
            <w:pPr>
              <w:autoSpaceDE w:val="0"/>
              <w:autoSpaceDN w:val="0"/>
              <w:adjustRightInd w:val="0"/>
              <w:snapToGrid w:val="0"/>
              <w:spacing w:line="240" w:lineRule="auto"/>
              <w:ind w:firstLine="0" w:firstLineChars="0"/>
              <w:rPr>
                <w:rFonts w:ascii="Calibri" w:hAnsi="Calibri"/>
                <w:sz w:val="18"/>
                <w:szCs w:val="18"/>
                <w:lang w:eastAsia="en-US"/>
              </w:rPr>
            </w:pPr>
          </w:p>
        </w:tc>
        <w:tc>
          <w:tcPr>
            <w:tcW w:w="1324" w:type="pct"/>
            <w:vAlign w:val="center"/>
          </w:tcPr>
          <w:p w14:paraId="69819735">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开挖、回填、弃渣会新增水土流失</w:t>
            </w:r>
          </w:p>
        </w:tc>
        <w:tc>
          <w:tcPr>
            <w:tcW w:w="302" w:type="pct"/>
            <w:vAlign w:val="center"/>
          </w:tcPr>
          <w:p w14:paraId="2B92AE56">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-3D</w:t>
            </w:r>
          </w:p>
        </w:tc>
        <w:tc>
          <w:tcPr>
            <w:tcW w:w="1309" w:type="pct"/>
            <w:vAlign w:val="center"/>
          </w:tcPr>
          <w:p w14:paraId="3536EA2A">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工程防护，植被恢复</w:t>
            </w:r>
          </w:p>
        </w:tc>
        <w:tc>
          <w:tcPr>
            <w:tcW w:w="797" w:type="pct"/>
            <w:vAlign w:val="center"/>
          </w:tcPr>
          <w:p w14:paraId="16C22DB2">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减少水土流失</w:t>
            </w:r>
          </w:p>
        </w:tc>
        <w:tc>
          <w:tcPr>
            <w:tcW w:w="340" w:type="pct"/>
            <w:vAlign w:val="center"/>
          </w:tcPr>
          <w:p w14:paraId="325FB060">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-1D</w:t>
            </w:r>
          </w:p>
        </w:tc>
      </w:tr>
      <w:tr w14:paraId="5546EA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restart"/>
            <w:vAlign w:val="center"/>
          </w:tcPr>
          <w:p w14:paraId="7E5A18EE">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运营期</w:t>
            </w:r>
          </w:p>
        </w:tc>
        <w:tc>
          <w:tcPr>
            <w:tcW w:w="583" w:type="pct"/>
            <w:vAlign w:val="center"/>
          </w:tcPr>
          <w:p w14:paraId="617B5194">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水环境</w:t>
            </w:r>
          </w:p>
        </w:tc>
        <w:tc>
          <w:tcPr>
            <w:tcW w:w="1324" w:type="pct"/>
            <w:vAlign w:val="center"/>
          </w:tcPr>
          <w:p w14:paraId="52F582FD">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产生生活污水，主要污染物有 COD、石油类</w:t>
            </w:r>
          </w:p>
        </w:tc>
        <w:tc>
          <w:tcPr>
            <w:tcW w:w="302" w:type="pct"/>
            <w:vAlign w:val="center"/>
          </w:tcPr>
          <w:p w14:paraId="2FAF1727">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-1C</w:t>
            </w:r>
          </w:p>
        </w:tc>
        <w:tc>
          <w:tcPr>
            <w:tcW w:w="1309" w:type="pct"/>
            <w:vAlign w:val="center"/>
          </w:tcPr>
          <w:p w14:paraId="6B17F494">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生活污水采取成套污水处理设备处理</w:t>
            </w:r>
          </w:p>
        </w:tc>
        <w:tc>
          <w:tcPr>
            <w:tcW w:w="797" w:type="pct"/>
            <w:vAlign w:val="center"/>
          </w:tcPr>
          <w:p w14:paraId="110EC190">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处理后用于绿化</w:t>
            </w:r>
          </w:p>
        </w:tc>
        <w:tc>
          <w:tcPr>
            <w:tcW w:w="340" w:type="pct"/>
            <w:vAlign w:val="center"/>
          </w:tcPr>
          <w:p w14:paraId="7E246516">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0C</w:t>
            </w:r>
          </w:p>
        </w:tc>
      </w:tr>
      <w:tr w14:paraId="6D7807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1CA07931">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53560419">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大气环境</w:t>
            </w:r>
          </w:p>
        </w:tc>
        <w:tc>
          <w:tcPr>
            <w:tcW w:w="1324" w:type="pct"/>
            <w:vAlign w:val="center"/>
          </w:tcPr>
          <w:p w14:paraId="25E80EDF">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产生少量油烟废气、汽车尾气和道路扬尘</w:t>
            </w:r>
          </w:p>
        </w:tc>
        <w:tc>
          <w:tcPr>
            <w:tcW w:w="302" w:type="pct"/>
            <w:vAlign w:val="center"/>
          </w:tcPr>
          <w:p w14:paraId="528F480B">
            <w:pPr>
              <w:autoSpaceDE w:val="0"/>
              <w:autoSpaceDN w:val="0"/>
              <w:adjustRightInd w:val="0"/>
              <w:snapToGrid w:val="0"/>
              <w:spacing w:line="240" w:lineRule="auto"/>
              <w:ind w:firstLine="0" w:firstLineChars="0"/>
              <w:jc w:val="center"/>
              <w:rPr>
                <w:rFonts w:ascii="Calibri" w:hAnsi="Calibri"/>
                <w:sz w:val="18"/>
                <w:szCs w:val="18"/>
                <w:lang w:eastAsia="en-US"/>
              </w:rPr>
            </w:pPr>
            <w:r>
              <w:rPr>
                <w:rFonts w:ascii="Calibri" w:hAnsi="Calibri"/>
                <w:sz w:val="18"/>
                <w:szCs w:val="18"/>
                <w:lang w:eastAsia="en-US"/>
              </w:rPr>
              <w:t>-1D</w:t>
            </w:r>
          </w:p>
        </w:tc>
        <w:tc>
          <w:tcPr>
            <w:tcW w:w="1309" w:type="pct"/>
            <w:vAlign w:val="center"/>
          </w:tcPr>
          <w:p w14:paraId="5DCBAF54">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设置油烟净化装置等</w:t>
            </w:r>
          </w:p>
        </w:tc>
        <w:tc>
          <w:tcPr>
            <w:tcW w:w="797" w:type="pct"/>
            <w:vAlign w:val="center"/>
          </w:tcPr>
          <w:p w14:paraId="6A12017B">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经大气扩散后影响较小</w:t>
            </w:r>
          </w:p>
        </w:tc>
        <w:tc>
          <w:tcPr>
            <w:tcW w:w="340" w:type="pct"/>
            <w:vAlign w:val="center"/>
          </w:tcPr>
          <w:p w14:paraId="4FCFAEF7">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0C</w:t>
            </w:r>
          </w:p>
        </w:tc>
      </w:tr>
      <w:tr w14:paraId="3690C9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30B38F4F">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738DA0D7">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固体废物</w:t>
            </w:r>
          </w:p>
        </w:tc>
        <w:tc>
          <w:tcPr>
            <w:tcW w:w="1324" w:type="pct"/>
            <w:vAlign w:val="center"/>
          </w:tcPr>
          <w:p w14:paraId="1B603B77">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升压站更换下来的废铅酸蓄电池、废液压油、废变压器油</w:t>
            </w:r>
          </w:p>
        </w:tc>
        <w:tc>
          <w:tcPr>
            <w:tcW w:w="302" w:type="pct"/>
            <w:vAlign w:val="center"/>
          </w:tcPr>
          <w:p w14:paraId="55D5F24F">
            <w:pPr>
              <w:autoSpaceDE w:val="0"/>
              <w:autoSpaceDN w:val="0"/>
              <w:adjustRightInd w:val="0"/>
              <w:snapToGrid w:val="0"/>
              <w:spacing w:line="240" w:lineRule="auto"/>
              <w:ind w:firstLine="0" w:firstLineChars="0"/>
              <w:jc w:val="center"/>
              <w:rPr>
                <w:rFonts w:ascii="Calibri" w:hAnsi="Calibri"/>
                <w:sz w:val="18"/>
                <w:szCs w:val="18"/>
                <w:lang w:eastAsia="en-US"/>
              </w:rPr>
            </w:pPr>
            <w:r>
              <w:rPr>
                <w:rFonts w:hint="eastAsia" w:ascii="Calibri" w:hAnsi="Calibri"/>
                <w:sz w:val="18"/>
                <w:szCs w:val="18"/>
                <w:lang w:eastAsia="en-US"/>
              </w:rPr>
              <w:t>-</w:t>
            </w:r>
            <w:r>
              <w:rPr>
                <w:rFonts w:ascii="Calibri" w:hAnsi="Calibri"/>
                <w:sz w:val="18"/>
                <w:szCs w:val="18"/>
                <w:lang w:eastAsia="en-US"/>
              </w:rPr>
              <w:t>2D</w:t>
            </w:r>
          </w:p>
        </w:tc>
        <w:tc>
          <w:tcPr>
            <w:tcW w:w="1309" w:type="pct"/>
            <w:vAlign w:val="center"/>
          </w:tcPr>
          <w:p w14:paraId="0BBDB5BE">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暂存间进行防渗处理，定期交由有资质的单位处理</w:t>
            </w:r>
          </w:p>
        </w:tc>
        <w:tc>
          <w:tcPr>
            <w:tcW w:w="797" w:type="pct"/>
            <w:vAlign w:val="center"/>
          </w:tcPr>
          <w:p w14:paraId="07F1E2DD">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基本无影响</w:t>
            </w:r>
          </w:p>
        </w:tc>
        <w:tc>
          <w:tcPr>
            <w:tcW w:w="340" w:type="pct"/>
            <w:vAlign w:val="center"/>
          </w:tcPr>
          <w:p w14:paraId="6598EB89">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0</w:t>
            </w:r>
            <w:r>
              <w:rPr>
                <w:rFonts w:ascii="Calibri" w:hAnsi="Calibri"/>
                <w:sz w:val="18"/>
                <w:szCs w:val="18"/>
                <w:lang w:eastAsia="en-US"/>
              </w:rPr>
              <w:t>C</w:t>
            </w:r>
          </w:p>
        </w:tc>
      </w:tr>
      <w:tr w14:paraId="513918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5" w:type="pct"/>
            <w:vMerge w:val="continue"/>
            <w:vAlign w:val="center"/>
          </w:tcPr>
          <w:p w14:paraId="6B9E624E">
            <w:pPr>
              <w:autoSpaceDE w:val="0"/>
              <w:autoSpaceDN w:val="0"/>
              <w:adjustRightInd w:val="0"/>
              <w:snapToGrid w:val="0"/>
              <w:spacing w:line="240" w:lineRule="auto"/>
              <w:ind w:firstLine="0" w:firstLineChars="0"/>
              <w:rPr>
                <w:rFonts w:ascii="Calibri" w:hAnsi="Calibri"/>
                <w:sz w:val="18"/>
                <w:szCs w:val="18"/>
                <w:lang w:eastAsia="en-US"/>
              </w:rPr>
            </w:pPr>
          </w:p>
        </w:tc>
        <w:tc>
          <w:tcPr>
            <w:tcW w:w="583" w:type="pct"/>
            <w:vAlign w:val="center"/>
          </w:tcPr>
          <w:p w14:paraId="362E3DCD">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声环境</w:t>
            </w:r>
          </w:p>
        </w:tc>
        <w:tc>
          <w:tcPr>
            <w:tcW w:w="1324" w:type="pct"/>
            <w:vAlign w:val="center"/>
          </w:tcPr>
          <w:p w14:paraId="2705B7DE">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风机噪声对周边居民的影响</w:t>
            </w:r>
          </w:p>
        </w:tc>
        <w:tc>
          <w:tcPr>
            <w:tcW w:w="302" w:type="pct"/>
            <w:vAlign w:val="center"/>
          </w:tcPr>
          <w:p w14:paraId="216B83AF">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w:t>
            </w:r>
            <w:r>
              <w:rPr>
                <w:rFonts w:ascii="Calibri" w:hAnsi="Calibri"/>
                <w:sz w:val="18"/>
                <w:szCs w:val="18"/>
                <w:lang w:eastAsia="en-US"/>
              </w:rPr>
              <w:t>2D</w:t>
            </w:r>
          </w:p>
        </w:tc>
        <w:tc>
          <w:tcPr>
            <w:tcW w:w="1309" w:type="pct"/>
            <w:vAlign w:val="center"/>
          </w:tcPr>
          <w:p w14:paraId="34A7A7B8">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跟踪监测</w:t>
            </w:r>
          </w:p>
        </w:tc>
        <w:tc>
          <w:tcPr>
            <w:tcW w:w="797" w:type="pct"/>
            <w:vAlign w:val="center"/>
          </w:tcPr>
          <w:p w14:paraId="1ED9FAD6">
            <w:pPr>
              <w:autoSpaceDE w:val="0"/>
              <w:autoSpaceDN w:val="0"/>
              <w:adjustRightInd w:val="0"/>
              <w:snapToGrid w:val="0"/>
              <w:spacing w:line="240" w:lineRule="auto"/>
              <w:ind w:firstLine="0" w:firstLineChars="0"/>
              <w:rPr>
                <w:rFonts w:ascii="Calibri" w:hAnsi="Calibri"/>
                <w:sz w:val="18"/>
                <w:szCs w:val="18"/>
                <w:lang w:eastAsia="en-US"/>
              </w:rPr>
            </w:pPr>
            <w:r>
              <w:rPr>
                <w:rFonts w:hint="eastAsia" w:ascii="Calibri" w:hAnsi="Calibri"/>
                <w:sz w:val="18"/>
                <w:szCs w:val="18"/>
                <w:lang w:eastAsia="en-US"/>
              </w:rPr>
              <w:t>满足《声环境质量标准》2类标准</w:t>
            </w:r>
          </w:p>
        </w:tc>
        <w:tc>
          <w:tcPr>
            <w:tcW w:w="340" w:type="pct"/>
            <w:vAlign w:val="center"/>
          </w:tcPr>
          <w:p w14:paraId="2B78B80A">
            <w:pPr>
              <w:autoSpaceDE w:val="0"/>
              <w:autoSpaceDN w:val="0"/>
              <w:adjustRightInd w:val="0"/>
              <w:snapToGrid w:val="0"/>
              <w:spacing w:line="240" w:lineRule="auto"/>
              <w:ind w:firstLine="0" w:firstLineChars="0"/>
              <w:rPr>
                <w:rFonts w:ascii="Calibri" w:hAnsi="Calibri"/>
                <w:sz w:val="18"/>
                <w:szCs w:val="18"/>
                <w:lang w:eastAsia="en-US"/>
              </w:rPr>
            </w:pPr>
            <w:r>
              <w:rPr>
                <w:rFonts w:ascii="Calibri" w:hAnsi="Calibri"/>
                <w:sz w:val="18"/>
                <w:szCs w:val="18"/>
                <w:lang w:eastAsia="en-US"/>
              </w:rPr>
              <w:t>-1D</w:t>
            </w:r>
          </w:p>
        </w:tc>
      </w:tr>
    </w:tbl>
    <w:p w14:paraId="1668CBF5">
      <w:pPr>
        <w:tabs>
          <w:tab w:val="clear" w:pos="480"/>
        </w:tabs>
        <w:adjustRightInd w:val="0"/>
        <w:snapToGrid w:val="0"/>
        <w:spacing w:line="240" w:lineRule="auto"/>
        <w:ind w:firstLine="0" w:firstLineChars="0"/>
        <w:rPr>
          <w:b/>
          <w:bCs/>
          <w:sz w:val="18"/>
          <w:szCs w:val="18"/>
        </w:rPr>
      </w:pPr>
      <w:r>
        <w:rPr>
          <w:b/>
          <w:bCs/>
          <w:sz w:val="18"/>
          <w:szCs w:val="18"/>
        </w:rPr>
        <w:t>注：“-、+、±”分别表示环境影响性质为不利、有利、中性；“C、D”表示影响时间为长期、短期；“0、1、2、3”分别表示影响程度为无影响、弱、中、强。</w:t>
      </w:r>
    </w:p>
    <w:p w14:paraId="4D652881">
      <w:pPr>
        <w:pStyle w:val="2"/>
        <w:ind w:firstLine="0" w:firstLineChars="0"/>
      </w:pPr>
    </w:p>
    <w:p w14:paraId="3CCFC70A">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10.3.2</w:t>
      </w:r>
      <w:r>
        <w:rPr>
          <w:rFonts w:hint="eastAsia" w:ascii="Times New Roman" w:eastAsia="宋体"/>
          <w:sz w:val="28"/>
          <w:szCs w:val="28"/>
          <w:lang w:val="en-US"/>
        </w:rPr>
        <w:t>环境效益分析</w:t>
      </w:r>
    </w:p>
    <w:p w14:paraId="0A138CDF">
      <w:pPr>
        <w:tabs>
          <w:tab w:val="clear" w:pos="480"/>
        </w:tabs>
        <w:adjustRightInd w:val="0"/>
        <w:snapToGrid w:val="0"/>
        <w:ind w:firstLine="0" w:firstLineChars="0"/>
        <w:outlineLvl w:val="3"/>
        <w:rPr>
          <w:b/>
          <w:kern w:val="0"/>
          <w:lang w:val="zh-CN"/>
        </w:rPr>
      </w:pPr>
      <w:r>
        <w:rPr>
          <w:b/>
          <w:kern w:val="0"/>
          <w:lang w:val="zh-CN"/>
        </w:rPr>
        <w:t>10.3.2.1</w:t>
      </w:r>
      <w:r>
        <w:rPr>
          <w:rFonts w:hint="eastAsia"/>
          <w:b/>
          <w:kern w:val="0"/>
          <w:lang w:val="zh-CN"/>
        </w:rPr>
        <w:t>环境负效应</w:t>
      </w:r>
    </w:p>
    <w:p w14:paraId="2B10105E">
      <w:pPr>
        <w:adjustRightInd w:val="0"/>
        <w:snapToGrid w:val="0"/>
        <w:ind w:firstLine="480"/>
      </w:pPr>
      <w:r>
        <w:t>（1）施工期</w:t>
      </w:r>
    </w:p>
    <w:p w14:paraId="2250B952">
      <w:pPr>
        <w:adjustRightInd w:val="0"/>
        <w:snapToGrid w:val="0"/>
        <w:ind w:firstLine="480"/>
      </w:pPr>
      <w:r>
        <w:t>项目施工期 12 个月，施工期主要环境污染物为施工扬尘、噪声、施工废水、植被破坏、水土流失等。施工期间基础施工挖、填方工程、施工材料、弃土等运输产生的扬尘对区域大气环境质量会产生不利影响，施工噪声对区域声环境也会带来一定影响，施工用地与植被损毁直接破坏工程区局部植被面积及动物</w:t>
      </w:r>
      <w:r>
        <w:rPr>
          <w:rFonts w:hint="eastAsia"/>
          <w:lang w:eastAsia="zh-CN"/>
        </w:rPr>
        <w:t>环境</w:t>
      </w:r>
      <w:r>
        <w:t>、造成水土流失。因此，环评要求施工期应采取有效的环境保护措施，严格做到文明施工，尽量减少施工期对周围环境的影响。</w:t>
      </w:r>
    </w:p>
    <w:p w14:paraId="0DE24A18">
      <w:pPr>
        <w:adjustRightInd w:val="0"/>
        <w:snapToGrid w:val="0"/>
        <w:ind w:firstLine="480"/>
      </w:pPr>
      <w:r>
        <w:t>总的来看，施工期对环境的影响是短暂和可控的，在采取环评提出的各项环保措施后，环境影响不大。施工期采取水土保持和生态恢复措施后，对当地的生态环境影响可以得到控制并可部分恢复，但项目永久占地将改变当地的土地利用类型和景观，其影响是长期的。</w:t>
      </w:r>
    </w:p>
    <w:p w14:paraId="3D414340">
      <w:pPr>
        <w:adjustRightInd w:val="0"/>
        <w:snapToGrid w:val="0"/>
        <w:ind w:firstLine="480"/>
      </w:pPr>
      <w:r>
        <w:t>（2）运营期</w:t>
      </w:r>
    </w:p>
    <w:p w14:paraId="0BBDC180">
      <w:pPr>
        <w:adjustRightInd w:val="0"/>
        <w:snapToGrid w:val="0"/>
        <w:ind w:firstLine="480"/>
      </w:pPr>
      <w:r>
        <w:t>运营期风电场是将当地的风能转变为机械能、再转变为电能的过程，在整个工艺流程中，不产生大气、水体、固体废弃物等方面的污染物，也不会产生大的噪声污染。</w:t>
      </w:r>
    </w:p>
    <w:p w14:paraId="09B4F769">
      <w:pPr>
        <w:tabs>
          <w:tab w:val="clear" w:pos="480"/>
        </w:tabs>
        <w:adjustRightInd w:val="0"/>
        <w:snapToGrid w:val="0"/>
        <w:ind w:firstLine="0" w:firstLineChars="0"/>
        <w:outlineLvl w:val="3"/>
        <w:rPr>
          <w:b/>
          <w:kern w:val="0"/>
          <w:lang w:val="zh-CN"/>
        </w:rPr>
      </w:pPr>
      <w:r>
        <w:rPr>
          <w:b/>
          <w:kern w:val="0"/>
          <w:lang w:val="zh-CN"/>
        </w:rPr>
        <w:t>10.3.2.2</w:t>
      </w:r>
      <w:r>
        <w:rPr>
          <w:rFonts w:hint="eastAsia"/>
          <w:b/>
          <w:kern w:val="0"/>
          <w:lang w:val="zh-CN"/>
        </w:rPr>
        <w:t>环境正效益</w:t>
      </w:r>
    </w:p>
    <w:p w14:paraId="7E843B8D">
      <w:pPr>
        <w:adjustRightInd w:val="0"/>
        <w:snapToGrid w:val="0"/>
        <w:ind w:firstLine="480"/>
      </w:pPr>
      <w:r>
        <w:t>（1）节能效益，节约原煤</w:t>
      </w:r>
    </w:p>
    <w:p w14:paraId="31ED8A35">
      <w:pPr>
        <w:adjustRightInd w:val="0"/>
        <w:snapToGrid w:val="0"/>
        <w:ind w:firstLine="480"/>
      </w:pPr>
      <w:r>
        <w:t>风电是一种清洁的能源，没有大气和水污染问题，也不存在废渣的堆放问题，有利于保护环境。</w:t>
      </w:r>
      <w:r>
        <w:rPr>
          <w:rFonts w:hint="eastAsia"/>
        </w:rPr>
        <w:t>衡阳县杉桥风电场工程</w:t>
      </w:r>
      <w:r>
        <w:t>装机容量50MW，年上网电量为9080万 kW·h，与燃煤电厂相比，每年可节约标准煤约2.7467万 t。</w:t>
      </w:r>
    </w:p>
    <w:p w14:paraId="00DBE202">
      <w:pPr>
        <w:adjustRightInd w:val="0"/>
        <w:snapToGrid w:val="0"/>
        <w:ind w:firstLine="480"/>
      </w:pPr>
      <w:r>
        <w:t>（2）减排效益，减排有害气体</w:t>
      </w:r>
    </w:p>
    <w:p w14:paraId="0E7A1689">
      <w:pPr>
        <w:adjustRightInd w:val="0"/>
        <w:snapToGrid w:val="0"/>
        <w:ind w:firstLine="480"/>
      </w:pPr>
      <w:r>
        <w:t>风力发电可减少二氧化硫、一氧化碳、碳氢化合物、二氧化碳等有害气体的排放以及烟尘等废气的排放。经估算，同燃煤电站采取相应环保治理措施后相比，每年可为国家节约标准煤为2.7467万吨，相应每年可减少多种有害气体和废气排放，其中二氧化碳约为6.58万吨，二氧化硫为604.21万吨，氮氧化物274.64万吨。</w:t>
      </w:r>
    </w:p>
    <w:p w14:paraId="7CBF34E6">
      <w:pPr>
        <w:adjustRightInd w:val="0"/>
        <w:snapToGrid w:val="0"/>
        <w:ind w:firstLine="480"/>
      </w:pPr>
      <w:r>
        <w:t>可见，</w:t>
      </w:r>
      <w:r>
        <w:rPr>
          <w:rFonts w:hint="eastAsia"/>
        </w:rPr>
        <w:t>本项目</w:t>
      </w:r>
      <w:r>
        <w:t>可以减少化石资源的消耗，有利于缓解环境保护压力，实现经济与环境的协调发展，项目节能和环保效益显著。</w:t>
      </w:r>
    </w:p>
    <w:p w14:paraId="4E5D4A8F">
      <w:pPr>
        <w:adjustRightInd w:val="0"/>
        <w:snapToGrid w:val="0"/>
        <w:ind w:firstLine="480"/>
      </w:pPr>
      <w:r>
        <w:t>（3）生态效益，使植被得到恢复</w:t>
      </w:r>
    </w:p>
    <w:p w14:paraId="6C0240DD">
      <w:pPr>
        <w:adjustRightInd w:val="0"/>
        <w:snapToGrid w:val="0"/>
        <w:ind w:firstLine="480"/>
      </w:pPr>
      <w:r>
        <w:t>施工前，将临时占地区原有土地的植被和表层土一起移到别处，加以养护，待施工结束后，再将植被和表层土覆盖到原处，并采取水土保持工程措施，对其植树种草，可较好地恢复临时占地区的地表植被。对施工后的裸露地，在采取水土保持工程措施的同时，对其植树种草，可较好地恢复临时占地区的地表植被。</w:t>
      </w:r>
    </w:p>
    <w:p w14:paraId="2D7F5439">
      <w:pPr>
        <w:adjustRightInd w:val="0"/>
        <w:snapToGrid w:val="0"/>
        <w:ind w:firstLine="480"/>
      </w:pPr>
      <w:r>
        <w:t>（4）总体效益分析</w:t>
      </w:r>
    </w:p>
    <w:p w14:paraId="08CEE4F4">
      <w:pPr>
        <w:adjustRightInd w:val="0"/>
        <w:snapToGrid w:val="0"/>
        <w:ind w:firstLine="480"/>
      </w:pPr>
      <w:r>
        <w:rPr>
          <w:rFonts w:hint="eastAsia"/>
        </w:rPr>
        <w:t>本项目</w:t>
      </w:r>
      <w:r>
        <w:t>的开发，可产生较好的经济效益和社会效益，同时具有一定的节能减排效益。</w:t>
      </w:r>
    </w:p>
    <w:p w14:paraId="04321ABE">
      <w:pPr>
        <w:adjustRightInd w:val="0"/>
        <w:snapToGrid w:val="0"/>
        <w:ind w:firstLine="480"/>
      </w:pPr>
      <w:r>
        <w:t>为减免工程建设可能产生的各项不利环境影响，采取了以下环境保护措施：施工生产废水及生活污水处理、大气污染控制措施、生活垃圾处理措施、生态保护措施、水土保持措施、人群健康保护，以及建设期环境监测、环境管理和环境监理等，依据“恢复费用法”原理分析得知：报告提出的各项环保措施实施后，可以最大限度地减免工程兴建对环境的不利影响，避免因环境损失而造成的潜在经济损失。因此，本工程在环境经济上具有合理性和可行性。</w:t>
      </w:r>
    </w:p>
    <w:p w14:paraId="1138A40C">
      <w:pPr>
        <w:pStyle w:val="4"/>
        <w:tabs>
          <w:tab w:val="clear" w:pos="480"/>
          <w:tab w:val="clear" w:pos="630"/>
        </w:tabs>
        <w:adjustRightInd w:val="0"/>
        <w:snapToGrid w:val="0"/>
        <w:spacing w:before="0" w:after="0"/>
        <w:rPr>
          <w:sz w:val="30"/>
          <w:szCs w:val="30"/>
          <w:lang w:val="en-US"/>
        </w:rPr>
      </w:pPr>
      <w:bookmarkStart w:id="242" w:name="_Toc143799406"/>
      <w:bookmarkStart w:id="243" w:name="_Toc116978019"/>
      <w:r>
        <w:rPr>
          <w:sz w:val="30"/>
          <w:szCs w:val="30"/>
          <w:lang w:val="en-US"/>
        </w:rPr>
        <w:t>10.4</w:t>
      </w:r>
      <w:r>
        <w:rPr>
          <w:rFonts w:hint="eastAsia"/>
          <w:sz w:val="30"/>
          <w:szCs w:val="30"/>
          <w:lang w:val="en-US"/>
        </w:rPr>
        <w:t>环保投资</w:t>
      </w:r>
      <w:bookmarkEnd w:id="242"/>
      <w:bookmarkEnd w:id="243"/>
    </w:p>
    <w:p w14:paraId="44FA1C9A">
      <w:pPr>
        <w:adjustRightInd w:val="0"/>
        <w:snapToGrid w:val="0"/>
        <w:ind w:firstLine="480"/>
      </w:pPr>
      <w:r>
        <w:t>项目总投资37954.51万元，其中环保投资321万元（不含水土保持费用），环保投资占总投资0.85%。</w:t>
      </w:r>
    </w:p>
    <w:p w14:paraId="4A281B48">
      <w:pPr>
        <w:adjustRightInd w:val="0"/>
        <w:snapToGrid w:val="0"/>
        <w:ind w:firstLine="480"/>
      </w:pPr>
      <w:r>
        <w:t>项目具体环保投资见下表。</w:t>
      </w:r>
    </w:p>
    <w:p w14:paraId="7FAB831A">
      <w:pPr>
        <w:tabs>
          <w:tab w:val="clear" w:pos="480"/>
        </w:tabs>
        <w:adjustRightInd w:val="0"/>
        <w:snapToGrid w:val="0"/>
        <w:spacing w:line="240" w:lineRule="auto"/>
        <w:ind w:firstLine="0" w:firstLineChars="0"/>
        <w:jc w:val="center"/>
        <w:rPr>
          <w:b/>
          <w:bCs/>
          <w:kern w:val="0"/>
        </w:rPr>
      </w:pPr>
      <w:r>
        <w:rPr>
          <w:b/>
          <w:bCs/>
        </w:rPr>
        <w:t>表1</w:t>
      </w:r>
      <w:r>
        <w:rPr>
          <w:rFonts w:hint="eastAsia"/>
          <w:b/>
          <w:bCs/>
        </w:rPr>
        <w:t>0</w:t>
      </w:r>
      <w:r>
        <w:rPr>
          <w:b/>
          <w:bCs/>
        </w:rPr>
        <w:t>.4-1  环境保护投资概算表    单位：万元</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728"/>
        <w:gridCol w:w="633"/>
        <w:gridCol w:w="1494"/>
        <w:gridCol w:w="4419"/>
        <w:gridCol w:w="1093"/>
      </w:tblGrid>
      <w:tr w14:paraId="1F4F9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31" w:hRule="atLeast"/>
          <w:jc w:val="center"/>
        </w:trPr>
        <w:tc>
          <w:tcPr>
            <w:tcW w:w="435" w:type="pct"/>
            <w:vAlign w:val="center"/>
          </w:tcPr>
          <w:p w14:paraId="71D1768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时期</w:t>
            </w:r>
          </w:p>
        </w:tc>
        <w:tc>
          <w:tcPr>
            <w:tcW w:w="1271" w:type="pct"/>
            <w:gridSpan w:val="2"/>
            <w:vAlign w:val="center"/>
          </w:tcPr>
          <w:p w14:paraId="0BBC08A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项  目</w:t>
            </w:r>
          </w:p>
        </w:tc>
        <w:tc>
          <w:tcPr>
            <w:tcW w:w="2641" w:type="pct"/>
            <w:vAlign w:val="center"/>
          </w:tcPr>
          <w:p w14:paraId="47A4EE1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治理措施</w:t>
            </w:r>
          </w:p>
        </w:tc>
        <w:tc>
          <w:tcPr>
            <w:tcW w:w="653" w:type="pct"/>
            <w:vAlign w:val="center"/>
          </w:tcPr>
          <w:p w14:paraId="1D4FF3F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投资</w:t>
            </w:r>
          </w:p>
        </w:tc>
      </w:tr>
      <w:tr w14:paraId="06B9C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restart"/>
            <w:vAlign w:val="center"/>
          </w:tcPr>
          <w:p w14:paraId="4BD5FBE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w:t>
            </w:r>
          </w:p>
          <w:p w14:paraId="6B2EA21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工</w:t>
            </w:r>
          </w:p>
          <w:p w14:paraId="770C406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期</w:t>
            </w:r>
          </w:p>
        </w:tc>
        <w:tc>
          <w:tcPr>
            <w:tcW w:w="378" w:type="pct"/>
            <w:vMerge w:val="restart"/>
            <w:vAlign w:val="center"/>
          </w:tcPr>
          <w:p w14:paraId="2C0F0A7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水环境</w:t>
            </w:r>
          </w:p>
        </w:tc>
        <w:tc>
          <w:tcPr>
            <w:tcW w:w="893" w:type="pct"/>
            <w:vAlign w:val="center"/>
          </w:tcPr>
          <w:p w14:paraId="5811D58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生产废水</w:t>
            </w:r>
          </w:p>
        </w:tc>
        <w:tc>
          <w:tcPr>
            <w:tcW w:w="2641" w:type="pct"/>
            <w:vAlign w:val="center"/>
          </w:tcPr>
          <w:p w14:paraId="3F3A0C9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生产废水采取沉淀池处理后回用；</w:t>
            </w:r>
          </w:p>
        </w:tc>
        <w:tc>
          <w:tcPr>
            <w:tcW w:w="653" w:type="pct"/>
            <w:vMerge w:val="restart"/>
            <w:vAlign w:val="center"/>
          </w:tcPr>
          <w:p w14:paraId="3100CCB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10.00</w:t>
            </w:r>
          </w:p>
        </w:tc>
      </w:tr>
      <w:tr w14:paraId="67F7C2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14" w:hRule="atLeast"/>
          <w:jc w:val="center"/>
        </w:trPr>
        <w:tc>
          <w:tcPr>
            <w:tcW w:w="435" w:type="pct"/>
            <w:vMerge w:val="continue"/>
            <w:vAlign w:val="center"/>
          </w:tcPr>
          <w:p w14:paraId="202520C8">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4B674D41">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93" w:type="pct"/>
            <w:vAlign w:val="center"/>
          </w:tcPr>
          <w:p w14:paraId="550BA41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生活污水</w:t>
            </w:r>
          </w:p>
        </w:tc>
        <w:tc>
          <w:tcPr>
            <w:tcW w:w="2641" w:type="pct"/>
            <w:vAlign w:val="center"/>
          </w:tcPr>
          <w:p w14:paraId="3AA2A1E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生活污水通过化粪池处理后用于周边林地浇灌。</w:t>
            </w:r>
          </w:p>
        </w:tc>
        <w:tc>
          <w:tcPr>
            <w:tcW w:w="653" w:type="pct"/>
            <w:vMerge w:val="continue"/>
            <w:vAlign w:val="center"/>
          </w:tcPr>
          <w:p w14:paraId="0C2AFB4F">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257801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14" w:hRule="atLeast"/>
          <w:jc w:val="center"/>
        </w:trPr>
        <w:tc>
          <w:tcPr>
            <w:tcW w:w="435" w:type="pct"/>
            <w:vMerge w:val="continue"/>
            <w:vAlign w:val="center"/>
          </w:tcPr>
          <w:p w14:paraId="27005414">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52A659E2">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93" w:type="pct"/>
            <w:vAlign w:val="center"/>
          </w:tcPr>
          <w:p w14:paraId="52D30C0A">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地表水</w:t>
            </w:r>
          </w:p>
        </w:tc>
        <w:tc>
          <w:tcPr>
            <w:tcW w:w="2641" w:type="pct"/>
            <w:vAlign w:val="center"/>
          </w:tcPr>
          <w:p w14:paraId="0581CCC7">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施工期设置围挡，防治开挖土石方进入周边地表水体</w:t>
            </w:r>
          </w:p>
        </w:tc>
        <w:tc>
          <w:tcPr>
            <w:tcW w:w="653" w:type="pct"/>
            <w:vAlign w:val="center"/>
          </w:tcPr>
          <w:p w14:paraId="5F99AC68">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5</w:t>
            </w:r>
          </w:p>
        </w:tc>
      </w:tr>
      <w:tr w14:paraId="2CA828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26" w:hRule="atLeast"/>
          <w:jc w:val="center"/>
        </w:trPr>
        <w:tc>
          <w:tcPr>
            <w:tcW w:w="435" w:type="pct"/>
            <w:vMerge w:val="continue"/>
            <w:vAlign w:val="center"/>
          </w:tcPr>
          <w:p w14:paraId="07ECBE07">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Align w:val="center"/>
          </w:tcPr>
          <w:p w14:paraId="2042C93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大气环境</w:t>
            </w:r>
          </w:p>
        </w:tc>
        <w:tc>
          <w:tcPr>
            <w:tcW w:w="893" w:type="pct"/>
            <w:vAlign w:val="center"/>
          </w:tcPr>
          <w:p w14:paraId="3D2F19E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粉尘及尾气</w:t>
            </w:r>
          </w:p>
        </w:tc>
        <w:tc>
          <w:tcPr>
            <w:tcW w:w="2641" w:type="pct"/>
            <w:vAlign w:val="center"/>
          </w:tcPr>
          <w:p w14:paraId="5302811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租用洒水车洒水降尘，干旱季节每天3~4次。选择符合环保标准的施工机械，并定期维修保养。</w:t>
            </w:r>
          </w:p>
        </w:tc>
        <w:tc>
          <w:tcPr>
            <w:tcW w:w="653" w:type="pct"/>
            <w:vAlign w:val="center"/>
          </w:tcPr>
          <w:p w14:paraId="221F7A6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8</w:t>
            </w:r>
          </w:p>
        </w:tc>
      </w:tr>
      <w:tr w14:paraId="359535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1339" w:hRule="atLeast"/>
          <w:jc w:val="center"/>
        </w:trPr>
        <w:tc>
          <w:tcPr>
            <w:tcW w:w="435" w:type="pct"/>
            <w:vMerge w:val="continue"/>
            <w:vAlign w:val="center"/>
          </w:tcPr>
          <w:p w14:paraId="4A2C309C">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Align w:val="center"/>
          </w:tcPr>
          <w:p w14:paraId="1C51B56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声环境</w:t>
            </w:r>
          </w:p>
        </w:tc>
        <w:tc>
          <w:tcPr>
            <w:tcW w:w="893" w:type="pct"/>
            <w:vAlign w:val="center"/>
          </w:tcPr>
          <w:p w14:paraId="05A8028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施工机械噪声、运输噪声</w:t>
            </w:r>
          </w:p>
        </w:tc>
        <w:tc>
          <w:tcPr>
            <w:tcW w:w="2641" w:type="pct"/>
            <w:vAlign w:val="center"/>
          </w:tcPr>
          <w:p w14:paraId="19751EE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禁止夜间爆破、采取低噪声工艺和设备、禁止夜间运行高噪声设备；居民点附近道路改造时，提前告知附近居民；设置禁鸣标志；运输作业尽量安排在昼间上午8:30～11:30、下午2:30～6:30进行</w:t>
            </w:r>
          </w:p>
        </w:tc>
        <w:tc>
          <w:tcPr>
            <w:tcW w:w="653" w:type="pct"/>
            <w:vAlign w:val="center"/>
          </w:tcPr>
          <w:p w14:paraId="3D2E558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20.00</w:t>
            </w:r>
          </w:p>
        </w:tc>
      </w:tr>
      <w:tr w14:paraId="042067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3824E9B7">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restart"/>
            <w:vAlign w:val="center"/>
          </w:tcPr>
          <w:p w14:paraId="7B26F56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固体废物</w:t>
            </w:r>
          </w:p>
        </w:tc>
        <w:tc>
          <w:tcPr>
            <w:tcW w:w="893" w:type="pct"/>
            <w:vAlign w:val="center"/>
          </w:tcPr>
          <w:p w14:paraId="20A2890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生活垃圾</w:t>
            </w:r>
          </w:p>
        </w:tc>
        <w:tc>
          <w:tcPr>
            <w:tcW w:w="2641" w:type="pct"/>
            <w:vAlign w:val="center"/>
          </w:tcPr>
          <w:p w14:paraId="166EB19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施工期采用垃圾桶分类收集，送乡镇垃圾收集系统进行处置。</w:t>
            </w:r>
          </w:p>
        </w:tc>
        <w:tc>
          <w:tcPr>
            <w:tcW w:w="653" w:type="pct"/>
            <w:vAlign w:val="center"/>
          </w:tcPr>
          <w:p w14:paraId="2F9F0F7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5.00</w:t>
            </w:r>
          </w:p>
        </w:tc>
      </w:tr>
      <w:tr w14:paraId="6C197B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6A29A07D">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59FECF79">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93" w:type="pct"/>
            <w:vAlign w:val="center"/>
          </w:tcPr>
          <w:p w14:paraId="1F6A3CA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弃渣</w:t>
            </w:r>
          </w:p>
        </w:tc>
        <w:tc>
          <w:tcPr>
            <w:tcW w:w="2641" w:type="pct"/>
            <w:vAlign w:val="center"/>
          </w:tcPr>
          <w:p w14:paraId="49A5E1D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表土收集堆存，规范堆存于弃渣场或表土场，施工结束后对弃渣进行覆土绿化</w:t>
            </w:r>
          </w:p>
        </w:tc>
        <w:tc>
          <w:tcPr>
            <w:tcW w:w="653" w:type="pct"/>
            <w:vAlign w:val="center"/>
          </w:tcPr>
          <w:p w14:paraId="7BD66CD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10.00</w:t>
            </w:r>
          </w:p>
        </w:tc>
      </w:tr>
      <w:tr w14:paraId="3E5835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26" w:hRule="atLeast"/>
          <w:jc w:val="center"/>
        </w:trPr>
        <w:tc>
          <w:tcPr>
            <w:tcW w:w="435" w:type="pct"/>
            <w:vMerge w:val="continue"/>
            <w:vAlign w:val="center"/>
          </w:tcPr>
          <w:p w14:paraId="28943A96">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Align w:val="center"/>
          </w:tcPr>
          <w:p w14:paraId="5998518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陆生生态</w:t>
            </w:r>
          </w:p>
        </w:tc>
        <w:tc>
          <w:tcPr>
            <w:tcW w:w="893" w:type="pct"/>
            <w:vAlign w:val="center"/>
          </w:tcPr>
          <w:p w14:paraId="437B808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植被和</w:t>
            </w:r>
          </w:p>
          <w:p w14:paraId="73FDA90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野生鸟类</w:t>
            </w:r>
          </w:p>
        </w:tc>
        <w:tc>
          <w:tcPr>
            <w:tcW w:w="2641" w:type="pct"/>
            <w:vAlign w:val="center"/>
          </w:tcPr>
          <w:p w14:paraId="65498AE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升压站周围园林绿化；风机叶片艳化；进行生态环境保护宣传</w:t>
            </w:r>
          </w:p>
        </w:tc>
        <w:tc>
          <w:tcPr>
            <w:tcW w:w="653" w:type="pct"/>
            <w:vAlign w:val="center"/>
          </w:tcPr>
          <w:p w14:paraId="51622CA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40</w:t>
            </w:r>
          </w:p>
        </w:tc>
      </w:tr>
      <w:tr w14:paraId="7E5228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continue"/>
            <w:vAlign w:val="center"/>
          </w:tcPr>
          <w:p w14:paraId="59073F63">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Align w:val="center"/>
          </w:tcPr>
          <w:p w14:paraId="0617A52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水土保持</w:t>
            </w:r>
          </w:p>
        </w:tc>
        <w:tc>
          <w:tcPr>
            <w:tcW w:w="893" w:type="pct"/>
            <w:vAlign w:val="center"/>
          </w:tcPr>
          <w:p w14:paraId="5427FAD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水土流失</w:t>
            </w:r>
          </w:p>
        </w:tc>
        <w:tc>
          <w:tcPr>
            <w:tcW w:w="2641" w:type="pct"/>
            <w:vAlign w:val="center"/>
          </w:tcPr>
          <w:p w14:paraId="1CCE3DD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工程措施、植物措施和临时措施</w:t>
            </w:r>
          </w:p>
        </w:tc>
        <w:tc>
          <w:tcPr>
            <w:tcW w:w="653" w:type="pct"/>
            <w:vAlign w:val="center"/>
          </w:tcPr>
          <w:p w14:paraId="2F26CB4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纳入环保投资</w:t>
            </w:r>
          </w:p>
        </w:tc>
      </w:tr>
      <w:tr w14:paraId="42CC53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30E02DCB">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271" w:type="pct"/>
            <w:gridSpan w:val="2"/>
            <w:vAlign w:val="center"/>
          </w:tcPr>
          <w:p w14:paraId="2349A44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环境监理</w:t>
            </w:r>
          </w:p>
        </w:tc>
        <w:tc>
          <w:tcPr>
            <w:tcW w:w="2641" w:type="pct"/>
            <w:vAlign w:val="center"/>
          </w:tcPr>
          <w:p w14:paraId="5B30285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项目建设期聘请有资质的单位进行环境监理，编写环境监理报告</w:t>
            </w:r>
          </w:p>
        </w:tc>
        <w:tc>
          <w:tcPr>
            <w:tcW w:w="653" w:type="pct"/>
            <w:vAlign w:val="center"/>
          </w:tcPr>
          <w:p w14:paraId="61883E5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20.00</w:t>
            </w:r>
          </w:p>
        </w:tc>
      </w:tr>
      <w:tr w14:paraId="44E329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33BD1134">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271" w:type="pct"/>
            <w:gridSpan w:val="2"/>
            <w:vAlign w:val="center"/>
          </w:tcPr>
          <w:p w14:paraId="7749CAC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环境监测</w:t>
            </w:r>
          </w:p>
        </w:tc>
        <w:tc>
          <w:tcPr>
            <w:tcW w:w="2641" w:type="pct"/>
            <w:vAlign w:val="center"/>
          </w:tcPr>
          <w:p w14:paraId="64F470A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施工期对项目及周边大气、地表水、声环境进行监测</w:t>
            </w:r>
          </w:p>
        </w:tc>
        <w:tc>
          <w:tcPr>
            <w:tcW w:w="653" w:type="pct"/>
            <w:vAlign w:val="center"/>
          </w:tcPr>
          <w:p w14:paraId="1091CFF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15</w:t>
            </w:r>
          </w:p>
        </w:tc>
      </w:tr>
      <w:tr w14:paraId="58051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restart"/>
            <w:vAlign w:val="center"/>
          </w:tcPr>
          <w:p w14:paraId="59B2F1F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营</w:t>
            </w:r>
          </w:p>
          <w:p w14:paraId="40F8750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运</w:t>
            </w:r>
          </w:p>
          <w:p w14:paraId="16AE7C8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期</w:t>
            </w:r>
          </w:p>
        </w:tc>
        <w:tc>
          <w:tcPr>
            <w:tcW w:w="378" w:type="pct"/>
            <w:vAlign w:val="center"/>
          </w:tcPr>
          <w:p w14:paraId="3EEB87C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水环境</w:t>
            </w:r>
          </w:p>
        </w:tc>
        <w:tc>
          <w:tcPr>
            <w:tcW w:w="893" w:type="pct"/>
            <w:vAlign w:val="center"/>
          </w:tcPr>
          <w:p w14:paraId="6CC5B7F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生活污水</w:t>
            </w:r>
          </w:p>
        </w:tc>
        <w:tc>
          <w:tcPr>
            <w:tcW w:w="2641" w:type="pct"/>
            <w:vAlign w:val="center"/>
          </w:tcPr>
          <w:p w14:paraId="783029B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生活污水采取成套的一体化污水处理设备处理</w:t>
            </w:r>
          </w:p>
        </w:tc>
        <w:tc>
          <w:tcPr>
            <w:tcW w:w="653" w:type="pct"/>
            <w:vAlign w:val="center"/>
          </w:tcPr>
          <w:p w14:paraId="6ABC61E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10.00</w:t>
            </w:r>
          </w:p>
        </w:tc>
      </w:tr>
      <w:tr w14:paraId="1D5017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continue"/>
            <w:vAlign w:val="center"/>
          </w:tcPr>
          <w:p w14:paraId="56302006">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restart"/>
            <w:vAlign w:val="center"/>
          </w:tcPr>
          <w:p w14:paraId="0F496D0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声环境</w:t>
            </w:r>
          </w:p>
        </w:tc>
        <w:tc>
          <w:tcPr>
            <w:tcW w:w="893" w:type="pct"/>
            <w:vAlign w:val="center"/>
          </w:tcPr>
          <w:p w14:paraId="0EE99AF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升压站噪声</w:t>
            </w:r>
          </w:p>
        </w:tc>
        <w:tc>
          <w:tcPr>
            <w:tcW w:w="2641" w:type="pct"/>
            <w:vAlign w:val="center"/>
          </w:tcPr>
          <w:p w14:paraId="32EB9AC7">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选用低噪声主变压器，优化站内布局</w:t>
            </w:r>
          </w:p>
        </w:tc>
        <w:tc>
          <w:tcPr>
            <w:tcW w:w="653" w:type="pct"/>
            <w:vAlign w:val="center"/>
          </w:tcPr>
          <w:p w14:paraId="139D86F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r>
      <w:tr w14:paraId="02BEEA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continue"/>
            <w:vAlign w:val="center"/>
          </w:tcPr>
          <w:p w14:paraId="24B4FF5B">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4EB5139C">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93" w:type="pct"/>
            <w:vAlign w:val="center"/>
          </w:tcPr>
          <w:p w14:paraId="13BE2170">
            <w:pPr>
              <w:tabs>
                <w:tab w:val="clear" w:pos="480"/>
              </w:tabs>
              <w:adjustRightInd w:val="0"/>
              <w:snapToGrid w:val="0"/>
              <w:spacing w:before="33" w:beforeLines="10" w:after="33" w:afterLines="10" w:line="240" w:lineRule="auto"/>
              <w:ind w:firstLine="0" w:firstLineChars="0"/>
              <w:jc w:val="center"/>
              <w:rPr>
                <w:kern w:val="0"/>
                <w:sz w:val="18"/>
                <w:szCs w:val="18"/>
              </w:rPr>
            </w:pPr>
            <w:r>
              <w:rPr>
                <w:sz w:val="18"/>
                <w:szCs w:val="18"/>
              </w:rPr>
              <w:t>环洞村扶贫基地</w:t>
            </w:r>
          </w:p>
        </w:tc>
        <w:tc>
          <w:tcPr>
            <w:tcW w:w="2641" w:type="pct"/>
            <w:vAlign w:val="center"/>
          </w:tcPr>
          <w:p w14:paraId="00159065">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通风隔声窗</w:t>
            </w:r>
          </w:p>
        </w:tc>
        <w:tc>
          <w:tcPr>
            <w:tcW w:w="653" w:type="pct"/>
            <w:vAlign w:val="center"/>
          </w:tcPr>
          <w:p w14:paraId="565129D6">
            <w:pPr>
              <w:tabs>
                <w:tab w:val="clear" w:pos="480"/>
              </w:tabs>
              <w:adjustRightInd w:val="0"/>
              <w:snapToGrid w:val="0"/>
              <w:spacing w:before="33" w:beforeLines="10" w:after="33" w:afterLines="10" w:line="240" w:lineRule="auto"/>
              <w:ind w:firstLine="0" w:firstLineChars="0"/>
              <w:jc w:val="center"/>
              <w:rPr>
                <w:kern w:val="0"/>
                <w:sz w:val="18"/>
                <w:szCs w:val="18"/>
              </w:rPr>
            </w:pPr>
            <w:r>
              <w:rPr>
                <w:rFonts w:hint="eastAsia"/>
                <w:kern w:val="0"/>
                <w:sz w:val="18"/>
                <w:szCs w:val="18"/>
              </w:rPr>
              <w:t>1</w:t>
            </w:r>
            <w:r>
              <w:rPr>
                <w:kern w:val="0"/>
                <w:sz w:val="18"/>
                <w:szCs w:val="18"/>
              </w:rPr>
              <w:t>.0</w:t>
            </w:r>
          </w:p>
        </w:tc>
      </w:tr>
      <w:tr w14:paraId="24DC93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continue"/>
            <w:vAlign w:val="center"/>
          </w:tcPr>
          <w:p w14:paraId="714895EA">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08AC14D8">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534" w:type="pct"/>
            <w:gridSpan w:val="2"/>
            <w:vAlign w:val="center"/>
          </w:tcPr>
          <w:p w14:paraId="4CA85CF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预留噪声防治资金，若跟踪监测出现敏感点超标，则应进行噪声治理，在敏感点加装隔声窗等</w:t>
            </w:r>
            <w:r>
              <w:rPr>
                <w:kern w:val="0"/>
                <w:sz w:val="21"/>
                <w:szCs w:val="21"/>
              </w:rPr>
              <w:t>。</w:t>
            </w:r>
          </w:p>
        </w:tc>
        <w:tc>
          <w:tcPr>
            <w:tcW w:w="653" w:type="pct"/>
            <w:vAlign w:val="center"/>
          </w:tcPr>
          <w:p w14:paraId="72042A6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50</w:t>
            </w:r>
          </w:p>
        </w:tc>
      </w:tr>
      <w:tr w14:paraId="1611A5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3D176C76">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restart"/>
            <w:vAlign w:val="center"/>
          </w:tcPr>
          <w:p w14:paraId="46A8CBD3">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固体废物</w:t>
            </w:r>
          </w:p>
        </w:tc>
        <w:tc>
          <w:tcPr>
            <w:tcW w:w="893" w:type="pct"/>
            <w:vAlign w:val="center"/>
          </w:tcPr>
          <w:p w14:paraId="54A0392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生活垃圾</w:t>
            </w:r>
          </w:p>
        </w:tc>
        <w:tc>
          <w:tcPr>
            <w:tcW w:w="2641" w:type="pct"/>
            <w:vAlign w:val="center"/>
          </w:tcPr>
          <w:p w14:paraId="21BCEB9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设置垃圾桶，统一收集后送乡镇垃圾收集系统进行处置。</w:t>
            </w:r>
          </w:p>
        </w:tc>
        <w:tc>
          <w:tcPr>
            <w:tcW w:w="653" w:type="pct"/>
            <w:vAlign w:val="center"/>
          </w:tcPr>
          <w:p w14:paraId="67A73E6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2.00</w:t>
            </w:r>
          </w:p>
        </w:tc>
      </w:tr>
      <w:tr w14:paraId="451F8F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3E07D0AF">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4CDD9C98">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93" w:type="pct"/>
            <w:vAlign w:val="center"/>
          </w:tcPr>
          <w:p w14:paraId="6CCD56F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报废的设备、配件</w:t>
            </w:r>
          </w:p>
        </w:tc>
        <w:tc>
          <w:tcPr>
            <w:tcW w:w="2641" w:type="pct"/>
            <w:vAlign w:val="center"/>
          </w:tcPr>
          <w:p w14:paraId="1C8D790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收集后外售</w:t>
            </w:r>
          </w:p>
        </w:tc>
        <w:tc>
          <w:tcPr>
            <w:tcW w:w="653" w:type="pct"/>
            <w:vAlign w:val="center"/>
          </w:tcPr>
          <w:p w14:paraId="7A69BA5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r>
      <w:tr w14:paraId="4A442B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26" w:hRule="atLeast"/>
          <w:jc w:val="center"/>
        </w:trPr>
        <w:tc>
          <w:tcPr>
            <w:tcW w:w="435" w:type="pct"/>
            <w:vMerge w:val="continue"/>
            <w:vAlign w:val="center"/>
          </w:tcPr>
          <w:p w14:paraId="66CD2195">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378" w:type="pct"/>
            <w:vMerge w:val="continue"/>
            <w:vAlign w:val="center"/>
          </w:tcPr>
          <w:p w14:paraId="668E2FB0">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893" w:type="pct"/>
            <w:vAlign w:val="center"/>
          </w:tcPr>
          <w:p w14:paraId="77C8559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废旧蓄电池、废机油等危险废物</w:t>
            </w:r>
          </w:p>
        </w:tc>
        <w:tc>
          <w:tcPr>
            <w:tcW w:w="2641" w:type="pct"/>
            <w:vAlign w:val="center"/>
          </w:tcPr>
          <w:p w14:paraId="5B8970B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升压站设置合格的危废暂存间；危险废物由有资质单位处理</w:t>
            </w:r>
          </w:p>
        </w:tc>
        <w:tc>
          <w:tcPr>
            <w:tcW w:w="653" w:type="pct"/>
            <w:vAlign w:val="center"/>
          </w:tcPr>
          <w:p w14:paraId="42B58F3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10.00</w:t>
            </w:r>
          </w:p>
        </w:tc>
      </w:tr>
      <w:tr w14:paraId="48CEC1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68" w:hRule="atLeast"/>
          <w:jc w:val="center"/>
        </w:trPr>
        <w:tc>
          <w:tcPr>
            <w:tcW w:w="435" w:type="pct"/>
            <w:vMerge w:val="continue"/>
            <w:vAlign w:val="center"/>
          </w:tcPr>
          <w:p w14:paraId="344253B5">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271" w:type="pct"/>
            <w:gridSpan w:val="2"/>
            <w:vAlign w:val="center"/>
          </w:tcPr>
          <w:p w14:paraId="6F92043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环境风险</w:t>
            </w:r>
          </w:p>
        </w:tc>
        <w:tc>
          <w:tcPr>
            <w:tcW w:w="2641" w:type="pct"/>
            <w:vAlign w:val="center"/>
          </w:tcPr>
          <w:p w14:paraId="4FB7C9E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升压站建设容积不小于30m</w:t>
            </w:r>
            <w:r>
              <w:rPr>
                <w:kern w:val="0"/>
                <w:sz w:val="18"/>
                <w:szCs w:val="18"/>
                <w:vertAlign w:val="superscript"/>
              </w:rPr>
              <w:t>3</w:t>
            </w:r>
            <w:r>
              <w:rPr>
                <w:kern w:val="0"/>
                <w:sz w:val="18"/>
                <w:szCs w:val="18"/>
              </w:rPr>
              <w:t>的事故油池一座。</w:t>
            </w:r>
          </w:p>
        </w:tc>
        <w:tc>
          <w:tcPr>
            <w:tcW w:w="653" w:type="pct"/>
            <w:vAlign w:val="center"/>
          </w:tcPr>
          <w:p w14:paraId="58C997B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10</w:t>
            </w:r>
          </w:p>
        </w:tc>
      </w:tr>
      <w:tr w14:paraId="0AD60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restart"/>
            <w:vAlign w:val="center"/>
          </w:tcPr>
          <w:p w14:paraId="3EE5A3D5">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环境管理</w:t>
            </w:r>
          </w:p>
        </w:tc>
        <w:tc>
          <w:tcPr>
            <w:tcW w:w="1271" w:type="pct"/>
            <w:gridSpan w:val="2"/>
            <w:vAlign w:val="center"/>
          </w:tcPr>
          <w:p w14:paraId="0ACB046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编制应急预案</w:t>
            </w:r>
          </w:p>
        </w:tc>
        <w:tc>
          <w:tcPr>
            <w:tcW w:w="2641" w:type="pct"/>
            <w:vAlign w:val="center"/>
          </w:tcPr>
          <w:p w14:paraId="297413E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编制应急预案</w:t>
            </w:r>
          </w:p>
        </w:tc>
        <w:tc>
          <w:tcPr>
            <w:tcW w:w="653" w:type="pct"/>
            <w:vAlign w:val="center"/>
          </w:tcPr>
          <w:p w14:paraId="652D02E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15</w:t>
            </w:r>
          </w:p>
        </w:tc>
      </w:tr>
      <w:tr w14:paraId="53887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continue"/>
            <w:vAlign w:val="center"/>
          </w:tcPr>
          <w:p w14:paraId="510273A3">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271" w:type="pct"/>
            <w:gridSpan w:val="2"/>
            <w:vAlign w:val="center"/>
          </w:tcPr>
          <w:p w14:paraId="661B11A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竣工验收费用</w:t>
            </w:r>
          </w:p>
        </w:tc>
        <w:tc>
          <w:tcPr>
            <w:tcW w:w="2641" w:type="pct"/>
            <w:vAlign w:val="center"/>
          </w:tcPr>
          <w:p w14:paraId="3780FA8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竣工验收费用</w:t>
            </w:r>
          </w:p>
        </w:tc>
        <w:tc>
          <w:tcPr>
            <w:tcW w:w="653" w:type="pct"/>
            <w:vAlign w:val="center"/>
          </w:tcPr>
          <w:p w14:paraId="6A18C69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20</w:t>
            </w:r>
          </w:p>
        </w:tc>
      </w:tr>
      <w:tr w14:paraId="1F3661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35" w:type="pct"/>
            <w:vMerge w:val="continue"/>
            <w:vAlign w:val="center"/>
          </w:tcPr>
          <w:p w14:paraId="35FACBD7">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271" w:type="pct"/>
            <w:gridSpan w:val="2"/>
            <w:vAlign w:val="center"/>
          </w:tcPr>
          <w:p w14:paraId="716ACB7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预留费用</w:t>
            </w:r>
          </w:p>
        </w:tc>
        <w:tc>
          <w:tcPr>
            <w:tcW w:w="2641" w:type="pct"/>
            <w:vAlign w:val="center"/>
          </w:tcPr>
          <w:p w14:paraId="290CCF07">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653" w:type="pct"/>
            <w:vAlign w:val="center"/>
          </w:tcPr>
          <w:p w14:paraId="6B6F12F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70</w:t>
            </w:r>
          </w:p>
        </w:tc>
      </w:tr>
      <w:tr w14:paraId="3A1BF2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1706" w:type="pct"/>
            <w:gridSpan w:val="3"/>
            <w:vAlign w:val="center"/>
          </w:tcPr>
          <w:p w14:paraId="0443423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合计</w:t>
            </w:r>
          </w:p>
        </w:tc>
        <w:tc>
          <w:tcPr>
            <w:tcW w:w="2641" w:type="pct"/>
            <w:vAlign w:val="center"/>
          </w:tcPr>
          <w:p w14:paraId="23505914">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653" w:type="pct"/>
            <w:vAlign w:val="center"/>
          </w:tcPr>
          <w:p w14:paraId="5C761BF8">
            <w:pPr>
              <w:tabs>
                <w:tab w:val="clear" w:pos="480"/>
              </w:tabs>
              <w:adjustRightInd w:val="0"/>
              <w:snapToGrid w:val="0"/>
              <w:spacing w:before="33" w:beforeLines="10" w:after="33" w:afterLines="10" w:line="240" w:lineRule="auto"/>
              <w:ind w:firstLine="0" w:firstLineChars="0"/>
              <w:jc w:val="center"/>
              <w:rPr>
                <w:kern w:val="0"/>
                <w:sz w:val="18"/>
                <w:szCs w:val="18"/>
              </w:rPr>
            </w:pPr>
          </w:p>
        </w:tc>
      </w:tr>
    </w:tbl>
    <w:p w14:paraId="5D3D9588">
      <w:pPr>
        <w:tabs>
          <w:tab w:val="clear" w:pos="480"/>
        </w:tabs>
        <w:adjustRightInd w:val="0"/>
        <w:snapToGrid w:val="0"/>
        <w:ind w:firstLine="361"/>
        <w:rPr>
          <w:b/>
          <w:bCs/>
          <w:sz w:val="18"/>
          <w:szCs w:val="18"/>
        </w:rPr>
      </w:pPr>
    </w:p>
    <w:p w14:paraId="67ACF6DA">
      <w:pPr>
        <w:tabs>
          <w:tab w:val="clear" w:pos="480"/>
        </w:tabs>
        <w:adjustRightInd w:val="0"/>
        <w:snapToGrid w:val="0"/>
        <w:ind w:firstLine="480"/>
        <w:sectPr>
          <w:pgSz w:w="11905" w:h="16838"/>
          <w:pgMar w:top="1440" w:right="1797" w:bottom="1440" w:left="1797" w:header="851" w:footer="992" w:gutter="0"/>
          <w:cols w:space="0" w:num="1"/>
          <w:docGrid w:type="lines" w:linePitch="333" w:charSpace="0"/>
        </w:sectPr>
      </w:pPr>
    </w:p>
    <w:p w14:paraId="3E313872">
      <w:pPr>
        <w:pStyle w:val="3"/>
        <w:tabs>
          <w:tab w:val="clear" w:pos="480"/>
        </w:tabs>
        <w:adjustRightInd w:val="0"/>
        <w:snapToGrid w:val="0"/>
        <w:spacing w:before="0" w:after="0"/>
        <w:jc w:val="center"/>
        <w:rPr>
          <w:rFonts w:ascii="Times New Roman" w:eastAsia="宋体"/>
          <w:bCs w:val="0"/>
          <w:sz w:val="32"/>
          <w:szCs w:val="32"/>
          <w:lang w:val="en-US"/>
        </w:rPr>
      </w:pPr>
      <w:bookmarkStart w:id="244" w:name="_Toc116978020"/>
      <w:bookmarkStart w:id="245" w:name="_Toc143799407"/>
      <w:r>
        <w:rPr>
          <w:rFonts w:ascii="Times New Roman" w:eastAsia="宋体"/>
          <w:bCs w:val="0"/>
          <w:sz w:val="32"/>
          <w:szCs w:val="32"/>
          <w:lang w:val="en-US"/>
        </w:rPr>
        <w:t>11</w:t>
      </w:r>
      <w:r>
        <w:rPr>
          <w:rFonts w:hint="eastAsia" w:ascii="Times New Roman" w:eastAsia="宋体"/>
          <w:bCs w:val="0"/>
          <w:sz w:val="32"/>
          <w:szCs w:val="32"/>
          <w:lang w:val="en-US"/>
        </w:rPr>
        <w:t>建设项目可行性分析</w:t>
      </w:r>
      <w:bookmarkEnd w:id="244"/>
      <w:bookmarkEnd w:id="245"/>
    </w:p>
    <w:p w14:paraId="014F38A5">
      <w:pPr>
        <w:keepNext/>
        <w:keepLines/>
        <w:numPr>
          <w:ilvl w:val="1"/>
          <w:numId w:val="0"/>
        </w:numPr>
        <w:tabs>
          <w:tab w:val="left" w:pos="425"/>
          <w:tab w:val="clear" w:pos="480"/>
        </w:tabs>
        <w:adjustRightInd w:val="0"/>
        <w:snapToGrid w:val="0"/>
        <w:textAlignment w:val="baseline"/>
        <w:outlineLvl w:val="1"/>
        <w:rPr>
          <w:b/>
          <w:kern w:val="24"/>
          <w:sz w:val="30"/>
          <w:szCs w:val="30"/>
        </w:rPr>
      </w:pPr>
      <w:bookmarkStart w:id="246" w:name="_Toc143799408"/>
      <w:bookmarkStart w:id="247" w:name="_Toc142925938"/>
      <w:r>
        <w:rPr>
          <w:b/>
          <w:kern w:val="24"/>
          <w:sz w:val="30"/>
          <w:szCs w:val="30"/>
        </w:rPr>
        <w:t>11.1 与产业政策和相关规划符合性分析</w:t>
      </w:r>
      <w:bookmarkEnd w:id="246"/>
      <w:bookmarkEnd w:id="247"/>
    </w:p>
    <w:p w14:paraId="573CD381">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11.1.1 与国家产业政策符合性分析</w:t>
      </w:r>
    </w:p>
    <w:p w14:paraId="538AD33B">
      <w:pPr>
        <w:adjustRightInd w:val="0"/>
        <w:snapToGrid w:val="0"/>
        <w:ind w:firstLine="480"/>
      </w:pPr>
      <w:r>
        <w:t>根据《产业结构调整指导目录（2019本）》（2021年修订），本项目未被列入鼓励类、限制类和淘汰类，属于允许类建设项目；对照《限制用地项目目录（2012年本）》和《禁止用地项目目录（2012年本》，本项目不属于限制及禁止类用地项目。因此本项目符合国家产业政策。</w:t>
      </w:r>
    </w:p>
    <w:p w14:paraId="0FD65BCC">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11.1.2 与《关于抑制部分行业产能过剩和重复建设引导产业健康发展若干意见的通知》相符性分析</w:t>
      </w:r>
    </w:p>
    <w:p w14:paraId="2D8C6106">
      <w:pPr>
        <w:adjustRightInd w:val="0"/>
        <w:snapToGrid w:val="0"/>
        <w:ind w:firstLine="480"/>
      </w:pPr>
      <w:r>
        <w:t>国家针对目前风电设备产能过剩、风电设备生产企业增长过快的局面，国发[2009]38号文《关于抑制部分行业产能过剩和重复建设引导产业健康发展若干意见的通知》指出：“重点支持鼓励自主研发2.5MW及以上风电整机及轴承、控制系统等关键零部件及产业化示范·····”。本项目设备选择时，依据风电场山地区域的地形地貌、风力资源等自然条件，以充分利用风电场风能资源为出发点，并通过对国内外风电机组生产厂家的调研以及地形和交通运输条件、湍流强度以及各型风机的成熟性等特点，并结合生产厂家的供货能力等因素比较了不同型号风力发电机组。从工程投资、项目经济性、年上网电量等方面进行综合比较，本项目拟设计安装10台单机容量为5.0MW的机组，装机规模50MW。</w:t>
      </w:r>
    </w:p>
    <w:p w14:paraId="7D72FAB1">
      <w:pPr>
        <w:adjustRightInd w:val="0"/>
        <w:snapToGrid w:val="0"/>
        <w:ind w:firstLine="480"/>
      </w:pPr>
      <w:r>
        <w:t>因此，本项目符合《关于抑制部分行业产能过剩和重复建设引导产业健康发展若干意见的通知》要求。</w:t>
      </w:r>
    </w:p>
    <w:p w14:paraId="3F085E7F">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11.1.3 与“十四五”可再生能源发展规划符合性分析</w:t>
      </w:r>
    </w:p>
    <w:p w14:paraId="3F1E1444">
      <w:pPr>
        <w:adjustRightInd w:val="0"/>
        <w:snapToGrid w:val="0"/>
        <w:ind w:firstLine="480"/>
      </w:pPr>
      <w:r>
        <w:t>根据</w:t>
      </w:r>
      <w:r>
        <w:fldChar w:fldCharType="begin"/>
      </w:r>
      <w:r>
        <w:instrText xml:space="preserve"> HYPERLINK "https://www.ndrc.gov.cn/xxgk/zcfb/ghwb/202206/P020220602315308557623.pdf" </w:instrText>
      </w:r>
      <w:r>
        <w:fldChar w:fldCharType="separate"/>
      </w:r>
      <w:r>
        <w:t>《“十四五”可再生能源发展规划》</w:t>
      </w:r>
      <w:r>
        <w:fldChar w:fldCharType="end"/>
      </w:r>
      <w:r>
        <w:t>：坚持生态优先、因地制宜、多元融合发展，在“三北”地区优化推动风电和光伏发电基地化规模化开发，在西南地区统筹推进水风光综合开发，在中东南部地区重点推动风电和光伏发电就地就近开 发，在东部沿海地区积极推进海上风电集群化开发，稳步推动生物 质能多元化开发，积极推动地热能规模化开发，稳妥推进海洋能示范化开发。</w:t>
      </w:r>
    </w:p>
    <w:p w14:paraId="7FFC3E47">
      <w:pPr>
        <w:adjustRightInd w:val="0"/>
        <w:snapToGrid w:val="0"/>
        <w:ind w:firstLine="480"/>
      </w:pPr>
      <w:r>
        <w:t>本项目为风力发电项目，项目有助于《“十四五”可再生能源发展规划》规划目标的实现；本项目位于湖南省衡阳市衡阳县，属于规划积极支持地区，因此，本项目符合《“十四五”可再生能源发展规划》。</w:t>
      </w:r>
    </w:p>
    <w:p w14:paraId="0AEE383C">
      <w:pPr>
        <w:keepNext/>
        <w:keepLines/>
        <w:numPr>
          <w:ilvl w:val="2"/>
          <w:numId w:val="0"/>
        </w:numPr>
        <w:tabs>
          <w:tab w:val="left" w:pos="425"/>
          <w:tab w:val="clear" w:pos="480"/>
        </w:tabs>
        <w:adjustRightInd w:val="0"/>
        <w:snapToGrid w:val="0"/>
        <w:textAlignment w:val="baseline"/>
        <w:outlineLvl w:val="2"/>
        <w:rPr>
          <w:b/>
          <w:kern w:val="24"/>
        </w:rPr>
      </w:pPr>
      <w:r>
        <w:rPr>
          <w:b/>
          <w:kern w:val="24"/>
          <w:sz w:val="28"/>
          <w:szCs w:val="28"/>
        </w:rPr>
        <w:t>11.1.4 与《湖南省“十四五”可再生能源发展规划》的相符性分析</w:t>
      </w:r>
    </w:p>
    <w:p w14:paraId="6FF014CF">
      <w:pPr>
        <w:adjustRightInd w:val="0"/>
        <w:snapToGrid w:val="0"/>
        <w:ind w:firstLine="480"/>
      </w:pPr>
      <w:r>
        <w:t>《湖南省“十四五”可再生能源发展规划》（湘发改能源[2022]405号）： “（1）坚持项目布局与消纳送出相适应、项目建设与生态环保相协调，优先开发风能资源好、建设条件优，所在地消纳和送出能力强的储备项目，尤其是扩建和续建项目。按照 “储备一批、成熟一批、推进一批”的思路，推动省内风电规模化和可持续发展，以不断扩大的建设规模和市场化资源配置带动省内风电产业继续发展壮大。开展老旧风电场风力发电设备“以大代小”退役改造，因地制宜推进易覆冰风电场抗冰改造，提升装机容量、风能利用效率和风电场经济性。到2025年，全省风电总装机规模达到1200万千瓦以上”。</w:t>
      </w:r>
    </w:p>
    <w:p w14:paraId="685B402F">
      <w:pPr>
        <w:adjustRightInd w:val="0"/>
        <w:snapToGrid w:val="0"/>
        <w:ind w:firstLine="480"/>
      </w:pPr>
      <w:r>
        <w:t>本项目为风力发电项目，项目总装机容量为50MW。项目属于《湖南省发展和改革委员会关于同意全省“十四五”第一批风电、集中式光伏发电项目开发建设的复函》</w:t>
      </w:r>
      <w:r>
        <w:rPr>
          <w:rFonts w:hint="eastAsia"/>
        </w:rPr>
        <w:t>中的项目</w:t>
      </w:r>
      <w:r>
        <w:t>（项目代码HY-FD-010），本项目的实施，有利于实现“到2025年，全省风电总装机规模达到1200万千瓦以上”的规划目标。</w:t>
      </w:r>
    </w:p>
    <w:p w14:paraId="0FBA3600">
      <w:pPr>
        <w:adjustRightInd w:val="0"/>
        <w:snapToGrid w:val="0"/>
        <w:ind w:firstLine="480"/>
      </w:pPr>
      <w:r>
        <w:t>因此，项目符合湖南省“十四五”能源发展规划。</w:t>
      </w:r>
    </w:p>
    <w:p w14:paraId="75B65931">
      <w:pPr>
        <w:keepNext/>
        <w:keepLines/>
        <w:numPr>
          <w:ilvl w:val="2"/>
          <w:numId w:val="0"/>
        </w:numPr>
        <w:tabs>
          <w:tab w:val="left" w:pos="425"/>
          <w:tab w:val="clear" w:pos="480"/>
        </w:tabs>
        <w:adjustRightInd w:val="0"/>
        <w:snapToGrid w:val="0"/>
        <w:textAlignment w:val="baseline"/>
        <w:outlineLvl w:val="2"/>
        <w:rPr>
          <w:b/>
          <w:kern w:val="24"/>
        </w:rPr>
      </w:pPr>
      <w:r>
        <w:rPr>
          <w:b/>
          <w:kern w:val="24"/>
          <w:sz w:val="28"/>
          <w:szCs w:val="28"/>
        </w:rPr>
        <w:t>11.1.5 与《湖南省“十四五”生态环境保护规划》的相符性分析</w:t>
      </w:r>
    </w:p>
    <w:p w14:paraId="6F8899AB">
      <w:pPr>
        <w:adjustRightInd w:val="0"/>
        <w:snapToGrid w:val="0"/>
        <w:ind w:firstLine="480"/>
      </w:pPr>
      <w:r>
        <w:t>根据湖南省人民政府办公厅关于印发《湖南省“十四五”生态环境保护规划》的通知（湘政办发〔2021〕61 号）。</w:t>
      </w:r>
    </w:p>
    <w:p w14:paraId="667C3279">
      <w:pPr>
        <w:adjustRightInd w:val="0"/>
        <w:snapToGrid w:val="0"/>
        <w:ind w:firstLine="480"/>
      </w:pPr>
      <w:r>
        <w:t>“十四五”总体目标：生产生活方式绿色转型成效显著，能源资源配置更加合理、利用效率大幅提高，国土空间开发与保护格局得到优化，污染物排放总量持续减少，生态环境质量持续改善，突出生态环境问题加快解决，重大生态环境风险基本化解，生态安全屏障更加牢固，城乡人居环境明显改善，生态环境治理体系和治理能力现代化水平明显增强，生态文明建设实现新进步。</w:t>
      </w:r>
    </w:p>
    <w:p w14:paraId="45A947D0">
      <w:pPr>
        <w:adjustRightInd w:val="0"/>
        <w:snapToGrid w:val="0"/>
        <w:ind w:firstLine="480"/>
      </w:pPr>
      <w:r>
        <w:t>“十四五”具体指标：到2025 年，全省绿色低碳发展水平显著提升，重点污染物排放总量、单位地区生产总值二氧化碳排放量和能耗持续降低；水环境质量持续改善，全面消除劣Ⅴ类水体，洞庭湖总磷浓度持续下降，市级城市集中式饮用水水源地水质全面达标，县级城市集中式饮用水水源地水质达标率达到95.8%；空气环境质量持续改善，地级及以上城市PM</w:t>
      </w:r>
      <w:r>
        <w:rPr>
          <w:vertAlign w:val="subscript"/>
        </w:rPr>
        <w:t>2.5</w:t>
      </w:r>
      <w:r>
        <w:t>年平均浓度持续下降，基本消除重度及以上污染天数；全省土壤污染环境风险得到有效管控，土壤安全利用水平巩固提升，受污染耕地和重点建设用地实现安全利用和有效管控；自然生态保护监管取得积极进展，森林覆盖率不降低。</w:t>
      </w:r>
    </w:p>
    <w:p w14:paraId="0A34DA12">
      <w:pPr>
        <w:adjustRightInd w:val="0"/>
        <w:snapToGrid w:val="0"/>
        <w:ind w:firstLine="480"/>
      </w:pPr>
      <w:r>
        <w:t>本项目为风力发电项目，属于《规划》中推动能源结构持续优化中鼓励的新能源发展方向，项目的建设可增加清洁能源在全省能源结构中的占比，可进一步优化全省能源结构，可代替部分火电，减少二氧化碳和氮氧化物的排放，使区域污染物排放总量持续减少，促进区域绿色低碳发展。</w:t>
      </w:r>
    </w:p>
    <w:p w14:paraId="289EA069">
      <w:pPr>
        <w:adjustRightInd w:val="0"/>
        <w:snapToGrid w:val="0"/>
        <w:ind w:firstLine="480"/>
      </w:pPr>
      <w:r>
        <w:t>本项目选址符合相关规划，施工期、营运期造成的环境影响较小，本项目的建设有利于实现《湖南省“十四五”生态环境保护规划》的总体目标，因此本项目与《湖南省“十四五”生态环境保护规划》相符。</w:t>
      </w:r>
    </w:p>
    <w:p w14:paraId="687C94A3">
      <w:pPr>
        <w:keepNext/>
        <w:keepLines/>
        <w:numPr>
          <w:ilvl w:val="1"/>
          <w:numId w:val="0"/>
        </w:numPr>
        <w:tabs>
          <w:tab w:val="left" w:pos="425"/>
          <w:tab w:val="clear" w:pos="480"/>
        </w:tabs>
        <w:adjustRightInd w:val="0"/>
        <w:snapToGrid w:val="0"/>
        <w:textAlignment w:val="baseline"/>
        <w:outlineLvl w:val="1"/>
        <w:rPr>
          <w:b/>
          <w:kern w:val="24"/>
          <w:sz w:val="30"/>
          <w:szCs w:val="30"/>
        </w:rPr>
      </w:pPr>
      <w:bookmarkStart w:id="248" w:name="_Toc143799409"/>
      <w:bookmarkStart w:id="249" w:name="_Toc136269446"/>
      <w:bookmarkStart w:id="250" w:name="_Toc134040819"/>
      <w:bookmarkStart w:id="251" w:name="_Toc142925939"/>
      <w:r>
        <w:rPr>
          <w:b/>
          <w:kern w:val="24"/>
          <w:sz w:val="30"/>
          <w:szCs w:val="30"/>
        </w:rPr>
        <w:t>11.2与行业发展规范性文件符合性分析</w:t>
      </w:r>
      <w:bookmarkEnd w:id="248"/>
      <w:bookmarkEnd w:id="249"/>
      <w:bookmarkEnd w:id="250"/>
      <w:bookmarkEnd w:id="251"/>
    </w:p>
    <w:p w14:paraId="0E5F2FC6">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11.2.1与国家林业和草原局关于规范风电场项目建设使用林地的通知（林资发[2019]17号）的符合性分析</w:t>
      </w:r>
    </w:p>
    <w:p w14:paraId="74B86A63">
      <w:pPr>
        <w:tabs>
          <w:tab w:val="clear" w:pos="480"/>
        </w:tabs>
        <w:adjustRightInd w:val="0"/>
        <w:snapToGrid w:val="0"/>
        <w:ind w:firstLine="480"/>
        <w:jc w:val="left"/>
        <w:rPr>
          <w:kern w:val="0"/>
        </w:rPr>
      </w:pPr>
      <w:r>
        <w:rPr>
          <w:kern w:val="0"/>
        </w:rPr>
        <w:t>本项目与《国家林业和草原局关于规范风电场项目建设使用林地的通知》（林资发[2019]17号）相符性分析见下表。</w:t>
      </w:r>
    </w:p>
    <w:p w14:paraId="61D63F4A">
      <w:pPr>
        <w:tabs>
          <w:tab w:val="clear" w:pos="480"/>
        </w:tabs>
        <w:spacing w:line="240" w:lineRule="auto"/>
        <w:ind w:firstLine="0" w:firstLineChars="0"/>
        <w:jc w:val="center"/>
        <w:rPr>
          <w:b/>
          <w:sz w:val="21"/>
          <w:szCs w:val="21"/>
        </w:rPr>
      </w:pPr>
      <w:r>
        <w:rPr>
          <w:b/>
          <w:sz w:val="21"/>
          <w:szCs w:val="21"/>
        </w:rPr>
        <w:t>表</w:t>
      </w:r>
      <w:r>
        <w:rPr>
          <w:rFonts w:hint="eastAsia"/>
          <w:b/>
          <w:sz w:val="21"/>
          <w:szCs w:val="21"/>
        </w:rPr>
        <w:t>1</w:t>
      </w:r>
      <w:r>
        <w:rPr>
          <w:b/>
          <w:sz w:val="21"/>
          <w:szCs w:val="21"/>
        </w:rPr>
        <w:t>1.2-1 本项目与林资发[2019]17号相符性分析一览表</w:t>
      </w:r>
    </w:p>
    <w:tbl>
      <w:tblPr>
        <w:tblStyle w:val="88"/>
        <w:tblW w:w="5000" w:type="pct"/>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autofit"/>
        <w:tblCellMar>
          <w:top w:w="0" w:type="dxa"/>
          <w:left w:w="0" w:type="dxa"/>
          <w:bottom w:w="0" w:type="dxa"/>
          <w:right w:w="0" w:type="dxa"/>
        </w:tblCellMar>
      </w:tblPr>
      <w:tblGrid>
        <w:gridCol w:w="750"/>
        <w:gridCol w:w="2539"/>
        <w:gridCol w:w="637"/>
        <w:gridCol w:w="2031"/>
        <w:gridCol w:w="2400"/>
      </w:tblGrid>
      <w:tr w14:paraId="3054260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tcMar>
              <w:top w:w="15" w:type="dxa"/>
              <w:left w:w="7" w:type="dxa"/>
              <w:bottom w:w="0" w:type="dxa"/>
              <w:right w:w="7" w:type="dxa"/>
            </w:tcMar>
            <w:vAlign w:val="center"/>
          </w:tcPr>
          <w:p w14:paraId="7346E64D">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管理要求</w:t>
            </w:r>
          </w:p>
        </w:tc>
        <w:tc>
          <w:tcPr>
            <w:tcW w:w="1900" w:type="pct"/>
            <w:gridSpan w:val="2"/>
            <w:tcMar>
              <w:top w:w="15" w:type="dxa"/>
              <w:left w:w="7" w:type="dxa"/>
              <w:bottom w:w="0" w:type="dxa"/>
              <w:right w:w="7" w:type="dxa"/>
            </w:tcMar>
            <w:vAlign w:val="center"/>
          </w:tcPr>
          <w:p w14:paraId="01FE11C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类别</w:t>
            </w:r>
          </w:p>
        </w:tc>
        <w:tc>
          <w:tcPr>
            <w:tcW w:w="1215" w:type="pct"/>
            <w:tcMar>
              <w:top w:w="15" w:type="dxa"/>
              <w:left w:w="7" w:type="dxa"/>
              <w:bottom w:w="0" w:type="dxa"/>
              <w:right w:w="7" w:type="dxa"/>
            </w:tcMar>
            <w:vAlign w:val="center"/>
          </w:tcPr>
          <w:p w14:paraId="0AFDF32A">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相对位置关系/备注</w:t>
            </w:r>
          </w:p>
        </w:tc>
        <w:tc>
          <w:tcPr>
            <w:tcW w:w="1436" w:type="pct"/>
            <w:tcMar>
              <w:top w:w="15" w:type="dxa"/>
              <w:left w:w="7" w:type="dxa"/>
              <w:bottom w:w="0" w:type="dxa"/>
              <w:right w:w="7" w:type="dxa"/>
            </w:tcMar>
            <w:vAlign w:val="center"/>
          </w:tcPr>
          <w:p w14:paraId="4B66583E">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确认依据</w:t>
            </w:r>
          </w:p>
        </w:tc>
      </w:tr>
      <w:tr w14:paraId="4473999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restart"/>
            <w:tcMar>
              <w:top w:w="15" w:type="dxa"/>
              <w:left w:w="7" w:type="dxa"/>
              <w:bottom w:w="0" w:type="dxa"/>
              <w:right w:w="7" w:type="dxa"/>
            </w:tcMar>
            <w:vAlign w:val="center"/>
          </w:tcPr>
          <w:p w14:paraId="274360C4">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禁止建</w:t>
            </w:r>
          </w:p>
          <w:p w14:paraId="5EE3F59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设区域</w:t>
            </w:r>
          </w:p>
        </w:tc>
        <w:tc>
          <w:tcPr>
            <w:tcW w:w="1519" w:type="pct"/>
            <w:tcMar>
              <w:top w:w="15" w:type="dxa"/>
              <w:left w:w="7" w:type="dxa"/>
              <w:bottom w:w="0" w:type="dxa"/>
              <w:right w:w="7" w:type="dxa"/>
            </w:tcMar>
            <w:vAlign w:val="center"/>
          </w:tcPr>
          <w:p w14:paraId="6A51E9D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自然遗产地</w:t>
            </w:r>
          </w:p>
        </w:tc>
        <w:tc>
          <w:tcPr>
            <w:tcW w:w="381" w:type="pct"/>
            <w:tcMar>
              <w:top w:w="15" w:type="dxa"/>
              <w:left w:w="7" w:type="dxa"/>
              <w:bottom w:w="0" w:type="dxa"/>
              <w:right w:w="7" w:type="dxa"/>
            </w:tcMar>
            <w:vAlign w:val="center"/>
          </w:tcPr>
          <w:p w14:paraId="6384AF3A">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744320E7">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restart"/>
            <w:tcMar>
              <w:top w:w="15" w:type="dxa"/>
              <w:left w:w="7" w:type="dxa"/>
              <w:bottom w:w="0" w:type="dxa"/>
              <w:right w:w="7" w:type="dxa"/>
            </w:tcMar>
            <w:vAlign w:val="center"/>
          </w:tcPr>
          <w:p w14:paraId="4E524025">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《湖南省主体功能区规划》、衡阳县林业局的选址意见</w:t>
            </w:r>
          </w:p>
        </w:tc>
      </w:tr>
      <w:tr w14:paraId="0F2B942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21D82101">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7B76F375">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国家公园</w:t>
            </w:r>
          </w:p>
        </w:tc>
        <w:tc>
          <w:tcPr>
            <w:tcW w:w="381" w:type="pct"/>
            <w:tcMar>
              <w:top w:w="15" w:type="dxa"/>
              <w:left w:w="7" w:type="dxa"/>
              <w:bottom w:w="0" w:type="dxa"/>
              <w:right w:w="7" w:type="dxa"/>
            </w:tcMar>
            <w:vAlign w:val="center"/>
          </w:tcPr>
          <w:p w14:paraId="1D66D661">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0D3AF8EB">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continue"/>
            <w:vAlign w:val="center"/>
          </w:tcPr>
          <w:p w14:paraId="2A6C1342">
            <w:pPr>
              <w:tabs>
                <w:tab w:val="clear" w:pos="480"/>
              </w:tabs>
              <w:adjustRightInd w:val="0"/>
              <w:snapToGrid w:val="0"/>
              <w:spacing w:before="33" w:beforeLines="10" w:after="33" w:afterLines="10" w:line="240" w:lineRule="auto"/>
              <w:ind w:firstLine="0" w:firstLineChars="0"/>
              <w:jc w:val="center"/>
              <w:rPr>
                <w:kern w:val="0"/>
                <w:sz w:val="21"/>
                <w:szCs w:val="21"/>
              </w:rPr>
            </w:pPr>
          </w:p>
        </w:tc>
      </w:tr>
      <w:tr w14:paraId="0D96657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15E09450">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63A66E3E">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自然保护区</w:t>
            </w:r>
          </w:p>
        </w:tc>
        <w:tc>
          <w:tcPr>
            <w:tcW w:w="381" w:type="pct"/>
            <w:tcMar>
              <w:top w:w="15" w:type="dxa"/>
              <w:left w:w="15" w:type="dxa"/>
              <w:bottom w:w="0" w:type="dxa"/>
              <w:right w:w="15" w:type="dxa"/>
            </w:tcMar>
            <w:vAlign w:val="center"/>
          </w:tcPr>
          <w:p w14:paraId="02E02EA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6D6B3068">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continue"/>
            <w:vAlign w:val="center"/>
          </w:tcPr>
          <w:p w14:paraId="442D0144">
            <w:pPr>
              <w:tabs>
                <w:tab w:val="clear" w:pos="480"/>
              </w:tabs>
              <w:adjustRightInd w:val="0"/>
              <w:snapToGrid w:val="0"/>
              <w:spacing w:before="33" w:beforeLines="10" w:after="33" w:afterLines="10" w:line="240" w:lineRule="auto"/>
              <w:ind w:firstLine="0" w:firstLineChars="0"/>
              <w:jc w:val="center"/>
              <w:rPr>
                <w:kern w:val="0"/>
                <w:sz w:val="21"/>
                <w:szCs w:val="21"/>
              </w:rPr>
            </w:pPr>
          </w:p>
        </w:tc>
      </w:tr>
      <w:tr w14:paraId="4C96107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5DBE94CA">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735EE31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森林公园</w:t>
            </w:r>
          </w:p>
        </w:tc>
        <w:tc>
          <w:tcPr>
            <w:tcW w:w="381" w:type="pct"/>
            <w:tcMar>
              <w:top w:w="15" w:type="dxa"/>
              <w:left w:w="7" w:type="dxa"/>
              <w:bottom w:w="0" w:type="dxa"/>
              <w:right w:w="7" w:type="dxa"/>
            </w:tcMar>
            <w:vAlign w:val="center"/>
          </w:tcPr>
          <w:p w14:paraId="1A3A13A4">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411035D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continue"/>
            <w:vAlign w:val="center"/>
          </w:tcPr>
          <w:p w14:paraId="25EE934F">
            <w:pPr>
              <w:tabs>
                <w:tab w:val="clear" w:pos="480"/>
              </w:tabs>
              <w:adjustRightInd w:val="0"/>
              <w:snapToGrid w:val="0"/>
              <w:spacing w:before="33" w:beforeLines="10" w:after="33" w:afterLines="10" w:line="240" w:lineRule="auto"/>
              <w:ind w:firstLine="0" w:firstLineChars="0"/>
              <w:jc w:val="center"/>
              <w:rPr>
                <w:kern w:val="0"/>
                <w:sz w:val="21"/>
                <w:szCs w:val="21"/>
              </w:rPr>
            </w:pPr>
          </w:p>
        </w:tc>
      </w:tr>
      <w:tr w14:paraId="1AAEE63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3403A6F6">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0B29088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湿地公园</w:t>
            </w:r>
          </w:p>
        </w:tc>
        <w:tc>
          <w:tcPr>
            <w:tcW w:w="381" w:type="pct"/>
            <w:tcMar>
              <w:top w:w="15" w:type="dxa"/>
              <w:left w:w="7" w:type="dxa"/>
              <w:bottom w:w="0" w:type="dxa"/>
              <w:right w:w="7" w:type="dxa"/>
            </w:tcMar>
            <w:vAlign w:val="center"/>
          </w:tcPr>
          <w:p w14:paraId="40380E3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4186F7AD">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continue"/>
            <w:vAlign w:val="center"/>
          </w:tcPr>
          <w:p w14:paraId="71D8868E">
            <w:pPr>
              <w:tabs>
                <w:tab w:val="clear" w:pos="480"/>
              </w:tabs>
              <w:adjustRightInd w:val="0"/>
              <w:snapToGrid w:val="0"/>
              <w:spacing w:before="33" w:beforeLines="10" w:after="33" w:afterLines="10" w:line="240" w:lineRule="auto"/>
              <w:ind w:firstLine="0" w:firstLineChars="0"/>
              <w:jc w:val="center"/>
              <w:rPr>
                <w:kern w:val="0"/>
                <w:sz w:val="21"/>
                <w:szCs w:val="21"/>
              </w:rPr>
            </w:pPr>
          </w:p>
        </w:tc>
      </w:tr>
      <w:tr w14:paraId="60194BD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42C23308">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2F2C8117">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地质公园</w:t>
            </w:r>
          </w:p>
        </w:tc>
        <w:tc>
          <w:tcPr>
            <w:tcW w:w="381" w:type="pct"/>
            <w:tcMar>
              <w:top w:w="15" w:type="dxa"/>
              <w:left w:w="7" w:type="dxa"/>
              <w:bottom w:w="0" w:type="dxa"/>
              <w:right w:w="7" w:type="dxa"/>
            </w:tcMar>
            <w:vAlign w:val="center"/>
          </w:tcPr>
          <w:p w14:paraId="5961184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7CEC920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continue"/>
            <w:tcMar>
              <w:top w:w="15" w:type="dxa"/>
              <w:left w:w="7" w:type="dxa"/>
              <w:bottom w:w="0" w:type="dxa"/>
              <w:right w:w="7" w:type="dxa"/>
            </w:tcMar>
            <w:vAlign w:val="center"/>
          </w:tcPr>
          <w:p w14:paraId="1AAC53D8">
            <w:pPr>
              <w:tabs>
                <w:tab w:val="clear" w:pos="480"/>
              </w:tabs>
              <w:adjustRightInd w:val="0"/>
              <w:snapToGrid w:val="0"/>
              <w:spacing w:before="33" w:beforeLines="10" w:after="33" w:afterLines="10" w:line="240" w:lineRule="auto"/>
              <w:ind w:firstLine="0" w:firstLineChars="0"/>
              <w:jc w:val="center"/>
              <w:rPr>
                <w:kern w:val="0"/>
                <w:sz w:val="21"/>
                <w:szCs w:val="21"/>
              </w:rPr>
            </w:pPr>
          </w:p>
        </w:tc>
      </w:tr>
      <w:tr w14:paraId="22B83EA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457ECCFF">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2C8B2955">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风景名胜区</w:t>
            </w:r>
          </w:p>
        </w:tc>
        <w:tc>
          <w:tcPr>
            <w:tcW w:w="381" w:type="pct"/>
            <w:tcMar>
              <w:top w:w="15" w:type="dxa"/>
              <w:left w:w="7" w:type="dxa"/>
              <w:bottom w:w="0" w:type="dxa"/>
              <w:right w:w="7" w:type="dxa"/>
            </w:tcMar>
            <w:vAlign w:val="center"/>
          </w:tcPr>
          <w:p w14:paraId="71BD5B6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08692B4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Merge w:val="continue"/>
            <w:vAlign w:val="center"/>
          </w:tcPr>
          <w:p w14:paraId="45AD418B">
            <w:pPr>
              <w:tabs>
                <w:tab w:val="clear" w:pos="480"/>
              </w:tabs>
              <w:adjustRightInd w:val="0"/>
              <w:snapToGrid w:val="0"/>
              <w:spacing w:before="33" w:beforeLines="10" w:after="33" w:afterLines="10" w:line="240" w:lineRule="auto"/>
              <w:ind w:firstLine="0" w:firstLineChars="0"/>
              <w:jc w:val="center"/>
              <w:rPr>
                <w:kern w:val="0"/>
                <w:sz w:val="21"/>
                <w:szCs w:val="21"/>
              </w:rPr>
            </w:pPr>
          </w:p>
        </w:tc>
      </w:tr>
      <w:tr w14:paraId="3809294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114929C6">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3ED449E0">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鸟类主要迁徙通道和迁徙地等区域</w:t>
            </w:r>
          </w:p>
        </w:tc>
        <w:tc>
          <w:tcPr>
            <w:tcW w:w="381" w:type="pct"/>
            <w:tcMar>
              <w:top w:w="15" w:type="dxa"/>
              <w:left w:w="7" w:type="dxa"/>
              <w:bottom w:w="0" w:type="dxa"/>
              <w:right w:w="7" w:type="dxa"/>
            </w:tcMar>
            <w:vAlign w:val="center"/>
          </w:tcPr>
          <w:p w14:paraId="7122F20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64AB3C8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Align w:val="center"/>
          </w:tcPr>
          <w:p w14:paraId="183EB09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环评报告调查结论</w:t>
            </w:r>
          </w:p>
        </w:tc>
      </w:tr>
      <w:tr w14:paraId="5825CCD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5281913D">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4FADA215">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沿海基干林带和消浪林带</w:t>
            </w:r>
          </w:p>
        </w:tc>
        <w:tc>
          <w:tcPr>
            <w:tcW w:w="381" w:type="pct"/>
            <w:tcMar>
              <w:top w:w="15" w:type="dxa"/>
              <w:left w:w="7" w:type="dxa"/>
              <w:bottom w:w="0" w:type="dxa"/>
              <w:right w:w="7" w:type="dxa"/>
            </w:tcMar>
            <w:vAlign w:val="center"/>
          </w:tcPr>
          <w:p w14:paraId="532FE010">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6EB396E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c>
          <w:tcPr>
            <w:tcW w:w="1436" w:type="pct"/>
            <w:vAlign w:val="center"/>
          </w:tcPr>
          <w:p w14:paraId="7AB04A78">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w:t>
            </w:r>
          </w:p>
        </w:tc>
      </w:tr>
      <w:tr w14:paraId="76CC112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3D310A16">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1D5CB2A1">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一级国家级公益林地</w:t>
            </w:r>
          </w:p>
        </w:tc>
        <w:tc>
          <w:tcPr>
            <w:tcW w:w="381" w:type="pct"/>
            <w:tcMar>
              <w:top w:w="15" w:type="dxa"/>
              <w:left w:w="7" w:type="dxa"/>
              <w:bottom w:w="0" w:type="dxa"/>
              <w:right w:w="7" w:type="dxa"/>
            </w:tcMar>
            <w:vAlign w:val="center"/>
          </w:tcPr>
          <w:p w14:paraId="083D8CA7">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3C49A50E">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项目用地不占用一级国家级公益林地</w:t>
            </w:r>
          </w:p>
        </w:tc>
        <w:tc>
          <w:tcPr>
            <w:tcW w:w="1436" w:type="pct"/>
            <w:vAlign w:val="center"/>
          </w:tcPr>
          <w:p w14:paraId="704DE160">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衡阳市衡阳县林业局的选址意见</w:t>
            </w:r>
          </w:p>
        </w:tc>
      </w:tr>
      <w:tr w14:paraId="13B8C2C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49" w:type="pct"/>
            <w:vMerge w:val="continue"/>
            <w:vAlign w:val="center"/>
          </w:tcPr>
          <w:p w14:paraId="0DBB6AAD">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1519" w:type="pct"/>
            <w:tcMar>
              <w:top w:w="15" w:type="dxa"/>
              <w:left w:w="7" w:type="dxa"/>
              <w:bottom w:w="0" w:type="dxa"/>
              <w:right w:w="7" w:type="dxa"/>
            </w:tcMar>
            <w:vAlign w:val="center"/>
          </w:tcPr>
          <w:p w14:paraId="69F83068">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二级国家级公益林中有林地集中区域</w:t>
            </w:r>
          </w:p>
        </w:tc>
        <w:tc>
          <w:tcPr>
            <w:tcW w:w="381" w:type="pct"/>
            <w:tcMar>
              <w:top w:w="15" w:type="dxa"/>
              <w:left w:w="7" w:type="dxa"/>
              <w:bottom w:w="0" w:type="dxa"/>
              <w:right w:w="7" w:type="dxa"/>
            </w:tcMar>
            <w:vAlign w:val="center"/>
          </w:tcPr>
          <w:p w14:paraId="7166038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无</w:t>
            </w:r>
          </w:p>
        </w:tc>
        <w:tc>
          <w:tcPr>
            <w:tcW w:w="1215" w:type="pct"/>
            <w:tcMar>
              <w:top w:w="15" w:type="dxa"/>
              <w:left w:w="7" w:type="dxa"/>
              <w:bottom w:w="0" w:type="dxa"/>
              <w:right w:w="7" w:type="dxa"/>
            </w:tcMar>
            <w:vAlign w:val="center"/>
          </w:tcPr>
          <w:p w14:paraId="71A18A7C">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项目用地不占用二级国家级公益林中有林地集中区域</w:t>
            </w:r>
          </w:p>
        </w:tc>
        <w:tc>
          <w:tcPr>
            <w:tcW w:w="1436" w:type="pct"/>
            <w:vAlign w:val="center"/>
          </w:tcPr>
          <w:p w14:paraId="5D4AA56A">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衡阳市衡阳县林业局的选址意见</w:t>
            </w:r>
          </w:p>
        </w:tc>
      </w:tr>
    </w:tbl>
    <w:p w14:paraId="32151C05">
      <w:pPr>
        <w:adjustRightInd w:val="0"/>
        <w:snapToGrid w:val="0"/>
        <w:ind w:firstLine="480"/>
      </w:pPr>
      <w:r>
        <w:t>根据衡阳县林业局针对本项目出具的选址意见：“本项目选址范围不涉及自然遗产地、国家公园、自然保护区、森林公园、湿地公园、风景名胜区、国有林场、鸟类主要迁徙通道和迁徙地等区域以及沿海基干林带和消浪林带，亦未占用天然乔木林（竹林）地和二级国家级公益林中的有林地”。</w:t>
      </w:r>
    </w:p>
    <w:p w14:paraId="6EE0A97B">
      <w:pPr>
        <w:adjustRightInd w:val="0"/>
        <w:snapToGrid w:val="0"/>
        <w:ind w:firstLine="480"/>
      </w:pPr>
      <w:r>
        <w:t>综上，本项目符合《国家林业和草原局关于规范风电场项目使用林地的通知》（林资发[2019]17号）要求。</w:t>
      </w:r>
    </w:p>
    <w:p w14:paraId="3BD2C055">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11.2.2项目与《关于进一步规范风电发展的通知》的符合性分析</w:t>
      </w:r>
    </w:p>
    <w:p w14:paraId="1F293F0B">
      <w:pPr>
        <w:adjustRightInd w:val="0"/>
        <w:snapToGrid w:val="0"/>
        <w:ind w:firstLine="480"/>
      </w:pPr>
      <w:r>
        <w:t>本项目与《关于进一步规范风电发展的通知》(湘发改能源〔2016〕822号)相符性分析见下表。</w:t>
      </w:r>
    </w:p>
    <w:p w14:paraId="0C644B63">
      <w:pPr>
        <w:tabs>
          <w:tab w:val="clear" w:pos="480"/>
        </w:tabs>
        <w:spacing w:line="240" w:lineRule="auto"/>
        <w:ind w:firstLine="0" w:firstLineChars="0"/>
        <w:jc w:val="center"/>
        <w:rPr>
          <w:b/>
        </w:rPr>
      </w:pPr>
      <w:r>
        <w:rPr>
          <w:b/>
        </w:rPr>
        <w:t>表11.2-2 本项目与《关于进一步规范风电发展的通知》符合性分析</w:t>
      </w:r>
    </w:p>
    <w:tbl>
      <w:tblPr>
        <w:tblStyle w:val="88"/>
        <w:tblW w:w="5000" w:type="pct"/>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autofit"/>
        <w:tblCellMar>
          <w:top w:w="0" w:type="dxa"/>
          <w:left w:w="108" w:type="dxa"/>
          <w:bottom w:w="0" w:type="dxa"/>
          <w:right w:w="108" w:type="dxa"/>
        </w:tblCellMar>
      </w:tblPr>
      <w:tblGrid>
        <w:gridCol w:w="917"/>
        <w:gridCol w:w="1941"/>
        <w:gridCol w:w="686"/>
        <w:gridCol w:w="3177"/>
        <w:gridCol w:w="1806"/>
      </w:tblGrid>
      <w:tr w14:paraId="200EB9D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Align w:val="center"/>
          </w:tcPr>
          <w:p w14:paraId="7EACC5E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管理</w:t>
            </w:r>
          </w:p>
          <w:p w14:paraId="4530AD1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要求</w:t>
            </w:r>
          </w:p>
        </w:tc>
        <w:tc>
          <w:tcPr>
            <w:tcW w:w="1138" w:type="pct"/>
            <w:vAlign w:val="center"/>
          </w:tcPr>
          <w:p w14:paraId="776E4A5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类别</w:t>
            </w:r>
          </w:p>
        </w:tc>
        <w:tc>
          <w:tcPr>
            <w:tcW w:w="402" w:type="pct"/>
            <w:vAlign w:val="center"/>
          </w:tcPr>
          <w:p w14:paraId="5D25C6E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名称</w:t>
            </w:r>
          </w:p>
        </w:tc>
        <w:tc>
          <w:tcPr>
            <w:tcW w:w="1863" w:type="pct"/>
            <w:vAlign w:val="center"/>
          </w:tcPr>
          <w:p w14:paraId="0D4CCF8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相对位置关系及说明</w:t>
            </w:r>
          </w:p>
        </w:tc>
        <w:tc>
          <w:tcPr>
            <w:tcW w:w="1059" w:type="pct"/>
            <w:vAlign w:val="center"/>
          </w:tcPr>
          <w:p w14:paraId="56C35E8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确认依据</w:t>
            </w:r>
          </w:p>
        </w:tc>
      </w:tr>
      <w:tr w14:paraId="03143E2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restart"/>
            <w:vAlign w:val="center"/>
          </w:tcPr>
          <w:p w14:paraId="6FFB26B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禁止建设区域</w:t>
            </w:r>
          </w:p>
        </w:tc>
        <w:tc>
          <w:tcPr>
            <w:tcW w:w="1138" w:type="pct"/>
            <w:vAlign w:val="center"/>
          </w:tcPr>
          <w:p w14:paraId="1108551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世界文化与自然遗产地</w:t>
            </w:r>
          </w:p>
        </w:tc>
        <w:tc>
          <w:tcPr>
            <w:tcW w:w="402" w:type="pct"/>
            <w:vAlign w:val="center"/>
          </w:tcPr>
          <w:p w14:paraId="07B5A99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5F375227">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restart"/>
            <w:vAlign w:val="center"/>
          </w:tcPr>
          <w:p w14:paraId="685795A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《湖南省主体功能区规划》、衡阳县林业局选址意见</w:t>
            </w:r>
          </w:p>
        </w:tc>
      </w:tr>
      <w:tr w14:paraId="76D7298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3AA1DB0D">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6E5D5CF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省级以上（含省级）自然保护区</w:t>
            </w:r>
          </w:p>
        </w:tc>
        <w:tc>
          <w:tcPr>
            <w:tcW w:w="402" w:type="pct"/>
            <w:vAlign w:val="center"/>
          </w:tcPr>
          <w:p w14:paraId="0EC5298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3CD7152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continue"/>
            <w:vAlign w:val="center"/>
          </w:tcPr>
          <w:p w14:paraId="225375B3">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75BD59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3760B6D2">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1452788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省级以上（含省级）风景名胜区</w:t>
            </w:r>
          </w:p>
        </w:tc>
        <w:tc>
          <w:tcPr>
            <w:tcW w:w="402" w:type="pct"/>
            <w:vAlign w:val="center"/>
          </w:tcPr>
          <w:p w14:paraId="3AE6652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33C4478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continue"/>
            <w:vAlign w:val="center"/>
          </w:tcPr>
          <w:p w14:paraId="0BF94AF5">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547F8B0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7C314513">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0933DCE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省级以上（含省级）森林公园</w:t>
            </w:r>
          </w:p>
        </w:tc>
        <w:tc>
          <w:tcPr>
            <w:tcW w:w="402" w:type="pct"/>
            <w:vAlign w:val="center"/>
          </w:tcPr>
          <w:p w14:paraId="25AEF65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442C5E30">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continue"/>
            <w:vAlign w:val="center"/>
          </w:tcPr>
          <w:p w14:paraId="75262C54">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67BC8C4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3C045BD6">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0E43FC9C">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生态保护红线</w:t>
            </w:r>
          </w:p>
        </w:tc>
        <w:tc>
          <w:tcPr>
            <w:tcW w:w="402" w:type="pct"/>
            <w:vAlign w:val="center"/>
          </w:tcPr>
          <w:p w14:paraId="613E944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1863" w:type="pct"/>
            <w:vAlign w:val="center"/>
          </w:tcPr>
          <w:p w14:paraId="38CC77E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Align w:val="center"/>
          </w:tcPr>
          <w:p w14:paraId="1720FDF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衡阳县自然资源局选址意见</w:t>
            </w:r>
            <w:r>
              <w:rPr>
                <w:rFonts w:hint="eastAsia"/>
                <w:kern w:val="0"/>
                <w:sz w:val="18"/>
                <w:szCs w:val="18"/>
              </w:rPr>
              <w:t>和第三测绘院查询文件</w:t>
            </w:r>
          </w:p>
        </w:tc>
      </w:tr>
      <w:tr w14:paraId="2B42E43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475F6B6B">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32A8D4F8">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Ⅰ级保护林</w:t>
            </w:r>
          </w:p>
        </w:tc>
        <w:tc>
          <w:tcPr>
            <w:tcW w:w="402" w:type="pct"/>
            <w:vAlign w:val="center"/>
          </w:tcPr>
          <w:p w14:paraId="11FEF38E">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7CD250A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restart"/>
            <w:vAlign w:val="center"/>
          </w:tcPr>
          <w:p w14:paraId="2B6DB84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衡阳县林业局选址意见</w:t>
            </w:r>
          </w:p>
        </w:tc>
      </w:tr>
      <w:tr w14:paraId="476E7B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4038FD53">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655B249A">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一级国家公益林</w:t>
            </w:r>
          </w:p>
        </w:tc>
        <w:tc>
          <w:tcPr>
            <w:tcW w:w="402" w:type="pct"/>
            <w:vAlign w:val="center"/>
          </w:tcPr>
          <w:p w14:paraId="749824C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0BC7B14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continue"/>
            <w:vAlign w:val="center"/>
          </w:tcPr>
          <w:p w14:paraId="06E983B5">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4467DB2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restart"/>
            <w:vAlign w:val="center"/>
          </w:tcPr>
          <w:p w14:paraId="7474EE01">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严格控制区域</w:t>
            </w:r>
          </w:p>
        </w:tc>
        <w:tc>
          <w:tcPr>
            <w:tcW w:w="1138" w:type="pct"/>
            <w:vAlign w:val="center"/>
          </w:tcPr>
          <w:p w14:paraId="44DB959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湿地公园</w:t>
            </w:r>
          </w:p>
        </w:tc>
        <w:tc>
          <w:tcPr>
            <w:tcW w:w="402" w:type="pct"/>
            <w:vAlign w:val="center"/>
          </w:tcPr>
          <w:p w14:paraId="3706E487">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1E79CFA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restart"/>
            <w:vAlign w:val="center"/>
          </w:tcPr>
          <w:p w14:paraId="421F435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衡阳县林业局见</w:t>
            </w:r>
          </w:p>
        </w:tc>
      </w:tr>
      <w:tr w14:paraId="377C68B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5F4FC3AE">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1212D9DB">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地质公园</w:t>
            </w:r>
          </w:p>
        </w:tc>
        <w:tc>
          <w:tcPr>
            <w:tcW w:w="402" w:type="pct"/>
            <w:vAlign w:val="center"/>
          </w:tcPr>
          <w:p w14:paraId="783C72C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420B724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1059" w:type="pct"/>
            <w:vMerge w:val="continue"/>
            <w:vAlign w:val="center"/>
          </w:tcPr>
          <w:p w14:paraId="4C2B62DC">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588437F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3AC90ED1">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4E4A2A7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旅游景区</w:t>
            </w:r>
          </w:p>
        </w:tc>
        <w:tc>
          <w:tcPr>
            <w:tcW w:w="402" w:type="pct"/>
            <w:vAlign w:val="center"/>
          </w:tcPr>
          <w:p w14:paraId="0E4BD61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无</w:t>
            </w:r>
          </w:p>
        </w:tc>
        <w:tc>
          <w:tcPr>
            <w:tcW w:w="1863" w:type="pct"/>
            <w:vAlign w:val="center"/>
          </w:tcPr>
          <w:p w14:paraId="0E613FC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1059" w:type="pct"/>
            <w:vMerge w:val="continue"/>
            <w:vAlign w:val="center"/>
          </w:tcPr>
          <w:p w14:paraId="43D8355E">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6CCA993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63637F8E">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7B214459">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鸟类主要迁徙通道</w:t>
            </w:r>
          </w:p>
        </w:tc>
        <w:tc>
          <w:tcPr>
            <w:tcW w:w="402" w:type="pct"/>
            <w:vAlign w:val="center"/>
          </w:tcPr>
          <w:p w14:paraId="4647FB6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1863" w:type="pct"/>
            <w:vAlign w:val="center"/>
          </w:tcPr>
          <w:p w14:paraId="528455A4">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不涉及</w:t>
            </w:r>
          </w:p>
        </w:tc>
        <w:tc>
          <w:tcPr>
            <w:tcW w:w="1059" w:type="pct"/>
            <w:vMerge w:val="restart"/>
            <w:vAlign w:val="center"/>
          </w:tcPr>
          <w:p w14:paraId="39D6496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衡阳县林业局选址意见、环评调查结论</w:t>
            </w:r>
          </w:p>
        </w:tc>
      </w:tr>
      <w:tr w14:paraId="7B5F0E1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33646736">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2DD85E4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天然林和单位面积蓄积量高的林地</w:t>
            </w:r>
          </w:p>
        </w:tc>
        <w:tc>
          <w:tcPr>
            <w:tcW w:w="402" w:type="pct"/>
            <w:vAlign w:val="center"/>
          </w:tcPr>
          <w:p w14:paraId="60A4C312">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1863" w:type="pct"/>
            <w:vAlign w:val="center"/>
          </w:tcPr>
          <w:p w14:paraId="2BDC731D">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本项目不涉及天然林和国家级公益林，项目所涉区域大部分为灌草地，单位面积蓄积量较低</w:t>
            </w:r>
          </w:p>
        </w:tc>
        <w:tc>
          <w:tcPr>
            <w:tcW w:w="1059" w:type="pct"/>
            <w:vMerge w:val="continue"/>
            <w:vAlign w:val="center"/>
          </w:tcPr>
          <w:p w14:paraId="4338F6C0">
            <w:pPr>
              <w:tabs>
                <w:tab w:val="clear" w:pos="480"/>
              </w:tabs>
              <w:adjustRightInd w:val="0"/>
              <w:snapToGrid w:val="0"/>
              <w:spacing w:before="33" w:beforeLines="10" w:after="33" w:afterLines="10" w:line="240" w:lineRule="auto"/>
              <w:ind w:firstLine="0" w:firstLineChars="0"/>
              <w:jc w:val="center"/>
              <w:rPr>
                <w:kern w:val="0"/>
                <w:sz w:val="18"/>
                <w:szCs w:val="18"/>
              </w:rPr>
            </w:pPr>
          </w:p>
        </w:tc>
      </w:tr>
      <w:tr w14:paraId="4CAE4CB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pct"/>
            <w:vMerge w:val="continue"/>
            <w:vAlign w:val="center"/>
          </w:tcPr>
          <w:p w14:paraId="08ABBF14">
            <w:pPr>
              <w:tabs>
                <w:tab w:val="clear" w:pos="480"/>
              </w:tabs>
              <w:adjustRightInd w:val="0"/>
              <w:snapToGrid w:val="0"/>
              <w:spacing w:before="33" w:beforeLines="10" w:after="33" w:afterLines="10" w:line="240" w:lineRule="auto"/>
              <w:ind w:firstLine="0" w:firstLineChars="0"/>
              <w:jc w:val="center"/>
              <w:rPr>
                <w:kern w:val="0"/>
                <w:sz w:val="18"/>
                <w:szCs w:val="18"/>
              </w:rPr>
            </w:pPr>
          </w:p>
        </w:tc>
        <w:tc>
          <w:tcPr>
            <w:tcW w:w="1138" w:type="pct"/>
            <w:vAlign w:val="center"/>
          </w:tcPr>
          <w:p w14:paraId="3FCE2387">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基岩风化严重或生态脆弱、毁损后难以恢复的区域</w:t>
            </w:r>
          </w:p>
        </w:tc>
        <w:tc>
          <w:tcPr>
            <w:tcW w:w="402" w:type="pct"/>
            <w:vAlign w:val="center"/>
          </w:tcPr>
          <w:p w14:paraId="6235D3E6">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w:t>
            </w:r>
          </w:p>
        </w:tc>
        <w:tc>
          <w:tcPr>
            <w:tcW w:w="1863" w:type="pct"/>
            <w:vAlign w:val="center"/>
          </w:tcPr>
          <w:p w14:paraId="460F00E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风电机组场区出露地层为第四系（Q）和燕山早期花岗岩（γ52），该项目区域不属于基岩风化严重地区；本项目所在区域生态系统抵抗力稳定性强；本项目所在区域植被易恢复。项目所在区域不属于生态脆弱、毁损后难以恢复的区域。</w:t>
            </w:r>
          </w:p>
        </w:tc>
        <w:tc>
          <w:tcPr>
            <w:tcW w:w="1059" w:type="pct"/>
            <w:vAlign w:val="center"/>
          </w:tcPr>
          <w:p w14:paraId="48A3BD9F">
            <w:pPr>
              <w:tabs>
                <w:tab w:val="clear" w:pos="480"/>
              </w:tabs>
              <w:adjustRightInd w:val="0"/>
              <w:snapToGrid w:val="0"/>
              <w:spacing w:before="33" w:beforeLines="10" w:after="33" w:afterLines="10" w:line="240" w:lineRule="auto"/>
              <w:ind w:firstLine="0" w:firstLineChars="0"/>
              <w:jc w:val="center"/>
              <w:rPr>
                <w:kern w:val="0"/>
                <w:sz w:val="18"/>
                <w:szCs w:val="18"/>
              </w:rPr>
            </w:pPr>
            <w:r>
              <w:rPr>
                <w:kern w:val="0"/>
                <w:sz w:val="18"/>
                <w:szCs w:val="18"/>
              </w:rPr>
              <w:t>《衡阳县杉桥风电场项目地质勘察报告》</w:t>
            </w:r>
          </w:p>
        </w:tc>
      </w:tr>
    </w:tbl>
    <w:p w14:paraId="55C1B4B0">
      <w:pPr>
        <w:adjustRightInd w:val="0"/>
        <w:snapToGrid w:val="0"/>
        <w:ind w:firstLine="480"/>
      </w:pPr>
      <w:r>
        <w:t>根据衡阳县林业局的选址意见以及衡阳县自然资源局和衡阳县人民政府的相关意见，本项目与《关于进一步规范风电发展的通知》(湘发改能源〔2016〕822号)的要求相符。</w:t>
      </w:r>
    </w:p>
    <w:p w14:paraId="033DA439">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11.2.3与湖南省林业厅《关于进一步加强风电建设项目使用林地管理的通知》（湘林政[2018]5号）的符合性分析</w:t>
      </w:r>
    </w:p>
    <w:p w14:paraId="6ED1E1D7">
      <w:pPr>
        <w:adjustRightInd w:val="0"/>
        <w:snapToGrid w:val="0"/>
        <w:ind w:firstLine="480"/>
      </w:pPr>
      <w:r>
        <w:t>根据湖南省林业厅发布的《关于进一步加强风电建设项目使用林地管理的通知》（湘林政〔2018〕5号）中相关内容，自本通知施行之日起，对相关区域提出禁止风电项目建设的要求。具体禁建区域及本项目符合性分析如下表所示。</w:t>
      </w:r>
    </w:p>
    <w:p w14:paraId="04D1EBB9">
      <w:pPr>
        <w:tabs>
          <w:tab w:val="clear" w:pos="480"/>
        </w:tabs>
        <w:spacing w:line="240" w:lineRule="auto"/>
        <w:ind w:firstLine="0" w:firstLineChars="0"/>
        <w:jc w:val="center"/>
        <w:rPr>
          <w:b/>
          <w:sz w:val="21"/>
          <w:szCs w:val="21"/>
        </w:rPr>
      </w:pPr>
      <w:r>
        <w:rPr>
          <w:b/>
          <w:sz w:val="21"/>
          <w:szCs w:val="21"/>
        </w:rPr>
        <w:t>表</w:t>
      </w:r>
      <w:r>
        <w:rPr>
          <w:rFonts w:hint="eastAsia"/>
          <w:b/>
          <w:sz w:val="21"/>
          <w:szCs w:val="21"/>
        </w:rPr>
        <w:t>1</w:t>
      </w:r>
      <w:r>
        <w:rPr>
          <w:b/>
          <w:sz w:val="21"/>
          <w:szCs w:val="21"/>
        </w:rPr>
        <w:t>1.2-3与《关于进一步加强风电建设项目使用林地管理的通知》符合性分析</w:t>
      </w:r>
    </w:p>
    <w:tbl>
      <w:tblPr>
        <w:tblStyle w:val="88"/>
        <w:tblW w:w="5000" w:type="pct"/>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autofit"/>
        <w:tblCellMar>
          <w:top w:w="0" w:type="dxa"/>
          <w:left w:w="11" w:type="dxa"/>
          <w:bottom w:w="0" w:type="dxa"/>
          <w:right w:w="11" w:type="dxa"/>
        </w:tblCellMar>
      </w:tblPr>
      <w:tblGrid>
        <w:gridCol w:w="517"/>
        <w:gridCol w:w="3972"/>
        <w:gridCol w:w="2825"/>
        <w:gridCol w:w="1043"/>
      </w:tblGrid>
      <w:tr w14:paraId="0E54E58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1" w:type="dxa"/>
            <w:bottom w:w="0" w:type="dxa"/>
            <w:right w:w="11" w:type="dxa"/>
          </w:tblCellMar>
        </w:tblPrEx>
        <w:trPr>
          <w:trHeight w:val="610" w:hRule="atLeast"/>
        </w:trPr>
        <w:tc>
          <w:tcPr>
            <w:tcW w:w="309" w:type="pct"/>
            <w:vAlign w:val="center"/>
          </w:tcPr>
          <w:p w14:paraId="044CD0E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类别</w:t>
            </w:r>
          </w:p>
        </w:tc>
        <w:tc>
          <w:tcPr>
            <w:tcW w:w="2376" w:type="pct"/>
            <w:vAlign w:val="center"/>
          </w:tcPr>
          <w:p w14:paraId="11F8013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具体禁建区域</w:t>
            </w:r>
          </w:p>
        </w:tc>
        <w:tc>
          <w:tcPr>
            <w:tcW w:w="1690" w:type="pct"/>
            <w:vAlign w:val="center"/>
          </w:tcPr>
          <w:p w14:paraId="7252A09F">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本项目情况</w:t>
            </w:r>
          </w:p>
        </w:tc>
        <w:tc>
          <w:tcPr>
            <w:tcW w:w="624" w:type="pct"/>
            <w:vAlign w:val="center"/>
          </w:tcPr>
          <w:p w14:paraId="66E8DC3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符合性分析</w:t>
            </w:r>
          </w:p>
        </w:tc>
      </w:tr>
      <w:tr w14:paraId="3A3920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1" w:type="dxa"/>
            <w:bottom w:w="0" w:type="dxa"/>
            <w:right w:w="11" w:type="dxa"/>
          </w:tblCellMar>
        </w:tblPrEx>
        <w:trPr>
          <w:trHeight w:val="1152" w:hRule="atLeast"/>
        </w:trPr>
        <w:tc>
          <w:tcPr>
            <w:tcW w:w="309" w:type="pct"/>
            <w:vMerge w:val="restart"/>
            <w:vAlign w:val="center"/>
          </w:tcPr>
          <w:p w14:paraId="69F71535">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风电场建设使用林地禁建区域</w:t>
            </w:r>
          </w:p>
        </w:tc>
        <w:tc>
          <w:tcPr>
            <w:tcW w:w="2376" w:type="pct"/>
            <w:vAlign w:val="center"/>
          </w:tcPr>
          <w:p w14:paraId="46F57AEE">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生态保护红线区域</w:t>
            </w:r>
          </w:p>
        </w:tc>
        <w:tc>
          <w:tcPr>
            <w:tcW w:w="1690" w:type="pct"/>
            <w:vAlign w:val="center"/>
          </w:tcPr>
          <w:p w14:paraId="5279CCC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根据衡阳县自然资源局选址意见，项目不涉及生态保护红线区域</w:t>
            </w:r>
          </w:p>
        </w:tc>
        <w:tc>
          <w:tcPr>
            <w:tcW w:w="624" w:type="pct"/>
            <w:vAlign w:val="center"/>
          </w:tcPr>
          <w:p w14:paraId="25B20A12">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符合</w:t>
            </w:r>
          </w:p>
        </w:tc>
      </w:tr>
      <w:tr w14:paraId="75C9BBA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1" w:type="dxa"/>
            <w:bottom w:w="0" w:type="dxa"/>
            <w:right w:w="11" w:type="dxa"/>
          </w:tblCellMar>
        </w:tblPrEx>
        <w:trPr>
          <w:trHeight w:val="583" w:hRule="atLeast"/>
        </w:trPr>
        <w:tc>
          <w:tcPr>
            <w:tcW w:w="309" w:type="pct"/>
            <w:vMerge w:val="continue"/>
            <w:vAlign w:val="center"/>
          </w:tcPr>
          <w:p w14:paraId="3C95C95A">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2376" w:type="pct"/>
            <w:vAlign w:val="center"/>
          </w:tcPr>
          <w:p w14:paraId="595A66B3">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世界自然遗产地、国有林场、重要湿地、省级以上森林公园、湿地公园、地质公园、风景名胜区</w:t>
            </w:r>
          </w:p>
        </w:tc>
        <w:tc>
          <w:tcPr>
            <w:tcW w:w="1690" w:type="pct"/>
            <w:vAlign w:val="center"/>
          </w:tcPr>
          <w:p w14:paraId="7C22B52B">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根据衡阳县林业局的选址意见，本项目不涉及以上保护区</w:t>
            </w:r>
          </w:p>
        </w:tc>
        <w:tc>
          <w:tcPr>
            <w:tcW w:w="624" w:type="pct"/>
            <w:vAlign w:val="center"/>
          </w:tcPr>
          <w:p w14:paraId="5A8D3226">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符合</w:t>
            </w:r>
          </w:p>
        </w:tc>
      </w:tr>
      <w:tr w14:paraId="0C37936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1" w:type="dxa"/>
            <w:bottom w:w="0" w:type="dxa"/>
            <w:right w:w="11" w:type="dxa"/>
          </w:tblCellMar>
        </w:tblPrEx>
        <w:trPr>
          <w:trHeight w:val="867" w:hRule="atLeast"/>
        </w:trPr>
        <w:tc>
          <w:tcPr>
            <w:tcW w:w="309" w:type="pct"/>
            <w:vMerge w:val="continue"/>
            <w:vAlign w:val="center"/>
          </w:tcPr>
          <w:p w14:paraId="57304244">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2376" w:type="pct"/>
            <w:vAlign w:val="center"/>
          </w:tcPr>
          <w:p w14:paraId="716B13D3">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县级以上人民政府规定并发布的鸟类迁徙通道</w:t>
            </w:r>
          </w:p>
        </w:tc>
        <w:tc>
          <w:tcPr>
            <w:tcW w:w="1690" w:type="pct"/>
            <w:vAlign w:val="center"/>
          </w:tcPr>
          <w:p w14:paraId="33E47FC9">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本项目区域不涉及鸟类迁徙通道</w:t>
            </w:r>
          </w:p>
        </w:tc>
        <w:tc>
          <w:tcPr>
            <w:tcW w:w="624" w:type="pct"/>
            <w:vAlign w:val="center"/>
          </w:tcPr>
          <w:p w14:paraId="60071EDB">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符合</w:t>
            </w:r>
          </w:p>
        </w:tc>
      </w:tr>
      <w:tr w14:paraId="57B1870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1" w:type="dxa"/>
            <w:bottom w:w="0" w:type="dxa"/>
            <w:right w:w="11" w:type="dxa"/>
          </w:tblCellMar>
        </w:tblPrEx>
        <w:trPr>
          <w:trHeight w:val="583" w:hRule="atLeast"/>
        </w:trPr>
        <w:tc>
          <w:tcPr>
            <w:tcW w:w="309" w:type="pct"/>
            <w:vMerge w:val="continue"/>
            <w:vAlign w:val="center"/>
          </w:tcPr>
          <w:p w14:paraId="4B1F643C">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2376" w:type="pct"/>
            <w:vAlign w:val="center"/>
          </w:tcPr>
          <w:p w14:paraId="0E552F03">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海拔800米以上且坡度36度以上、母岩为强风化花岗岩、砂岩或石灰岩区域</w:t>
            </w:r>
          </w:p>
        </w:tc>
        <w:tc>
          <w:tcPr>
            <w:tcW w:w="1690" w:type="pct"/>
            <w:vAlign w:val="center"/>
          </w:tcPr>
          <w:p w14:paraId="74F93810">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本项目风机点位最高海拔460m，最大坡度20.8°</w:t>
            </w:r>
          </w:p>
        </w:tc>
        <w:tc>
          <w:tcPr>
            <w:tcW w:w="624" w:type="pct"/>
            <w:vAlign w:val="center"/>
          </w:tcPr>
          <w:p w14:paraId="17E8C3F0">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符合</w:t>
            </w:r>
          </w:p>
        </w:tc>
      </w:tr>
      <w:tr w14:paraId="1038A8B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1" w:type="dxa"/>
            <w:bottom w:w="0" w:type="dxa"/>
            <w:right w:w="11" w:type="dxa"/>
          </w:tblCellMar>
        </w:tblPrEx>
        <w:trPr>
          <w:trHeight w:val="624" w:hRule="atLeast"/>
        </w:trPr>
        <w:tc>
          <w:tcPr>
            <w:tcW w:w="309" w:type="pct"/>
            <w:vMerge w:val="continue"/>
            <w:vAlign w:val="center"/>
          </w:tcPr>
          <w:p w14:paraId="50971F1E">
            <w:pPr>
              <w:tabs>
                <w:tab w:val="clear" w:pos="480"/>
              </w:tabs>
              <w:adjustRightInd w:val="0"/>
              <w:snapToGrid w:val="0"/>
              <w:spacing w:before="33" w:beforeLines="10" w:after="33" w:afterLines="10" w:line="240" w:lineRule="auto"/>
              <w:ind w:firstLine="0" w:firstLineChars="0"/>
              <w:jc w:val="center"/>
              <w:rPr>
                <w:kern w:val="0"/>
                <w:sz w:val="21"/>
                <w:szCs w:val="21"/>
              </w:rPr>
            </w:pPr>
          </w:p>
        </w:tc>
        <w:tc>
          <w:tcPr>
            <w:tcW w:w="2376" w:type="pct"/>
            <w:vAlign w:val="center"/>
          </w:tcPr>
          <w:p w14:paraId="5091A57A">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各县市（区）最高峰或地标性山峰地域</w:t>
            </w:r>
          </w:p>
        </w:tc>
        <w:tc>
          <w:tcPr>
            <w:tcW w:w="1690" w:type="pct"/>
            <w:vAlign w:val="center"/>
          </w:tcPr>
          <w:p w14:paraId="7E862284">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根据现场调查可知，项目区域不是衡阳市衡阳县最高峰或地标性山峰地域</w:t>
            </w:r>
          </w:p>
        </w:tc>
        <w:tc>
          <w:tcPr>
            <w:tcW w:w="624" w:type="pct"/>
            <w:vAlign w:val="center"/>
          </w:tcPr>
          <w:p w14:paraId="7AE7230D">
            <w:pPr>
              <w:tabs>
                <w:tab w:val="clear" w:pos="480"/>
              </w:tabs>
              <w:adjustRightInd w:val="0"/>
              <w:snapToGrid w:val="0"/>
              <w:spacing w:before="33" w:beforeLines="10" w:after="33" w:afterLines="10" w:line="240" w:lineRule="auto"/>
              <w:ind w:firstLine="0" w:firstLineChars="0"/>
              <w:jc w:val="center"/>
              <w:rPr>
                <w:kern w:val="0"/>
                <w:sz w:val="21"/>
                <w:szCs w:val="21"/>
              </w:rPr>
            </w:pPr>
            <w:r>
              <w:rPr>
                <w:kern w:val="0"/>
                <w:sz w:val="21"/>
                <w:szCs w:val="21"/>
              </w:rPr>
              <w:t>符合</w:t>
            </w:r>
          </w:p>
        </w:tc>
      </w:tr>
    </w:tbl>
    <w:p w14:paraId="68ADBCE9">
      <w:pPr>
        <w:adjustRightInd w:val="0"/>
        <w:snapToGrid w:val="0"/>
        <w:ind w:firstLine="480"/>
      </w:pPr>
      <w:bookmarkStart w:id="252" w:name="_Hlk142502399"/>
      <w:r>
        <w:t>根据衡阳县林业局的选址意见以及衡阳县自然资源局以及衡阳县人民政府的相关意见，本项目区域不属于湘林政〔2018〕5号中的禁建区域，因此，本项目的建设符合《关于进一步加强风电建设项目使用林地管理的通知》（湘林政〔2018〕5号）要求。</w:t>
      </w:r>
    </w:p>
    <w:bookmarkEnd w:id="252"/>
    <w:p w14:paraId="6C353293">
      <w:pPr>
        <w:keepNext/>
        <w:keepLines/>
        <w:numPr>
          <w:ilvl w:val="1"/>
          <w:numId w:val="0"/>
        </w:numPr>
        <w:tabs>
          <w:tab w:val="left" w:pos="425"/>
          <w:tab w:val="clear" w:pos="480"/>
        </w:tabs>
        <w:adjustRightInd w:val="0"/>
        <w:textAlignment w:val="baseline"/>
        <w:outlineLvl w:val="1"/>
        <w:rPr>
          <w:b/>
          <w:kern w:val="24"/>
          <w:sz w:val="30"/>
          <w:szCs w:val="30"/>
        </w:rPr>
      </w:pPr>
      <w:bookmarkStart w:id="253" w:name="_Toc142925940"/>
      <w:bookmarkStart w:id="254" w:name="_Toc134040820"/>
      <w:bookmarkStart w:id="255" w:name="_Toc136269447"/>
      <w:bookmarkStart w:id="256" w:name="_Toc143799410"/>
      <w:r>
        <w:rPr>
          <w:b/>
          <w:kern w:val="24"/>
          <w:sz w:val="30"/>
          <w:szCs w:val="30"/>
        </w:rPr>
        <w:t>11.3与主体功能区规划的符合性分析</w:t>
      </w:r>
      <w:bookmarkEnd w:id="253"/>
      <w:bookmarkEnd w:id="254"/>
      <w:bookmarkEnd w:id="255"/>
      <w:bookmarkEnd w:id="256"/>
    </w:p>
    <w:p w14:paraId="4FE21BE0">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11.3.1 与湖南省主体功能区规划的符合性分析</w:t>
      </w:r>
    </w:p>
    <w:p w14:paraId="30543E90">
      <w:pPr>
        <w:adjustRightInd w:val="0"/>
        <w:snapToGrid w:val="0"/>
        <w:ind w:firstLine="480"/>
      </w:pPr>
      <w:r>
        <w:t>《湖南省主体功能区规划》：在对全省国土空间进行综合评价的基础上，以是否适宜或如何进行大规模高强度工业化城镇化为基准，以县级行政区为基本单元，将全省国土空间划分为以下主体功能区：按开发内容，分为城市化地区、农产品主产区和重点生态功能区；按开发方式和强度，分为重点开发区域、限制开发区域和禁止开发区域；按层级，分为国家和省级两个层面。</w:t>
      </w:r>
    </w:p>
    <w:p w14:paraId="2AF0DA27">
      <w:pPr>
        <w:adjustRightInd w:val="0"/>
        <w:snapToGrid w:val="0"/>
        <w:ind w:firstLine="480"/>
      </w:pPr>
      <w:r>
        <w:t>根据《湖南省主体功能区规划》，衡阳市衡阳县为国家级农产品主产区。本项目不涉及自然保护区、风景名胜区、森林公园等环境敏感区域，而且风力发电项目属于公共基础设施项目，利用风能发电，惠民利民，符合国家产业政策。项目电力系统拟并入升压站，其建成后将为衡阳县的农业和其它产业的发展提供电力补充。因此，本项目建设与《湖南省主体功能区划》相符。</w:t>
      </w:r>
    </w:p>
    <w:p w14:paraId="74EDDAB7">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11.3.2与“十四五”期间碳排放和碳中和要求的符合性</w:t>
      </w:r>
    </w:p>
    <w:p w14:paraId="63EC826F">
      <w:pPr>
        <w:adjustRightInd w:val="0"/>
        <w:snapToGrid w:val="0"/>
        <w:ind w:firstLine="480"/>
      </w:pPr>
      <w:r>
        <w:t>碳中和、碳达峰将成为我国“十四五”期间污染防治攻坚战的主攻目标。本项目为风电发电项目，项目利用风能进行发电，属于清洁能源。</w:t>
      </w:r>
    </w:p>
    <w:p w14:paraId="0354C228">
      <w:pPr>
        <w:adjustRightInd w:val="0"/>
        <w:snapToGrid w:val="0"/>
        <w:ind w:firstLine="480"/>
      </w:pPr>
      <w:r>
        <w:t>本项目建成后，每年可为电网提供清洁电能9080万kW•h。根据国家发改委提供的最新数据，2021年，全国火电机组平均供电煤耗降至302.5克标准煤/千瓦时。本项目投运后，每年可节约标准煤约27467t。每年可减少二氧化硫排放约604.21t，减排氮氧化物274.64t。</w:t>
      </w:r>
    </w:p>
    <w:p w14:paraId="65A9263C">
      <w:pPr>
        <w:adjustRightInd w:val="0"/>
        <w:snapToGrid w:val="0"/>
        <w:ind w:firstLine="480"/>
      </w:pPr>
      <w:r>
        <w:t>参考《重庆市建设项目环境影响评价技术指南——碳排放评价（试行）》“附录F.1”中，无烟煤的排放因子值为2.395t二氧化碳/t无烟煤。本项目建成后，每年可节约标准煤27467t，则每年可减少二氧化碳排放约6.58万t。</w:t>
      </w:r>
    </w:p>
    <w:p w14:paraId="252CC45C">
      <w:pPr>
        <w:adjustRightInd w:val="0"/>
        <w:snapToGrid w:val="0"/>
        <w:ind w:firstLine="480"/>
      </w:pPr>
      <w:r>
        <w:t>因此，本项目的建设与国家早日实现碳中和的目标相符。</w:t>
      </w:r>
    </w:p>
    <w:p w14:paraId="4175D1DE">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11.3.3与湖南省发展和改革委员会关于印发《湖南省推动能源绿色低碳转型做好碳达峰工作的实施方案》的通知（湘发改能源规[2022]772号）的符合性分析</w:t>
      </w:r>
    </w:p>
    <w:p w14:paraId="60010052">
      <w:pPr>
        <w:adjustRightInd w:val="0"/>
        <w:snapToGrid w:val="0"/>
        <w:ind w:firstLine="480"/>
      </w:pPr>
      <w:r>
        <w:t>实施方案中的主要目标如下：</w:t>
      </w:r>
    </w:p>
    <w:p w14:paraId="21763F5B">
      <w:pPr>
        <w:adjustRightInd w:val="0"/>
        <w:snapToGrid w:val="0"/>
        <w:ind w:firstLine="480"/>
      </w:pPr>
      <w:r>
        <w:t>到2025 年，能源安全保供能力持续增强，能源绿色低碳发展成效显著。非化石能源消费比重达到22%左右，新能源占比逐步提高，新型电力系统建设稳步推进，电能占终端能源消费比重达到22%左右，能源生产环节持续降碳提效，能源利用效率大幅提升，为实现碳达峰奠定坚实基础。</w:t>
      </w:r>
    </w:p>
    <w:p w14:paraId="5069394F">
      <w:pPr>
        <w:adjustRightInd w:val="0"/>
        <w:snapToGrid w:val="0"/>
        <w:ind w:firstLine="480"/>
      </w:pPr>
      <w:r>
        <w:t>到2030年，清洁低碳安全高效能源体系初步形成，能源领域碳排放如期实现达峰。新型电力系统建设取得重要进展，非化石能源消费比重达到25%左右，电能占终端能源消费比重显著提升，能源绿色低碳技术创新能力显著增强，能源转型体制机制更加健全。</w:t>
      </w:r>
    </w:p>
    <w:p w14:paraId="6FC86ED4">
      <w:pPr>
        <w:adjustRightInd w:val="0"/>
        <w:snapToGrid w:val="0"/>
        <w:ind w:firstLine="480"/>
      </w:pPr>
      <w:r>
        <w:t>大力发展风电和光伏发电为推动能源结构调整优化的一项重要举措，方案中提出到2025 年，全省风电、光伏发电装机规模达到2500万千瓦以上；到2030 年，力争全省风电、光伏发电装机规模达到4000万千瓦以上。</w:t>
      </w:r>
    </w:p>
    <w:p w14:paraId="7750A0C4">
      <w:pPr>
        <w:adjustRightInd w:val="0"/>
        <w:snapToGrid w:val="0"/>
        <w:ind w:firstLine="480"/>
      </w:pPr>
      <w:r>
        <w:t>本项目属于风电项目，项目的建设符合“方案”的发展目标，属于“方案”内的发展方向，项目建成后将进一步推进湖南省能源绿色低碳转型碳达峰工作，因此本项目与湖南省发展和改革委员会关于印发《湖南省推动能源绿色低碳转型做好碳达峰工作的实施方案》的通知（湘发改能源规〔2022〕772 号）相符。</w:t>
      </w:r>
    </w:p>
    <w:p w14:paraId="6B3472D1">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11.3.4与《市场准入负面清单（2022年版）》的符合性分析</w:t>
      </w:r>
    </w:p>
    <w:p w14:paraId="5625A041">
      <w:pPr>
        <w:adjustRightInd w:val="0"/>
        <w:snapToGrid w:val="0"/>
        <w:ind w:firstLine="480"/>
      </w:pPr>
      <w:r>
        <w:t>本项目位于衡阳市衡阳县</w:t>
      </w:r>
      <w:r>
        <w:rPr>
          <w:rFonts w:hint="eastAsia"/>
        </w:rPr>
        <w:t>渣江镇、岣嵝乡、集兵镇、界牌镇一带</w:t>
      </w:r>
      <w:r>
        <w:t>，根据衡阳市“三线一单”中的主体功能区定位，其均属于本属于衡阳市生态环境管控单元中的一般管控单元。本项目不涉及生态保护红线，不占用基本农田。</w:t>
      </w:r>
    </w:p>
    <w:p w14:paraId="7C81BFD7">
      <w:pPr>
        <w:adjustRightInd w:val="0"/>
        <w:snapToGrid w:val="0"/>
        <w:ind w:firstLine="480"/>
      </w:pPr>
      <w:r>
        <w:t>本项目为风力发电项目，根据《产业结构调整指导目录(2019 年本)》（2021年修订），本项目未被列入鼓励类、限制类和淘汰类，属于允许类，根据与《市场准入负面清单（2022 年版）进行对比，本项目不属于负面清单内的行业，因此本项目建设符合《市场准入负面清单（2022 年版）的相关要求。</w:t>
      </w:r>
    </w:p>
    <w:p w14:paraId="18A9A055">
      <w:pPr>
        <w:keepNext/>
        <w:keepLines/>
        <w:numPr>
          <w:ilvl w:val="2"/>
          <w:numId w:val="0"/>
        </w:numPr>
        <w:tabs>
          <w:tab w:val="left" w:pos="425"/>
          <w:tab w:val="clear" w:pos="480"/>
        </w:tabs>
        <w:adjustRightInd w:val="0"/>
        <w:snapToGrid w:val="0"/>
        <w:textAlignment w:val="baseline"/>
        <w:outlineLvl w:val="2"/>
        <w:rPr>
          <w:b/>
          <w:kern w:val="24"/>
          <w:sz w:val="28"/>
          <w:szCs w:val="28"/>
        </w:rPr>
      </w:pPr>
      <w:r>
        <w:rPr>
          <w:b/>
          <w:kern w:val="24"/>
          <w:sz w:val="28"/>
          <w:szCs w:val="28"/>
        </w:rPr>
        <w:t>11.3.5与《湖南省长江经济带发展负面清单实施细则（试行，2022年版）》的相符性分析</w:t>
      </w:r>
    </w:p>
    <w:p w14:paraId="3E788EDB">
      <w:pPr>
        <w:adjustRightInd w:val="0"/>
        <w:snapToGrid w:val="0"/>
        <w:ind w:firstLine="480"/>
      </w:pPr>
      <w:r>
        <w:t>对照湖南省长江经济带发展负面清单实施细则（试行，2022年版）》禁止项目建设要求，本项目不涉自然保护区、风景名胜区、饮用水水源保护区、水产种质资源保护区、国家湿地公园等禁止或限制发展区；本项目距离湘江12.86km，距湘江一级支流蒸水的最近距离约9.30km，不在《长江岸线保护和开发利用总体规划》划定的岸线保护区和保留区内、《全国重要江河湖泊水功能区划》划定的河段及湖泊保护区和保留区、长江干支流和湖泊岸线一公里或三公里范围内。本项目运营期生活污水经一体化污水处理设施处理后用于升压站周边绿化，不外排。本项目为新能源发电项目，为国家“十四五”规划鼓励发展的项目类别，不属于高污染、高耗能、高排放项目。综上所述，本项目不存在《湖南省长江经济带发展负面清单实施细则（试行，2022年版）》列出的禁止项目建设的内容，符合文件相关要求。</w:t>
      </w:r>
    </w:p>
    <w:p w14:paraId="320D4751">
      <w:pPr>
        <w:keepNext/>
        <w:keepLines/>
        <w:numPr>
          <w:ilvl w:val="1"/>
          <w:numId w:val="0"/>
        </w:numPr>
        <w:tabs>
          <w:tab w:val="left" w:pos="425"/>
          <w:tab w:val="clear" w:pos="480"/>
        </w:tabs>
        <w:adjustRightInd w:val="0"/>
        <w:textAlignment w:val="baseline"/>
        <w:outlineLvl w:val="1"/>
        <w:rPr>
          <w:b/>
          <w:kern w:val="24"/>
          <w:sz w:val="30"/>
          <w:szCs w:val="30"/>
        </w:rPr>
      </w:pPr>
      <w:bookmarkStart w:id="257" w:name="_Toc143799411"/>
      <w:bookmarkStart w:id="258" w:name="_Toc142925941"/>
      <w:bookmarkStart w:id="259" w:name="_Toc134040821"/>
      <w:bookmarkStart w:id="260" w:name="_Toc136269448"/>
      <w:r>
        <w:rPr>
          <w:b/>
          <w:kern w:val="24"/>
          <w:sz w:val="30"/>
          <w:szCs w:val="30"/>
        </w:rPr>
        <w:t>11.4与《输变电建设项目环境保护技术要求》相符性分析</w:t>
      </w:r>
      <w:bookmarkEnd w:id="257"/>
      <w:bookmarkEnd w:id="258"/>
      <w:bookmarkEnd w:id="259"/>
      <w:bookmarkEnd w:id="260"/>
      <w:r>
        <w:rPr>
          <w:b/>
          <w:kern w:val="24"/>
          <w:sz w:val="30"/>
          <w:szCs w:val="30"/>
        </w:rPr>
        <w:t xml:space="preserve"> </w:t>
      </w:r>
    </w:p>
    <w:p w14:paraId="4275CD83">
      <w:pPr>
        <w:adjustRightInd w:val="0"/>
        <w:snapToGrid w:val="0"/>
        <w:ind w:firstLine="480"/>
      </w:pPr>
      <w:r>
        <w:t>本项目升压站电压等级为110kV，根据《输变电建设项目环境保护技术要求》（HJ1113-2020）中的关于选址、设计、保护措施等要求，具体分析本项目与该技术规范相符性如下表。</w:t>
      </w:r>
    </w:p>
    <w:p w14:paraId="3C59E153">
      <w:pPr>
        <w:tabs>
          <w:tab w:val="clear" w:pos="480"/>
        </w:tabs>
        <w:spacing w:line="240" w:lineRule="auto"/>
        <w:ind w:firstLine="0" w:firstLineChars="0"/>
        <w:jc w:val="center"/>
        <w:rPr>
          <w:b/>
          <w:bCs/>
          <w:sz w:val="21"/>
        </w:rPr>
      </w:pPr>
      <w:r>
        <w:rPr>
          <w:b/>
          <w:bCs/>
          <w:sz w:val="21"/>
        </w:rPr>
        <w:t>表</w:t>
      </w:r>
      <w:r>
        <w:rPr>
          <w:rFonts w:hint="eastAsia"/>
          <w:b/>
          <w:bCs/>
          <w:sz w:val="21"/>
        </w:rPr>
        <w:t>1</w:t>
      </w:r>
      <w:r>
        <w:rPr>
          <w:b/>
          <w:bCs/>
          <w:sz w:val="21"/>
        </w:rPr>
        <w:t>1.4-1 项目与《输变电建设项目环境保护技术要求》相符性一览表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3394"/>
        <w:gridCol w:w="3586"/>
        <w:gridCol w:w="740"/>
      </w:tblGrid>
      <w:tr w14:paraId="3F0B61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Align w:val="center"/>
          </w:tcPr>
          <w:p w14:paraId="5F25F29C">
            <w:pPr>
              <w:tabs>
                <w:tab w:val="clear" w:pos="480"/>
              </w:tabs>
              <w:spacing w:line="240" w:lineRule="auto"/>
              <w:ind w:firstLine="0" w:firstLineChars="0"/>
              <w:rPr>
                <w:sz w:val="18"/>
                <w:szCs w:val="18"/>
              </w:rPr>
            </w:pPr>
            <w:r>
              <w:rPr>
                <w:sz w:val="18"/>
                <w:szCs w:val="18"/>
              </w:rPr>
              <w:t>序号</w:t>
            </w:r>
          </w:p>
        </w:tc>
        <w:tc>
          <w:tcPr>
            <w:tcW w:w="1990" w:type="pct"/>
            <w:vAlign w:val="center"/>
          </w:tcPr>
          <w:p w14:paraId="4DD9331F">
            <w:pPr>
              <w:tabs>
                <w:tab w:val="clear" w:pos="480"/>
              </w:tabs>
              <w:spacing w:line="240" w:lineRule="auto"/>
              <w:ind w:firstLine="0" w:firstLineChars="0"/>
              <w:rPr>
                <w:sz w:val="18"/>
                <w:szCs w:val="18"/>
              </w:rPr>
            </w:pPr>
            <w:r>
              <w:rPr>
                <w:sz w:val="18"/>
                <w:szCs w:val="18"/>
              </w:rPr>
              <w:t>《输变电建设项目环境保护技术要求》</w:t>
            </w:r>
          </w:p>
        </w:tc>
        <w:tc>
          <w:tcPr>
            <w:tcW w:w="2103" w:type="pct"/>
            <w:vAlign w:val="center"/>
          </w:tcPr>
          <w:p w14:paraId="208B0E0C">
            <w:pPr>
              <w:tabs>
                <w:tab w:val="clear" w:pos="480"/>
              </w:tabs>
              <w:spacing w:line="240" w:lineRule="auto"/>
              <w:ind w:firstLine="0" w:firstLineChars="0"/>
              <w:rPr>
                <w:sz w:val="18"/>
                <w:szCs w:val="18"/>
              </w:rPr>
            </w:pPr>
            <w:r>
              <w:rPr>
                <w:sz w:val="18"/>
                <w:szCs w:val="18"/>
              </w:rPr>
              <w:t>本项目情况</w:t>
            </w:r>
          </w:p>
        </w:tc>
        <w:tc>
          <w:tcPr>
            <w:tcW w:w="434" w:type="pct"/>
            <w:vAlign w:val="center"/>
          </w:tcPr>
          <w:p w14:paraId="11A69769">
            <w:pPr>
              <w:tabs>
                <w:tab w:val="clear" w:pos="480"/>
              </w:tabs>
              <w:spacing w:line="240" w:lineRule="auto"/>
              <w:ind w:firstLine="0" w:firstLineChars="0"/>
              <w:rPr>
                <w:sz w:val="18"/>
                <w:szCs w:val="18"/>
              </w:rPr>
            </w:pPr>
            <w:r>
              <w:rPr>
                <w:sz w:val="18"/>
                <w:szCs w:val="18"/>
              </w:rPr>
              <w:t>相符性</w:t>
            </w:r>
          </w:p>
        </w:tc>
      </w:tr>
      <w:tr w14:paraId="37B74D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restart"/>
            <w:vAlign w:val="center"/>
          </w:tcPr>
          <w:p w14:paraId="32AFDF9A">
            <w:pPr>
              <w:tabs>
                <w:tab w:val="clear" w:pos="480"/>
              </w:tabs>
              <w:spacing w:line="240" w:lineRule="auto"/>
              <w:ind w:firstLine="0" w:firstLineChars="0"/>
              <w:rPr>
                <w:sz w:val="18"/>
                <w:szCs w:val="18"/>
              </w:rPr>
            </w:pPr>
            <w:r>
              <w:rPr>
                <w:sz w:val="18"/>
                <w:szCs w:val="18"/>
              </w:rPr>
              <w:t>选址</w:t>
            </w:r>
          </w:p>
        </w:tc>
        <w:tc>
          <w:tcPr>
            <w:tcW w:w="1990" w:type="pct"/>
            <w:vAlign w:val="center"/>
          </w:tcPr>
          <w:p w14:paraId="2021ED0A">
            <w:pPr>
              <w:tabs>
                <w:tab w:val="clear" w:pos="480"/>
              </w:tabs>
              <w:spacing w:line="240" w:lineRule="auto"/>
              <w:ind w:firstLine="0" w:firstLineChars="0"/>
              <w:rPr>
                <w:sz w:val="18"/>
                <w:szCs w:val="18"/>
              </w:rPr>
            </w:pPr>
            <w:r>
              <w:rPr>
                <w:sz w:val="18"/>
                <w:szCs w:val="18"/>
              </w:rPr>
              <w:t>工程选址选线应符合规划环境影响评价文件的要求</w:t>
            </w:r>
          </w:p>
        </w:tc>
        <w:tc>
          <w:tcPr>
            <w:tcW w:w="2103" w:type="pct"/>
            <w:vAlign w:val="center"/>
          </w:tcPr>
          <w:p w14:paraId="508F6728">
            <w:pPr>
              <w:tabs>
                <w:tab w:val="clear" w:pos="480"/>
              </w:tabs>
              <w:spacing w:line="240" w:lineRule="auto"/>
              <w:ind w:firstLine="0" w:firstLineChars="0"/>
              <w:rPr>
                <w:sz w:val="18"/>
                <w:szCs w:val="18"/>
              </w:rPr>
            </w:pPr>
            <w:r>
              <w:rPr>
                <w:sz w:val="18"/>
                <w:szCs w:val="18"/>
              </w:rPr>
              <w:t>本项目新建一座110kV升压站，选址区域无规划环境影响评价文件</w:t>
            </w:r>
          </w:p>
        </w:tc>
        <w:tc>
          <w:tcPr>
            <w:tcW w:w="434" w:type="pct"/>
            <w:vAlign w:val="center"/>
          </w:tcPr>
          <w:p w14:paraId="28755129">
            <w:pPr>
              <w:tabs>
                <w:tab w:val="clear" w:pos="480"/>
              </w:tabs>
              <w:spacing w:line="240" w:lineRule="auto"/>
              <w:ind w:firstLine="0" w:firstLineChars="0"/>
              <w:jc w:val="center"/>
              <w:rPr>
                <w:sz w:val="18"/>
                <w:szCs w:val="18"/>
              </w:rPr>
            </w:pPr>
            <w:r>
              <w:rPr>
                <w:sz w:val="18"/>
                <w:szCs w:val="18"/>
              </w:rPr>
              <w:t>相符</w:t>
            </w:r>
          </w:p>
        </w:tc>
      </w:tr>
      <w:tr w14:paraId="1148E8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0E20B159">
            <w:pPr>
              <w:tabs>
                <w:tab w:val="clear" w:pos="480"/>
              </w:tabs>
              <w:spacing w:line="240" w:lineRule="auto"/>
              <w:ind w:firstLine="360"/>
              <w:jc w:val="center"/>
              <w:rPr>
                <w:sz w:val="18"/>
                <w:szCs w:val="18"/>
              </w:rPr>
            </w:pPr>
          </w:p>
        </w:tc>
        <w:tc>
          <w:tcPr>
            <w:tcW w:w="1990" w:type="pct"/>
            <w:vAlign w:val="center"/>
          </w:tcPr>
          <w:p w14:paraId="174069C4">
            <w:pPr>
              <w:tabs>
                <w:tab w:val="clear" w:pos="480"/>
              </w:tabs>
              <w:spacing w:line="240" w:lineRule="auto"/>
              <w:ind w:firstLine="0" w:firstLineChars="0"/>
              <w:rPr>
                <w:sz w:val="18"/>
                <w:szCs w:val="18"/>
              </w:rPr>
            </w:pPr>
            <w:r>
              <w:rPr>
                <w:sz w:val="18"/>
                <w:szCs w:val="18"/>
              </w:rPr>
              <w:t>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2103" w:type="pct"/>
            <w:vAlign w:val="center"/>
          </w:tcPr>
          <w:p w14:paraId="1D265427">
            <w:pPr>
              <w:tabs>
                <w:tab w:val="clear" w:pos="480"/>
              </w:tabs>
              <w:spacing w:line="240" w:lineRule="auto"/>
              <w:ind w:firstLine="0" w:firstLineChars="0"/>
              <w:rPr>
                <w:sz w:val="18"/>
                <w:szCs w:val="18"/>
              </w:rPr>
            </w:pPr>
            <w:r>
              <w:rPr>
                <w:sz w:val="18"/>
                <w:szCs w:val="18"/>
              </w:rPr>
              <w:t>本项目新建一座110kV升压站，升压站选址区域不涉及生态保护红线、自然保护区、饮用水水源保护区、森林公园、重要湿地等生态敏感区</w:t>
            </w:r>
          </w:p>
        </w:tc>
        <w:tc>
          <w:tcPr>
            <w:tcW w:w="434" w:type="pct"/>
            <w:vAlign w:val="center"/>
          </w:tcPr>
          <w:p w14:paraId="62772EBD">
            <w:pPr>
              <w:tabs>
                <w:tab w:val="clear" w:pos="480"/>
              </w:tabs>
              <w:spacing w:line="240" w:lineRule="auto"/>
              <w:ind w:firstLine="0" w:firstLineChars="0"/>
              <w:jc w:val="center"/>
              <w:rPr>
                <w:sz w:val="18"/>
                <w:szCs w:val="18"/>
              </w:rPr>
            </w:pPr>
            <w:r>
              <w:rPr>
                <w:sz w:val="18"/>
                <w:szCs w:val="18"/>
              </w:rPr>
              <w:t>相符</w:t>
            </w:r>
          </w:p>
        </w:tc>
      </w:tr>
      <w:tr w14:paraId="29861F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351D4F0D">
            <w:pPr>
              <w:tabs>
                <w:tab w:val="clear" w:pos="480"/>
              </w:tabs>
              <w:spacing w:line="240" w:lineRule="auto"/>
              <w:ind w:firstLine="360"/>
              <w:jc w:val="center"/>
              <w:rPr>
                <w:sz w:val="18"/>
                <w:szCs w:val="18"/>
              </w:rPr>
            </w:pPr>
          </w:p>
        </w:tc>
        <w:tc>
          <w:tcPr>
            <w:tcW w:w="1990" w:type="pct"/>
            <w:vAlign w:val="center"/>
          </w:tcPr>
          <w:p w14:paraId="406E75F9">
            <w:pPr>
              <w:tabs>
                <w:tab w:val="clear" w:pos="480"/>
              </w:tabs>
              <w:spacing w:line="240" w:lineRule="auto"/>
              <w:ind w:firstLine="0" w:firstLineChars="0"/>
              <w:rPr>
                <w:sz w:val="18"/>
                <w:szCs w:val="18"/>
              </w:rPr>
            </w:pPr>
            <w:r>
              <w:rPr>
                <w:sz w:val="18"/>
                <w:szCs w:val="18"/>
              </w:rPr>
              <w:t>变电工程在选址时应按终期规模综合考虑进出线走廊规划，避免进出线进入自然保护区、饮用水水源保护区等环境敏感区</w:t>
            </w:r>
          </w:p>
        </w:tc>
        <w:tc>
          <w:tcPr>
            <w:tcW w:w="2103" w:type="pct"/>
            <w:vAlign w:val="center"/>
          </w:tcPr>
          <w:p w14:paraId="68B09989">
            <w:pPr>
              <w:tabs>
                <w:tab w:val="clear" w:pos="480"/>
              </w:tabs>
              <w:spacing w:line="240" w:lineRule="auto"/>
              <w:ind w:firstLine="0" w:firstLineChars="0"/>
              <w:rPr>
                <w:sz w:val="18"/>
                <w:szCs w:val="18"/>
              </w:rPr>
            </w:pPr>
            <w:r>
              <w:rPr>
                <w:sz w:val="18"/>
                <w:szCs w:val="18"/>
              </w:rPr>
              <w:t>本项目不包含110kV输变电线路（送出线路），仅包含110kV升压站。项目新建的110kV升压站不涉及自然保护区、饮用水水源保护区等环境敏感区</w:t>
            </w:r>
          </w:p>
        </w:tc>
        <w:tc>
          <w:tcPr>
            <w:tcW w:w="434" w:type="pct"/>
            <w:vAlign w:val="center"/>
          </w:tcPr>
          <w:p w14:paraId="59FF12EE">
            <w:pPr>
              <w:tabs>
                <w:tab w:val="clear" w:pos="480"/>
              </w:tabs>
              <w:spacing w:line="240" w:lineRule="auto"/>
              <w:ind w:firstLine="0" w:firstLineChars="0"/>
              <w:jc w:val="center"/>
              <w:rPr>
                <w:sz w:val="18"/>
                <w:szCs w:val="18"/>
              </w:rPr>
            </w:pPr>
            <w:r>
              <w:rPr>
                <w:sz w:val="18"/>
                <w:szCs w:val="18"/>
              </w:rPr>
              <w:t>相符</w:t>
            </w:r>
          </w:p>
        </w:tc>
      </w:tr>
      <w:tr w14:paraId="49C797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1971B408">
            <w:pPr>
              <w:tabs>
                <w:tab w:val="clear" w:pos="480"/>
              </w:tabs>
              <w:spacing w:line="240" w:lineRule="auto"/>
              <w:ind w:firstLine="360"/>
              <w:jc w:val="center"/>
              <w:rPr>
                <w:sz w:val="18"/>
                <w:szCs w:val="18"/>
              </w:rPr>
            </w:pPr>
          </w:p>
        </w:tc>
        <w:tc>
          <w:tcPr>
            <w:tcW w:w="1990" w:type="pct"/>
            <w:vAlign w:val="center"/>
          </w:tcPr>
          <w:p w14:paraId="3A14594B">
            <w:pPr>
              <w:tabs>
                <w:tab w:val="clear" w:pos="480"/>
              </w:tabs>
              <w:spacing w:line="240" w:lineRule="auto"/>
              <w:ind w:firstLine="0" w:firstLineChars="0"/>
              <w:rPr>
                <w:sz w:val="18"/>
                <w:szCs w:val="18"/>
              </w:rPr>
            </w:pPr>
            <w:r>
              <w:rPr>
                <w:sz w:val="18"/>
                <w:szCs w:val="18"/>
              </w:rPr>
              <w:t>户外变电工程及规划架空进出线选址选线时，应关注以居住、医疗卫生、文化教育、科研、行政办公等为主要功能的区域，采取综合措施，减少电磁和声环境影响</w:t>
            </w:r>
          </w:p>
        </w:tc>
        <w:tc>
          <w:tcPr>
            <w:tcW w:w="2103" w:type="pct"/>
            <w:vAlign w:val="center"/>
          </w:tcPr>
          <w:p w14:paraId="39B2698A">
            <w:pPr>
              <w:tabs>
                <w:tab w:val="clear" w:pos="480"/>
              </w:tabs>
              <w:spacing w:line="240" w:lineRule="auto"/>
              <w:ind w:firstLine="0" w:firstLineChars="0"/>
              <w:rPr>
                <w:sz w:val="18"/>
                <w:szCs w:val="18"/>
              </w:rPr>
            </w:pPr>
            <w:r>
              <w:rPr>
                <w:sz w:val="18"/>
                <w:szCs w:val="18"/>
              </w:rPr>
              <w:t>本项目不包含110kV输变电线路，仅包含110kV升压站。项目新建的110kV升压站及周边不属于以居住、医疗卫生、文化教育、科研、行政办公等为主要功能的区域，升压站周边200m范围内无声环境和电磁环境保护目标</w:t>
            </w:r>
          </w:p>
        </w:tc>
        <w:tc>
          <w:tcPr>
            <w:tcW w:w="434" w:type="pct"/>
            <w:vAlign w:val="center"/>
          </w:tcPr>
          <w:p w14:paraId="0C879E11">
            <w:pPr>
              <w:tabs>
                <w:tab w:val="clear" w:pos="480"/>
              </w:tabs>
              <w:spacing w:line="240" w:lineRule="auto"/>
              <w:ind w:firstLine="0" w:firstLineChars="0"/>
              <w:jc w:val="center"/>
              <w:rPr>
                <w:sz w:val="18"/>
                <w:szCs w:val="18"/>
              </w:rPr>
            </w:pPr>
            <w:r>
              <w:rPr>
                <w:sz w:val="18"/>
                <w:szCs w:val="18"/>
              </w:rPr>
              <w:t>相符</w:t>
            </w:r>
          </w:p>
        </w:tc>
      </w:tr>
      <w:tr w14:paraId="3DD8DD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0919E124">
            <w:pPr>
              <w:tabs>
                <w:tab w:val="clear" w:pos="480"/>
              </w:tabs>
              <w:spacing w:line="240" w:lineRule="auto"/>
              <w:ind w:firstLine="360"/>
              <w:jc w:val="center"/>
              <w:rPr>
                <w:sz w:val="18"/>
                <w:szCs w:val="18"/>
              </w:rPr>
            </w:pPr>
          </w:p>
        </w:tc>
        <w:tc>
          <w:tcPr>
            <w:tcW w:w="1990" w:type="pct"/>
            <w:vAlign w:val="center"/>
          </w:tcPr>
          <w:p w14:paraId="40DECC1D">
            <w:pPr>
              <w:tabs>
                <w:tab w:val="clear" w:pos="480"/>
              </w:tabs>
              <w:spacing w:line="240" w:lineRule="auto"/>
              <w:ind w:firstLine="0" w:firstLineChars="0"/>
              <w:rPr>
                <w:sz w:val="18"/>
                <w:szCs w:val="18"/>
              </w:rPr>
            </w:pPr>
            <w:r>
              <w:rPr>
                <w:sz w:val="18"/>
                <w:szCs w:val="18"/>
              </w:rPr>
              <w:t>同一走廊内的多回输电线路，宜采取同塔多回架设、并行架设等形式，减少新开辟走廊，优化线路走廊间距，降低环境影响</w:t>
            </w:r>
          </w:p>
        </w:tc>
        <w:tc>
          <w:tcPr>
            <w:tcW w:w="2103" w:type="pct"/>
            <w:vAlign w:val="center"/>
          </w:tcPr>
          <w:p w14:paraId="3E494A8E">
            <w:pPr>
              <w:tabs>
                <w:tab w:val="clear" w:pos="480"/>
              </w:tabs>
              <w:spacing w:line="240" w:lineRule="auto"/>
              <w:ind w:firstLine="0" w:firstLineChars="0"/>
              <w:rPr>
                <w:sz w:val="18"/>
                <w:szCs w:val="18"/>
              </w:rPr>
            </w:pPr>
            <w:r>
              <w:rPr>
                <w:sz w:val="18"/>
                <w:szCs w:val="18"/>
              </w:rPr>
              <w:t>本项目不涉及输变电线路。</w:t>
            </w:r>
          </w:p>
        </w:tc>
        <w:tc>
          <w:tcPr>
            <w:tcW w:w="434" w:type="pct"/>
            <w:vAlign w:val="center"/>
          </w:tcPr>
          <w:p w14:paraId="1CBDF125">
            <w:pPr>
              <w:tabs>
                <w:tab w:val="clear" w:pos="480"/>
              </w:tabs>
              <w:spacing w:line="240" w:lineRule="auto"/>
              <w:ind w:firstLine="0" w:firstLineChars="0"/>
              <w:jc w:val="center"/>
              <w:rPr>
                <w:sz w:val="18"/>
                <w:szCs w:val="18"/>
              </w:rPr>
            </w:pPr>
            <w:r>
              <w:rPr>
                <w:sz w:val="18"/>
                <w:szCs w:val="18"/>
              </w:rPr>
              <w:t>相符</w:t>
            </w:r>
          </w:p>
        </w:tc>
      </w:tr>
      <w:tr w14:paraId="3103C8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43C2C922">
            <w:pPr>
              <w:tabs>
                <w:tab w:val="clear" w:pos="480"/>
              </w:tabs>
              <w:spacing w:line="240" w:lineRule="auto"/>
              <w:ind w:firstLine="360"/>
              <w:jc w:val="center"/>
              <w:rPr>
                <w:sz w:val="18"/>
                <w:szCs w:val="18"/>
              </w:rPr>
            </w:pPr>
          </w:p>
        </w:tc>
        <w:tc>
          <w:tcPr>
            <w:tcW w:w="1990" w:type="pct"/>
            <w:vAlign w:val="center"/>
          </w:tcPr>
          <w:p w14:paraId="22AB0342">
            <w:pPr>
              <w:tabs>
                <w:tab w:val="clear" w:pos="480"/>
              </w:tabs>
              <w:spacing w:line="240" w:lineRule="auto"/>
              <w:ind w:firstLine="0" w:firstLineChars="0"/>
              <w:rPr>
                <w:sz w:val="18"/>
                <w:szCs w:val="18"/>
              </w:rPr>
            </w:pPr>
            <w:r>
              <w:rPr>
                <w:sz w:val="18"/>
                <w:szCs w:val="18"/>
              </w:rPr>
              <w:t>原则上避免在0类声环境功能区建设变电工程</w:t>
            </w:r>
          </w:p>
        </w:tc>
        <w:tc>
          <w:tcPr>
            <w:tcW w:w="2103" w:type="pct"/>
            <w:vAlign w:val="center"/>
          </w:tcPr>
          <w:p w14:paraId="15A8AFA7">
            <w:pPr>
              <w:tabs>
                <w:tab w:val="clear" w:pos="480"/>
              </w:tabs>
              <w:spacing w:line="240" w:lineRule="auto"/>
              <w:ind w:firstLine="0" w:firstLineChars="0"/>
              <w:rPr>
                <w:sz w:val="18"/>
                <w:szCs w:val="18"/>
              </w:rPr>
            </w:pPr>
            <w:r>
              <w:rPr>
                <w:sz w:val="18"/>
                <w:szCs w:val="18"/>
              </w:rPr>
              <w:t>本项目新建的110kV升压站站址范围不涉及0类声环境功能区</w:t>
            </w:r>
          </w:p>
        </w:tc>
        <w:tc>
          <w:tcPr>
            <w:tcW w:w="434" w:type="pct"/>
            <w:vAlign w:val="center"/>
          </w:tcPr>
          <w:p w14:paraId="036767BF">
            <w:pPr>
              <w:tabs>
                <w:tab w:val="clear" w:pos="480"/>
              </w:tabs>
              <w:spacing w:line="240" w:lineRule="auto"/>
              <w:ind w:firstLine="0" w:firstLineChars="0"/>
              <w:jc w:val="center"/>
              <w:rPr>
                <w:sz w:val="18"/>
                <w:szCs w:val="18"/>
              </w:rPr>
            </w:pPr>
            <w:r>
              <w:rPr>
                <w:sz w:val="18"/>
                <w:szCs w:val="18"/>
              </w:rPr>
              <w:t>相符</w:t>
            </w:r>
          </w:p>
        </w:tc>
      </w:tr>
      <w:tr w14:paraId="1BE06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7924471B">
            <w:pPr>
              <w:tabs>
                <w:tab w:val="clear" w:pos="480"/>
              </w:tabs>
              <w:spacing w:line="240" w:lineRule="auto"/>
              <w:ind w:firstLine="360"/>
              <w:jc w:val="center"/>
              <w:rPr>
                <w:sz w:val="18"/>
                <w:szCs w:val="18"/>
              </w:rPr>
            </w:pPr>
          </w:p>
        </w:tc>
        <w:tc>
          <w:tcPr>
            <w:tcW w:w="1990" w:type="pct"/>
            <w:vAlign w:val="center"/>
          </w:tcPr>
          <w:p w14:paraId="7FC8DD4D">
            <w:pPr>
              <w:tabs>
                <w:tab w:val="clear" w:pos="480"/>
              </w:tabs>
              <w:spacing w:line="240" w:lineRule="auto"/>
              <w:ind w:firstLine="0" w:firstLineChars="0"/>
              <w:rPr>
                <w:sz w:val="18"/>
                <w:szCs w:val="18"/>
              </w:rPr>
            </w:pPr>
            <w:r>
              <w:rPr>
                <w:sz w:val="18"/>
                <w:szCs w:val="18"/>
              </w:rPr>
              <w:t>变电工程选址时，应综合考虑减少土地占用、植被砍伐和弃土弃渣等，以减少对生态环境的不利影响</w:t>
            </w:r>
          </w:p>
        </w:tc>
        <w:tc>
          <w:tcPr>
            <w:tcW w:w="2103" w:type="pct"/>
            <w:vAlign w:val="center"/>
          </w:tcPr>
          <w:p w14:paraId="57DED4F9">
            <w:pPr>
              <w:tabs>
                <w:tab w:val="clear" w:pos="480"/>
              </w:tabs>
              <w:spacing w:line="240" w:lineRule="auto"/>
              <w:ind w:firstLine="0" w:firstLineChars="0"/>
              <w:rPr>
                <w:sz w:val="18"/>
                <w:szCs w:val="18"/>
              </w:rPr>
            </w:pPr>
            <w:r>
              <w:rPr>
                <w:sz w:val="18"/>
                <w:szCs w:val="18"/>
              </w:rPr>
              <w:t>本项目新建的110kV升压站现状用地植被覆盖量较少，减少了土地占用和植被砍伐。根据该项目水土保持报告书，项目升压站施工过程中土石方平衡，无多余弃土弃渣产生</w:t>
            </w:r>
          </w:p>
        </w:tc>
        <w:tc>
          <w:tcPr>
            <w:tcW w:w="434" w:type="pct"/>
            <w:vAlign w:val="center"/>
          </w:tcPr>
          <w:p w14:paraId="1A9D33FE">
            <w:pPr>
              <w:tabs>
                <w:tab w:val="clear" w:pos="480"/>
              </w:tabs>
              <w:spacing w:line="240" w:lineRule="auto"/>
              <w:ind w:firstLine="0" w:firstLineChars="0"/>
              <w:jc w:val="center"/>
              <w:rPr>
                <w:sz w:val="18"/>
                <w:szCs w:val="18"/>
              </w:rPr>
            </w:pPr>
            <w:r>
              <w:rPr>
                <w:sz w:val="18"/>
                <w:szCs w:val="18"/>
              </w:rPr>
              <w:t>相符</w:t>
            </w:r>
          </w:p>
        </w:tc>
      </w:tr>
      <w:tr w14:paraId="226F59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0A07723D">
            <w:pPr>
              <w:tabs>
                <w:tab w:val="clear" w:pos="480"/>
              </w:tabs>
              <w:spacing w:line="240" w:lineRule="auto"/>
              <w:ind w:firstLine="0" w:firstLineChars="0"/>
              <w:jc w:val="center"/>
              <w:rPr>
                <w:sz w:val="18"/>
                <w:szCs w:val="18"/>
              </w:rPr>
            </w:pPr>
          </w:p>
        </w:tc>
        <w:tc>
          <w:tcPr>
            <w:tcW w:w="1990" w:type="pct"/>
            <w:vAlign w:val="center"/>
          </w:tcPr>
          <w:p w14:paraId="5AB6527E">
            <w:pPr>
              <w:tabs>
                <w:tab w:val="clear" w:pos="480"/>
              </w:tabs>
              <w:spacing w:line="240" w:lineRule="auto"/>
              <w:ind w:firstLine="0" w:firstLineChars="0"/>
              <w:rPr>
                <w:sz w:val="18"/>
                <w:szCs w:val="18"/>
              </w:rPr>
            </w:pPr>
            <w:r>
              <w:rPr>
                <w:sz w:val="18"/>
                <w:szCs w:val="18"/>
              </w:rPr>
              <w:t>输电线路宜避让集中林区，以减少林木砍伐，保护生态环境</w:t>
            </w:r>
          </w:p>
        </w:tc>
        <w:tc>
          <w:tcPr>
            <w:tcW w:w="2103" w:type="pct"/>
            <w:vAlign w:val="center"/>
          </w:tcPr>
          <w:p w14:paraId="1F879ECA">
            <w:pPr>
              <w:tabs>
                <w:tab w:val="clear" w:pos="480"/>
              </w:tabs>
              <w:spacing w:line="240" w:lineRule="auto"/>
              <w:ind w:firstLine="0" w:firstLineChars="0"/>
              <w:rPr>
                <w:sz w:val="18"/>
                <w:szCs w:val="18"/>
              </w:rPr>
            </w:pPr>
            <w:r>
              <w:rPr>
                <w:sz w:val="18"/>
                <w:szCs w:val="18"/>
              </w:rPr>
              <w:t>本项目不涉及输电线路</w:t>
            </w:r>
          </w:p>
        </w:tc>
        <w:tc>
          <w:tcPr>
            <w:tcW w:w="434" w:type="pct"/>
            <w:vAlign w:val="center"/>
          </w:tcPr>
          <w:p w14:paraId="30E37E41">
            <w:pPr>
              <w:tabs>
                <w:tab w:val="clear" w:pos="480"/>
              </w:tabs>
              <w:spacing w:line="240" w:lineRule="auto"/>
              <w:ind w:firstLine="0" w:firstLineChars="0"/>
              <w:jc w:val="center"/>
              <w:rPr>
                <w:sz w:val="18"/>
                <w:szCs w:val="18"/>
              </w:rPr>
            </w:pPr>
            <w:r>
              <w:rPr>
                <w:sz w:val="18"/>
                <w:szCs w:val="18"/>
              </w:rPr>
              <w:t>相符</w:t>
            </w:r>
          </w:p>
        </w:tc>
      </w:tr>
      <w:tr w14:paraId="3A5C8C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Align w:val="center"/>
          </w:tcPr>
          <w:p w14:paraId="24C5C3CC">
            <w:pPr>
              <w:tabs>
                <w:tab w:val="clear" w:pos="480"/>
              </w:tabs>
              <w:spacing w:line="240" w:lineRule="auto"/>
              <w:ind w:firstLine="0" w:firstLineChars="0"/>
              <w:jc w:val="center"/>
              <w:rPr>
                <w:sz w:val="18"/>
                <w:szCs w:val="18"/>
              </w:rPr>
            </w:pPr>
            <w:r>
              <w:rPr>
                <w:sz w:val="18"/>
                <w:szCs w:val="18"/>
              </w:rPr>
              <w:t>设计</w:t>
            </w:r>
          </w:p>
        </w:tc>
        <w:tc>
          <w:tcPr>
            <w:tcW w:w="1990" w:type="pct"/>
            <w:vAlign w:val="center"/>
          </w:tcPr>
          <w:p w14:paraId="51F53ADB">
            <w:pPr>
              <w:tabs>
                <w:tab w:val="clear" w:pos="480"/>
              </w:tabs>
              <w:spacing w:line="240" w:lineRule="auto"/>
              <w:ind w:firstLine="0" w:firstLineChars="0"/>
              <w:rPr>
                <w:sz w:val="18"/>
                <w:szCs w:val="18"/>
              </w:rPr>
            </w:pPr>
            <w:r>
              <w:rPr>
                <w:sz w:val="18"/>
                <w:szCs w:val="18"/>
              </w:rPr>
              <w:t>变电工程应设置足够容量的事故油池及其配套的拦截、防雨、防渗等措施和设施。一旦发生泄漏，应能及时进行拦截和处理，确保油及油水混合物全部收集、不外排。</w:t>
            </w:r>
          </w:p>
        </w:tc>
        <w:tc>
          <w:tcPr>
            <w:tcW w:w="2103" w:type="pct"/>
            <w:vAlign w:val="center"/>
          </w:tcPr>
          <w:p w14:paraId="47DFC3EB">
            <w:pPr>
              <w:tabs>
                <w:tab w:val="clear" w:pos="480"/>
              </w:tabs>
              <w:spacing w:line="240" w:lineRule="auto"/>
              <w:ind w:firstLine="0" w:firstLineChars="0"/>
              <w:rPr>
                <w:sz w:val="18"/>
                <w:szCs w:val="18"/>
              </w:rPr>
            </w:pPr>
            <w:r>
              <w:rPr>
                <w:sz w:val="18"/>
                <w:szCs w:val="18"/>
              </w:rPr>
              <w:t>本项目拟建的110kV升压站内设置事故油池，主变下方铺设了卵石层，四周设置排油槽并与事故油池相连，事故发生后，油及油水混合物不会外泄</w:t>
            </w:r>
          </w:p>
        </w:tc>
        <w:tc>
          <w:tcPr>
            <w:tcW w:w="434" w:type="pct"/>
            <w:vAlign w:val="center"/>
          </w:tcPr>
          <w:p w14:paraId="6E6BD879">
            <w:pPr>
              <w:tabs>
                <w:tab w:val="clear" w:pos="480"/>
              </w:tabs>
              <w:spacing w:line="240" w:lineRule="auto"/>
              <w:ind w:firstLine="0" w:firstLineChars="0"/>
              <w:jc w:val="center"/>
              <w:rPr>
                <w:sz w:val="18"/>
                <w:szCs w:val="18"/>
              </w:rPr>
            </w:pPr>
            <w:r>
              <w:rPr>
                <w:sz w:val="18"/>
                <w:szCs w:val="18"/>
              </w:rPr>
              <w:t>符合</w:t>
            </w:r>
          </w:p>
        </w:tc>
      </w:tr>
      <w:tr w14:paraId="5610F5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Align w:val="center"/>
          </w:tcPr>
          <w:p w14:paraId="0B84E03D">
            <w:pPr>
              <w:tabs>
                <w:tab w:val="clear" w:pos="480"/>
              </w:tabs>
              <w:spacing w:line="240" w:lineRule="auto"/>
              <w:ind w:firstLine="0" w:firstLineChars="0"/>
              <w:jc w:val="center"/>
              <w:rPr>
                <w:sz w:val="18"/>
                <w:szCs w:val="18"/>
              </w:rPr>
            </w:pPr>
            <w:r>
              <w:rPr>
                <w:sz w:val="18"/>
                <w:szCs w:val="18"/>
              </w:rPr>
              <w:t>电磁环境保护</w:t>
            </w:r>
          </w:p>
        </w:tc>
        <w:tc>
          <w:tcPr>
            <w:tcW w:w="1990" w:type="pct"/>
            <w:vAlign w:val="center"/>
          </w:tcPr>
          <w:p w14:paraId="039B2A14">
            <w:pPr>
              <w:tabs>
                <w:tab w:val="clear" w:pos="480"/>
              </w:tabs>
              <w:spacing w:line="240" w:lineRule="auto"/>
              <w:ind w:firstLine="0" w:firstLineChars="0"/>
              <w:rPr>
                <w:sz w:val="18"/>
                <w:szCs w:val="18"/>
              </w:rPr>
            </w:pPr>
            <w:r>
              <w:rPr>
                <w:sz w:val="18"/>
                <w:szCs w:val="18"/>
              </w:rPr>
              <w:t>工程设计应对产生的工频电场、工频磁场、直流合成电场等电磁环境影响因子进行验算，采取相应防护措施，确保电磁环境影响满足国家标准要求；</w:t>
            </w:r>
          </w:p>
        </w:tc>
        <w:tc>
          <w:tcPr>
            <w:tcW w:w="2103" w:type="pct"/>
            <w:vAlign w:val="center"/>
          </w:tcPr>
          <w:p w14:paraId="72A9F14B">
            <w:pPr>
              <w:tabs>
                <w:tab w:val="clear" w:pos="480"/>
              </w:tabs>
              <w:spacing w:line="240" w:lineRule="auto"/>
              <w:ind w:firstLine="0" w:firstLineChars="0"/>
              <w:rPr>
                <w:sz w:val="18"/>
                <w:szCs w:val="18"/>
              </w:rPr>
            </w:pPr>
            <w:r>
              <w:rPr>
                <w:sz w:val="18"/>
                <w:szCs w:val="18"/>
              </w:rPr>
              <w:t>根据电磁环境影响专题分析，升压站电磁环境影响满足国家标准要求</w:t>
            </w:r>
          </w:p>
        </w:tc>
        <w:tc>
          <w:tcPr>
            <w:tcW w:w="434" w:type="pct"/>
            <w:vAlign w:val="center"/>
          </w:tcPr>
          <w:p w14:paraId="7C9AB4A4">
            <w:pPr>
              <w:tabs>
                <w:tab w:val="clear" w:pos="480"/>
              </w:tabs>
              <w:spacing w:line="240" w:lineRule="auto"/>
              <w:ind w:firstLine="0" w:firstLineChars="0"/>
              <w:jc w:val="center"/>
              <w:rPr>
                <w:sz w:val="18"/>
                <w:szCs w:val="18"/>
              </w:rPr>
            </w:pPr>
            <w:r>
              <w:rPr>
                <w:sz w:val="18"/>
                <w:szCs w:val="18"/>
              </w:rPr>
              <w:t>符合</w:t>
            </w:r>
          </w:p>
        </w:tc>
      </w:tr>
      <w:tr w14:paraId="0B37A7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Align w:val="center"/>
          </w:tcPr>
          <w:p w14:paraId="63970A0F">
            <w:pPr>
              <w:tabs>
                <w:tab w:val="clear" w:pos="480"/>
              </w:tabs>
              <w:spacing w:line="240" w:lineRule="auto"/>
              <w:ind w:firstLine="0" w:firstLineChars="0"/>
              <w:jc w:val="center"/>
              <w:rPr>
                <w:sz w:val="18"/>
                <w:szCs w:val="18"/>
              </w:rPr>
            </w:pPr>
            <w:r>
              <w:rPr>
                <w:sz w:val="18"/>
                <w:szCs w:val="18"/>
              </w:rPr>
              <w:t>声环境保护</w:t>
            </w:r>
          </w:p>
        </w:tc>
        <w:tc>
          <w:tcPr>
            <w:tcW w:w="1990" w:type="pct"/>
            <w:vAlign w:val="center"/>
          </w:tcPr>
          <w:p w14:paraId="3469BCB7">
            <w:pPr>
              <w:tabs>
                <w:tab w:val="clear" w:pos="480"/>
              </w:tabs>
              <w:spacing w:line="240" w:lineRule="auto"/>
              <w:ind w:firstLine="0" w:firstLineChars="0"/>
              <w:rPr>
                <w:sz w:val="18"/>
                <w:szCs w:val="18"/>
              </w:rPr>
            </w:pPr>
            <w:r>
              <w:rPr>
                <w:sz w:val="18"/>
                <w:szCs w:val="18"/>
              </w:rPr>
              <w:t>变电工程噪声控制设计应首先从噪声源强上进行控制，选择低噪声设备；对于声源上无法根治的噪声，应采用隔声、吸声、消声、防振、减振等降噪措施，确保厂界排放噪声和周围声环境敏感目标分别满足GB12348和GB3096要求。</w:t>
            </w:r>
          </w:p>
        </w:tc>
        <w:tc>
          <w:tcPr>
            <w:tcW w:w="2103" w:type="pct"/>
            <w:vAlign w:val="center"/>
          </w:tcPr>
          <w:p w14:paraId="57797519">
            <w:pPr>
              <w:tabs>
                <w:tab w:val="clear" w:pos="480"/>
              </w:tabs>
              <w:spacing w:line="240" w:lineRule="auto"/>
              <w:ind w:firstLine="0" w:firstLineChars="0"/>
              <w:rPr>
                <w:sz w:val="18"/>
                <w:szCs w:val="18"/>
              </w:rPr>
            </w:pPr>
            <w:r>
              <w:rPr>
                <w:sz w:val="18"/>
                <w:szCs w:val="18"/>
              </w:rPr>
              <w:t>根据声环境影响分析，升压站可以做到厂界达标，升压站周边200m范围内无声环境敏感目标</w:t>
            </w:r>
          </w:p>
        </w:tc>
        <w:tc>
          <w:tcPr>
            <w:tcW w:w="434" w:type="pct"/>
            <w:vAlign w:val="center"/>
          </w:tcPr>
          <w:p w14:paraId="698E17E5">
            <w:pPr>
              <w:tabs>
                <w:tab w:val="clear" w:pos="480"/>
              </w:tabs>
              <w:spacing w:line="240" w:lineRule="auto"/>
              <w:ind w:firstLine="0" w:firstLineChars="0"/>
              <w:jc w:val="center"/>
              <w:rPr>
                <w:sz w:val="18"/>
                <w:szCs w:val="18"/>
              </w:rPr>
            </w:pPr>
            <w:r>
              <w:rPr>
                <w:sz w:val="18"/>
                <w:szCs w:val="18"/>
              </w:rPr>
              <w:t>符合</w:t>
            </w:r>
          </w:p>
        </w:tc>
      </w:tr>
      <w:tr w14:paraId="6A785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restart"/>
            <w:vAlign w:val="center"/>
          </w:tcPr>
          <w:p w14:paraId="7130F81F">
            <w:pPr>
              <w:tabs>
                <w:tab w:val="clear" w:pos="480"/>
              </w:tabs>
              <w:spacing w:line="240" w:lineRule="auto"/>
              <w:ind w:firstLine="0" w:firstLineChars="0"/>
              <w:jc w:val="center"/>
              <w:rPr>
                <w:sz w:val="18"/>
                <w:szCs w:val="18"/>
              </w:rPr>
            </w:pPr>
            <w:r>
              <w:rPr>
                <w:sz w:val="18"/>
                <w:szCs w:val="18"/>
              </w:rPr>
              <w:t>生态保护</w:t>
            </w:r>
          </w:p>
        </w:tc>
        <w:tc>
          <w:tcPr>
            <w:tcW w:w="1990" w:type="pct"/>
            <w:vAlign w:val="center"/>
          </w:tcPr>
          <w:p w14:paraId="7EABA7BB">
            <w:pPr>
              <w:tabs>
                <w:tab w:val="clear" w:pos="480"/>
              </w:tabs>
              <w:spacing w:line="240" w:lineRule="auto"/>
              <w:ind w:firstLine="0" w:firstLineChars="0"/>
              <w:rPr>
                <w:sz w:val="18"/>
                <w:szCs w:val="18"/>
              </w:rPr>
            </w:pPr>
            <w:r>
              <w:rPr>
                <w:sz w:val="18"/>
                <w:szCs w:val="18"/>
              </w:rPr>
              <w:t>输变电建设项目在设计过程中应按照避让、减缓、恢复的次序提出生态影响防护与恢复的措施；</w:t>
            </w:r>
          </w:p>
        </w:tc>
        <w:tc>
          <w:tcPr>
            <w:tcW w:w="2103" w:type="pct"/>
            <w:vAlign w:val="center"/>
          </w:tcPr>
          <w:p w14:paraId="1A4EB57C">
            <w:pPr>
              <w:tabs>
                <w:tab w:val="clear" w:pos="480"/>
              </w:tabs>
              <w:spacing w:line="240" w:lineRule="auto"/>
              <w:ind w:firstLine="0" w:firstLineChars="0"/>
              <w:rPr>
                <w:sz w:val="18"/>
                <w:szCs w:val="18"/>
              </w:rPr>
            </w:pPr>
            <w:r>
              <w:rPr>
                <w:sz w:val="18"/>
                <w:szCs w:val="18"/>
              </w:rPr>
              <w:t>本报告生态保护措施部分提出了避让、减缓、恢复的生态保护措施</w:t>
            </w:r>
          </w:p>
        </w:tc>
        <w:tc>
          <w:tcPr>
            <w:tcW w:w="434" w:type="pct"/>
            <w:vAlign w:val="center"/>
          </w:tcPr>
          <w:p w14:paraId="589515F6">
            <w:pPr>
              <w:tabs>
                <w:tab w:val="clear" w:pos="480"/>
              </w:tabs>
              <w:spacing w:line="240" w:lineRule="auto"/>
              <w:ind w:firstLine="0" w:firstLineChars="0"/>
              <w:jc w:val="center"/>
              <w:rPr>
                <w:sz w:val="18"/>
                <w:szCs w:val="18"/>
              </w:rPr>
            </w:pPr>
            <w:r>
              <w:rPr>
                <w:sz w:val="18"/>
                <w:szCs w:val="18"/>
              </w:rPr>
              <w:t>符合</w:t>
            </w:r>
          </w:p>
        </w:tc>
      </w:tr>
      <w:tr w14:paraId="74306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25839EF0">
            <w:pPr>
              <w:tabs>
                <w:tab w:val="clear" w:pos="480"/>
              </w:tabs>
              <w:spacing w:line="240" w:lineRule="auto"/>
              <w:ind w:firstLine="0" w:firstLineChars="0"/>
              <w:jc w:val="center"/>
              <w:rPr>
                <w:sz w:val="18"/>
                <w:szCs w:val="18"/>
              </w:rPr>
            </w:pPr>
          </w:p>
        </w:tc>
        <w:tc>
          <w:tcPr>
            <w:tcW w:w="1990" w:type="pct"/>
            <w:vAlign w:val="center"/>
          </w:tcPr>
          <w:p w14:paraId="45751CE0">
            <w:pPr>
              <w:tabs>
                <w:tab w:val="clear" w:pos="480"/>
              </w:tabs>
              <w:spacing w:line="240" w:lineRule="auto"/>
              <w:ind w:firstLine="0" w:firstLineChars="0"/>
              <w:rPr>
                <w:sz w:val="18"/>
                <w:szCs w:val="18"/>
              </w:rPr>
            </w:pPr>
            <w:r>
              <w:rPr>
                <w:sz w:val="18"/>
                <w:szCs w:val="18"/>
              </w:rPr>
              <w:t>输变电建设项目临时占地，应因地制宜进行土地功能恢复设计。</w:t>
            </w:r>
          </w:p>
        </w:tc>
        <w:tc>
          <w:tcPr>
            <w:tcW w:w="2103" w:type="pct"/>
            <w:vAlign w:val="center"/>
          </w:tcPr>
          <w:p w14:paraId="38E1A65A">
            <w:pPr>
              <w:tabs>
                <w:tab w:val="clear" w:pos="480"/>
              </w:tabs>
              <w:spacing w:line="240" w:lineRule="auto"/>
              <w:ind w:firstLine="0" w:firstLineChars="0"/>
              <w:rPr>
                <w:sz w:val="18"/>
                <w:szCs w:val="18"/>
              </w:rPr>
            </w:pPr>
            <w:r>
              <w:rPr>
                <w:sz w:val="18"/>
                <w:szCs w:val="18"/>
              </w:rPr>
              <w:t>本报告提出了临时占地复垦绿化的要求</w:t>
            </w:r>
          </w:p>
        </w:tc>
        <w:tc>
          <w:tcPr>
            <w:tcW w:w="434" w:type="pct"/>
            <w:vAlign w:val="center"/>
          </w:tcPr>
          <w:p w14:paraId="43B79087">
            <w:pPr>
              <w:tabs>
                <w:tab w:val="clear" w:pos="480"/>
              </w:tabs>
              <w:spacing w:line="240" w:lineRule="auto"/>
              <w:ind w:firstLine="0" w:firstLineChars="0"/>
              <w:jc w:val="center"/>
              <w:rPr>
                <w:sz w:val="18"/>
                <w:szCs w:val="18"/>
              </w:rPr>
            </w:pPr>
            <w:r>
              <w:rPr>
                <w:sz w:val="18"/>
                <w:szCs w:val="18"/>
              </w:rPr>
              <w:t>符合</w:t>
            </w:r>
          </w:p>
        </w:tc>
      </w:tr>
      <w:tr w14:paraId="4F4A6D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Align w:val="center"/>
          </w:tcPr>
          <w:p w14:paraId="014470A3">
            <w:pPr>
              <w:tabs>
                <w:tab w:val="clear" w:pos="480"/>
              </w:tabs>
              <w:spacing w:line="240" w:lineRule="auto"/>
              <w:ind w:firstLine="0" w:firstLineChars="0"/>
              <w:jc w:val="center"/>
              <w:rPr>
                <w:sz w:val="18"/>
                <w:szCs w:val="18"/>
              </w:rPr>
            </w:pPr>
            <w:r>
              <w:rPr>
                <w:sz w:val="18"/>
                <w:szCs w:val="18"/>
              </w:rPr>
              <w:t>水环境保护</w:t>
            </w:r>
          </w:p>
        </w:tc>
        <w:tc>
          <w:tcPr>
            <w:tcW w:w="1990" w:type="pct"/>
            <w:vAlign w:val="center"/>
          </w:tcPr>
          <w:p w14:paraId="39A1D44A">
            <w:pPr>
              <w:tabs>
                <w:tab w:val="clear" w:pos="480"/>
              </w:tabs>
              <w:spacing w:line="240" w:lineRule="auto"/>
              <w:ind w:firstLine="0" w:firstLineChars="0"/>
              <w:rPr>
                <w:sz w:val="18"/>
                <w:szCs w:val="18"/>
              </w:rPr>
            </w:pPr>
            <w:r>
              <w:rPr>
                <w:sz w:val="18"/>
                <w:szCs w:val="18"/>
              </w:rPr>
              <w:t>变电工程站内产生的生活污水宜考虑处理后纳入城市污水管网；不具备纳入城市污水管网条件的变电工程，应根据站内生活污水产生情况设置生活污水处理装置（化粪池、地埋式污水处理装置、回用水池、蒸发池等），生活污水经处理后回收利用、定期清理或外排，外排时应严格执行相应的国家和地方水污染物排放标准相关要求。</w:t>
            </w:r>
          </w:p>
        </w:tc>
        <w:tc>
          <w:tcPr>
            <w:tcW w:w="2103" w:type="pct"/>
            <w:vAlign w:val="center"/>
          </w:tcPr>
          <w:p w14:paraId="1059E1C5">
            <w:pPr>
              <w:tabs>
                <w:tab w:val="clear" w:pos="480"/>
              </w:tabs>
              <w:spacing w:line="240" w:lineRule="auto"/>
              <w:ind w:firstLine="0" w:firstLineChars="0"/>
              <w:rPr>
                <w:sz w:val="18"/>
                <w:szCs w:val="18"/>
              </w:rPr>
            </w:pPr>
            <w:r>
              <w:rPr>
                <w:sz w:val="18"/>
                <w:szCs w:val="18"/>
              </w:rPr>
              <w:t>升压站内的生活污水经化粪池、一体化污水处理工程处理达到《污水综合排放标准》（GB8978-1996）一级标准，用于升压站周边绿化。</w:t>
            </w:r>
          </w:p>
        </w:tc>
        <w:tc>
          <w:tcPr>
            <w:tcW w:w="434" w:type="pct"/>
            <w:vAlign w:val="center"/>
          </w:tcPr>
          <w:p w14:paraId="6336FB0F">
            <w:pPr>
              <w:tabs>
                <w:tab w:val="clear" w:pos="480"/>
              </w:tabs>
              <w:spacing w:line="240" w:lineRule="auto"/>
              <w:ind w:firstLine="0" w:firstLineChars="0"/>
              <w:jc w:val="center"/>
              <w:rPr>
                <w:sz w:val="18"/>
                <w:szCs w:val="18"/>
              </w:rPr>
            </w:pPr>
            <w:r>
              <w:rPr>
                <w:sz w:val="18"/>
                <w:szCs w:val="18"/>
              </w:rPr>
              <w:t>符合</w:t>
            </w:r>
          </w:p>
        </w:tc>
      </w:tr>
      <w:tr w14:paraId="4085B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restart"/>
            <w:vAlign w:val="center"/>
          </w:tcPr>
          <w:p w14:paraId="7544912F">
            <w:pPr>
              <w:tabs>
                <w:tab w:val="clear" w:pos="480"/>
              </w:tabs>
              <w:spacing w:line="240" w:lineRule="auto"/>
              <w:ind w:firstLine="0" w:firstLineChars="0"/>
              <w:jc w:val="center"/>
              <w:rPr>
                <w:sz w:val="18"/>
                <w:szCs w:val="18"/>
              </w:rPr>
            </w:pPr>
            <w:r>
              <w:rPr>
                <w:sz w:val="18"/>
                <w:szCs w:val="18"/>
              </w:rPr>
              <w:t>施工</w:t>
            </w:r>
          </w:p>
        </w:tc>
        <w:tc>
          <w:tcPr>
            <w:tcW w:w="1990" w:type="pct"/>
            <w:vAlign w:val="center"/>
          </w:tcPr>
          <w:p w14:paraId="62829F66">
            <w:pPr>
              <w:tabs>
                <w:tab w:val="clear" w:pos="480"/>
              </w:tabs>
              <w:spacing w:line="240" w:lineRule="auto"/>
              <w:ind w:firstLine="0" w:firstLineChars="0"/>
              <w:rPr>
                <w:sz w:val="18"/>
                <w:szCs w:val="18"/>
              </w:rPr>
            </w:pPr>
            <w:r>
              <w:rPr>
                <w:sz w:val="18"/>
                <w:szCs w:val="18"/>
              </w:rPr>
              <w:t>变电工程施工过程中场界环境噪声排放应满足GB12523中的要求；</w:t>
            </w:r>
          </w:p>
        </w:tc>
        <w:tc>
          <w:tcPr>
            <w:tcW w:w="2103" w:type="pct"/>
            <w:vAlign w:val="center"/>
          </w:tcPr>
          <w:p w14:paraId="4829F87A">
            <w:pPr>
              <w:tabs>
                <w:tab w:val="clear" w:pos="480"/>
              </w:tabs>
              <w:spacing w:line="240" w:lineRule="auto"/>
              <w:ind w:firstLine="0" w:firstLineChars="0"/>
              <w:rPr>
                <w:sz w:val="18"/>
                <w:szCs w:val="18"/>
              </w:rPr>
            </w:pPr>
            <w:r>
              <w:rPr>
                <w:sz w:val="18"/>
                <w:szCs w:val="18"/>
              </w:rPr>
              <w:t>经预测，升压站施工过程中场界环境噪声排放满足GB12523中的要求</w:t>
            </w:r>
          </w:p>
        </w:tc>
        <w:tc>
          <w:tcPr>
            <w:tcW w:w="434" w:type="pct"/>
            <w:vAlign w:val="center"/>
          </w:tcPr>
          <w:p w14:paraId="0D2E33CB">
            <w:pPr>
              <w:tabs>
                <w:tab w:val="clear" w:pos="480"/>
              </w:tabs>
              <w:spacing w:line="240" w:lineRule="auto"/>
              <w:ind w:firstLine="0" w:firstLineChars="0"/>
              <w:jc w:val="center"/>
              <w:rPr>
                <w:sz w:val="18"/>
                <w:szCs w:val="18"/>
              </w:rPr>
            </w:pPr>
            <w:r>
              <w:rPr>
                <w:sz w:val="18"/>
                <w:szCs w:val="18"/>
              </w:rPr>
              <w:t>符合</w:t>
            </w:r>
          </w:p>
        </w:tc>
      </w:tr>
      <w:tr w14:paraId="0A06F8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6446535B">
            <w:pPr>
              <w:tabs>
                <w:tab w:val="clear" w:pos="480"/>
              </w:tabs>
              <w:spacing w:line="240" w:lineRule="auto"/>
              <w:ind w:firstLine="0" w:firstLineChars="0"/>
              <w:jc w:val="center"/>
              <w:rPr>
                <w:sz w:val="18"/>
                <w:szCs w:val="18"/>
              </w:rPr>
            </w:pPr>
          </w:p>
        </w:tc>
        <w:tc>
          <w:tcPr>
            <w:tcW w:w="1990" w:type="pct"/>
            <w:vAlign w:val="center"/>
          </w:tcPr>
          <w:p w14:paraId="78F8C52A">
            <w:pPr>
              <w:tabs>
                <w:tab w:val="clear" w:pos="480"/>
              </w:tabs>
              <w:spacing w:line="240" w:lineRule="auto"/>
              <w:ind w:firstLine="0" w:firstLineChars="0"/>
              <w:rPr>
                <w:sz w:val="18"/>
                <w:szCs w:val="18"/>
              </w:rPr>
            </w:pPr>
            <w:r>
              <w:rPr>
                <w:sz w:val="18"/>
                <w:szCs w:val="18"/>
              </w:rPr>
              <w:t>输变电建设项目施工期临时用地应永临结合，优先利用荒地、劣地；</w:t>
            </w:r>
          </w:p>
        </w:tc>
        <w:tc>
          <w:tcPr>
            <w:tcW w:w="2103" w:type="pct"/>
            <w:vAlign w:val="center"/>
          </w:tcPr>
          <w:p w14:paraId="7AB0C6CD">
            <w:pPr>
              <w:tabs>
                <w:tab w:val="clear" w:pos="480"/>
              </w:tabs>
              <w:spacing w:line="240" w:lineRule="auto"/>
              <w:ind w:firstLine="0" w:firstLineChars="0"/>
              <w:rPr>
                <w:sz w:val="18"/>
                <w:szCs w:val="18"/>
              </w:rPr>
            </w:pPr>
            <w:r>
              <w:rPr>
                <w:sz w:val="18"/>
                <w:szCs w:val="18"/>
              </w:rPr>
              <w:t>施工期升压站施工用地为升压站的永久用地。</w:t>
            </w:r>
          </w:p>
        </w:tc>
        <w:tc>
          <w:tcPr>
            <w:tcW w:w="434" w:type="pct"/>
            <w:vAlign w:val="center"/>
          </w:tcPr>
          <w:p w14:paraId="6AC7B210">
            <w:pPr>
              <w:tabs>
                <w:tab w:val="clear" w:pos="480"/>
              </w:tabs>
              <w:spacing w:line="240" w:lineRule="auto"/>
              <w:ind w:firstLine="0" w:firstLineChars="0"/>
              <w:jc w:val="center"/>
              <w:rPr>
                <w:sz w:val="18"/>
                <w:szCs w:val="18"/>
              </w:rPr>
            </w:pPr>
            <w:r>
              <w:rPr>
                <w:sz w:val="18"/>
                <w:szCs w:val="18"/>
              </w:rPr>
              <w:t>符合</w:t>
            </w:r>
          </w:p>
        </w:tc>
      </w:tr>
      <w:tr w14:paraId="27F91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4888E308">
            <w:pPr>
              <w:tabs>
                <w:tab w:val="clear" w:pos="480"/>
              </w:tabs>
              <w:spacing w:line="240" w:lineRule="auto"/>
              <w:ind w:firstLine="0" w:firstLineChars="0"/>
              <w:jc w:val="center"/>
              <w:rPr>
                <w:sz w:val="18"/>
                <w:szCs w:val="18"/>
              </w:rPr>
            </w:pPr>
          </w:p>
        </w:tc>
        <w:tc>
          <w:tcPr>
            <w:tcW w:w="1990" w:type="pct"/>
            <w:vAlign w:val="center"/>
          </w:tcPr>
          <w:p w14:paraId="467A8D90">
            <w:pPr>
              <w:tabs>
                <w:tab w:val="clear" w:pos="480"/>
              </w:tabs>
              <w:spacing w:line="240" w:lineRule="auto"/>
              <w:ind w:firstLine="0" w:firstLineChars="0"/>
              <w:rPr>
                <w:sz w:val="18"/>
                <w:szCs w:val="18"/>
              </w:rPr>
            </w:pPr>
            <w:r>
              <w:rPr>
                <w:sz w:val="18"/>
                <w:szCs w:val="18"/>
              </w:rPr>
              <w:t>变电工程施工现场临时厕所的化粪池应进行防渗处理；</w:t>
            </w:r>
          </w:p>
        </w:tc>
        <w:tc>
          <w:tcPr>
            <w:tcW w:w="2103" w:type="pct"/>
            <w:vAlign w:val="center"/>
          </w:tcPr>
          <w:p w14:paraId="6695971D">
            <w:pPr>
              <w:tabs>
                <w:tab w:val="clear" w:pos="480"/>
              </w:tabs>
              <w:spacing w:line="240" w:lineRule="auto"/>
              <w:ind w:firstLine="0" w:firstLineChars="0"/>
              <w:rPr>
                <w:sz w:val="18"/>
                <w:szCs w:val="18"/>
              </w:rPr>
            </w:pPr>
            <w:r>
              <w:rPr>
                <w:sz w:val="18"/>
                <w:szCs w:val="18"/>
              </w:rPr>
              <w:t>环评要求升压站施工期临时厕所化粪池进行防渗处理</w:t>
            </w:r>
          </w:p>
        </w:tc>
        <w:tc>
          <w:tcPr>
            <w:tcW w:w="434" w:type="pct"/>
            <w:vAlign w:val="center"/>
          </w:tcPr>
          <w:p w14:paraId="13D33085">
            <w:pPr>
              <w:tabs>
                <w:tab w:val="clear" w:pos="480"/>
              </w:tabs>
              <w:spacing w:line="240" w:lineRule="auto"/>
              <w:ind w:firstLine="0" w:firstLineChars="0"/>
              <w:jc w:val="center"/>
              <w:rPr>
                <w:sz w:val="18"/>
                <w:szCs w:val="18"/>
              </w:rPr>
            </w:pPr>
            <w:r>
              <w:rPr>
                <w:sz w:val="18"/>
                <w:szCs w:val="18"/>
              </w:rPr>
              <w:t>符合</w:t>
            </w:r>
          </w:p>
        </w:tc>
      </w:tr>
      <w:tr w14:paraId="06315F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1909EBF9">
            <w:pPr>
              <w:tabs>
                <w:tab w:val="clear" w:pos="480"/>
              </w:tabs>
              <w:spacing w:line="240" w:lineRule="auto"/>
              <w:ind w:firstLine="0" w:firstLineChars="0"/>
              <w:jc w:val="center"/>
              <w:rPr>
                <w:sz w:val="18"/>
                <w:szCs w:val="18"/>
              </w:rPr>
            </w:pPr>
          </w:p>
        </w:tc>
        <w:tc>
          <w:tcPr>
            <w:tcW w:w="1990" w:type="pct"/>
            <w:vAlign w:val="center"/>
          </w:tcPr>
          <w:p w14:paraId="2CAE6D93">
            <w:pPr>
              <w:tabs>
                <w:tab w:val="clear" w:pos="480"/>
              </w:tabs>
              <w:spacing w:line="240" w:lineRule="auto"/>
              <w:ind w:firstLine="0" w:firstLineChars="0"/>
              <w:rPr>
                <w:sz w:val="18"/>
                <w:szCs w:val="18"/>
              </w:rPr>
            </w:pPr>
            <w:r>
              <w:rPr>
                <w:sz w:val="18"/>
                <w:szCs w:val="18"/>
              </w:rPr>
              <w:t>位于城市规划区内的输变电建设项目，施工扬尘污染的防治还应符合HJ/T393的规定；</w:t>
            </w:r>
          </w:p>
        </w:tc>
        <w:tc>
          <w:tcPr>
            <w:tcW w:w="2103" w:type="pct"/>
            <w:vAlign w:val="center"/>
          </w:tcPr>
          <w:p w14:paraId="3AAE6A22">
            <w:pPr>
              <w:tabs>
                <w:tab w:val="clear" w:pos="480"/>
              </w:tabs>
              <w:spacing w:line="240" w:lineRule="auto"/>
              <w:ind w:firstLine="0" w:firstLineChars="0"/>
              <w:rPr>
                <w:sz w:val="18"/>
                <w:szCs w:val="18"/>
              </w:rPr>
            </w:pPr>
            <w:r>
              <w:rPr>
                <w:sz w:val="18"/>
                <w:szCs w:val="18"/>
              </w:rPr>
              <w:t>本项目拟建的110kV升压站未处于城市规划区</w:t>
            </w:r>
          </w:p>
        </w:tc>
        <w:tc>
          <w:tcPr>
            <w:tcW w:w="434" w:type="pct"/>
            <w:vAlign w:val="center"/>
          </w:tcPr>
          <w:p w14:paraId="502A6A00">
            <w:pPr>
              <w:tabs>
                <w:tab w:val="clear" w:pos="480"/>
              </w:tabs>
              <w:spacing w:line="240" w:lineRule="auto"/>
              <w:ind w:firstLine="0" w:firstLineChars="0"/>
              <w:jc w:val="center"/>
              <w:rPr>
                <w:sz w:val="18"/>
                <w:szCs w:val="18"/>
              </w:rPr>
            </w:pPr>
            <w:r>
              <w:rPr>
                <w:sz w:val="18"/>
                <w:szCs w:val="18"/>
              </w:rPr>
              <w:t>/</w:t>
            </w:r>
          </w:p>
        </w:tc>
      </w:tr>
      <w:tr w14:paraId="04CF1C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3" w:type="pct"/>
            <w:vMerge w:val="continue"/>
            <w:vAlign w:val="center"/>
          </w:tcPr>
          <w:p w14:paraId="2F18B338">
            <w:pPr>
              <w:tabs>
                <w:tab w:val="clear" w:pos="480"/>
              </w:tabs>
              <w:spacing w:line="240" w:lineRule="auto"/>
              <w:ind w:firstLine="0" w:firstLineChars="0"/>
              <w:jc w:val="center"/>
              <w:rPr>
                <w:sz w:val="18"/>
                <w:szCs w:val="18"/>
              </w:rPr>
            </w:pPr>
          </w:p>
        </w:tc>
        <w:tc>
          <w:tcPr>
            <w:tcW w:w="1990" w:type="pct"/>
            <w:vAlign w:val="center"/>
          </w:tcPr>
          <w:p w14:paraId="61A02CFB">
            <w:pPr>
              <w:tabs>
                <w:tab w:val="clear" w:pos="480"/>
              </w:tabs>
              <w:spacing w:line="240" w:lineRule="auto"/>
              <w:ind w:firstLine="0" w:firstLineChars="0"/>
              <w:rPr>
                <w:sz w:val="18"/>
                <w:szCs w:val="18"/>
              </w:rPr>
            </w:pPr>
            <w:r>
              <w:rPr>
                <w:sz w:val="18"/>
                <w:szCs w:val="18"/>
              </w:rPr>
              <w:t>施工过程中产生的土石方、建筑垃圾、生活垃圾应分类集中收集，并按国家和地方有关规定定期进行清运处置，施工完成后及时做好迹地清理工作。</w:t>
            </w:r>
          </w:p>
        </w:tc>
        <w:tc>
          <w:tcPr>
            <w:tcW w:w="2103" w:type="pct"/>
            <w:vAlign w:val="center"/>
          </w:tcPr>
          <w:p w14:paraId="58EA7784">
            <w:pPr>
              <w:tabs>
                <w:tab w:val="clear" w:pos="480"/>
              </w:tabs>
              <w:spacing w:line="240" w:lineRule="auto"/>
              <w:ind w:firstLine="0" w:firstLineChars="0"/>
              <w:rPr>
                <w:sz w:val="18"/>
                <w:szCs w:val="18"/>
              </w:rPr>
            </w:pPr>
            <w:r>
              <w:rPr>
                <w:sz w:val="18"/>
                <w:szCs w:val="18"/>
              </w:rPr>
              <w:t>环评要求施工过程中产生的土石方、建筑垃圾、生活垃圾应分类集中收集，并按国家和地方有关规定定期进行清运处置，施工完成后及时做好迹地清理工作。</w:t>
            </w:r>
          </w:p>
        </w:tc>
        <w:tc>
          <w:tcPr>
            <w:tcW w:w="434" w:type="pct"/>
            <w:vAlign w:val="center"/>
          </w:tcPr>
          <w:p w14:paraId="35F7F718">
            <w:pPr>
              <w:tabs>
                <w:tab w:val="clear" w:pos="480"/>
              </w:tabs>
              <w:spacing w:line="240" w:lineRule="auto"/>
              <w:ind w:firstLine="0" w:firstLineChars="0"/>
              <w:jc w:val="center"/>
              <w:rPr>
                <w:sz w:val="18"/>
                <w:szCs w:val="18"/>
              </w:rPr>
            </w:pPr>
            <w:r>
              <w:rPr>
                <w:sz w:val="18"/>
                <w:szCs w:val="18"/>
              </w:rPr>
              <w:t>符合</w:t>
            </w:r>
          </w:p>
        </w:tc>
      </w:tr>
    </w:tbl>
    <w:p w14:paraId="1872F6E3">
      <w:pPr>
        <w:adjustRightInd w:val="0"/>
        <w:snapToGrid w:val="0"/>
        <w:ind w:firstLine="480"/>
      </w:pPr>
      <w:r>
        <w:t>根据上表可知，本项目与《输变电建设项目环境保护技术要求》（HJ1113-2020）的要求相符合。</w:t>
      </w:r>
    </w:p>
    <w:p w14:paraId="0D761ABD">
      <w:pPr>
        <w:keepNext/>
        <w:keepLines/>
        <w:numPr>
          <w:ilvl w:val="1"/>
          <w:numId w:val="0"/>
        </w:numPr>
        <w:tabs>
          <w:tab w:val="left" w:pos="425"/>
          <w:tab w:val="clear" w:pos="480"/>
        </w:tabs>
        <w:adjustRightInd w:val="0"/>
        <w:snapToGrid w:val="0"/>
        <w:textAlignment w:val="baseline"/>
        <w:outlineLvl w:val="1"/>
        <w:rPr>
          <w:b/>
          <w:kern w:val="24"/>
          <w:sz w:val="30"/>
          <w:szCs w:val="30"/>
        </w:rPr>
      </w:pPr>
      <w:bookmarkStart w:id="261" w:name="_Toc136269449"/>
      <w:bookmarkStart w:id="262" w:name="_Toc143799412"/>
      <w:bookmarkStart w:id="263" w:name="_Toc134040822"/>
      <w:bookmarkStart w:id="264" w:name="_Toc142925942"/>
      <w:r>
        <w:rPr>
          <w:b/>
          <w:kern w:val="24"/>
          <w:sz w:val="30"/>
          <w:szCs w:val="30"/>
        </w:rPr>
        <w:t>11.5 与“三区三线”及“三线一单”符合性分析</w:t>
      </w:r>
      <w:bookmarkEnd w:id="261"/>
      <w:bookmarkEnd w:id="262"/>
      <w:bookmarkEnd w:id="263"/>
      <w:bookmarkEnd w:id="264"/>
    </w:p>
    <w:p w14:paraId="06EC87F3">
      <w:pPr>
        <w:adjustRightInd w:val="0"/>
        <w:snapToGrid w:val="0"/>
        <w:ind w:firstLine="480"/>
      </w:pPr>
      <w:r>
        <w:t>（1）生态保护红线</w:t>
      </w:r>
    </w:p>
    <w:p w14:paraId="3B282D19">
      <w:pPr>
        <w:adjustRightInd w:val="0"/>
        <w:snapToGrid w:val="0"/>
        <w:ind w:firstLine="480"/>
      </w:pPr>
      <w:r>
        <w:t>项目位于衡阳市衡阳县，本工程所在地不属于依法划定的自然保护区、风景名胜区，也不属于地质灾害危险区等生态脆弱区。根据衡阳县自然资源局关于《衡阳县杉桥风电场项目建设用地预审与选址初审意见的报告》（蒸自资报[2023]22号），本项目不涉及生态保护红线。</w:t>
      </w:r>
    </w:p>
    <w:p w14:paraId="0F56FE4A">
      <w:pPr>
        <w:adjustRightInd w:val="0"/>
        <w:snapToGrid w:val="0"/>
        <w:ind w:firstLine="480"/>
      </w:pPr>
      <w:r>
        <w:t>根据衡阳县人民政府出具的《衡阳县人民政府关于将衡阳县杉桥风电场项目纳入国土空间规划的承诺函》，本项目不涉及衡阳县“三区三线”中生态保护红线和永久基本农田。</w:t>
      </w:r>
    </w:p>
    <w:p w14:paraId="17660712">
      <w:pPr>
        <w:adjustRightInd w:val="0"/>
        <w:snapToGrid w:val="0"/>
        <w:ind w:firstLine="480"/>
      </w:pPr>
      <w:r>
        <w:t>综上，本项目建设与生态保护红线要求相符。</w:t>
      </w:r>
    </w:p>
    <w:p w14:paraId="4029FB21">
      <w:pPr>
        <w:adjustRightInd w:val="0"/>
        <w:snapToGrid w:val="0"/>
        <w:ind w:firstLine="480"/>
      </w:pPr>
      <w:r>
        <w:t>（2）环境质量底线</w:t>
      </w:r>
    </w:p>
    <w:p w14:paraId="259406AB">
      <w:pPr>
        <w:adjustRightInd w:val="0"/>
        <w:snapToGrid w:val="0"/>
        <w:ind w:firstLine="480"/>
      </w:pPr>
      <w:r>
        <w:t>根据现场调查，项目拟建区域目前环境空气、地表水、声环境都能达到相应质量标准要求。项目运营期生活污水排放量小，</w:t>
      </w:r>
      <w:r>
        <w:rPr>
          <w:rFonts w:hint="eastAsia"/>
        </w:rPr>
        <w:t>生活污水经升压站内一体化污水处理设施处理达标后用于升压站周边绿化，不外排</w:t>
      </w:r>
      <w:r>
        <w:t>；设备噪声能做到厂界达标排放，对周边影响较小。因此，项目的建设不会突破项目所在地的环境质量底线。</w:t>
      </w:r>
    </w:p>
    <w:p w14:paraId="3AD09441">
      <w:pPr>
        <w:adjustRightInd w:val="0"/>
        <w:snapToGrid w:val="0"/>
        <w:ind w:firstLine="480"/>
      </w:pPr>
      <w:r>
        <w:t>（3）资源利用上线</w:t>
      </w:r>
    </w:p>
    <w:p w14:paraId="6ED45C0D">
      <w:pPr>
        <w:adjustRightInd w:val="0"/>
        <w:snapToGrid w:val="0"/>
        <w:ind w:firstLine="480"/>
      </w:pPr>
      <w:r>
        <w:t>本项目主要利用风能发电，风能为可再生清洁能源；施工期和运营期使用水量、电量等有限，本项目建成后可以提供电能，为社会提供清洁能源，符合资源利用上限要求。</w:t>
      </w:r>
    </w:p>
    <w:p w14:paraId="63DC41C7">
      <w:pPr>
        <w:adjustRightInd w:val="0"/>
        <w:snapToGrid w:val="0"/>
        <w:ind w:firstLine="480"/>
      </w:pPr>
      <w:r>
        <w:t>（4）三区三线</w:t>
      </w:r>
    </w:p>
    <w:p w14:paraId="13D44E3B">
      <w:pPr>
        <w:adjustRightInd w:val="0"/>
        <w:snapToGrid w:val="0"/>
        <w:ind w:firstLine="480"/>
      </w:pPr>
      <w:r>
        <w:t>“三区”指生态、农业、城镇三类空间；“三线”指的是根据生态空间、农业空间、城镇空间划定的生态保护红线、永久基本农田和城镇开发边界三条控制线。</w:t>
      </w:r>
    </w:p>
    <w:p w14:paraId="52C9E63A">
      <w:pPr>
        <w:adjustRightInd w:val="0"/>
        <w:snapToGrid w:val="0"/>
        <w:ind w:firstLine="480"/>
      </w:pPr>
      <w:r>
        <w:t>根据衡阳县人民政府出具的《衡阳县人民政府关于将衡阳县杉桥风电场项目纳入国土空间规划的承诺函》，本项目不涉及衡阳县“三区三线”中生态保护红线和永久基本农田。</w:t>
      </w:r>
    </w:p>
    <w:p w14:paraId="26923323">
      <w:pPr>
        <w:adjustRightInd w:val="0"/>
        <w:snapToGrid w:val="0"/>
        <w:ind w:firstLine="480"/>
      </w:pPr>
      <w:r>
        <w:t>根据衡阳县人民政府出具的《衡阳县人民政府关于将衡阳县杉桥风电场项目纳入国土空间规划的承诺函》，本项目选址不符合《衡阳县土地利用总体规划（2006-2020年））（2016年修订版）》和城市总体规划。为保障本项目用地合法合规，衡阳县人民政府承诺将本项目用地布局及规模（含空间矢量信息）统筹纳入正在编制的规划期至2035年的国土空间规划及“一张图”实施监管。</w:t>
      </w:r>
    </w:p>
    <w:p w14:paraId="51C0870D">
      <w:pPr>
        <w:adjustRightInd w:val="0"/>
        <w:snapToGrid w:val="0"/>
        <w:ind w:firstLine="480"/>
      </w:pPr>
      <w:r>
        <w:t>经调整后本项目不涉及生态保护红线、永久基本农田和城镇开发边界三条控制线。</w:t>
      </w:r>
    </w:p>
    <w:p w14:paraId="6209E68C">
      <w:pPr>
        <w:adjustRightInd w:val="0"/>
        <w:snapToGrid w:val="0"/>
        <w:ind w:firstLine="480"/>
      </w:pPr>
      <w:r>
        <w:t>（5）生态环境准入清单</w:t>
      </w:r>
    </w:p>
    <w:p w14:paraId="30DE671F">
      <w:pPr>
        <w:adjustRightInd w:val="0"/>
        <w:snapToGrid w:val="0"/>
        <w:ind w:firstLine="480"/>
      </w:pPr>
      <w:r>
        <w:t>项目位于衡阳市衡阳县渣江镇、</w:t>
      </w:r>
      <w:r>
        <w:rPr>
          <w:rFonts w:hint="eastAsia"/>
        </w:rPr>
        <w:t>集兵镇、</w:t>
      </w:r>
      <w:r>
        <w:t>界牌镇和岣嵝乡一带，根据《衡阳市人民政府关于实施“三线一单”生态环境分区管控的意见》，本属于衡阳市生态环境管控单元中的一般管控单元。本项目与《衡阳市人民政府关于实施“三线一单”生态环境分区管控的意见》符合性分析详见表</w:t>
      </w:r>
      <w:r>
        <w:rPr>
          <w:rFonts w:hint="eastAsia"/>
        </w:rPr>
        <w:t>1</w:t>
      </w:r>
      <w:r>
        <w:t>1.5-1。</w:t>
      </w:r>
    </w:p>
    <w:p w14:paraId="5F26D711">
      <w:pPr>
        <w:ind w:firstLine="0" w:firstLineChars="0"/>
      </w:pPr>
    </w:p>
    <w:p w14:paraId="701599F7">
      <w:pPr>
        <w:pStyle w:val="2"/>
        <w:ind w:firstLine="420"/>
      </w:pPr>
    </w:p>
    <w:p w14:paraId="07C07D10">
      <w:pPr>
        <w:ind w:firstLine="480"/>
      </w:pPr>
    </w:p>
    <w:p w14:paraId="7E8A8AAD">
      <w:pPr>
        <w:pStyle w:val="2"/>
        <w:ind w:firstLine="420"/>
      </w:pPr>
    </w:p>
    <w:p w14:paraId="23F71412">
      <w:pPr>
        <w:ind w:firstLine="480"/>
      </w:pPr>
    </w:p>
    <w:p w14:paraId="58C9CEE1">
      <w:pPr>
        <w:pStyle w:val="2"/>
        <w:ind w:firstLine="420"/>
      </w:pPr>
    </w:p>
    <w:p w14:paraId="51126D7F">
      <w:pPr>
        <w:ind w:firstLine="480"/>
      </w:pPr>
    </w:p>
    <w:p w14:paraId="4AFF8038">
      <w:pPr>
        <w:tabs>
          <w:tab w:val="clear" w:pos="480"/>
        </w:tabs>
        <w:adjustRightInd w:val="0"/>
        <w:snapToGrid w:val="0"/>
        <w:ind w:firstLine="0" w:firstLineChars="0"/>
        <w:jc w:val="center"/>
      </w:pPr>
      <w:r>
        <w:drawing>
          <wp:inline distT="0" distB="0" distL="0" distR="0">
            <wp:extent cx="5044440" cy="4255135"/>
            <wp:effectExtent l="0" t="0" r="3810" b="0"/>
            <wp:docPr id="1742079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7976" name="图片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051817" cy="4261491"/>
                    </a:xfrm>
                    <a:prstGeom prst="rect">
                      <a:avLst/>
                    </a:prstGeom>
                    <a:noFill/>
                    <a:ln>
                      <a:noFill/>
                    </a:ln>
                  </pic:spPr>
                </pic:pic>
              </a:graphicData>
            </a:graphic>
          </wp:inline>
        </w:drawing>
      </w:r>
    </w:p>
    <w:p w14:paraId="46E6D170">
      <w:pPr>
        <w:pStyle w:val="2"/>
        <w:ind w:firstLine="0" w:firstLineChars="0"/>
        <w:jc w:val="center"/>
      </w:pPr>
      <w:r>
        <w:rPr>
          <w:rFonts w:ascii="Times New Roman" w:hAnsi="Times New Roman"/>
          <w:b/>
          <w:bCs/>
          <w:szCs w:val="24"/>
        </w:rPr>
        <w:t>图</w:t>
      </w:r>
      <w:r>
        <w:rPr>
          <w:rFonts w:hint="eastAsia" w:ascii="Times New Roman" w:hAnsi="Times New Roman"/>
          <w:b/>
          <w:bCs/>
          <w:szCs w:val="24"/>
        </w:rPr>
        <w:t>1</w:t>
      </w:r>
      <w:r>
        <w:rPr>
          <w:rFonts w:ascii="Times New Roman" w:hAnsi="Times New Roman"/>
          <w:b/>
          <w:bCs/>
          <w:szCs w:val="24"/>
        </w:rPr>
        <w:t>1.5-1本项目与衡阳市环境管控单元位置关系图</w:t>
      </w:r>
    </w:p>
    <w:p w14:paraId="1FFDA183">
      <w:pPr>
        <w:ind w:firstLine="480"/>
        <w:jc w:val="center"/>
      </w:pPr>
    </w:p>
    <w:p w14:paraId="6029E0AD">
      <w:pPr>
        <w:pStyle w:val="2"/>
        <w:ind w:firstLine="420"/>
      </w:pPr>
    </w:p>
    <w:p w14:paraId="419D2EA1">
      <w:pPr>
        <w:ind w:firstLine="480"/>
      </w:pPr>
    </w:p>
    <w:p w14:paraId="4612B1E7">
      <w:pPr>
        <w:pStyle w:val="2"/>
        <w:ind w:firstLine="420"/>
      </w:pPr>
    </w:p>
    <w:p w14:paraId="563FB578">
      <w:pPr>
        <w:ind w:firstLine="480"/>
      </w:pPr>
    </w:p>
    <w:p w14:paraId="6521B287">
      <w:pPr>
        <w:pStyle w:val="2"/>
        <w:ind w:firstLine="420"/>
      </w:pPr>
    </w:p>
    <w:p w14:paraId="58CAE17F">
      <w:pPr>
        <w:ind w:firstLine="480"/>
      </w:pPr>
    </w:p>
    <w:p w14:paraId="7A39BA06">
      <w:pPr>
        <w:pStyle w:val="2"/>
        <w:ind w:firstLine="420"/>
      </w:pPr>
    </w:p>
    <w:p w14:paraId="13A25FCF">
      <w:pPr>
        <w:ind w:firstLine="480"/>
      </w:pPr>
    </w:p>
    <w:p w14:paraId="574243C4">
      <w:pPr>
        <w:pStyle w:val="2"/>
        <w:ind w:firstLine="420"/>
      </w:pPr>
    </w:p>
    <w:p w14:paraId="242E9F8E">
      <w:pPr>
        <w:ind w:firstLine="480"/>
      </w:pPr>
    </w:p>
    <w:p w14:paraId="2BABCCE6">
      <w:pPr>
        <w:pStyle w:val="2"/>
        <w:ind w:firstLine="420"/>
      </w:pPr>
    </w:p>
    <w:p w14:paraId="78E063E0">
      <w:pPr>
        <w:tabs>
          <w:tab w:val="clear" w:pos="480"/>
        </w:tabs>
        <w:ind w:firstLine="0" w:firstLineChars="0"/>
        <w:jc w:val="center"/>
        <w:rPr>
          <w:b/>
          <w:bCs/>
        </w:rPr>
      </w:pPr>
    </w:p>
    <w:p w14:paraId="53647DC9">
      <w:pPr>
        <w:tabs>
          <w:tab w:val="clear" w:pos="480"/>
        </w:tabs>
        <w:adjustRightInd w:val="0"/>
        <w:snapToGrid w:val="0"/>
        <w:ind w:firstLine="0" w:firstLineChars="0"/>
        <w:rPr>
          <w:rFonts w:ascii="宋体" w:hAnsi="宋体"/>
        </w:rPr>
      </w:pPr>
    </w:p>
    <w:p w14:paraId="513A7A22">
      <w:pPr>
        <w:tabs>
          <w:tab w:val="clear" w:pos="480"/>
        </w:tabs>
        <w:adjustRightInd w:val="0"/>
        <w:snapToGrid w:val="0"/>
        <w:ind w:firstLine="480"/>
      </w:pPr>
    </w:p>
    <w:p w14:paraId="0482C70F">
      <w:pPr>
        <w:ind w:firstLine="0" w:firstLineChars="0"/>
        <w:sectPr>
          <w:pgSz w:w="11905" w:h="16838"/>
          <w:pgMar w:top="1440" w:right="1797" w:bottom="1440" w:left="1797" w:header="851" w:footer="992" w:gutter="0"/>
          <w:cols w:space="0" w:num="1"/>
          <w:docGrid w:type="lines" w:linePitch="333" w:charSpace="0"/>
        </w:sectPr>
      </w:pPr>
    </w:p>
    <w:p w14:paraId="172CD330">
      <w:pPr>
        <w:tabs>
          <w:tab w:val="clear" w:pos="480"/>
        </w:tabs>
        <w:spacing w:line="240" w:lineRule="auto"/>
        <w:ind w:firstLine="0" w:firstLineChars="0"/>
        <w:jc w:val="center"/>
        <w:rPr>
          <w:b/>
          <w:bCs/>
        </w:rPr>
      </w:pPr>
      <w:r>
        <w:rPr>
          <w:rFonts w:hint="eastAsia"/>
          <w:b/>
          <w:bCs/>
        </w:rPr>
        <w:t>表1</w:t>
      </w:r>
      <w:r>
        <w:rPr>
          <w:b/>
          <w:bCs/>
        </w:rPr>
        <w:t>1.5-1</w:t>
      </w:r>
      <w:r>
        <w:rPr>
          <w:rFonts w:hint="eastAsia"/>
          <w:b/>
          <w:bCs/>
        </w:rPr>
        <w:t xml:space="preserve"> 衡阳市生态环境管控基本要求</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1422"/>
        <w:gridCol w:w="1012"/>
        <w:gridCol w:w="399"/>
        <w:gridCol w:w="399"/>
        <w:gridCol w:w="402"/>
        <w:gridCol w:w="685"/>
        <w:gridCol w:w="982"/>
        <w:gridCol w:w="1530"/>
        <w:gridCol w:w="1789"/>
        <w:gridCol w:w="2634"/>
        <w:gridCol w:w="2238"/>
      </w:tblGrid>
      <w:tr w14:paraId="2EBDE9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Merge w:val="restart"/>
            <w:vAlign w:val="center"/>
          </w:tcPr>
          <w:p w14:paraId="2DAE8698">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环境管控单元编码</w:t>
            </w:r>
          </w:p>
        </w:tc>
        <w:tc>
          <w:tcPr>
            <w:tcW w:w="375" w:type="pct"/>
            <w:vMerge w:val="restart"/>
            <w:vAlign w:val="center"/>
          </w:tcPr>
          <w:p w14:paraId="1B6E4ADD">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单元名称</w:t>
            </w:r>
          </w:p>
        </w:tc>
        <w:tc>
          <w:tcPr>
            <w:tcW w:w="445" w:type="pct"/>
            <w:gridSpan w:val="3"/>
            <w:vAlign w:val="center"/>
          </w:tcPr>
          <w:p w14:paraId="713ACB5C">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行政区划</w:t>
            </w:r>
          </w:p>
        </w:tc>
        <w:tc>
          <w:tcPr>
            <w:tcW w:w="254" w:type="pct"/>
            <w:vMerge w:val="restart"/>
            <w:vAlign w:val="center"/>
          </w:tcPr>
          <w:p w14:paraId="779888C5">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单元</w:t>
            </w:r>
          </w:p>
          <w:p w14:paraId="31C3F39D">
            <w:pPr>
              <w:widowControl/>
              <w:tabs>
                <w:tab w:val="clear" w:pos="480"/>
              </w:tabs>
              <w:adjustRightInd w:val="0"/>
              <w:snapToGrid w:val="0"/>
              <w:spacing w:line="240" w:lineRule="auto"/>
              <w:ind w:firstLine="0" w:firstLineChars="0"/>
              <w:jc w:val="center"/>
              <w:rPr>
                <w:b/>
                <w:bCs/>
                <w:kern w:val="0"/>
                <w:sz w:val="18"/>
                <w:szCs w:val="18"/>
              </w:rPr>
            </w:pPr>
            <w:r>
              <w:rPr>
                <w:b/>
                <w:bCs/>
                <w:kern w:val="0"/>
                <w:sz w:val="18"/>
                <w:szCs w:val="18"/>
              </w:rPr>
              <w:t>分类</w:t>
            </w:r>
          </w:p>
        </w:tc>
        <w:tc>
          <w:tcPr>
            <w:tcW w:w="364" w:type="pct"/>
            <w:vMerge w:val="restart"/>
            <w:vAlign w:val="center"/>
          </w:tcPr>
          <w:p w14:paraId="4565A63A">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单元面积（km</w:t>
            </w:r>
            <w:r>
              <w:rPr>
                <w:b/>
                <w:bCs/>
                <w:kern w:val="0"/>
                <w:sz w:val="18"/>
                <w:szCs w:val="18"/>
                <w:vertAlign w:val="superscript"/>
              </w:rPr>
              <w:t>2</w:t>
            </w:r>
            <w:r>
              <w:rPr>
                <w:b/>
                <w:bCs/>
                <w:kern w:val="0"/>
                <w:sz w:val="18"/>
                <w:szCs w:val="18"/>
              </w:rPr>
              <w:t>）</w:t>
            </w:r>
          </w:p>
        </w:tc>
        <w:tc>
          <w:tcPr>
            <w:tcW w:w="567" w:type="pct"/>
            <w:vMerge w:val="restart"/>
            <w:vAlign w:val="center"/>
          </w:tcPr>
          <w:p w14:paraId="67A6D0E4">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涉及乡镇</w:t>
            </w:r>
          </w:p>
          <w:p w14:paraId="05A8A228">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（街道）</w:t>
            </w:r>
          </w:p>
        </w:tc>
        <w:tc>
          <w:tcPr>
            <w:tcW w:w="663" w:type="pct"/>
            <w:vMerge w:val="restart"/>
            <w:vAlign w:val="center"/>
          </w:tcPr>
          <w:p w14:paraId="31619E84">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主体功能定位</w:t>
            </w:r>
          </w:p>
        </w:tc>
        <w:tc>
          <w:tcPr>
            <w:tcW w:w="976" w:type="pct"/>
            <w:vMerge w:val="restart"/>
            <w:vAlign w:val="center"/>
          </w:tcPr>
          <w:p w14:paraId="090AFA75">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经济产业布局</w:t>
            </w:r>
          </w:p>
        </w:tc>
        <w:tc>
          <w:tcPr>
            <w:tcW w:w="829" w:type="pct"/>
            <w:vMerge w:val="restart"/>
            <w:vAlign w:val="center"/>
          </w:tcPr>
          <w:p w14:paraId="05371F71">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主要环境问题</w:t>
            </w:r>
          </w:p>
        </w:tc>
      </w:tr>
      <w:tr w14:paraId="0F822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Merge w:val="continue"/>
            <w:vAlign w:val="center"/>
          </w:tcPr>
          <w:p w14:paraId="46BC3679">
            <w:pPr>
              <w:widowControl/>
              <w:tabs>
                <w:tab w:val="clear" w:pos="480"/>
              </w:tabs>
              <w:adjustRightInd w:val="0"/>
              <w:snapToGrid w:val="0"/>
              <w:spacing w:line="240" w:lineRule="auto"/>
              <w:ind w:firstLine="0" w:firstLineChars="0"/>
              <w:jc w:val="left"/>
              <w:rPr>
                <w:b/>
                <w:bCs/>
                <w:kern w:val="0"/>
                <w:sz w:val="18"/>
                <w:szCs w:val="18"/>
              </w:rPr>
            </w:pPr>
          </w:p>
        </w:tc>
        <w:tc>
          <w:tcPr>
            <w:tcW w:w="375" w:type="pct"/>
            <w:vMerge w:val="continue"/>
            <w:vAlign w:val="center"/>
          </w:tcPr>
          <w:p w14:paraId="3D8298BF">
            <w:pPr>
              <w:widowControl/>
              <w:tabs>
                <w:tab w:val="clear" w:pos="480"/>
              </w:tabs>
              <w:adjustRightInd w:val="0"/>
              <w:snapToGrid w:val="0"/>
              <w:spacing w:line="240" w:lineRule="auto"/>
              <w:ind w:firstLine="0" w:firstLineChars="0"/>
              <w:jc w:val="left"/>
              <w:rPr>
                <w:b/>
                <w:bCs/>
                <w:kern w:val="0"/>
                <w:sz w:val="18"/>
                <w:szCs w:val="18"/>
              </w:rPr>
            </w:pPr>
          </w:p>
        </w:tc>
        <w:tc>
          <w:tcPr>
            <w:tcW w:w="148" w:type="pct"/>
            <w:vAlign w:val="center"/>
          </w:tcPr>
          <w:p w14:paraId="562ABA97">
            <w:pPr>
              <w:tabs>
                <w:tab w:val="clear" w:pos="480"/>
              </w:tabs>
              <w:adjustRightInd w:val="0"/>
              <w:snapToGrid w:val="0"/>
              <w:spacing w:line="240" w:lineRule="auto"/>
              <w:ind w:firstLine="0" w:firstLineChars="0"/>
              <w:jc w:val="center"/>
              <w:rPr>
                <w:b/>
                <w:bCs/>
                <w:sz w:val="18"/>
                <w:szCs w:val="18"/>
              </w:rPr>
            </w:pPr>
            <w:r>
              <w:rPr>
                <w:b/>
                <w:bCs/>
                <w:kern w:val="0"/>
                <w:sz w:val="18"/>
                <w:szCs w:val="18"/>
              </w:rPr>
              <w:t>省</w:t>
            </w:r>
          </w:p>
        </w:tc>
        <w:tc>
          <w:tcPr>
            <w:tcW w:w="148" w:type="pct"/>
            <w:vAlign w:val="center"/>
          </w:tcPr>
          <w:p w14:paraId="40451F94">
            <w:pPr>
              <w:tabs>
                <w:tab w:val="clear" w:pos="480"/>
              </w:tabs>
              <w:adjustRightInd w:val="0"/>
              <w:snapToGrid w:val="0"/>
              <w:spacing w:line="240" w:lineRule="auto"/>
              <w:ind w:firstLine="0" w:firstLineChars="0"/>
              <w:jc w:val="center"/>
              <w:rPr>
                <w:b/>
                <w:bCs/>
                <w:sz w:val="18"/>
                <w:szCs w:val="18"/>
              </w:rPr>
            </w:pPr>
            <w:r>
              <w:rPr>
                <w:b/>
                <w:bCs/>
                <w:kern w:val="0"/>
                <w:sz w:val="18"/>
                <w:szCs w:val="18"/>
              </w:rPr>
              <w:t>市</w:t>
            </w:r>
          </w:p>
        </w:tc>
        <w:tc>
          <w:tcPr>
            <w:tcW w:w="149" w:type="pct"/>
            <w:vAlign w:val="center"/>
          </w:tcPr>
          <w:p w14:paraId="36D939BF">
            <w:pPr>
              <w:tabs>
                <w:tab w:val="clear" w:pos="480"/>
              </w:tabs>
              <w:adjustRightInd w:val="0"/>
              <w:snapToGrid w:val="0"/>
              <w:spacing w:line="240" w:lineRule="auto"/>
              <w:ind w:firstLine="0" w:firstLineChars="0"/>
              <w:jc w:val="center"/>
              <w:rPr>
                <w:b/>
                <w:bCs/>
                <w:sz w:val="18"/>
                <w:szCs w:val="18"/>
              </w:rPr>
            </w:pPr>
            <w:r>
              <w:rPr>
                <w:b/>
                <w:bCs/>
                <w:kern w:val="0"/>
                <w:sz w:val="18"/>
                <w:szCs w:val="18"/>
              </w:rPr>
              <w:t>县</w:t>
            </w:r>
          </w:p>
        </w:tc>
        <w:tc>
          <w:tcPr>
            <w:tcW w:w="254" w:type="pct"/>
            <w:vMerge w:val="continue"/>
            <w:vAlign w:val="center"/>
          </w:tcPr>
          <w:p w14:paraId="46892B14">
            <w:pPr>
              <w:widowControl/>
              <w:tabs>
                <w:tab w:val="clear" w:pos="480"/>
              </w:tabs>
              <w:adjustRightInd w:val="0"/>
              <w:snapToGrid w:val="0"/>
              <w:spacing w:line="240" w:lineRule="auto"/>
              <w:ind w:firstLine="0" w:firstLineChars="0"/>
              <w:jc w:val="left"/>
              <w:rPr>
                <w:b/>
                <w:bCs/>
                <w:kern w:val="0"/>
                <w:sz w:val="18"/>
                <w:szCs w:val="18"/>
              </w:rPr>
            </w:pPr>
          </w:p>
        </w:tc>
        <w:tc>
          <w:tcPr>
            <w:tcW w:w="364" w:type="pct"/>
            <w:vMerge w:val="continue"/>
            <w:vAlign w:val="center"/>
          </w:tcPr>
          <w:p w14:paraId="17467E2D">
            <w:pPr>
              <w:widowControl/>
              <w:tabs>
                <w:tab w:val="clear" w:pos="480"/>
              </w:tabs>
              <w:adjustRightInd w:val="0"/>
              <w:snapToGrid w:val="0"/>
              <w:spacing w:line="240" w:lineRule="auto"/>
              <w:ind w:firstLine="0" w:firstLineChars="0"/>
              <w:jc w:val="left"/>
              <w:rPr>
                <w:b/>
                <w:bCs/>
                <w:kern w:val="0"/>
                <w:sz w:val="18"/>
                <w:szCs w:val="18"/>
              </w:rPr>
            </w:pPr>
          </w:p>
        </w:tc>
        <w:tc>
          <w:tcPr>
            <w:tcW w:w="567" w:type="pct"/>
            <w:vMerge w:val="continue"/>
            <w:vAlign w:val="center"/>
          </w:tcPr>
          <w:p w14:paraId="06634B02">
            <w:pPr>
              <w:widowControl/>
              <w:tabs>
                <w:tab w:val="clear" w:pos="480"/>
              </w:tabs>
              <w:adjustRightInd w:val="0"/>
              <w:snapToGrid w:val="0"/>
              <w:spacing w:line="240" w:lineRule="auto"/>
              <w:ind w:firstLine="0" w:firstLineChars="0"/>
              <w:jc w:val="left"/>
              <w:rPr>
                <w:b/>
                <w:bCs/>
                <w:kern w:val="0"/>
                <w:sz w:val="18"/>
                <w:szCs w:val="18"/>
              </w:rPr>
            </w:pPr>
          </w:p>
        </w:tc>
        <w:tc>
          <w:tcPr>
            <w:tcW w:w="663" w:type="pct"/>
            <w:vMerge w:val="continue"/>
            <w:vAlign w:val="center"/>
          </w:tcPr>
          <w:p w14:paraId="2A414A38">
            <w:pPr>
              <w:widowControl/>
              <w:tabs>
                <w:tab w:val="clear" w:pos="480"/>
              </w:tabs>
              <w:adjustRightInd w:val="0"/>
              <w:snapToGrid w:val="0"/>
              <w:spacing w:line="240" w:lineRule="auto"/>
              <w:ind w:firstLine="0" w:firstLineChars="0"/>
              <w:jc w:val="left"/>
              <w:rPr>
                <w:b/>
                <w:bCs/>
                <w:kern w:val="0"/>
                <w:sz w:val="18"/>
                <w:szCs w:val="18"/>
              </w:rPr>
            </w:pPr>
          </w:p>
        </w:tc>
        <w:tc>
          <w:tcPr>
            <w:tcW w:w="976" w:type="pct"/>
            <w:vMerge w:val="continue"/>
            <w:vAlign w:val="center"/>
          </w:tcPr>
          <w:p w14:paraId="25C90C8E">
            <w:pPr>
              <w:widowControl/>
              <w:tabs>
                <w:tab w:val="clear" w:pos="480"/>
              </w:tabs>
              <w:adjustRightInd w:val="0"/>
              <w:snapToGrid w:val="0"/>
              <w:spacing w:line="240" w:lineRule="auto"/>
              <w:ind w:firstLine="0" w:firstLineChars="0"/>
              <w:jc w:val="left"/>
              <w:rPr>
                <w:b/>
                <w:bCs/>
                <w:kern w:val="0"/>
                <w:sz w:val="18"/>
                <w:szCs w:val="18"/>
              </w:rPr>
            </w:pPr>
          </w:p>
        </w:tc>
        <w:tc>
          <w:tcPr>
            <w:tcW w:w="829" w:type="pct"/>
            <w:vMerge w:val="continue"/>
            <w:vAlign w:val="center"/>
          </w:tcPr>
          <w:p w14:paraId="2CF35EA2">
            <w:pPr>
              <w:widowControl/>
              <w:tabs>
                <w:tab w:val="clear" w:pos="480"/>
              </w:tabs>
              <w:adjustRightInd w:val="0"/>
              <w:snapToGrid w:val="0"/>
              <w:spacing w:line="240" w:lineRule="auto"/>
              <w:ind w:firstLine="0" w:firstLineChars="0"/>
              <w:jc w:val="left"/>
              <w:rPr>
                <w:b/>
                <w:bCs/>
                <w:kern w:val="0"/>
                <w:sz w:val="18"/>
                <w:szCs w:val="18"/>
              </w:rPr>
            </w:pPr>
          </w:p>
        </w:tc>
      </w:tr>
      <w:tr w14:paraId="1B531E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Align w:val="center"/>
          </w:tcPr>
          <w:p w14:paraId="0EE27F66">
            <w:pPr>
              <w:widowControl/>
              <w:tabs>
                <w:tab w:val="clear" w:pos="480"/>
              </w:tabs>
              <w:adjustRightInd w:val="0"/>
              <w:snapToGrid w:val="0"/>
              <w:spacing w:line="240" w:lineRule="auto"/>
              <w:ind w:firstLine="0" w:firstLineChars="0"/>
              <w:jc w:val="center"/>
              <w:rPr>
                <w:kern w:val="0"/>
                <w:sz w:val="18"/>
                <w:szCs w:val="18"/>
              </w:rPr>
            </w:pPr>
            <w:r>
              <w:rPr>
                <w:sz w:val="18"/>
                <w:szCs w:val="18"/>
              </w:rPr>
              <w:t>ZH43042130002</w:t>
            </w:r>
          </w:p>
        </w:tc>
        <w:tc>
          <w:tcPr>
            <w:tcW w:w="375" w:type="pct"/>
            <w:vAlign w:val="center"/>
          </w:tcPr>
          <w:p w14:paraId="223E1365">
            <w:pPr>
              <w:widowControl/>
              <w:tabs>
                <w:tab w:val="clear" w:pos="480"/>
              </w:tabs>
              <w:adjustRightInd w:val="0"/>
              <w:snapToGrid w:val="0"/>
              <w:spacing w:line="240" w:lineRule="auto"/>
              <w:ind w:firstLine="0" w:firstLineChars="0"/>
              <w:jc w:val="center"/>
              <w:rPr>
                <w:kern w:val="0"/>
                <w:sz w:val="18"/>
                <w:szCs w:val="18"/>
              </w:rPr>
            </w:pPr>
          </w:p>
        </w:tc>
        <w:tc>
          <w:tcPr>
            <w:tcW w:w="148" w:type="pct"/>
            <w:vAlign w:val="center"/>
          </w:tcPr>
          <w:p w14:paraId="427ACB07">
            <w:pPr>
              <w:widowControl/>
              <w:tabs>
                <w:tab w:val="clear" w:pos="480"/>
              </w:tabs>
              <w:adjustRightInd w:val="0"/>
              <w:snapToGrid w:val="0"/>
              <w:spacing w:line="240" w:lineRule="auto"/>
              <w:ind w:firstLine="0" w:firstLineChars="0"/>
              <w:jc w:val="center"/>
              <w:rPr>
                <w:kern w:val="0"/>
                <w:sz w:val="18"/>
                <w:szCs w:val="18"/>
              </w:rPr>
            </w:pPr>
            <w:r>
              <w:rPr>
                <w:kern w:val="0"/>
                <w:sz w:val="18"/>
                <w:szCs w:val="18"/>
              </w:rPr>
              <w:t>湖南省</w:t>
            </w:r>
          </w:p>
        </w:tc>
        <w:tc>
          <w:tcPr>
            <w:tcW w:w="148" w:type="pct"/>
            <w:vAlign w:val="center"/>
          </w:tcPr>
          <w:p w14:paraId="7BCBB45D">
            <w:pPr>
              <w:widowControl/>
              <w:tabs>
                <w:tab w:val="clear" w:pos="480"/>
              </w:tabs>
              <w:adjustRightInd w:val="0"/>
              <w:snapToGrid w:val="0"/>
              <w:spacing w:line="240" w:lineRule="auto"/>
              <w:ind w:firstLine="0" w:firstLineChars="0"/>
              <w:jc w:val="center"/>
              <w:rPr>
                <w:kern w:val="0"/>
                <w:sz w:val="18"/>
                <w:szCs w:val="18"/>
              </w:rPr>
            </w:pPr>
            <w:r>
              <w:rPr>
                <w:kern w:val="0"/>
                <w:sz w:val="18"/>
                <w:szCs w:val="18"/>
              </w:rPr>
              <w:t>衡阳市</w:t>
            </w:r>
          </w:p>
        </w:tc>
        <w:tc>
          <w:tcPr>
            <w:tcW w:w="149" w:type="pct"/>
            <w:vAlign w:val="center"/>
          </w:tcPr>
          <w:p w14:paraId="50D35868">
            <w:pPr>
              <w:tabs>
                <w:tab w:val="clear" w:pos="480"/>
              </w:tabs>
              <w:adjustRightInd w:val="0"/>
              <w:snapToGrid w:val="0"/>
              <w:spacing w:line="240" w:lineRule="auto"/>
              <w:ind w:firstLine="0" w:firstLineChars="0"/>
              <w:jc w:val="center"/>
              <w:rPr>
                <w:kern w:val="0"/>
                <w:sz w:val="18"/>
                <w:szCs w:val="18"/>
              </w:rPr>
            </w:pPr>
            <w:r>
              <w:rPr>
                <w:kern w:val="0"/>
                <w:sz w:val="18"/>
                <w:szCs w:val="18"/>
              </w:rPr>
              <w:t>衡阳县</w:t>
            </w:r>
          </w:p>
        </w:tc>
        <w:tc>
          <w:tcPr>
            <w:tcW w:w="254" w:type="pct"/>
            <w:vAlign w:val="center"/>
          </w:tcPr>
          <w:p w14:paraId="56F37B1A">
            <w:pPr>
              <w:widowControl/>
              <w:tabs>
                <w:tab w:val="clear" w:pos="480"/>
              </w:tabs>
              <w:adjustRightInd w:val="0"/>
              <w:snapToGrid w:val="0"/>
              <w:spacing w:line="240" w:lineRule="auto"/>
              <w:ind w:firstLine="0" w:firstLineChars="0"/>
              <w:jc w:val="center"/>
              <w:rPr>
                <w:kern w:val="0"/>
                <w:sz w:val="18"/>
                <w:szCs w:val="18"/>
              </w:rPr>
            </w:pPr>
            <w:r>
              <w:rPr>
                <w:kern w:val="0"/>
                <w:sz w:val="18"/>
                <w:szCs w:val="18"/>
              </w:rPr>
              <w:t>一般管控单元</w:t>
            </w:r>
          </w:p>
        </w:tc>
        <w:tc>
          <w:tcPr>
            <w:tcW w:w="364" w:type="pct"/>
            <w:vAlign w:val="center"/>
          </w:tcPr>
          <w:p w14:paraId="55C66ECF">
            <w:pPr>
              <w:widowControl/>
              <w:tabs>
                <w:tab w:val="clear" w:pos="480"/>
              </w:tabs>
              <w:adjustRightInd w:val="0"/>
              <w:snapToGrid w:val="0"/>
              <w:spacing w:line="240" w:lineRule="auto"/>
              <w:ind w:firstLine="0" w:firstLineChars="0"/>
              <w:jc w:val="center"/>
              <w:rPr>
                <w:kern w:val="0"/>
                <w:sz w:val="18"/>
                <w:szCs w:val="18"/>
              </w:rPr>
            </w:pPr>
            <w:r>
              <w:rPr>
                <w:kern w:val="0"/>
                <w:sz w:val="18"/>
                <w:szCs w:val="18"/>
              </w:rPr>
              <w:t>790.56</w:t>
            </w:r>
          </w:p>
        </w:tc>
        <w:tc>
          <w:tcPr>
            <w:tcW w:w="567" w:type="pct"/>
            <w:vAlign w:val="center"/>
          </w:tcPr>
          <w:p w14:paraId="3895D749">
            <w:pPr>
              <w:widowControl/>
              <w:tabs>
                <w:tab w:val="clear" w:pos="480"/>
              </w:tabs>
              <w:adjustRightInd w:val="0"/>
              <w:snapToGrid w:val="0"/>
              <w:spacing w:line="240" w:lineRule="auto"/>
              <w:ind w:firstLine="0" w:firstLineChars="0"/>
              <w:jc w:val="center"/>
              <w:rPr>
                <w:kern w:val="0"/>
                <w:sz w:val="18"/>
                <w:szCs w:val="18"/>
              </w:rPr>
            </w:pPr>
            <w:r>
              <w:rPr>
                <w:kern w:val="0"/>
                <w:sz w:val="18"/>
                <w:szCs w:val="18"/>
              </w:rPr>
              <w:t>岣嵝乡/集兵镇/界牌镇/杉桥镇/石市镇/台源镇/渣江镇</w:t>
            </w:r>
          </w:p>
        </w:tc>
        <w:tc>
          <w:tcPr>
            <w:tcW w:w="663" w:type="pct"/>
            <w:vAlign w:val="center"/>
          </w:tcPr>
          <w:p w14:paraId="6770EE6C">
            <w:pPr>
              <w:widowControl/>
              <w:tabs>
                <w:tab w:val="clear" w:pos="480"/>
              </w:tabs>
              <w:adjustRightInd w:val="0"/>
              <w:snapToGrid w:val="0"/>
              <w:spacing w:line="240" w:lineRule="auto"/>
              <w:ind w:firstLine="0" w:firstLineChars="0"/>
              <w:jc w:val="center"/>
              <w:rPr>
                <w:kern w:val="0"/>
                <w:sz w:val="18"/>
                <w:szCs w:val="18"/>
              </w:rPr>
            </w:pPr>
            <w:r>
              <w:rPr>
                <w:kern w:val="0"/>
                <w:sz w:val="18"/>
                <w:szCs w:val="18"/>
              </w:rPr>
              <w:t>国家层面农产品主产区（界牌镇属于《湖南省主体功能区划》中附表5重点开发乡镇）</w:t>
            </w:r>
          </w:p>
        </w:tc>
        <w:tc>
          <w:tcPr>
            <w:tcW w:w="976" w:type="pct"/>
            <w:vAlign w:val="center"/>
          </w:tcPr>
          <w:p w14:paraId="72779C71">
            <w:pPr>
              <w:widowControl/>
              <w:tabs>
                <w:tab w:val="clear" w:pos="480"/>
              </w:tabs>
              <w:adjustRightInd w:val="0"/>
              <w:snapToGrid w:val="0"/>
              <w:spacing w:line="240" w:lineRule="auto"/>
              <w:ind w:firstLine="0" w:firstLineChars="0"/>
              <w:rPr>
                <w:kern w:val="0"/>
                <w:sz w:val="18"/>
                <w:szCs w:val="18"/>
              </w:rPr>
            </w:pPr>
            <w:r>
              <w:rPr>
                <w:kern w:val="0"/>
                <w:sz w:val="18"/>
                <w:szCs w:val="18"/>
              </w:rPr>
              <w:t>生态农业、生态旅游、畜禽养殖等。</w:t>
            </w:r>
          </w:p>
          <w:p w14:paraId="71B99AE0">
            <w:pPr>
              <w:widowControl/>
              <w:tabs>
                <w:tab w:val="clear" w:pos="480"/>
              </w:tabs>
              <w:adjustRightInd w:val="0"/>
              <w:snapToGrid w:val="0"/>
              <w:spacing w:line="240" w:lineRule="auto"/>
              <w:ind w:firstLine="0" w:firstLineChars="0"/>
              <w:rPr>
                <w:kern w:val="0"/>
                <w:sz w:val="18"/>
                <w:szCs w:val="18"/>
              </w:rPr>
            </w:pPr>
            <w:r>
              <w:rPr>
                <w:kern w:val="0"/>
                <w:sz w:val="18"/>
                <w:szCs w:val="18"/>
              </w:rPr>
              <w:t>界牌陶瓷工业园以瓷泥加工和集散、日用陶瓷、建筑卫生陶瓷和特种工业陶瓷生产产业为主，配套物流服务产业（湘环评）函〔2016〕34号）。</w:t>
            </w:r>
          </w:p>
        </w:tc>
        <w:tc>
          <w:tcPr>
            <w:tcW w:w="829" w:type="pct"/>
            <w:vAlign w:val="center"/>
          </w:tcPr>
          <w:p w14:paraId="78777F14">
            <w:pPr>
              <w:widowControl/>
              <w:tabs>
                <w:tab w:val="clear" w:pos="480"/>
              </w:tabs>
              <w:adjustRightInd w:val="0"/>
              <w:snapToGrid w:val="0"/>
              <w:spacing w:line="240" w:lineRule="auto"/>
              <w:ind w:firstLine="0" w:firstLineChars="0"/>
              <w:rPr>
                <w:kern w:val="0"/>
                <w:sz w:val="18"/>
                <w:szCs w:val="18"/>
              </w:rPr>
            </w:pPr>
            <w:r>
              <w:rPr>
                <w:kern w:val="0"/>
                <w:sz w:val="18"/>
                <w:szCs w:val="18"/>
              </w:rPr>
              <w:t>界牌镇高岭土、钠长石开采水土流失、生态破坏，废水未能实现“零排放”。其他区域乡镇生活污水处理厂未建成，养殖废水处理不能稳定达标</w:t>
            </w:r>
          </w:p>
        </w:tc>
      </w:tr>
      <w:tr w14:paraId="3D2EEE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Align w:val="center"/>
          </w:tcPr>
          <w:p w14:paraId="5EBD2E95">
            <w:pPr>
              <w:widowControl/>
              <w:tabs>
                <w:tab w:val="clear" w:pos="480"/>
              </w:tabs>
              <w:adjustRightInd w:val="0"/>
              <w:snapToGrid w:val="0"/>
              <w:spacing w:line="240" w:lineRule="auto"/>
              <w:ind w:firstLine="0" w:firstLineChars="0"/>
              <w:jc w:val="center"/>
              <w:rPr>
                <w:b/>
                <w:bCs/>
                <w:sz w:val="18"/>
                <w:szCs w:val="18"/>
              </w:rPr>
            </w:pPr>
            <w:r>
              <w:rPr>
                <w:b/>
                <w:bCs/>
                <w:kern w:val="0"/>
                <w:sz w:val="18"/>
                <w:szCs w:val="18"/>
              </w:rPr>
              <w:t>管控维度</w:t>
            </w:r>
          </w:p>
        </w:tc>
        <w:tc>
          <w:tcPr>
            <w:tcW w:w="3644" w:type="pct"/>
            <w:gridSpan w:val="9"/>
            <w:vAlign w:val="center"/>
          </w:tcPr>
          <w:p w14:paraId="1AB0EB17">
            <w:pPr>
              <w:tabs>
                <w:tab w:val="clear" w:pos="480"/>
              </w:tabs>
              <w:adjustRightInd w:val="0"/>
              <w:snapToGrid w:val="0"/>
              <w:spacing w:line="240" w:lineRule="auto"/>
              <w:ind w:firstLine="0" w:firstLineChars="0"/>
              <w:jc w:val="center"/>
              <w:rPr>
                <w:b/>
                <w:bCs/>
                <w:sz w:val="18"/>
                <w:szCs w:val="18"/>
              </w:rPr>
            </w:pPr>
            <w:r>
              <w:rPr>
                <w:b/>
                <w:bCs/>
                <w:kern w:val="0"/>
                <w:sz w:val="18"/>
                <w:szCs w:val="18"/>
              </w:rPr>
              <w:t>管控要求</w:t>
            </w:r>
          </w:p>
        </w:tc>
        <w:tc>
          <w:tcPr>
            <w:tcW w:w="829" w:type="pct"/>
            <w:vAlign w:val="center"/>
          </w:tcPr>
          <w:p w14:paraId="1037867C">
            <w:pPr>
              <w:tabs>
                <w:tab w:val="clear" w:pos="480"/>
              </w:tabs>
              <w:adjustRightInd w:val="0"/>
              <w:snapToGrid w:val="0"/>
              <w:spacing w:line="240" w:lineRule="auto"/>
              <w:ind w:firstLine="0" w:firstLineChars="0"/>
              <w:jc w:val="center"/>
              <w:rPr>
                <w:b/>
                <w:bCs/>
                <w:kern w:val="0"/>
                <w:sz w:val="18"/>
                <w:szCs w:val="18"/>
              </w:rPr>
            </w:pPr>
            <w:r>
              <w:rPr>
                <w:b/>
                <w:bCs/>
                <w:kern w:val="0"/>
                <w:sz w:val="18"/>
                <w:szCs w:val="18"/>
              </w:rPr>
              <w:t>符合性</w:t>
            </w:r>
          </w:p>
        </w:tc>
      </w:tr>
      <w:tr w14:paraId="3CDE1A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Align w:val="center"/>
          </w:tcPr>
          <w:p w14:paraId="4C7532B5">
            <w:pPr>
              <w:widowControl/>
              <w:tabs>
                <w:tab w:val="clear" w:pos="480"/>
              </w:tabs>
              <w:adjustRightInd w:val="0"/>
              <w:snapToGrid w:val="0"/>
              <w:spacing w:line="240" w:lineRule="auto"/>
              <w:ind w:firstLine="0" w:firstLineChars="0"/>
              <w:jc w:val="center"/>
              <w:rPr>
                <w:sz w:val="18"/>
                <w:szCs w:val="18"/>
              </w:rPr>
            </w:pPr>
            <w:r>
              <w:rPr>
                <w:kern w:val="0"/>
                <w:sz w:val="18"/>
                <w:szCs w:val="18"/>
              </w:rPr>
              <w:t>空间布局约束</w:t>
            </w:r>
          </w:p>
        </w:tc>
        <w:tc>
          <w:tcPr>
            <w:tcW w:w="3644" w:type="pct"/>
            <w:gridSpan w:val="9"/>
            <w:vAlign w:val="center"/>
          </w:tcPr>
          <w:p w14:paraId="72DD93D7">
            <w:pPr>
              <w:tabs>
                <w:tab w:val="clear" w:pos="480"/>
              </w:tabs>
              <w:adjustRightInd w:val="0"/>
              <w:snapToGrid w:val="0"/>
              <w:spacing w:line="240" w:lineRule="auto"/>
              <w:ind w:firstLine="0" w:firstLineChars="0"/>
              <w:jc w:val="left"/>
              <w:rPr>
                <w:rFonts w:hint="eastAsia" w:eastAsia="宋体"/>
                <w:sz w:val="18"/>
                <w:szCs w:val="18"/>
                <w:lang w:eastAsia="zh-CN"/>
              </w:rPr>
            </w:pPr>
            <w:r>
              <w:rPr>
                <w:sz w:val="18"/>
                <w:szCs w:val="18"/>
              </w:rPr>
              <w:t>（1.1）新建涉VOCs排放的工业企业要入园区；</w:t>
            </w:r>
          </w:p>
          <w:p w14:paraId="47272039">
            <w:pPr>
              <w:tabs>
                <w:tab w:val="clear" w:pos="480"/>
              </w:tabs>
              <w:adjustRightInd w:val="0"/>
              <w:snapToGrid w:val="0"/>
              <w:spacing w:line="240" w:lineRule="auto"/>
              <w:ind w:firstLine="0" w:firstLineChars="0"/>
              <w:jc w:val="left"/>
              <w:rPr>
                <w:sz w:val="18"/>
                <w:szCs w:val="18"/>
              </w:rPr>
            </w:pPr>
            <w:r>
              <w:rPr>
                <w:sz w:val="18"/>
                <w:szCs w:val="18"/>
              </w:rPr>
              <w:t>（1.2）养殖业按划定的禁养区、限养区、适养区实施分类管理。</w:t>
            </w:r>
          </w:p>
        </w:tc>
        <w:tc>
          <w:tcPr>
            <w:tcW w:w="829" w:type="pct"/>
            <w:vAlign w:val="center"/>
          </w:tcPr>
          <w:p w14:paraId="430BF5B6">
            <w:pPr>
              <w:tabs>
                <w:tab w:val="clear" w:pos="480"/>
              </w:tabs>
              <w:adjustRightInd w:val="0"/>
              <w:snapToGrid w:val="0"/>
              <w:spacing w:line="240" w:lineRule="auto"/>
              <w:ind w:firstLine="0" w:firstLineChars="0"/>
              <w:rPr>
                <w:sz w:val="18"/>
                <w:szCs w:val="18"/>
              </w:rPr>
            </w:pPr>
            <w:r>
              <w:rPr>
                <w:sz w:val="18"/>
                <w:szCs w:val="18"/>
              </w:rPr>
              <w:t>本项目为风力发电项目，不涉及VOCs的排放，也不属于养殖业，符合上述要求</w:t>
            </w:r>
          </w:p>
        </w:tc>
      </w:tr>
      <w:tr w14:paraId="333402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Align w:val="center"/>
          </w:tcPr>
          <w:p w14:paraId="2F9D9472">
            <w:pPr>
              <w:widowControl/>
              <w:tabs>
                <w:tab w:val="clear" w:pos="480"/>
              </w:tabs>
              <w:adjustRightInd w:val="0"/>
              <w:snapToGrid w:val="0"/>
              <w:spacing w:line="240" w:lineRule="auto"/>
              <w:ind w:firstLine="0" w:firstLineChars="0"/>
              <w:jc w:val="center"/>
              <w:rPr>
                <w:sz w:val="18"/>
                <w:szCs w:val="18"/>
              </w:rPr>
            </w:pPr>
            <w:r>
              <w:rPr>
                <w:kern w:val="0"/>
                <w:sz w:val="18"/>
                <w:szCs w:val="18"/>
              </w:rPr>
              <w:t>污染物排放管控</w:t>
            </w:r>
          </w:p>
        </w:tc>
        <w:tc>
          <w:tcPr>
            <w:tcW w:w="3644" w:type="pct"/>
            <w:gridSpan w:val="9"/>
            <w:vAlign w:val="center"/>
          </w:tcPr>
          <w:p w14:paraId="4B54AA30">
            <w:pPr>
              <w:tabs>
                <w:tab w:val="clear" w:pos="480"/>
              </w:tabs>
              <w:adjustRightInd w:val="0"/>
              <w:snapToGrid w:val="0"/>
              <w:spacing w:line="240" w:lineRule="auto"/>
              <w:ind w:firstLine="0" w:firstLineChars="0"/>
              <w:jc w:val="left"/>
              <w:rPr>
                <w:sz w:val="18"/>
                <w:szCs w:val="18"/>
              </w:rPr>
            </w:pPr>
            <w:r>
              <w:rPr>
                <w:sz w:val="18"/>
                <w:szCs w:val="18"/>
              </w:rPr>
              <w:t>（2.1）完善污水收集配套管网，工业集聚区要建立水环境管理档案，实现“一园一档”。新建、升级园区应同步规划和建设污水、垃圾集中处理等污染治理设施。加强城镇污水管网建设，提高城镇污水处理率。启动乡镇污水处理设施及配套管网建设，建制镇污水处理率达到55%，污水处理设施产生的污泥应进行稳定化、无害化和资源化处理处置。</w:t>
            </w:r>
          </w:p>
          <w:p w14:paraId="0A11C5F0">
            <w:pPr>
              <w:tabs>
                <w:tab w:val="clear" w:pos="480"/>
              </w:tabs>
              <w:adjustRightInd w:val="0"/>
              <w:snapToGrid w:val="0"/>
              <w:spacing w:line="240" w:lineRule="auto"/>
              <w:ind w:firstLine="0" w:firstLineChars="0"/>
              <w:rPr>
                <w:sz w:val="18"/>
                <w:szCs w:val="18"/>
              </w:rPr>
            </w:pPr>
            <w:r>
              <w:rPr>
                <w:sz w:val="18"/>
                <w:szCs w:val="18"/>
              </w:rPr>
              <w:t>（2.2）完成“散乱污”涉气企业整治工作，重点工业企业完成无组织排放治理改造，强制推进清洁生产审核；实行区域内VOCs 排放等量或倍量削减替代，交通运输设备制造、工程机械制造和家具制造行业全面推行油性漆改水性漆。加快推进园区内淘汰取缔燃煤小锅炉、实施集中供热、清洁能源替代。禁止露天烧烤直排，禁止垃圾、秸秆和落叶露天焚烧。</w:t>
            </w:r>
          </w:p>
          <w:p w14:paraId="66E33B23">
            <w:pPr>
              <w:tabs>
                <w:tab w:val="clear" w:pos="480"/>
              </w:tabs>
              <w:adjustRightInd w:val="0"/>
              <w:snapToGrid w:val="0"/>
              <w:spacing w:line="240" w:lineRule="auto"/>
              <w:ind w:firstLine="0" w:firstLineChars="0"/>
              <w:rPr>
                <w:sz w:val="18"/>
                <w:szCs w:val="18"/>
              </w:rPr>
            </w:pPr>
            <w:r>
              <w:rPr>
                <w:sz w:val="18"/>
                <w:szCs w:val="18"/>
              </w:rPr>
              <w:t>（2.3）积极推进垃圾收运体系建设，建设覆盖城乡的垃圾收运系统；严格监督分类垃圾分类收集、分类处理。推进农村环境综合整治全县域覆盖；畜禽规模养殖场（小区）配套建设废弃物处理设施的比例达到85%以上。</w:t>
            </w:r>
          </w:p>
        </w:tc>
        <w:tc>
          <w:tcPr>
            <w:tcW w:w="829" w:type="pct"/>
            <w:vAlign w:val="center"/>
          </w:tcPr>
          <w:p w14:paraId="36609B56">
            <w:pPr>
              <w:widowControl/>
              <w:tabs>
                <w:tab w:val="clear" w:pos="480"/>
              </w:tabs>
              <w:adjustRightInd w:val="0"/>
              <w:snapToGrid w:val="0"/>
              <w:spacing w:line="240" w:lineRule="auto"/>
              <w:ind w:firstLine="0" w:firstLineChars="0"/>
              <w:jc w:val="left"/>
              <w:rPr>
                <w:sz w:val="18"/>
                <w:szCs w:val="18"/>
              </w:rPr>
            </w:pPr>
            <w:r>
              <w:rPr>
                <w:sz w:val="18"/>
                <w:szCs w:val="18"/>
              </w:rPr>
              <w:t>本项目为本项目为风力发电项目，项目不涉及VOCs排放；项目无生产废水产生，生活污水经一体化污水处理设施处理后用于</w:t>
            </w:r>
            <w:r>
              <w:rPr>
                <w:rFonts w:hint="eastAsia"/>
                <w:sz w:val="18"/>
                <w:szCs w:val="18"/>
              </w:rPr>
              <w:t>升压站周边</w:t>
            </w:r>
            <w:r>
              <w:rPr>
                <w:sz w:val="18"/>
                <w:szCs w:val="18"/>
              </w:rPr>
              <w:t>绿化，不外排；生活垃圾经垃圾桶收集后定期交由环卫部门处理，符合上述要求</w:t>
            </w:r>
          </w:p>
        </w:tc>
      </w:tr>
      <w:tr w14:paraId="723EB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Align w:val="center"/>
          </w:tcPr>
          <w:p w14:paraId="6D420480">
            <w:pPr>
              <w:widowControl/>
              <w:tabs>
                <w:tab w:val="clear" w:pos="480"/>
              </w:tabs>
              <w:adjustRightInd w:val="0"/>
              <w:snapToGrid w:val="0"/>
              <w:spacing w:line="240" w:lineRule="auto"/>
              <w:ind w:firstLine="0" w:firstLineChars="0"/>
              <w:jc w:val="center"/>
              <w:rPr>
                <w:sz w:val="18"/>
                <w:szCs w:val="18"/>
              </w:rPr>
            </w:pPr>
            <w:r>
              <w:rPr>
                <w:kern w:val="0"/>
                <w:sz w:val="18"/>
                <w:szCs w:val="18"/>
              </w:rPr>
              <w:t>环境风险防控</w:t>
            </w:r>
          </w:p>
        </w:tc>
        <w:tc>
          <w:tcPr>
            <w:tcW w:w="3644" w:type="pct"/>
            <w:gridSpan w:val="9"/>
            <w:vAlign w:val="center"/>
          </w:tcPr>
          <w:p w14:paraId="54D41C02">
            <w:pPr>
              <w:tabs>
                <w:tab w:val="clear" w:pos="480"/>
              </w:tabs>
              <w:adjustRightInd w:val="0"/>
              <w:snapToGrid w:val="0"/>
              <w:spacing w:line="240" w:lineRule="auto"/>
              <w:ind w:firstLine="0" w:firstLineChars="0"/>
              <w:jc w:val="left"/>
              <w:rPr>
                <w:rFonts w:hint="eastAsia" w:eastAsia="宋体"/>
                <w:sz w:val="18"/>
                <w:szCs w:val="18"/>
                <w:lang w:eastAsia="zh-CN"/>
              </w:rPr>
            </w:pPr>
            <w:r>
              <w:rPr>
                <w:sz w:val="18"/>
                <w:szCs w:val="18"/>
              </w:rPr>
              <w:t>（3.1）加强环境风险防控和应急管理，制定和完善突发环境事件和饮用水水源地突发环境事件应急预案，加强风险防控和突发环境事件应急处理处置能力。</w:t>
            </w:r>
          </w:p>
          <w:p w14:paraId="18B386E8">
            <w:pPr>
              <w:tabs>
                <w:tab w:val="clear" w:pos="480"/>
              </w:tabs>
              <w:adjustRightInd w:val="0"/>
              <w:snapToGrid w:val="0"/>
              <w:spacing w:line="240" w:lineRule="auto"/>
              <w:ind w:firstLine="0" w:firstLineChars="0"/>
              <w:jc w:val="left"/>
              <w:rPr>
                <w:sz w:val="18"/>
                <w:szCs w:val="18"/>
              </w:rPr>
            </w:pPr>
            <w:r>
              <w:rPr>
                <w:sz w:val="18"/>
                <w:szCs w:val="18"/>
              </w:rPr>
              <w:t>（3.2）</w:t>
            </w:r>
            <w:r>
              <w:rPr>
                <w:bCs/>
                <w:sz w:val="18"/>
                <w:szCs w:val="18"/>
              </w:rPr>
              <w:t>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w:t>
            </w:r>
            <w:r>
              <w:rPr>
                <w:kern w:val="0"/>
                <w:sz w:val="18"/>
                <w:szCs w:val="18"/>
              </w:rPr>
              <w:t>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829" w:type="pct"/>
            <w:vAlign w:val="center"/>
          </w:tcPr>
          <w:p w14:paraId="3A4B350B">
            <w:pPr>
              <w:widowControl/>
              <w:tabs>
                <w:tab w:val="clear" w:pos="480"/>
              </w:tabs>
              <w:adjustRightInd w:val="0"/>
              <w:snapToGrid w:val="0"/>
              <w:spacing w:line="240" w:lineRule="auto"/>
              <w:ind w:firstLine="0" w:firstLineChars="0"/>
              <w:jc w:val="left"/>
              <w:rPr>
                <w:sz w:val="18"/>
                <w:szCs w:val="18"/>
              </w:rPr>
            </w:pPr>
            <w:r>
              <w:rPr>
                <w:sz w:val="18"/>
                <w:szCs w:val="18"/>
              </w:rPr>
              <w:t>本项目为风力发电项目，项目不涉及饮用水水源保护区，本项目用地主要为林地，建设单位在施工前办理用地手续，符合上述要求</w:t>
            </w:r>
          </w:p>
        </w:tc>
      </w:tr>
      <w:tr w14:paraId="27BD31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27" w:type="pct"/>
            <w:vAlign w:val="center"/>
          </w:tcPr>
          <w:p w14:paraId="6B8FCDE3">
            <w:pPr>
              <w:widowControl/>
              <w:tabs>
                <w:tab w:val="clear" w:pos="480"/>
              </w:tabs>
              <w:adjustRightInd w:val="0"/>
              <w:snapToGrid w:val="0"/>
              <w:spacing w:line="240" w:lineRule="auto"/>
              <w:ind w:firstLine="0" w:firstLineChars="0"/>
              <w:jc w:val="center"/>
              <w:rPr>
                <w:sz w:val="18"/>
                <w:szCs w:val="18"/>
              </w:rPr>
            </w:pPr>
            <w:r>
              <w:rPr>
                <w:kern w:val="0"/>
                <w:sz w:val="18"/>
                <w:szCs w:val="18"/>
              </w:rPr>
              <w:t>资源开发效率要求</w:t>
            </w:r>
          </w:p>
        </w:tc>
        <w:tc>
          <w:tcPr>
            <w:tcW w:w="3644" w:type="pct"/>
            <w:gridSpan w:val="9"/>
            <w:vAlign w:val="center"/>
          </w:tcPr>
          <w:p w14:paraId="06DA71D5">
            <w:pPr>
              <w:tabs>
                <w:tab w:val="clear" w:pos="480"/>
              </w:tabs>
              <w:adjustRightInd w:val="0"/>
              <w:snapToGrid w:val="0"/>
              <w:spacing w:line="240" w:lineRule="auto"/>
              <w:ind w:firstLine="0" w:firstLineChars="0"/>
              <w:rPr>
                <w:kern w:val="0"/>
                <w:sz w:val="18"/>
                <w:szCs w:val="18"/>
              </w:rPr>
            </w:pPr>
            <w:r>
              <w:rPr>
                <w:sz w:val="18"/>
                <w:szCs w:val="18"/>
              </w:rPr>
              <w:t>（4.1）能源：</w:t>
            </w:r>
            <w:r>
              <w:rPr>
                <w:kern w:val="0"/>
                <w:sz w:val="18"/>
                <w:szCs w:val="18"/>
              </w:rPr>
              <w:t>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14:paraId="054DAF4E">
            <w:pPr>
              <w:tabs>
                <w:tab w:val="clear" w:pos="480"/>
              </w:tabs>
              <w:adjustRightInd w:val="0"/>
              <w:snapToGrid w:val="0"/>
              <w:spacing w:line="240" w:lineRule="auto"/>
              <w:ind w:firstLine="0" w:firstLineChars="0"/>
              <w:rPr>
                <w:sz w:val="18"/>
                <w:szCs w:val="18"/>
              </w:rPr>
            </w:pPr>
            <w:r>
              <w:rPr>
                <w:sz w:val="18"/>
                <w:szCs w:val="18"/>
              </w:rPr>
              <w:t>（4.2）水资源：</w:t>
            </w:r>
            <w:r>
              <w:rPr>
                <w:kern w:val="0"/>
                <w:sz w:val="18"/>
                <w:szCs w:val="18"/>
              </w:rPr>
              <w:t>大力推进农业、工业、城镇节水，全面推进节水型社会建设。</w:t>
            </w:r>
          </w:p>
        </w:tc>
        <w:tc>
          <w:tcPr>
            <w:tcW w:w="829" w:type="pct"/>
            <w:vAlign w:val="center"/>
          </w:tcPr>
          <w:p w14:paraId="104AFC49">
            <w:pPr>
              <w:widowControl/>
              <w:tabs>
                <w:tab w:val="clear" w:pos="480"/>
              </w:tabs>
              <w:adjustRightInd w:val="0"/>
              <w:snapToGrid w:val="0"/>
              <w:spacing w:line="240" w:lineRule="auto"/>
              <w:ind w:firstLine="0" w:firstLineChars="0"/>
              <w:jc w:val="left"/>
              <w:rPr>
                <w:sz w:val="18"/>
                <w:szCs w:val="18"/>
              </w:rPr>
            </w:pPr>
            <w:r>
              <w:rPr>
                <w:sz w:val="18"/>
                <w:szCs w:val="18"/>
              </w:rPr>
              <w:t>本项目为风力发电项目，项目属于电力生产项目，本项目用水量很少。符合上述要求。</w:t>
            </w:r>
          </w:p>
        </w:tc>
      </w:tr>
    </w:tbl>
    <w:p w14:paraId="202C1835">
      <w:pPr>
        <w:tabs>
          <w:tab w:val="clear" w:pos="480"/>
        </w:tabs>
        <w:spacing w:line="240" w:lineRule="auto"/>
        <w:ind w:firstLine="0" w:firstLineChars="0"/>
        <w:jc w:val="center"/>
        <w:rPr>
          <w:b/>
          <w:bCs/>
        </w:rPr>
      </w:pPr>
    </w:p>
    <w:p w14:paraId="409A7F71">
      <w:pPr>
        <w:tabs>
          <w:tab w:val="clear" w:pos="480"/>
        </w:tabs>
        <w:adjustRightInd w:val="0"/>
        <w:snapToGrid w:val="0"/>
        <w:ind w:firstLine="480"/>
        <w:rPr>
          <w:rFonts w:ascii="宋体" w:hAnsi="宋体"/>
        </w:rPr>
        <w:sectPr>
          <w:pgSz w:w="16838" w:h="11906" w:orient="landscape"/>
          <w:pgMar w:top="1531" w:right="1701" w:bottom="1531" w:left="1701" w:header="851" w:footer="1077" w:gutter="0"/>
          <w:cols w:space="720" w:num="1"/>
          <w:docGrid w:linePitch="312" w:charSpace="0"/>
        </w:sectPr>
      </w:pPr>
    </w:p>
    <w:bookmarkEnd w:id="56"/>
    <w:bookmarkEnd w:id="57"/>
    <w:bookmarkEnd w:id="58"/>
    <w:bookmarkEnd w:id="59"/>
    <w:bookmarkEnd w:id="60"/>
    <w:bookmarkEnd w:id="61"/>
    <w:bookmarkEnd w:id="62"/>
    <w:p w14:paraId="3CB2E873">
      <w:pPr>
        <w:keepNext/>
        <w:keepLines/>
        <w:numPr>
          <w:ilvl w:val="1"/>
          <w:numId w:val="0"/>
        </w:numPr>
        <w:tabs>
          <w:tab w:val="left" w:pos="425"/>
          <w:tab w:val="clear" w:pos="480"/>
        </w:tabs>
        <w:adjustRightInd w:val="0"/>
        <w:textAlignment w:val="baseline"/>
        <w:outlineLvl w:val="1"/>
        <w:rPr>
          <w:b/>
          <w:kern w:val="24"/>
          <w:sz w:val="30"/>
          <w:szCs w:val="30"/>
        </w:rPr>
      </w:pPr>
      <w:bookmarkStart w:id="265" w:name="_Toc143723209"/>
      <w:bookmarkStart w:id="266" w:name="_Toc143799413"/>
      <w:bookmarkStart w:id="267" w:name="_Toc116978023"/>
      <w:bookmarkStart w:id="268" w:name="_Toc24286"/>
      <w:bookmarkStart w:id="269" w:name="_Toc186600276"/>
      <w:bookmarkStart w:id="270" w:name="_Toc256077597"/>
      <w:bookmarkStart w:id="271" w:name="_Toc215544192"/>
      <w:r>
        <w:rPr>
          <w:rFonts w:hint="eastAsia"/>
          <w:b/>
          <w:kern w:val="24"/>
          <w:sz w:val="30"/>
          <w:szCs w:val="30"/>
        </w:rPr>
        <w:t>1</w:t>
      </w:r>
      <w:r>
        <w:rPr>
          <w:b/>
          <w:kern w:val="24"/>
          <w:sz w:val="30"/>
          <w:szCs w:val="30"/>
        </w:rPr>
        <w:t>1</w:t>
      </w:r>
      <w:r>
        <w:rPr>
          <w:rFonts w:hint="eastAsia"/>
          <w:b/>
          <w:kern w:val="24"/>
          <w:sz w:val="30"/>
          <w:szCs w:val="30"/>
        </w:rPr>
        <w:t>.</w:t>
      </w:r>
      <w:r>
        <w:rPr>
          <w:b/>
          <w:kern w:val="24"/>
          <w:sz w:val="30"/>
          <w:szCs w:val="30"/>
        </w:rPr>
        <w:t>6</w:t>
      </w:r>
      <w:r>
        <w:rPr>
          <w:rFonts w:hint="eastAsia"/>
          <w:b/>
          <w:kern w:val="24"/>
          <w:sz w:val="30"/>
          <w:szCs w:val="30"/>
        </w:rPr>
        <w:t>与《湖南省饮用水水源保护条例》的相符性分析</w:t>
      </w:r>
      <w:bookmarkEnd w:id="265"/>
      <w:bookmarkEnd w:id="266"/>
      <w:bookmarkEnd w:id="267"/>
      <w:r>
        <w:rPr>
          <w:b/>
          <w:kern w:val="24"/>
          <w:sz w:val="30"/>
          <w:szCs w:val="30"/>
        </w:rPr>
        <w:t xml:space="preserve"> </w:t>
      </w:r>
    </w:p>
    <w:p w14:paraId="368C47BD">
      <w:pPr>
        <w:adjustRightInd w:val="0"/>
        <w:snapToGrid w:val="0"/>
        <w:ind w:firstLine="480"/>
      </w:pPr>
      <w:r>
        <w:t>本项目所有风机位和道路均不在保护区范围内。本项目与湖南省饮用水源保护条例符合性分析见下表。</w:t>
      </w:r>
    </w:p>
    <w:p w14:paraId="3EA8EDD5">
      <w:pPr>
        <w:tabs>
          <w:tab w:val="clear" w:pos="480"/>
        </w:tabs>
        <w:adjustRightInd w:val="0"/>
        <w:snapToGrid w:val="0"/>
        <w:spacing w:line="240" w:lineRule="auto"/>
        <w:ind w:firstLine="0" w:firstLineChars="0"/>
        <w:jc w:val="center"/>
        <w:rPr>
          <w:b/>
          <w:bCs/>
        </w:rPr>
      </w:pPr>
      <w:r>
        <w:rPr>
          <w:b/>
          <w:bCs/>
        </w:rPr>
        <w:t>11.6-1与《湖南省饮用水水源保护条例》符合性分析一览表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01"/>
        <w:gridCol w:w="3074"/>
        <w:gridCol w:w="652"/>
      </w:tblGrid>
      <w:tr w14:paraId="1CCE57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5" w:type="pct"/>
            <w:vAlign w:val="center"/>
          </w:tcPr>
          <w:p w14:paraId="71B8EBDA">
            <w:pPr>
              <w:adjustRightInd w:val="0"/>
              <w:snapToGrid w:val="0"/>
              <w:spacing w:line="240" w:lineRule="auto"/>
              <w:ind w:firstLine="0" w:firstLineChars="0"/>
              <w:jc w:val="center"/>
              <w:rPr>
                <w:bCs/>
                <w:spacing w:val="6"/>
                <w:sz w:val="18"/>
                <w:szCs w:val="18"/>
              </w:rPr>
            </w:pPr>
            <w:r>
              <w:rPr>
                <w:bCs/>
                <w:spacing w:val="6"/>
                <w:sz w:val="18"/>
                <w:szCs w:val="18"/>
              </w:rPr>
              <w:t>保护措施要求</w:t>
            </w:r>
          </w:p>
        </w:tc>
        <w:tc>
          <w:tcPr>
            <w:tcW w:w="1802" w:type="pct"/>
            <w:vAlign w:val="center"/>
          </w:tcPr>
          <w:p w14:paraId="5E3D047A">
            <w:pPr>
              <w:adjustRightInd w:val="0"/>
              <w:snapToGrid w:val="0"/>
              <w:spacing w:line="240" w:lineRule="auto"/>
              <w:ind w:firstLine="0" w:firstLineChars="0"/>
              <w:jc w:val="center"/>
              <w:rPr>
                <w:bCs/>
                <w:spacing w:val="6"/>
                <w:sz w:val="18"/>
                <w:szCs w:val="18"/>
              </w:rPr>
            </w:pPr>
            <w:r>
              <w:rPr>
                <w:bCs/>
                <w:spacing w:val="6"/>
                <w:sz w:val="18"/>
                <w:szCs w:val="18"/>
              </w:rPr>
              <w:t>本项目情况</w:t>
            </w:r>
          </w:p>
        </w:tc>
        <w:tc>
          <w:tcPr>
            <w:tcW w:w="382" w:type="pct"/>
            <w:vAlign w:val="center"/>
          </w:tcPr>
          <w:p w14:paraId="65E1A6F1">
            <w:pPr>
              <w:adjustRightInd w:val="0"/>
              <w:snapToGrid w:val="0"/>
              <w:spacing w:line="240" w:lineRule="auto"/>
              <w:ind w:firstLine="0" w:firstLineChars="0"/>
              <w:jc w:val="center"/>
              <w:rPr>
                <w:bCs/>
                <w:spacing w:val="6"/>
                <w:sz w:val="18"/>
                <w:szCs w:val="18"/>
              </w:rPr>
            </w:pPr>
            <w:r>
              <w:rPr>
                <w:bCs/>
                <w:spacing w:val="6"/>
                <w:sz w:val="18"/>
                <w:szCs w:val="18"/>
              </w:rPr>
              <w:t>符合性</w:t>
            </w:r>
          </w:p>
        </w:tc>
      </w:tr>
      <w:tr w14:paraId="5E3929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5" w:type="pct"/>
            <w:vAlign w:val="center"/>
          </w:tcPr>
          <w:p w14:paraId="33035F93">
            <w:pPr>
              <w:adjustRightInd w:val="0"/>
              <w:snapToGrid w:val="0"/>
              <w:spacing w:line="240" w:lineRule="auto"/>
              <w:ind w:firstLine="0" w:firstLineChars="0"/>
              <w:jc w:val="left"/>
              <w:rPr>
                <w:bCs/>
                <w:spacing w:val="6"/>
                <w:sz w:val="18"/>
                <w:szCs w:val="18"/>
              </w:rPr>
            </w:pPr>
            <w:r>
              <w:rPr>
                <w:bCs/>
                <w:spacing w:val="6"/>
                <w:sz w:val="18"/>
                <w:szCs w:val="18"/>
              </w:rPr>
              <w:t>第十八条 在饮用水水源准保护区内，禁止下列行为：</w:t>
            </w:r>
          </w:p>
          <w:p w14:paraId="23765FD3">
            <w:pPr>
              <w:adjustRightInd w:val="0"/>
              <w:snapToGrid w:val="0"/>
              <w:spacing w:line="240" w:lineRule="auto"/>
              <w:ind w:firstLine="0" w:firstLineChars="0"/>
              <w:jc w:val="left"/>
              <w:rPr>
                <w:bCs/>
                <w:spacing w:val="6"/>
                <w:sz w:val="18"/>
                <w:szCs w:val="18"/>
              </w:rPr>
            </w:pPr>
            <w:r>
              <w:rPr>
                <w:bCs/>
                <w:spacing w:val="6"/>
                <w:sz w:val="18"/>
                <w:szCs w:val="18"/>
              </w:rPr>
              <w:t>（一）新建、扩建水上加油站、油库、制药、造纸、化工等严重污染水体的建设项目，或者改建增加排污量的建设项目；</w:t>
            </w:r>
          </w:p>
          <w:p w14:paraId="0F46D7D4">
            <w:pPr>
              <w:adjustRightInd w:val="0"/>
              <w:snapToGrid w:val="0"/>
              <w:spacing w:line="240" w:lineRule="auto"/>
              <w:ind w:firstLine="0" w:firstLineChars="0"/>
              <w:jc w:val="left"/>
              <w:rPr>
                <w:bCs/>
                <w:spacing w:val="6"/>
                <w:sz w:val="18"/>
                <w:szCs w:val="18"/>
              </w:rPr>
            </w:pPr>
            <w:r>
              <w:rPr>
                <w:bCs/>
                <w:spacing w:val="6"/>
                <w:sz w:val="18"/>
                <w:szCs w:val="18"/>
              </w:rPr>
              <w:t>（二）使用毒鱼、炸鱼等方法进行捕捞；</w:t>
            </w:r>
          </w:p>
          <w:p w14:paraId="2BD2A002">
            <w:pPr>
              <w:adjustRightInd w:val="0"/>
              <w:snapToGrid w:val="0"/>
              <w:spacing w:line="240" w:lineRule="auto"/>
              <w:ind w:firstLine="0" w:firstLineChars="0"/>
              <w:jc w:val="left"/>
              <w:rPr>
                <w:bCs/>
                <w:spacing w:val="6"/>
                <w:sz w:val="18"/>
                <w:szCs w:val="18"/>
              </w:rPr>
            </w:pPr>
            <w:r>
              <w:rPr>
                <w:bCs/>
                <w:spacing w:val="6"/>
                <w:sz w:val="18"/>
                <w:szCs w:val="18"/>
              </w:rPr>
              <w:t>（三）排放倾倒工业废渣、城镇垃圾、医疗垃圾和其他废弃物，或者贮存、堆放固体废弃物和其他污染物；</w:t>
            </w:r>
          </w:p>
          <w:p w14:paraId="4A5124D9">
            <w:pPr>
              <w:adjustRightInd w:val="0"/>
              <w:snapToGrid w:val="0"/>
              <w:spacing w:line="240" w:lineRule="auto"/>
              <w:ind w:firstLine="0" w:firstLineChars="0"/>
              <w:jc w:val="left"/>
              <w:rPr>
                <w:bCs/>
                <w:spacing w:val="6"/>
                <w:sz w:val="18"/>
                <w:szCs w:val="18"/>
              </w:rPr>
            </w:pPr>
            <w:r>
              <w:rPr>
                <w:bCs/>
                <w:spacing w:val="6"/>
                <w:sz w:val="18"/>
                <w:szCs w:val="18"/>
              </w:rPr>
              <w:t>（四）使用剧毒和高残留农药，滥用化肥；</w:t>
            </w:r>
          </w:p>
          <w:p w14:paraId="25FF748C">
            <w:pPr>
              <w:adjustRightInd w:val="0"/>
              <w:snapToGrid w:val="0"/>
              <w:spacing w:line="240" w:lineRule="auto"/>
              <w:ind w:firstLine="0" w:firstLineChars="0"/>
              <w:jc w:val="left"/>
              <w:rPr>
                <w:bCs/>
                <w:spacing w:val="6"/>
                <w:sz w:val="18"/>
                <w:szCs w:val="18"/>
              </w:rPr>
            </w:pPr>
            <w:r>
              <w:rPr>
                <w:bCs/>
                <w:spacing w:val="6"/>
                <w:sz w:val="18"/>
                <w:szCs w:val="18"/>
              </w:rPr>
              <w:t>（五）投肥养鱼；</w:t>
            </w:r>
          </w:p>
          <w:p w14:paraId="5426DEEC">
            <w:pPr>
              <w:adjustRightInd w:val="0"/>
              <w:snapToGrid w:val="0"/>
              <w:spacing w:line="240" w:lineRule="auto"/>
              <w:ind w:firstLine="0" w:firstLineChars="0"/>
              <w:jc w:val="left"/>
              <w:rPr>
                <w:bCs/>
                <w:spacing w:val="6"/>
                <w:sz w:val="18"/>
                <w:szCs w:val="18"/>
              </w:rPr>
            </w:pPr>
            <w:r>
              <w:rPr>
                <w:bCs/>
                <w:spacing w:val="6"/>
                <w:sz w:val="18"/>
                <w:szCs w:val="18"/>
              </w:rPr>
              <w:t>（六）其他可能污染饮用水水体的行为。</w:t>
            </w:r>
          </w:p>
        </w:tc>
        <w:tc>
          <w:tcPr>
            <w:tcW w:w="1802" w:type="pct"/>
            <w:vAlign w:val="center"/>
          </w:tcPr>
          <w:p w14:paraId="7242E92F">
            <w:pPr>
              <w:adjustRightInd w:val="0"/>
              <w:snapToGrid w:val="0"/>
              <w:spacing w:line="240" w:lineRule="auto"/>
              <w:ind w:firstLine="0" w:firstLineChars="0"/>
              <w:jc w:val="center"/>
              <w:rPr>
                <w:bCs/>
                <w:spacing w:val="6"/>
                <w:sz w:val="18"/>
                <w:szCs w:val="18"/>
              </w:rPr>
            </w:pPr>
            <w:r>
              <w:rPr>
                <w:bCs/>
                <w:kern w:val="0"/>
                <w:sz w:val="18"/>
                <w:szCs w:val="18"/>
              </w:rPr>
              <w:t>本项目周边分布的饮用水水源保护区均未设置准保护区。</w:t>
            </w:r>
            <w:r>
              <w:rPr>
                <w:bCs/>
                <w:spacing w:val="6"/>
                <w:sz w:val="18"/>
                <w:szCs w:val="18"/>
              </w:rPr>
              <w:t>本项目为风电项目，施工废水经沉淀池处理后回用，不外排。运营期风机无废水排放。本项目施工期施工弃渣及时运至弃渣场，不在施工区域堆放。</w:t>
            </w:r>
          </w:p>
        </w:tc>
        <w:tc>
          <w:tcPr>
            <w:tcW w:w="382" w:type="pct"/>
            <w:vAlign w:val="center"/>
          </w:tcPr>
          <w:p w14:paraId="0BF8AE08">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4863C4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5" w:type="pct"/>
            <w:vAlign w:val="center"/>
          </w:tcPr>
          <w:p w14:paraId="51F6D6C5">
            <w:pPr>
              <w:adjustRightInd w:val="0"/>
              <w:snapToGrid w:val="0"/>
              <w:spacing w:line="240" w:lineRule="auto"/>
              <w:ind w:firstLine="0" w:firstLineChars="0"/>
              <w:jc w:val="left"/>
              <w:rPr>
                <w:bCs/>
                <w:spacing w:val="6"/>
                <w:sz w:val="18"/>
                <w:szCs w:val="18"/>
              </w:rPr>
            </w:pPr>
            <w:r>
              <w:rPr>
                <w:bCs/>
                <w:spacing w:val="6"/>
                <w:sz w:val="18"/>
                <w:szCs w:val="18"/>
              </w:rPr>
              <w:t>第十九条 在饮用水水源二级保护区内，除第十八条规定的禁止行为外，还禁止下列行为：</w:t>
            </w:r>
          </w:p>
          <w:p w14:paraId="059A28CC">
            <w:pPr>
              <w:adjustRightInd w:val="0"/>
              <w:snapToGrid w:val="0"/>
              <w:spacing w:line="240" w:lineRule="auto"/>
              <w:ind w:firstLine="0" w:firstLineChars="0"/>
              <w:jc w:val="left"/>
              <w:rPr>
                <w:bCs/>
                <w:spacing w:val="6"/>
                <w:sz w:val="18"/>
                <w:szCs w:val="18"/>
              </w:rPr>
            </w:pPr>
            <w:r>
              <w:rPr>
                <w:bCs/>
                <w:spacing w:val="6"/>
                <w:sz w:val="18"/>
                <w:szCs w:val="18"/>
              </w:rPr>
              <w:t>（一）设置排污口；</w:t>
            </w:r>
          </w:p>
          <w:p w14:paraId="061BDCCD">
            <w:pPr>
              <w:adjustRightInd w:val="0"/>
              <w:snapToGrid w:val="0"/>
              <w:spacing w:line="240" w:lineRule="auto"/>
              <w:ind w:firstLine="0" w:firstLineChars="0"/>
              <w:jc w:val="left"/>
              <w:rPr>
                <w:bCs/>
                <w:spacing w:val="6"/>
                <w:sz w:val="18"/>
                <w:szCs w:val="18"/>
              </w:rPr>
            </w:pPr>
            <w:r>
              <w:rPr>
                <w:bCs/>
                <w:spacing w:val="6"/>
                <w:sz w:val="18"/>
                <w:szCs w:val="18"/>
              </w:rPr>
              <w:t>（二）新建、改建、扩建排放污染物的建设项目；</w:t>
            </w:r>
          </w:p>
          <w:p w14:paraId="75F24AE8">
            <w:pPr>
              <w:adjustRightInd w:val="0"/>
              <w:snapToGrid w:val="0"/>
              <w:spacing w:line="240" w:lineRule="auto"/>
              <w:ind w:firstLine="0" w:firstLineChars="0"/>
              <w:jc w:val="left"/>
              <w:rPr>
                <w:bCs/>
                <w:spacing w:val="6"/>
                <w:sz w:val="18"/>
                <w:szCs w:val="18"/>
              </w:rPr>
            </w:pPr>
            <w:r>
              <w:rPr>
                <w:bCs/>
                <w:spacing w:val="6"/>
                <w:sz w:val="18"/>
                <w:szCs w:val="18"/>
              </w:rPr>
              <w:t>（三）设置畜禽养殖场、养殖小区；</w:t>
            </w:r>
          </w:p>
          <w:p w14:paraId="6B30AD73">
            <w:pPr>
              <w:adjustRightInd w:val="0"/>
              <w:snapToGrid w:val="0"/>
              <w:spacing w:line="240" w:lineRule="auto"/>
              <w:ind w:firstLine="0" w:firstLineChars="0"/>
              <w:jc w:val="left"/>
              <w:rPr>
                <w:bCs/>
                <w:spacing w:val="6"/>
                <w:sz w:val="18"/>
                <w:szCs w:val="18"/>
              </w:rPr>
            </w:pPr>
            <w:r>
              <w:rPr>
                <w:bCs/>
                <w:spacing w:val="6"/>
                <w:sz w:val="18"/>
                <w:szCs w:val="18"/>
              </w:rPr>
              <w:t>（四）设置装卸垃圾、油类及其他有毒有害物品的码头；</w:t>
            </w:r>
          </w:p>
          <w:p w14:paraId="457B08B1">
            <w:pPr>
              <w:adjustRightInd w:val="0"/>
              <w:snapToGrid w:val="0"/>
              <w:spacing w:line="240" w:lineRule="auto"/>
              <w:ind w:firstLine="0" w:firstLineChars="0"/>
              <w:jc w:val="left"/>
              <w:rPr>
                <w:bCs/>
                <w:spacing w:val="6"/>
                <w:sz w:val="18"/>
                <w:szCs w:val="18"/>
              </w:rPr>
            </w:pPr>
            <w:r>
              <w:rPr>
                <w:bCs/>
                <w:spacing w:val="6"/>
                <w:sz w:val="18"/>
                <w:szCs w:val="18"/>
              </w:rPr>
              <w:t>（五）水上运输剧毒化学品及国家禁止运输的其他危险化学品；</w:t>
            </w:r>
          </w:p>
          <w:p w14:paraId="1C094824">
            <w:pPr>
              <w:adjustRightInd w:val="0"/>
              <w:snapToGrid w:val="0"/>
              <w:spacing w:line="240" w:lineRule="auto"/>
              <w:ind w:firstLine="0" w:firstLineChars="0"/>
              <w:jc w:val="left"/>
              <w:rPr>
                <w:bCs/>
                <w:spacing w:val="6"/>
                <w:sz w:val="18"/>
                <w:szCs w:val="18"/>
              </w:rPr>
            </w:pPr>
            <w:r>
              <w:rPr>
                <w:bCs/>
                <w:spacing w:val="6"/>
                <w:sz w:val="18"/>
                <w:szCs w:val="18"/>
              </w:rPr>
              <w:t>（六）使用农药。</w:t>
            </w:r>
          </w:p>
        </w:tc>
        <w:tc>
          <w:tcPr>
            <w:tcW w:w="1802" w:type="pct"/>
            <w:vAlign w:val="center"/>
          </w:tcPr>
          <w:p w14:paraId="2B215EC0">
            <w:pPr>
              <w:adjustRightInd w:val="0"/>
              <w:snapToGrid w:val="0"/>
              <w:spacing w:line="240" w:lineRule="auto"/>
              <w:ind w:firstLine="0" w:firstLineChars="0"/>
              <w:jc w:val="center"/>
              <w:rPr>
                <w:bCs/>
                <w:spacing w:val="6"/>
                <w:sz w:val="18"/>
                <w:szCs w:val="18"/>
              </w:rPr>
            </w:pPr>
            <w:r>
              <w:rPr>
                <w:bCs/>
                <w:spacing w:val="6"/>
                <w:sz w:val="18"/>
                <w:szCs w:val="18"/>
              </w:rPr>
              <w:t>本项目不涉及饮用水水源保护区，施工废水经沉淀池处理后回用，不外排，运营期无废水、废气、废渣排放。本项目升压站不在饮用水源保护区范围内，生活污水经处理后回用于绿化，不设置排污口。</w:t>
            </w:r>
          </w:p>
        </w:tc>
        <w:tc>
          <w:tcPr>
            <w:tcW w:w="382" w:type="pct"/>
            <w:vAlign w:val="center"/>
          </w:tcPr>
          <w:p w14:paraId="3A3CC524">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3D4C0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5" w:type="pct"/>
            <w:vAlign w:val="center"/>
          </w:tcPr>
          <w:p w14:paraId="366EB017">
            <w:pPr>
              <w:adjustRightInd w:val="0"/>
              <w:snapToGrid w:val="0"/>
              <w:spacing w:line="240" w:lineRule="auto"/>
              <w:ind w:firstLine="0" w:firstLineChars="0"/>
              <w:jc w:val="left"/>
              <w:rPr>
                <w:bCs/>
                <w:spacing w:val="6"/>
                <w:sz w:val="18"/>
                <w:szCs w:val="18"/>
              </w:rPr>
            </w:pPr>
            <w:r>
              <w:rPr>
                <w:bCs/>
                <w:spacing w:val="6"/>
                <w:sz w:val="18"/>
                <w:szCs w:val="18"/>
              </w:rPr>
              <w:t>第二十条 在饮用水水源一级保护区内，除第十八条、第十九条规定的禁止行为外，还禁止下列行为：</w:t>
            </w:r>
          </w:p>
          <w:p w14:paraId="4F662E55">
            <w:pPr>
              <w:adjustRightInd w:val="0"/>
              <w:snapToGrid w:val="0"/>
              <w:spacing w:line="240" w:lineRule="auto"/>
              <w:ind w:firstLine="0" w:firstLineChars="0"/>
              <w:jc w:val="left"/>
              <w:rPr>
                <w:bCs/>
                <w:spacing w:val="6"/>
                <w:sz w:val="18"/>
                <w:szCs w:val="18"/>
              </w:rPr>
            </w:pPr>
            <w:r>
              <w:rPr>
                <w:bCs/>
                <w:spacing w:val="6"/>
                <w:sz w:val="18"/>
                <w:szCs w:val="18"/>
              </w:rPr>
              <w:t>（一）新建、改建、扩建与供水设施和保护水源无关的建设项目；</w:t>
            </w:r>
          </w:p>
          <w:p w14:paraId="1E0C53C3">
            <w:pPr>
              <w:adjustRightInd w:val="0"/>
              <w:snapToGrid w:val="0"/>
              <w:spacing w:line="240" w:lineRule="auto"/>
              <w:ind w:firstLine="0" w:firstLineChars="0"/>
              <w:jc w:val="left"/>
              <w:rPr>
                <w:bCs/>
                <w:spacing w:val="6"/>
                <w:sz w:val="18"/>
                <w:szCs w:val="18"/>
              </w:rPr>
            </w:pPr>
            <w:r>
              <w:rPr>
                <w:bCs/>
                <w:spacing w:val="6"/>
                <w:sz w:val="18"/>
                <w:szCs w:val="18"/>
              </w:rPr>
              <w:t>（二）水上餐饮；</w:t>
            </w:r>
          </w:p>
          <w:p w14:paraId="59F6345C">
            <w:pPr>
              <w:adjustRightInd w:val="0"/>
              <w:snapToGrid w:val="0"/>
              <w:spacing w:line="240" w:lineRule="auto"/>
              <w:ind w:firstLine="0" w:firstLineChars="0"/>
              <w:jc w:val="left"/>
              <w:rPr>
                <w:bCs/>
                <w:spacing w:val="6"/>
                <w:sz w:val="18"/>
                <w:szCs w:val="18"/>
              </w:rPr>
            </w:pPr>
            <w:r>
              <w:rPr>
                <w:bCs/>
                <w:spacing w:val="6"/>
                <w:sz w:val="18"/>
                <w:szCs w:val="18"/>
              </w:rPr>
              <w:t>（三）网箱养殖、旅游、游泳、垂钓。</w:t>
            </w:r>
          </w:p>
        </w:tc>
        <w:tc>
          <w:tcPr>
            <w:tcW w:w="1802" w:type="pct"/>
            <w:vAlign w:val="center"/>
          </w:tcPr>
          <w:p w14:paraId="55438310">
            <w:pPr>
              <w:adjustRightInd w:val="0"/>
              <w:snapToGrid w:val="0"/>
              <w:spacing w:line="240" w:lineRule="auto"/>
              <w:ind w:firstLine="0" w:firstLineChars="0"/>
              <w:jc w:val="center"/>
              <w:rPr>
                <w:bCs/>
                <w:spacing w:val="6"/>
                <w:sz w:val="18"/>
                <w:szCs w:val="18"/>
              </w:rPr>
            </w:pPr>
            <w:r>
              <w:rPr>
                <w:bCs/>
                <w:spacing w:val="6"/>
                <w:sz w:val="18"/>
                <w:szCs w:val="18"/>
              </w:rPr>
              <w:t>本项目不涉及饮用水水源保护区，</w:t>
            </w:r>
          </w:p>
        </w:tc>
        <w:tc>
          <w:tcPr>
            <w:tcW w:w="382" w:type="pct"/>
            <w:vAlign w:val="center"/>
          </w:tcPr>
          <w:p w14:paraId="1A07EE42">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1A96A5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5" w:type="pct"/>
            <w:vAlign w:val="center"/>
          </w:tcPr>
          <w:p w14:paraId="29B2AC8E">
            <w:pPr>
              <w:adjustRightInd w:val="0"/>
              <w:snapToGrid w:val="0"/>
              <w:spacing w:line="240" w:lineRule="auto"/>
              <w:ind w:firstLine="0" w:firstLineChars="0"/>
              <w:jc w:val="left"/>
              <w:rPr>
                <w:bCs/>
                <w:spacing w:val="6"/>
                <w:sz w:val="18"/>
                <w:szCs w:val="18"/>
              </w:rPr>
            </w:pPr>
            <w:r>
              <w:rPr>
                <w:bCs/>
                <w:spacing w:val="6"/>
                <w:sz w:val="18"/>
                <w:szCs w:val="18"/>
              </w:rPr>
              <w:t>第二十一条 在饮用水水源二级保护区划定前已建成的排放污染物的建设项目、在饮用水水源一级保护区划定前已建成的与供水设施和保护水源无关的建设项目，由县级以上人民政府责令拆除或者关闭。因建设项目和设施被拆除或者关闭，导致所有者或者经营者的合法权益受到损害的，有关人民政府应当依法予以补偿。</w:t>
            </w:r>
          </w:p>
        </w:tc>
        <w:tc>
          <w:tcPr>
            <w:tcW w:w="1802" w:type="pct"/>
            <w:vAlign w:val="center"/>
          </w:tcPr>
          <w:p w14:paraId="469294BC">
            <w:pPr>
              <w:adjustRightInd w:val="0"/>
              <w:snapToGrid w:val="0"/>
              <w:spacing w:line="240" w:lineRule="auto"/>
              <w:ind w:firstLine="0" w:firstLineChars="0"/>
              <w:jc w:val="center"/>
              <w:rPr>
                <w:bCs/>
                <w:spacing w:val="6"/>
                <w:sz w:val="18"/>
                <w:szCs w:val="18"/>
              </w:rPr>
            </w:pPr>
            <w:r>
              <w:rPr>
                <w:bCs/>
                <w:spacing w:val="6"/>
                <w:sz w:val="18"/>
                <w:szCs w:val="18"/>
              </w:rPr>
              <w:t>本项目不涉及饮用水水源一级保护区，且项目不排放污染物</w:t>
            </w:r>
          </w:p>
        </w:tc>
        <w:tc>
          <w:tcPr>
            <w:tcW w:w="382" w:type="pct"/>
            <w:vAlign w:val="center"/>
          </w:tcPr>
          <w:p w14:paraId="0060BF47">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1CD4C9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5" w:type="pct"/>
            <w:vAlign w:val="center"/>
          </w:tcPr>
          <w:p w14:paraId="204A1F36">
            <w:pPr>
              <w:adjustRightInd w:val="0"/>
              <w:snapToGrid w:val="0"/>
              <w:spacing w:line="240" w:lineRule="auto"/>
              <w:ind w:firstLine="0" w:firstLineChars="0"/>
              <w:jc w:val="left"/>
              <w:rPr>
                <w:bCs/>
                <w:spacing w:val="6"/>
                <w:sz w:val="18"/>
                <w:szCs w:val="18"/>
              </w:rPr>
            </w:pPr>
            <w:r>
              <w:rPr>
                <w:bCs/>
                <w:spacing w:val="6"/>
                <w:sz w:val="18"/>
                <w:szCs w:val="18"/>
              </w:rPr>
              <w:t>第二十三条 乡（镇）、村饮用水水源保护范围内禁止下列行为：</w:t>
            </w:r>
          </w:p>
          <w:p w14:paraId="569C2740">
            <w:pPr>
              <w:adjustRightInd w:val="0"/>
              <w:snapToGrid w:val="0"/>
              <w:spacing w:line="240" w:lineRule="auto"/>
              <w:ind w:firstLine="0" w:firstLineChars="0"/>
              <w:jc w:val="left"/>
              <w:rPr>
                <w:bCs/>
                <w:spacing w:val="6"/>
                <w:sz w:val="18"/>
                <w:szCs w:val="18"/>
              </w:rPr>
            </w:pPr>
            <w:r>
              <w:rPr>
                <w:bCs/>
                <w:spacing w:val="6"/>
                <w:sz w:val="18"/>
                <w:szCs w:val="18"/>
              </w:rPr>
              <w:t>（一）设置畜禽养殖场、养殖小区；</w:t>
            </w:r>
          </w:p>
          <w:p w14:paraId="3F9A9CFD">
            <w:pPr>
              <w:adjustRightInd w:val="0"/>
              <w:snapToGrid w:val="0"/>
              <w:spacing w:line="240" w:lineRule="auto"/>
              <w:ind w:firstLine="0" w:firstLineChars="0"/>
              <w:jc w:val="left"/>
              <w:rPr>
                <w:bCs/>
                <w:spacing w:val="6"/>
                <w:sz w:val="18"/>
                <w:szCs w:val="18"/>
              </w:rPr>
            </w:pPr>
            <w:r>
              <w:rPr>
                <w:bCs/>
                <w:spacing w:val="6"/>
                <w:sz w:val="18"/>
                <w:szCs w:val="18"/>
              </w:rPr>
              <w:t>（二）使用剧毒、高残留农药；</w:t>
            </w:r>
          </w:p>
          <w:p w14:paraId="29856E7A">
            <w:pPr>
              <w:adjustRightInd w:val="0"/>
              <w:snapToGrid w:val="0"/>
              <w:spacing w:line="240" w:lineRule="auto"/>
              <w:ind w:firstLine="0" w:firstLineChars="0"/>
              <w:jc w:val="left"/>
              <w:rPr>
                <w:bCs/>
                <w:spacing w:val="6"/>
                <w:sz w:val="18"/>
                <w:szCs w:val="18"/>
              </w:rPr>
            </w:pPr>
            <w:r>
              <w:rPr>
                <w:bCs/>
                <w:spacing w:val="6"/>
                <w:sz w:val="18"/>
                <w:szCs w:val="18"/>
              </w:rPr>
              <w:t>（三）向水体倾倒排放生活垃圾、污水以及其他可能污染水体的物质；</w:t>
            </w:r>
          </w:p>
          <w:p w14:paraId="7EEC0C9E">
            <w:pPr>
              <w:adjustRightInd w:val="0"/>
              <w:snapToGrid w:val="0"/>
              <w:spacing w:line="240" w:lineRule="auto"/>
              <w:ind w:firstLine="0" w:firstLineChars="0"/>
              <w:jc w:val="left"/>
              <w:rPr>
                <w:bCs/>
                <w:spacing w:val="6"/>
                <w:sz w:val="18"/>
                <w:szCs w:val="18"/>
              </w:rPr>
            </w:pPr>
            <w:r>
              <w:rPr>
                <w:bCs/>
                <w:spacing w:val="6"/>
                <w:sz w:val="18"/>
                <w:szCs w:val="18"/>
              </w:rPr>
              <w:t>（四）其他可能污染饮用水水体的行为。</w:t>
            </w:r>
          </w:p>
        </w:tc>
        <w:tc>
          <w:tcPr>
            <w:tcW w:w="1802" w:type="pct"/>
            <w:vAlign w:val="center"/>
          </w:tcPr>
          <w:p w14:paraId="40AD027C">
            <w:pPr>
              <w:adjustRightInd w:val="0"/>
              <w:snapToGrid w:val="0"/>
              <w:spacing w:line="240" w:lineRule="auto"/>
              <w:ind w:firstLine="0" w:firstLineChars="0"/>
              <w:rPr>
                <w:bCs/>
                <w:spacing w:val="6"/>
                <w:sz w:val="18"/>
                <w:szCs w:val="18"/>
              </w:rPr>
            </w:pPr>
            <w:r>
              <w:rPr>
                <w:bCs/>
                <w:spacing w:val="6"/>
                <w:sz w:val="18"/>
                <w:szCs w:val="18"/>
              </w:rPr>
              <w:t>本项目不涉及饮用水水源保护区</w:t>
            </w:r>
          </w:p>
          <w:p w14:paraId="484516E7">
            <w:pPr>
              <w:adjustRightInd w:val="0"/>
              <w:snapToGrid w:val="0"/>
              <w:spacing w:line="240" w:lineRule="auto"/>
              <w:ind w:firstLine="0" w:firstLineChars="0"/>
              <w:rPr>
                <w:bCs/>
                <w:spacing w:val="6"/>
                <w:sz w:val="18"/>
                <w:szCs w:val="18"/>
              </w:rPr>
            </w:pPr>
            <w:r>
              <w:rPr>
                <w:bCs/>
                <w:spacing w:val="6"/>
                <w:sz w:val="18"/>
                <w:szCs w:val="18"/>
              </w:rPr>
              <w:fldChar w:fldCharType="begin"/>
            </w:r>
            <w:r>
              <w:rPr>
                <w:bCs/>
                <w:spacing w:val="6"/>
                <w:sz w:val="18"/>
                <w:szCs w:val="18"/>
              </w:rPr>
              <w:instrText xml:space="preserve"> = 1 \* GB3 \* MERGEFORMAT </w:instrText>
            </w:r>
            <w:r>
              <w:rPr>
                <w:bCs/>
                <w:spacing w:val="6"/>
                <w:sz w:val="18"/>
                <w:szCs w:val="18"/>
              </w:rPr>
              <w:fldChar w:fldCharType="separate"/>
            </w:r>
            <w:r>
              <w:rPr>
                <w:rFonts w:hint="eastAsia" w:ascii="宋体" w:hAnsi="宋体" w:cs="宋体"/>
                <w:bCs/>
                <w:sz w:val="18"/>
                <w:szCs w:val="18"/>
              </w:rPr>
              <w:t>①</w:t>
            </w:r>
            <w:r>
              <w:rPr>
                <w:bCs/>
                <w:spacing w:val="6"/>
                <w:sz w:val="18"/>
                <w:szCs w:val="18"/>
              </w:rPr>
              <w:fldChar w:fldCharType="end"/>
            </w:r>
            <w:r>
              <w:rPr>
                <w:bCs/>
                <w:spacing w:val="6"/>
                <w:sz w:val="18"/>
                <w:szCs w:val="18"/>
              </w:rPr>
              <w:t>本项目施工废水经沉淀池沉淀后回用，不外排。</w:t>
            </w:r>
          </w:p>
          <w:p w14:paraId="1D8C7D2D">
            <w:pPr>
              <w:adjustRightInd w:val="0"/>
              <w:snapToGrid w:val="0"/>
              <w:spacing w:line="240" w:lineRule="auto"/>
              <w:ind w:firstLine="0" w:firstLineChars="0"/>
              <w:rPr>
                <w:bCs/>
                <w:spacing w:val="6"/>
                <w:sz w:val="18"/>
                <w:szCs w:val="18"/>
              </w:rPr>
            </w:pPr>
            <w:r>
              <w:rPr>
                <w:bCs/>
                <w:spacing w:val="6"/>
                <w:sz w:val="18"/>
                <w:szCs w:val="18"/>
              </w:rPr>
              <w:fldChar w:fldCharType="begin"/>
            </w:r>
            <w:r>
              <w:rPr>
                <w:bCs/>
                <w:spacing w:val="6"/>
                <w:sz w:val="18"/>
                <w:szCs w:val="18"/>
              </w:rPr>
              <w:instrText xml:space="preserve"> = 2 \* GB3 \* MERGEFORMAT </w:instrText>
            </w:r>
            <w:r>
              <w:rPr>
                <w:bCs/>
                <w:spacing w:val="6"/>
                <w:sz w:val="18"/>
                <w:szCs w:val="18"/>
              </w:rPr>
              <w:fldChar w:fldCharType="separate"/>
            </w:r>
            <w:r>
              <w:rPr>
                <w:rFonts w:hint="eastAsia" w:ascii="宋体" w:hAnsi="宋体" w:cs="宋体"/>
                <w:bCs/>
                <w:sz w:val="18"/>
                <w:szCs w:val="18"/>
              </w:rPr>
              <w:t>②</w:t>
            </w:r>
            <w:r>
              <w:rPr>
                <w:bCs/>
                <w:spacing w:val="6"/>
                <w:sz w:val="18"/>
                <w:szCs w:val="18"/>
              </w:rPr>
              <w:fldChar w:fldCharType="end"/>
            </w:r>
            <w:r>
              <w:rPr>
                <w:bCs/>
                <w:spacing w:val="6"/>
                <w:sz w:val="18"/>
                <w:szCs w:val="18"/>
              </w:rPr>
              <w:t>项目施工期严禁向水体倾倒排放生活垃圾、污水以及其他可能污染水体的物质。</w:t>
            </w:r>
          </w:p>
          <w:p w14:paraId="31AAF859">
            <w:pPr>
              <w:adjustRightInd w:val="0"/>
              <w:snapToGrid w:val="0"/>
              <w:spacing w:line="240" w:lineRule="auto"/>
              <w:ind w:firstLine="0" w:firstLineChars="0"/>
              <w:jc w:val="left"/>
              <w:rPr>
                <w:bCs/>
                <w:spacing w:val="6"/>
                <w:sz w:val="18"/>
                <w:szCs w:val="18"/>
              </w:rPr>
            </w:pPr>
            <w:r>
              <w:rPr>
                <w:bCs/>
                <w:spacing w:val="6"/>
                <w:sz w:val="18"/>
                <w:szCs w:val="18"/>
              </w:rPr>
              <w:fldChar w:fldCharType="begin"/>
            </w:r>
            <w:r>
              <w:rPr>
                <w:bCs/>
                <w:spacing w:val="6"/>
                <w:sz w:val="18"/>
                <w:szCs w:val="18"/>
              </w:rPr>
              <w:instrText xml:space="preserve"> = 3 \* GB3 \* MERGEFORMAT </w:instrText>
            </w:r>
            <w:r>
              <w:rPr>
                <w:bCs/>
                <w:spacing w:val="6"/>
                <w:sz w:val="18"/>
                <w:szCs w:val="18"/>
              </w:rPr>
              <w:fldChar w:fldCharType="separate"/>
            </w:r>
            <w:r>
              <w:rPr>
                <w:rFonts w:hint="eastAsia" w:ascii="宋体" w:hAnsi="宋体" w:cs="宋体"/>
                <w:bCs/>
                <w:sz w:val="18"/>
                <w:szCs w:val="18"/>
              </w:rPr>
              <w:t>③</w:t>
            </w:r>
            <w:r>
              <w:rPr>
                <w:bCs/>
                <w:spacing w:val="6"/>
                <w:sz w:val="18"/>
                <w:szCs w:val="18"/>
              </w:rPr>
              <w:fldChar w:fldCharType="end"/>
            </w:r>
            <w:r>
              <w:rPr>
                <w:bCs/>
                <w:spacing w:val="6"/>
                <w:sz w:val="18"/>
                <w:szCs w:val="18"/>
              </w:rPr>
              <w:t>严格落实水土保持措施，工程施工时设置截、排、引流、拦挡措施，做好临时堆土覆盖措施，确保所有施工废水不进入饮用水水源保护区汇水范围内。</w:t>
            </w:r>
          </w:p>
          <w:p w14:paraId="07062F60">
            <w:pPr>
              <w:adjustRightInd w:val="0"/>
              <w:snapToGrid w:val="0"/>
              <w:spacing w:line="240" w:lineRule="auto"/>
              <w:ind w:firstLine="0" w:firstLineChars="0"/>
              <w:jc w:val="center"/>
              <w:rPr>
                <w:bCs/>
                <w:spacing w:val="6"/>
                <w:sz w:val="18"/>
                <w:szCs w:val="18"/>
              </w:rPr>
            </w:pPr>
            <w:r>
              <w:rPr>
                <w:bCs/>
                <w:spacing w:val="6"/>
                <w:sz w:val="18"/>
                <w:szCs w:val="18"/>
              </w:rPr>
              <w:fldChar w:fldCharType="begin"/>
            </w:r>
            <w:r>
              <w:rPr>
                <w:bCs/>
                <w:spacing w:val="6"/>
                <w:sz w:val="18"/>
                <w:szCs w:val="18"/>
              </w:rPr>
              <w:instrText xml:space="preserve"> = 4 \* GB3 \* MERGEFORMAT </w:instrText>
            </w:r>
            <w:r>
              <w:rPr>
                <w:bCs/>
                <w:spacing w:val="6"/>
                <w:sz w:val="18"/>
                <w:szCs w:val="18"/>
              </w:rPr>
              <w:fldChar w:fldCharType="separate"/>
            </w:r>
            <w:r>
              <w:rPr>
                <w:rFonts w:hint="eastAsia" w:ascii="宋体" w:hAnsi="宋体" w:cs="宋体"/>
                <w:bCs/>
                <w:sz w:val="18"/>
                <w:szCs w:val="18"/>
              </w:rPr>
              <w:t>④</w:t>
            </w:r>
            <w:r>
              <w:rPr>
                <w:bCs/>
                <w:spacing w:val="6"/>
                <w:sz w:val="18"/>
                <w:szCs w:val="18"/>
              </w:rPr>
              <w:fldChar w:fldCharType="end"/>
            </w:r>
            <w:r>
              <w:rPr>
                <w:bCs/>
                <w:spacing w:val="6"/>
                <w:sz w:val="18"/>
                <w:szCs w:val="18"/>
              </w:rPr>
              <w:t>运营期风机无废水、废气、废渣排放。</w:t>
            </w:r>
          </w:p>
        </w:tc>
        <w:tc>
          <w:tcPr>
            <w:tcW w:w="382" w:type="pct"/>
            <w:vAlign w:val="center"/>
          </w:tcPr>
          <w:p w14:paraId="13541C77">
            <w:pPr>
              <w:adjustRightInd w:val="0"/>
              <w:snapToGrid w:val="0"/>
              <w:spacing w:line="240" w:lineRule="auto"/>
              <w:ind w:firstLine="0" w:firstLineChars="0"/>
              <w:jc w:val="center"/>
              <w:rPr>
                <w:bCs/>
                <w:spacing w:val="6"/>
                <w:sz w:val="18"/>
                <w:szCs w:val="18"/>
              </w:rPr>
            </w:pPr>
            <w:r>
              <w:rPr>
                <w:bCs/>
                <w:spacing w:val="6"/>
                <w:sz w:val="18"/>
                <w:szCs w:val="18"/>
              </w:rPr>
              <w:t>符合</w:t>
            </w:r>
          </w:p>
        </w:tc>
      </w:tr>
    </w:tbl>
    <w:p w14:paraId="2A475158">
      <w:pPr>
        <w:adjustRightInd w:val="0"/>
        <w:snapToGrid w:val="0"/>
        <w:ind w:firstLine="480"/>
      </w:pPr>
      <w:r>
        <w:t>综上，本项目与《湖南省饮用水水源保护条例》的相关要求不冲突。</w:t>
      </w:r>
    </w:p>
    <w:p w14:paraId="0D08777C">
      <w:pPr>
        <w:keepNext/>
        <w:keepLines/>
        <w:numPr>
          <w:ilvl w:val="1"/>
          <w:numId w:val="0"/>
        </w:numPr>
        <w:tabs>
          <w:tab w:val="left" w:pos="425"/>
          <w:tab w:val="clear" w:pos="480"/>
        </w:tabs>
        <w:adjustRightInd w:val="0"/>
        <w:textAlignment w:val="baseline"/>
        <w:outlineLvl w:val="1"/>
        <w:rPr>
          <w:b/>
          <w:kern w:val="24"/>
          <w:sz w:val="30"/>
          <w:szCs w:val="30"/>
        </w:rPr>
      </w:pPr>
      <w:bookmarkStart w:id="272" w:name="_Toc143723210"/>
      <w:bookmarkStart w:id="273" w:name="_Toc143799414"/>
      <w:r>
        <w:rPr>
          <w:b/>
          <w:kern w:val="24"/>
          <w:sz w:val="30"/>
          <w:szCs w:val="30"/>
        </w:rPr>
        <w:t>11.7与《中华人民共和国水污染防治法》的相符性分析</w:t>
      </w:r>
      <w:bookmarkEnd w:id="272"/>
      <w:bookmarkEnd w:id="273"/>
      <w:r>
        <w:rPr>
          <w:b/>
          <w:kern w:val="24"/>
          <w:sz w:val="30"/>
          <w:szCs w:val="30"/>
        </w:rPr>
        <w:t xml:space="preserve"> </w:t>
      </w:r>
    </w:p>
    <w:p w14:paraId="18DC93B6">
      <w:pPr>
        <w:adjustRightInd w:val="0"/>
        <w:snapToGrid w:val="0"/>
        <w:ind w:firstLine="480"/>
      </w:pPr>
      <w:r>
        <w:t>本项目所有风机位和道路均不在保护区范围内。本项目与《中华人民共和国水污染防治法》中与“饮用水水源”保护的相关内容符合性分析见下表。</w:t>
      </w:r>
    </w:p>
    <w:p w14:paraId="611B616A">
      <w:pPr>
        <w:tabs>
          <w:tab w:val="clear" w:pos="480"/>
        </w:tabs>
        <w:adjustRightInd w:val="0"/>
        <w:snapToGrid w:val="0"/>
        <w:spacing w:line="240" w:lineRule="auto"/>
        <w:ind w:firstLine="0" w:firstLineChars="0"/>
        <w:jc w:val="center"/>
        <w:rPr>
          <w:b/>
          <w:bCs/>
        </w:rPr>
      </w:pPr>
      <w:r>
        <w:rPr>
          <w:b/>
          <w:bCs/>
        </w:rPr>
        <w:t>11.7-1与《中华人民共和国水污染防治法》符合性分析一览表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3612"/>
        <w:gridCol w:w="651"/>
      </w:tblGrid>
      <w:tr w14:paraId="53749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72751777">
            <w:pPr>
              <w:adjustRightInd w:val="0"/>
              <w:snapToGrid w:val="0"/>
              <w:spacing w:line="240" w:lineRule="auto"/>
              <w:ind w:firstLine="0" w:firstLineChars="0"/>
              <w:jc w:val="center"/>
              <w:rPr>
                <w:bCs/>
                <w:spacing w:val="6"/>
                <w:sz w:val="18"/>
                <w:szCs w:val="18"/>
              </w:rPr>
            </w:pPr>
            <w:r>
              <w:rPr>
                <w:bCs/>
                <w:spacing w:val="6"/>
                <w:sz w:val="18"/>
                <w:szCs w:val="18"/>
              </w:rPr>
              <w:t>保护措施要求</w:t>
            </w:r>
          </w:p>
        </w:tc>
        <w:tc>
          <w:tcPr>
            <w:tcW w:w="2118" w:type="pct"/>
            <w:vAlign w:val="center"/>
          </w:tcPr>
          <w:p w14:paraId="11122905">
            <w:pPr>
              <w:adjustRightInd w:val="0"/>
              <w:snapToGrid w:val="0"/>
              <w:spacing w:line="240" w:lineRule="auto"/>
              <w:ind w:firstLine="0" w:firstLineChars="0"/>
              <w:jc w:val="center"/>
              <w:rPr>
                <w:bCs/>
                <w:spacing w:val="6"/>
                <w:sz w:val="18"/>
                <w:szCs w:val="18"/>
              </w:rPr>
            </w:pPr>
            <w:r>
              <w:rPr>
                <w:bCs/>
                <w:spacing w:val="6"/>
                <w:sz w:val="18"/>
                <w:szCs w:val="18"/>
              </w:rPr>
              <w:t>本项目情况</w:t>
            </w:r>
          </w:p>
        </w:tc>
        <w:tc>
          <w:tcPr>
            <w:tcW w:w="382" w:type="pct"/>
            <w:vAlign w:val="center"/>
          </w:tcPr>
          <w:p w14:paraId="00BC50CE">
            <w:pPr>
              <w:adjustRightInd w:val="0"/>
              <w:snapToGrid w:val="0"/>
              <w:spacing w:line="240" w:lineRule="auto"/>
              <w:ind w:firstLine="0" w:firstLineChars="0"/>
              <w:jc w:val="center"/>
              <w:rPr>
                <w:bCs/>
                <w:spacing w:val="6"/>
                <w:sz w:val="18"/>
                <w:szCs w:val="18"/>
              </w:rPr>
            </w:pPr>
            <w:r>
              <w:rPr>
                <w:bCs/>
                <w:spacing w:val="6"/>
                <w:sz w:val="18"/>
                <w:szCs w:val="18"/>
              </w:rPr>
              <w:t>符合性</w:t>
            </w:r>
          </w:p>
        </w:tc>
      </w:tr>
      <w:tr w14:paraId="0AADED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3A58E1B2">
            <w:pPr>
              <w:adjustRightInd w:val="0"/>
              <w:snapToGrid w:val="0"/>
              <w:spacing w:line="240" w:lineRule="auto"/>
              <w:ind w:firstLine="0" w:firstLineChars="0"/>
              <w:jc w:val="left"/>
              <w:rPr>
                <w:bCs/>
                <w:spacing w:val="6"/>
                <w:sz w:val="18"/>
                <w:szCs w:val="18"/>
              </w:rPr>
            </w:pPr>
            <w:r>
              <w:rPr>
                <w:bCs/>
                <w:spacing w:val="6"/>
                <w:sz w:val="18"/>
                <w:szCs w:val="18"/>
              </w:rPr>
              <w:t>在饮用水水源保护区内，禁止设置排污口</w:t>
            </w:r>
          </w:p>
        </w:tc>
        <w:tc>
          <w:tcPr>
            <w:tcW w:w="2118" w:type="pct"/>
            <w:vAlign w:val="center"/>
          </w:tcPr>
          <w:p w14:paraId="7ED74440">
            <w:pPr>
              <w:adjustRightInd w:val="0"/>
              <w:snapToGrid w:val="0"/>
              <w:spacing w:line="240" w:lineRule="auto"/>
              <w:ind w:firstLine="0" w:firstLineChars="0"/>
              <w:jc w:val="center"/>
              <w:rPr>
                <w:bCs/>
                <w:spacing w:val="6"/>
                <w:sz w:val="18"/>
                <w:szCs w:val="18"/>
              </w:rPr>
            </w:pPr>
            <w:r>
              <w:rPr>
                <w:bCs/>
                <w:spacing w:val="6"/>
                <w:sz w:val="18"/>
                <w:szCs w:val="18"/>
              </w:rPr>
              <w:t>本项目施工废水经沉淀后回用，不外排；施工期沉淀池严禁设置在饮用水水源保护区汇水范围内；运营期生活污水经一体化污水处理设施处理后用于站内绿化，不外排。</w:t>
            </w:r>
          </w:p>
        </w:tc>
        <w:tc>
          <w:tcPr>
            <w:tcW w:w="382" w:type="pct"/>
            <w:vAlign w:val="center"/>
          </w:tcPr>
          <w:p w14:paraId="23623C3E">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2285F1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4D6C7726">
            <w:pPr>
              <w:adjustRightInd w:val="0"/>
              <w:snapToGrid w:val="0"/>
              <w:spacing w:line="240" w:lineRule="auto"/>
              <w:ind w:firstLine="0" w:firstLineChars="0"/>
              <w:jc w:val="left"/>
              <w:rPr>
                <w:bCs/>
                <w:spacing w:val="6"/>
                <w:sz w:val="18"/>
                <w:szCs w:val="18"/>
              </w:rPr>
            </w:pPr>
            <w:r>
              <w:rPr>
                <w:bCs/>
                <w:spacing w:val="6"/>
                <w:sz w:val="18"/>
                <w:szCs w:val="18"/>
              </w:rPr>
              <w:t>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p>
        </w:tc>
        <w:tc>
          <w:tcPr>
            <w:tcW w:w="2118" w:type="pct"/>
            <w:vAlign w:val="center"/>
          </w:tcPr>
          <w:p w14:paraId="5523BBB4">
            <w:pPr>
              <w:adjustRightInd w:val="0"/>
              <w:snapToGrid w:val="0"/>
              <w:spacing w:line="240" w:lineRule="auto"/>
              <w:ind w:firstLine="0" w:firstLineChars="0"/>
              <w:jc w:val="center"/>
              <w:rPr>
                <w:bCs/>
                <w:spacing w:val="6"/>
                <w:sz w:val="18"/>
                <w:szCs w:val="18"/>
              </w:rPr>
            </w:pPr>
            <w:r>
              <w:rPr>
                <w:bCs/>
                <w:spacing w:val="6"/>
                <w:sz w:val="18"/>
                <w:szCs w:val="18"/>
              </w:rPr>
              <w:t>本项目不涉及饮用水水源一级保护区</w:t>
            </w:r>
          </w:p>
        </w:tc>
        <w:tc>
          <w:tcPr>
            <w:tcW w:w="382" w:type="pct"/>
            <w:vAlign w:val="center"/>
          </w:tcPr>
          <w:p w14:paraId="56E4CC7E">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0B9AE7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078A4739">
            <w:pPr>
              <w:adjustRightInd w:val="0"/>
              <w:snapToGrid w:val="0"/>
              <w:spacing w:line="240" w:lineRule="auto"/>
              <w:ind w:firstLine="0" w:firstLineChars="0"/>
              <w:jc w:val="left"/>
              <w:rPr>
                <w:bCs/>
                <w:spacing w:val="6"/>
                <w:sz w:val="18"/>
                <w:szCs w:val="18"/>
              </w:rPr>
            </w:pPr>
            <w:r>
              <w:rPr>
                <w:bCs/>
                <w:spacing w:val="6"/>
                <w:sz w:val="18"/>
                <w:szCs w:val="18"/>
              </w:rPr>
              <w:t>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p>
        </w:tc>
        <w:tc>
          <w:tcPr>
            <w:tcW w:w="2118" w:type="pct"/>
            <w:vAlign w:val="center"/>
          </w:tcPr>
          <w:p w14:paraId="5EDB0A88">
            <w:pPr>
              <w:adjustRightInd w:val="0"/>
              <w:snapToGrid w:val="0"/>
              <w:spacing w:line="240" w:lineRule="auto"/>
              <w:ind w:firstLine="0" w:firstLineChars="0"/>
              <w:jc w:val="center"/>
              <w:rPr>
                <w:bCs/>
                <w:spacing w:val="6"/>
                <w:sz w:val="18"/>
                <w:szCs w:val="18"/>
              </w:rPr>
            </w:pPr>
            <w:r>
              <w:rPr>
                <w:bCs/>
                <w:spacing w:val="6"/>
                <w:sz w:val="18"/>
                <w:szCs w:val="18"/>
              </w:rPr>
              <w:t>本项目为风力发电项目，项目不属于网箱养殖、旅游等活动；本项目施工废水经沉淀后回用，不外排；施工期沉淀池严禁设置在饮用水水源保护区汇水范围内；运营期生活污水经一体化污水处理设施处理后用于站内绿化，不外排。</w:t>
            </w:r>
          </w:p>
        </w:tc>
        <w:tc>
          <w:tcPr>
            <w:tcW w:w="382" w:type="pct"/>
            <w:vAlign w:val="center"/>
          </w:tcPr>
          <w:p w14:paraId="142FDF6C">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478DA0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50BBC52B">
            <w:pPr>
              <w:adjustRightInd w:val="0"/>
              <w:snapToGrid w:val="0"/>
              <w:spacing w:line="240" w:lineRule="auto"/>
              <w:ind w:firstLine="0" w:firstLineChars="0"/>
              <w:jc w:val="left"/>
              <w:rPr>
                <w:bCs/>
                <w:spacing w:val="6"/>
                <w:sz w:val="18"/>
                <w:szCs w:val="18"/>
              </w:rPr>
            </w:pPr>
            <w:r>
              <w:rPr>
                <w:bCs/>
                <w:spacing w:val="6"/>
                <w:sz w:val="18"/>
                <w:szCs w:val="18"/>
              </w:rPr>
              <w:t>禁止在饮用水水源准保护区内新建、扩建对水体污染严重的建设项目；改建建设项目，不得增加排污量</w:t>
            </w:r>
          </w:p>
        </w:tc>
        <w:tc>
          <w:tcPr>
            <w:tcW w:w="2118" w:type="pct"/>
            <w:vAlign w:val="center"/>
          </w:tcPr>
          <w:p w14:paraId="4E87DBB6">
            <w:pPr>
              <w:adjustRightInd w:val="0"/>
              <w:snapToGrid w:val="0"/>
              <w:spacing w:line="240" w:lineRule="auto"/>
              <w:ind w:firstLine="0" w:firstLineChars="0"/>
              <w:jc w:val="center"/>
              <w:rPr>
                <w:bCs/>
                <w:spacing w:val="6"/>
                <w:sz w:val="18"/>
                <w:szCs w:val="18"/>
              </w:rPr>
            </w:pPr>
            <w:r>
              <w:rPr>
                <w:bCs/>
                <w:spacing w:val="6"/>
                <w:sz w:val="18"/>
                <w:szCs w:val="18"/>
              </w:rPr>
              <w:t>本项目不涉及饮用水水源准保护区</w:t>
            </w:r>
          </w:p>
        </w:tc>
        <w:tc>
          <w:tcPr>
            <w:tcW w:w="382" w:type="pct"/>
            <w:vAlign w:val="center"/>
          </w:tcPr>
          <w:p w14:paraId="4D04ADD5">
            <w:pPr>
              <w:adjustRightInd w:val="0"/>
              <w:snapToGrid w:val="0"/>
              <w:spacing w:line="240" w:lineRule="auto"/>
              <w:ind w:firstLine="0" w:firstLineChars="0"/>
              <w:jc w:val="center"/>
              <w:rPr>
                <w:bCs/>
                <w:spacing w:val="6"/>
                <w:sz w:val="18"/>
                <w:szCs w:val="18"/>
              </w:rPr>
            </w:pPr>
            <w:r>
              <w:rPr>
                <w:bCs/>
                <w:spacing w:val="6"/>
                <w:sz w:val="18"/>
                <w:szCs w:val="18"/>
              </w:rPr>
              <w:t>符合</w:t>
            </w:r>
          </w:p>
        </w:tc>
      </w:tr>
    </w:tbl>
    <w:p w14:paraId="1F5797E1">
      <w:pPr>
        <w:adjustRightInd w:val="0"/>
        <w:snapToGrid w:val="0"/>
        <w:ind w:firstLine="480"/>
      </w:pPr>
      <w:r>
        <w:t>综上，本项目与《中华人民共和国水污染防治法》中关于“饮用水水源”的相关要求相符。</w:t>
      </w:r>
    </w:p>
    <w:p w14:paraId="7E6A5B57">
      <w:pPr>
        <w:keepNext/>
        <w:keepLines/>
        <w:numPr>
          <w:ilvl w:val="1"/>
          <w:numId w:val="0"/>
        </w:numPr>
        <w:tabs>
          <w:tab w:val="left" w:pos="425"/>
          <w:tab w:val="clear" w:pos="480"/>
        </w:tabs>
        <w:adjustRightInd w:val="0"/>
        <w:textAlignment w:val="baseline"/>
        <w:outlineLvl w:val="1"/>
        <w:rPr>
          <w:b/>
          <w:kern w:val="24"/>
          <w:sz w:val="30"/>
          <w:szCs w:val="30"/>
        </w:rPr>
      </w:pPr>
      <w:bookmarkStart w:id="274" w:name="_Toc143799415"/>
      <w:bookmarkStart w:id="275" w:name="_Toc143723211"/>
      <w:r>
        <w:rPr>
          <w:b/>
          <w:kern w:val="24"/>
          <w:sz w:val="30"/>
          <w:szCs w:val="30"/>
        </w:rPr>
        <w:t>11.8与《饮用水水源保护区污染防治管理规定》的相符性分析</w:t>
      </w:r>
      <w:bookmarkEnd w:id="274"/>
      <w:bookmarkEnd w:id="275"/>
      <w:r>
        <w:rPr>
          <w:b/>
          <w:kern w:val="24"/>
          <w:sz w:val="30"/>
          <w:szCs w:val="30"/>
        </w:rPr>
        <w:t xml:space="preserve"> </w:t>
      </w:r>
    </w:p>
    <w:p w14:paraId="513F192F">
      <w:pPr>
        <w:adjustRightInd w:val="0"/>
        <w:snapToGrid w:val="0"/>
        <w:ind w:firstLine="480"/>
      </w:pPr>
      <w:r>
        <w:t>本项目不涉及饮用水水源保护区。本项目与《饮用水水源保护区污染防治管理规定》符合性分析见下表。</w:t>
      </w:r>
    </w:p>
    <w:p w14:paraId="7CB5EE39">
      <w:pPr>
        <w:tabs>
          <w:tab w:val="clear" w:pos="480"/>
        </w:tabs>
        <w:adjustRightInd w:val="0"/>
        <w:snapToGrid w:val="0"/>
        <w:spacing w:line="240" w:lineRule="auto"/>
        <w:ind w:firstLine="0" w:firstLineChars="0"/>
        <w:jc w:val="center"/>
        <w:rPr>
          <w:b/>
          <w:bCs/>
        </w:rPr>
      </w:pPr>
      <w:r>
        <w:rPr>
          <w:b/>
          <w:bCs/>
        </w:rPr>
        <w:t>11.81与《中华人民共和国水污染防治法》符合性分析一览表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3612"/>
        <w:gridCol w:w="651"/>
      </w:tblGrid>
      <w:tr w14:paraId="1D3C13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6A80EBDA">
            <w:pPr>
              <w:adjustRightInd w:val="0"/>
              <w:snapToGrid w:val="0"/>
              <w:spacing w:line="240" w:lineRule="auto"/>
              <w:ind w:firstLine="0" w:firstLineChars="0"/>
              <w:jc w:val="center"/>
              <w:rPr>
                <w:bCs/>
                <w:spacing w:val="6"/>
                <w:sz w:val="18"/>
                <w:szCs w:val="18"/>
              </w:rPr>
            </w:pPr>
            <w:r>
              <w:rPr>
                <w:bCs/>
                <w:spacing w:val="6"/>
                <w:sz w:val="18"/>
                <w:szCs w:val="18"/>
              </w:rPr>
              <w:t>保护措施要求</w:t>
            </w:r>
          </w:p>
        </w:tc>
        <w:tc>
          <w:tcPr>
            <w:tcW w:w="2118" w:type="pct"/>
            <w:vAlign w:val="center"/>
          </w:tcPr>
          <w:p w14:paraId="6EE500CE">
            <w:pPr>
              <w:adjustRightInd w:val="0"/>
              <w:snapToGrid w:val="0"/>
              <w:spacing w:line="240" w:lineRule="auto"/>
              <w:ind w:firstLine="0" w:firstLineChars="0"/>
              <w:jc w:val="center"/>
              <w:rPr>
                <w:bCs/>
                <w:spacing w:val="6"/>
                <w:sz w:val="18"/>
                <w:szCs w:val="18"/>
              </w:rPr>
            </w:pPr>
            <w:r>
              <w:rPr>
                <w:bCs/>
                <w:spacing w:val="6"/>
                <w:sz w:val="18"/>
                <w:szCs w:val="18"/>
              </w:rPr>
              <w:t>本项目情况</w:t>
            </w:r>
          </w:p>
        </w:tc>
        <w:tc>
          <w:tcPr>
            <w:tcW w:w="382" w:type="pct"/>
            <w:vAlign w:val="center"/>
          </w:tcPr>
          <w:p w14:paraId="625CCD47">
            <w:pPr>
              <w:adjustRightInd w:val="0"/>
              <w:snapToGrid w:val="0"/>
              <w:spacing w:line="240" w:lineRule="auto"/>
              <w:ind w:firstLine="0" w:firstLineChars="0"/>
              <w:jc w:val="center"/>
              <w:rPr>
                <w:bCs/>
                <w:spacing w:val="6"/>
                <w:sz w:val="18"/>
                <w:szCs w:val="18"/>
              </w:rPr>
            </w:pPr>
            <w:r>
              <w:rPr>
                <w:bCs/>
                <w:spacing w:val="6"/>
                <w:sz w:val="18"/>
                <w:szCs w:val="18"/>
              </w:rPr>
              <w:t>符合性</w:t>
            </w:r>
          </w:p>
        </w:tc>
      </w:tr>
      <w:tr w14:paraId="32E591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24B5C562">
            <w:pPr>
              <w:widowControl/>
              <w:shd w:val="clear" w:color="auto" w:fill="FFFFFF"/>
              <w:adjustRightInd w:val="0"/>
              <w:snapToGrid w:val="0"/>
              <w:spacing w:line="240" w:lineRule="auto"/>
              <w:ind w:firstLine="0" w:firstLineChars="0"/>
              <w:jc w:val="left"/>
              <w:rPr>
                <w:bCs/>
                <w:spacing w:val="6"/>
                <w:sz w:val="18"/>
                <w:szCs w:val="18"/>
              </w:rPr>
            </w:pPr>
            <w:r>
              <w:rPr>
                <w:bCs/>
                <w:spacing w:val="6"/>
                <w:sz w:val="18"/>
                <w:szCs w:val="18"/>
              </w:rPr>
              <w:t>饮用水地表水源各级保护区及准保护区均需遵守下列规定：一、禁止一切破坏水环境生态平衡的活动以及破坏水源林、护岸林、与水源保护相关植被的活动。二、禁止向水域倾倒工业废渣、城市垃圾、粪便及其它废弃物。三、运输有毒有害物质、油类、粪便的船舶和车辆一般不准进入保护区，必须进入者应事先申请并经有关部门批准、登记并设置防渗、防溢、防漏设施。四、禁止使用剧毒和高残留农药，不得滥用化肥，不得使用炸药、毒品捕杀鱼类。</w:t>
            </w:r>
          </w:p>
        </w:tc>
        <w:tc>
          <w:tcPr>
            <w:tcW w:w="2118" w:type="pct"/>
            <w:vAlign w:val="center"/>
          </w:tcPr>
          <w:p w14:paraId="6C61FA85">
            <w:pPr>
              <w:adjustRightInd w:val="0"/>
              <w:snapToGrid w:val="0"/>
              <w:spacing w:line="240" w:lineRule="auto"/>
              <w:ind w:firstLine="0" w:firstLineChars="0"/>
              <w:rPr>
                <w:bCs/>
                <w:spacing w:val="6"/>
                <w:sz w:val="18"/>
                <w:szCs w:val="18"/>
              </w:rPr>
            </w:pPr>
            <w:r>
              <w:rPr>
                <w:bCs/>
                <w:spacing w:val="6"/>
                <w:sz w:val="18"/>
                <w:szCs w:val="18"/>
              </w:rPr>
              <w:t>本项目不涉及饮用水水源保护区</w:t>
            </w:r>
          </w:p>
          <w:p w14:paraId="05D4A9D2">
            <w:pPr>
              <w:adjustRightInd w:val="0"/>
              <w:snapToGrid w:val="0"/>
              <w:spacing w:line="240" w:lineRule="auto"/>
              <w:ind w:firstLine="0" w:firstLineChars="0"/>
              <w:jc w:val="center"/>
              <w:rPr>
                <w:bCs/>
                <w:spacing w:val="6"/>
                <w:sz w:val="18"/>
                <w:szCs w:val="18"/>
              </w:rPr>
            </w:pPr>
            <w:r>
              <w:rPr>
                <w:bCs/>
                <w:spacing w:val="6"/>
                <w:sz w:val="18"/>
                <w:szCs w:val="18"/>
              </w:rPr>
              <w:t>；本项目施工期设置围挡，防止施工开挖土石方进入饮用水水源保护区，项目弃渣场严禁设置在饮用水水源保护区汇水范围内；建设单位通过加强管理，严禁向饮用水水源保护区乱扔垃圾和其他废弃物区域不涉及有毒有害物质、油类、粪便；本项目为风力发电项目，项目不使用剧毒和高残留农药，不使用化肥</w:t>
            </w:r>
          </w:p>
        </w:tc>
        <w:tc>
          <w:tcPr>
            <w:tcW w:w="382" w:type="pct"/>
            <w:vAlign w:val="center"/>
          </w:tcPr>
          <w:p w14:paraId="4A83872C">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6D8F76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2C08F8C3">
            <w:pPr>
              <w:widowControl/>
              <w:shd w:val="clear" w:color="auto" w:fill="FFFFFF"/>
              <w:adjustRightInd w:val="0"/>
              <w:snapToGrid w:val="0"/>
              <w:spacing w:line="240" w:lineRule="auto"/>
              <w:ind w:firstLine="0" w:firstLineChars="0"/>
              <w:jc w:val="left"/>
              <w:rPr>
                <w:bCs/>
                <w:spacing w:val="6"/>
                <w:sz w:val="18"/>
                <w:szCs w:val="18"/>
              </w:rPr>
            </w:pPr>
            <w:r>
              <w:rPr>
                <w:bCs/>
                <w:spacing w:val="6"/>
                <w:sz w:val="18"/>
                <w:szCs w:val="18"/>
              </w:rPr>
              <w:t>饮用水地表水源一级保护区需遵守下列规定：禁止新建、扩建与供水设施和保护水源无关的建设项目；　　禁止向水域排放污水，已设置的排污口必须拆除；　　不得设置与供水需要无关的码头，禁止停靠船舶；　　禁止堆置和存放工业废渣、城市垃圾、粪便和其他废弃物；　　禁止设置油库；　　禁止从事种植、放养禽畜，严格控制网箱养殖活动；　　禁止可能污染水源的旅游活动和其他活动。</w:t>
            </w:r>
          </w:p>
        </w:tc>
        <w:tc>
          <w:tcPr>
            <w:tcW w:w="2118" w:type="pct"/>
            <w:vAlign w:val="center"/>
          </w:tcPr>
          <w:p w14:paraId="6F3C1579">
            <w:pPr>
              <w:adjustRightInd w:val="0"/>
              <w:snapToGrid w:val="0"/>
              <w:spacing w:line="240" w:lineRule="auto"/>
              <w:ind w:firstLine="0" w:firstLineChars="0"/>
              <w:jc w:val="center"/>
              <w:rPr>
                <w:bCs/>
                <w:spacing w:val="6"/>
                <w:sz w:val="18"/>
                <w:szCs w:val="18"/>
              </w:rPr>
            </w:pPr>
            <w:r>
              <w:rPr>
                <w:bCs/>
                <w:spacing w:val="6"/>
                <w:sz w:val="18"/>
                <w:szCs w:val="18"/>
              </w:rPr>
              <w:t>本项目不涉及饮用水水源一级保护区；项目施工废水经沉淀后回用，不外排；施工期沉淀池严禁设置在饮用水水源保护区汇水范围内；运营期生活污水经一体化污水处理设施处理后用于站内绿化，不外排。本项目弃渣场严禁设置在饮用水水源保护区汇水范围内；项目施工期设置围挡，防止土石方和其他废弃物进入饮用水水源保护区。</w:t>
            </w:r>
          </w:p>
        </w:tc>
        <w:tc>
          <w:tcPr>
            <w:tcW w:w="382" w:type="pct"/>
            <w:vAlign w:val="center"/>
          </w:tcPr>
          <w:p w14:paraId="6F10AB7B">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2809B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33C23790">
            <w:pPr>
              <w:widowControl/>
              <w:shd w:val="clear" w:color="auto" w:fill="FFFFFF"/>
              <w:adjustRightInd w:val="0"/>
              <w:snapToGrid w:val="0"/>
              <w:spacing w:line="240" w:lineRule="auto"/>
              <w:ind w:firstLine="0" w:firstLineChars="0"/>
              <w:jc w:val="left"/>
              <w:rPr>
                <w:spacing w:val="6"/>
                <w:kern w:val="0"/>
                <w:sz w:val="18"/>
                <w:szCs w:val="18"/>
              </w:rPr>
            </w:pPr>
            <w:r>
              <w:rPr>
                <w:bCs/>
                <w:spacing w:val="6"/>
                <w:sz w:val="18"/>
                <w:szCs w:val="18"/>
              </w:rPr>
              <w:t>饮用水地表水源二级保护区需遵守下列规定：不准新建、扩建向水体排放污染物的建设项目。改建项目必须削减污染物排放量；　　原有排污口必须削减污水排放量，保证保护区内水质满足规定的水质标准；　　禁止设立装卸垃圾、粪便、油类和有毒物品的码头。</w:t>
            </w:r>
          </w:p>
        </w:tc>
        <w:tc>
          <w:tcPr>
            <w:tcW w:w="2118" w:type="pct"/>
            <w:vAlign w:val="center"/>
          </w:tcPr>
          <w:p w14:paraId="3CDA5D2A">
            <w:pPr>
              <w:adjustRightInd w:val="0"/>
              <w:snapToGrid w:val="0"/>
              <w:spacing w:line="240" w:lineRule="auto"/>
              <w:ind w:firstLine="0" w:firstLineChars="0"/>
              <w:jc w:val="center"/>
              <w:rPr>
                <w:bCs/>
                <w:spacing w:val="6"/>
                <w:sz w:val="18"/>
                <w:szCs w:val="18"/>
              </w:rPr>
            </w:pPr>
            <w:r>
              <w:rPr>
                <w:bCs/>
                <w:spacing w:val="6"/>
                <w:sz w:val="18"/>
                <w:szCs w:val="18"/>
              </w:rPr>
              <w:t>项目施工废水经沉淀后回用，不外排；施工期沉淀池严禁设置在饮用水水源保护区汇水范围内；运营期生活污水经一体化污水处理设施处理后用于站内绿化，不外排；本项目弃渣场严禁设置在饮用水水源保护区汇水范围内；项目施工期设置围挡，防止土石方和其他废弃物进入饮用水水源保护区。</w:t>
            </w:r>
          </w:p>
        </w:tc>
        <w:tc>
          <w:tcPr>
            <w:tcW w:w="382" w:type="pct"/>
            <w:vAlign w:val="center"/>
          </w:tcPr>
          <w:p w14:paraId="2034E389">
            <w:pPr>
              <w:adjustRightInd w:val="0"/>
              <w:snapToGrid w:val="0"/>
              <w:spacing w:line="240" w:lineRule="auto"/>
              <w:ind w:firstLine="0" w:firstLineChars="0"/>
              <w:jc w:val="center"/>
              <w:rPr>
                <w:bCs/>
                <w:spacing w:val="6"/>
                <w:sz w:val="18"/>
                <w:szCs w:val="18"/>
              </w:rPr>
            </w:pPr>
            <w:r>
              <w:rPr>
                <w:bCs/>
                <w:spacing w:val="6"/>
                <w:sz w:val="18"/>
                <w:szCs w:val="18"/>
              </w:rPr>
              <w:t>符合</w:t>
            </w:r>
          </w:p>
        </w:tc>
      </w:tr>
      <w:tr w14:paraId="5AE1E4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vAlign w:val="center"/>
          </w:tcPr>
          <w:p w14:paraId="180AA0EC">
            <w:pPr>
              <w:adjustRightInd w:val="0"/>
              <w:snapToGrid w:val="0"/>
              <w:spacing w:line="240" w:lineRule="auto"/>
              <w:ind w:firstLine="0" w:firstLineChars="0"/>
              <w:jc w:val="left"/>
              <w:rPr>
                <w:bCs/>
                <w:spacing w:val="6"/>
                <w:sz w:val="18"/>
                <w:szCs w:val="18"/>
              </w:rPr>
            </w:pPr>
            <w:r>
              <w:rPr>
                <w:bCs/>
                <w:spacing w:val="6"/>
                <w:sz w:val="18"/>
                <w:szCs w:val="18"/>
              </w:rPr>
              <w:t>饮用水地表水源准保护区需遵守下列规定：　直接或间接向水域排放废水，必须符合国家及地方规定的废水排放标准。当排放总量不能保证保护区内水质满足规定的标准时，必须削减排污负荷。</w:t>
            </w:r>
          </w:p>
        </w:tc>
        <w:tc>
          <w:tcPr>
            <w:tcW w:w="2118" w:type="pct"/>
            <w:vAlign w:val="center"/>
          </w:tcPr>
          <w:p w14:paraId="6ACC3D7F">
            <w:pPr>
              <w:adjustRightInd w:val="0"/>
              <w:snapToGrid w:val="0"/>
              <w:spacing w:line="240" w:lineRule="auto"/>
              <w:ind w:firstLine="0" w:firstLineChars="0"/>
              <w:rPr>
                <w:bCs/>
                <w:spacing w:val="6"/>
                <w:sz w:val="18"/>
                <w:szCs w:val="18"/>
              </w:rPr>
            </w:pPr>
            <w:r>
              <w:rPr>
                <w:bCs/>
                <w:spacing w:val="6"/>
                <w:sz w:val="18"/>
                <w:szCs w:val="18"/>
              </w:rPr>
              <w:t>本项目不涉及饮用水水源保护区；项目施工期和运营期均不涉及废水的排放</w:t>
            </w:r>
          </w:p>
        </w:tc>
        <w:tc>
          <w:tcPr>
            <w:tcW w:w="382" w:type="pct"/>
            <w:vAlign w:val="center"/>
          </w:tcPr>
          <w:p w14:paraId="38602115">
            <w:pPr>
              <w:adjustRightInd w:val="0"/>
              <w:snapToGrid w:val="0"/>
              <w:spacing w:line="240" w:lineRule="auto"/>
              <w:ind w:firstLine="0" w:firstLineChars="0"/>
              <w:jc w:val="center"/>
              <w:rPr>
                <w:bCs/>
                <w:spacing w:val="6"/>
                <w:sz w:val="18"/>
                <w:szCs w:val="18"/>
              </w:rPr>
            </w:pPr>
            <w:r>
              <w:rPr>
                <w:bCs/>
                <w:spacing w:val="6"/>
                <w:sz w:val="18"/>
                <w:szCs w:val="18"/>
              </w:rPr>
              <w:t>符合</w:t>
            </w:r>
          </w:p>
        </w:tc>
      </w:tr>
    </w:tbl>
    <w:p w14:paraId="270782A7">
      <w:pPr>
        <w:adjustRightInd w:val="0"/>
        <w:snapToGrid w:val="0"/>
        <w:ind w:firstLine="480"/>
      </w:pPr>
      <w:r>
        <w:t>综上，本项目与《饮用水水源保护区污染防治管理规定》相符。</w:t>
      </w:r>
    </w:p>
    <w:bookmarkEnd w:id="268"/>
    <w:p w14:paraId="662C0214">
      <w:pPr>
        <w:keepNext/>
        <w:keepLines/>
        <w:numPr>
          <w:ilvl w:val="1"/>
          <w:numId w:val="0"/>
        </w:numPr>
        <w:tabs>
          <w:tab w:val="left" w:pos="425"/>
          <w:tab w:val="clear" w:pos="480"/>
        </w:tabs>
        <w:adjustRightInd w:val="0"/>
        <w:textAlignment w:val="baseline"/>
        <w:outlineLvl w:val="1"/>
        <w:rPr>
          <w:b/>
          <w:kern w:val="24"/>
          <w:sz w:val="30"/>
          <w:szCs w:val="30"/>
        </w:rPr>
      </w:pPr>
      <w:bookmarkStart w:id="276" w:name="_Toc116978024"/>
      <w:bookmarkStart w:id="277" w:name="_Toc143799416"/>
      <w:bookmarkStart w:id="278" w:name="_Toc426633722"/>
      <w:bookmarkStart w:id="279" w:name="_Toc29438"/>
      <w:r>
        <w:rPr>
          <w:rFonts w:hint="eastAsia"/>
          <w:b/>
          <w:kern w:val="24"/>
          <w:sz w:val="30"/>
          <w:szCs w:val="30"/>
        </w:rPr>
        <w:t>1</w:t>
      </w:r>
      <w:r>
        <w:rPr>
          <w:b/>
          <w:kern w:val="24"/>
          <w:sz w:val="30"/>
          <w:szCs w:val="30"/>
        </w:rPr>
        <w:t>1</w:t>
      </w:r>
      <w:r>
        <w:rPr>
          <w:rFonts w:hint="eastAsia"/>
          <w:b/>
          <w:kern w:val="24"/>
          <w:sz w:val="30"/>
          <w:szCs w:val="30"/>
        </w:rPr>
        <w:t>.</w:t>
      </w:r>
      <w:r>
        <w:rPr>
          <w:b/>
          <w:kern w:val="24"/>
          <w:sz w:val="30"/>
          <w:szCs w:val="30"/>
        </w:rPr>
        <w:t>9</w:t>
      </w:r>
      <w:r>
        <w:rPr>
          <w:rFonts w:hint="eastAsia"/>
          <w:b/>
          <w:kern w:val="24"/>
          <w:sz w:val="30"/>
          <w:szCs w:val="30"/>
        </w:rPr>
        <w:t>项目建设必要性</w:t>
      </w:r>
      <w:bookmarkEnd w:id="276"/>
      <w:bookmarkEnd w:id="277"/>
    </w:p>
    <w:p w14:paraId="4158A90F">
      <w:pPr>
        <w:adjustRightInd w:val="0"/>
        <w:snapToGrid w:val="0"/>
        <w:ind w:firstLine="480"/>
      </w:pPr>
      <w:r>
        <w:rPr>
          <w:rFonts w:hint="eastAsia"/>
        </w:rPr>
        <w:t>（1）可持续发展的需要</w:t>
      </w:r>
    </w:p>
    <w:p w14:paraId="015A7E98">
      <w:pPr>
        <w:adjustRightInd w:val="0"/>
        <w:snapToGrid w:val="0"/>
        <w:ind w:firstLine="480"/>
      </w:pPr>
      <w:r>
        <w:rPr>
          <w:rFonts w:hint="eastAsia"/>
        </w:rPr>
        <w:t>我国是世界上最大的煤炭生产国和消费国，煤炭约占商品能源消费构成的</w:t>
      </w:r>
      <w:r>
        <w:t>76%</w:t>
      </w:r>
      <w:r>
        <w:rPr>
          <w:rFonts w:hint="eastAsia"/>
        </w:rPr>
        <w:t>，开发可再生能源是我国实现可持续发展的重要途径，也是能源战略的重要组成部分，我国政府对此十分重视，并为此颁布了</w:t>
      </w:r>
      <w:r>
        <w:rPr>
          <w:rFonts w:hint="eastAsia"/>
          <w:lang w:eastAsia="zh-CN"/>
        </w:rPr>
        <w:t>《中华人民共和国可再生能源法》</w:t>
      </w:r>
      <w:r>
        <w:rPr>
          <w:rFonts w:hint="eastAsia"/>
        </w:rPr>
        <w:t>，对可再生能源的开发和利用进行立法保护。为实现我国国内生产总值（</w:t>
      </w:r>
      <w:r>
        <w:t>GDP</w:t>
      </w:r>
      <w:r>
        <w:rPr>
          <w:rFonts w:hint="eastAsia"/>
        </w:rPr>
        <w:t>）翻两番的总目标，能源消耗亦将随之增长。当前我国的能源结构以常规能源（煤、石油和天然气）为主，由于常规能源的不可再生性，势必使能源的供需矛盾日益突出。</w:t>
      </w:r>
    </w:p>
    <w:p w14:paraId="07B72E0B">
      <w:pPr>
        <w:adjustRightInd w:val="0"/>
        <w:snapToGrid w:val="0"/>
        <w:ind w:firstLine="480"/>
      </w:pPr>
      <w:r>
        <w:rPr>
          <w:rFonts w:hint="eastAsia"/>
        </w:rPr>
        <w:t>风能、太阳能和潮汐能等新能源将是未来一段时间内大规模开发的能源种类。不管从技术、经济，还是规模上来看，风能都有一定的优势，随着风电机组国产化进程加快，风电机组的价格将进一步降低，风电的竞争力也将大大加强。作为可再生能源，风能的开发可以节约大量的燃料和水资源，改善地区能源结构。</w:t>
      </w:r>
    </w:p>
    <w:p w14:paraId="196DFE8B">
      <w:pPr>
        <w:adjustRightInd w:val="0"/>
        <w:snapToGrid w:val="0"/>
        <w:ind w:firstLine="480"/>
      </w:pPr>
      <w:r>
        <w:rPr>
          <w:rFonts w:hint="eastAsia"/>
        </w:rPr>
        <w:t>（2）符合我国能源发展战略</w:t>
      </w:r>
    </w:p>
    <w:p w14:paraId="2BCACF5C">
      <w:pPr>
        <w:adjustRightInd w:val="0"/>
        <w:snapToGrid w:val="0"/>
        <w:ind w:firstLine="480"/>
      </w:pPr>
      <w:r>
        <w:rPr>
          <w:rFonts w:hint="eastAsia"/>
        </w:rPr>
        <w:t>开发新能源是国家能源发展战略的重要组成部分，《中华人民共和国电力法》规定：</w:t>
      </w:r>
      <w:r>
        <w:t>“</w:t>
      </w:r>
      <w:r>
        <w:rPr>
          <w:rFonts w:hint="eastAsia"/>
        </w:rPr>
        <w:t>国家鼓励和支持利用可再生能源和清洁能源发电</w:t>
      </w:r>
      <w:r>
        <w:t>”</w:t>
      </w:r>
      <w:r>
        <w:rPr>
          <w:rFonts w:hint="eastAsia"/>
        </w:rPr>
        <w:t>。</w:t>
      </w:r>
      <w:r>
        <w:t xml:space="preserve">2020 </w:t>
      </w:r>
      <w:r>
        <w:rPr>
          <w:rFonts w:hint="eastAsia"/>
        </w:rPr>
        <w:t>年全国风电规划装机容量超过</w:t>
      </w:r>
      <w:r>
        <w:t xml:space="preserve">1.5 </w:t>
      </w:r>
      <w:r>
        <w:rPr>
          <w:rFonts w:hint="eastAsia"/>
        </w:rPr>
        <w:t>亿千瓦，届时风电在电源结构中将约占全国发电装机容量</w:t>
      </w:r>
      <w:r>
        <w:t xml:space="preserve">10 </w:t>
      </w:r>
      <w:r>
        <w:rPr>
          <w:rFonts w:hint="eastAsia"/>
        </w:rPr>
        <w:t>亿千瓦的</w:t>
      </w:r>
      <w:r>
        <w:t>15</w:t>
      </w:r>
      <w:r>
        <w:rPr>
          <w:rFonts w:hint="eastAsia"/>
        </w:rPr>
        <w:t>％，总电量的</w:t>
      </w:r>
      <w:r>
        <w:t>7.5</w:t>
      </w:r>
      <w:r>
        <w:rPr>
          <w:rFonts w:hint="eastAsia"/>
        </w:rPr>
        <w:t>％。</w:t>
      </w:r>
    </w:p>
    <w:p w14:paraId="1E81C8BD">
      <w:pPr>
        <w:adjustRightInd w:val="0"/>
        <w:snapToGrid w:val="0"/>
        <w:ind w:firstLine="480"/>
      </w:pPr>
      <w:r>
        <w:rPr>
          <w:rFonts w:hint="eastAsia"/>
        </w:rPr>
        <w:t>（</w:t>
      </w:r>
      <w:r>
        <w:t>3</w:t>
      </w:r>
      <w:r>
        <w:rPr>
          <w:rFonts w:hint="eastAsia"/>
        </w:rPr>
        <w:t>）推动当地经济和社会发展</w:t>
      </w:r>
    </w:p>
    <w:p w14:paraId="73FEC15A">
      <w:pPr>
        <w:adjustRightInd w:val="0"/>
        <w:snapToGrid w:val="0"/>
        <w:ind w:firstLine="480"/>
      </w:pPr>
      <w:r>
        <w:rPr>
          <w:rFonts w:hint="eastAsia"/>
        </w:rPr>
        <w:t>本工程的建设可以促进当地经济的发展：一方面风电场的建设和运行可以给当地提供一定的就业机会，带动当地原材料及加工等相关行业的发展；另一方面风电场建设与附近旅游景点的建设有机结合，风力发电机组群将会成为当地新的旅游景点，对于拉动当地旅游业的发展起到积极的作用，实现了经济效益。</w:t>
      </w:r>
    </w:p>
    <w:p w14:paraId="0F4C9538">
      <w:pPr>
        <w:adjustRightInd w:val="0"/>
        <w:snapToGrid w:val="0"/>
        <w:ind w:firstLine="480"/>
      </w:pPr>
      <w:r>
        <w:rPr>
          <w:rFonts w:hint="eastAsia"/>
        </w:rPr>
        <w:t>（</w:t>
      </w:r>
      <w:r>
        <w:t>4</w:t>
      </w:r>
      <w:r>
        <w:rPr>
          <w:rFonts w:hint="eastAsia"/>
        </w:rPr>
        <w:t>）节约能源和环境保护的需要</w:t>
      </w:r>
    </w:p>
    <w:p w14:paraId="0805366D">
      <w:pPr>
        <w:adjustRightInd w:val="0"/>
        <w:snapToGrid w:val="0"/>
        <w:ind w:firstLine="480"/>
      </w:pPr>
      <w:r>
        <w:rPr>
          <w:rFonts w:hint="eastAsia"/>
        </w:rPr>
        <w:t>风力发电为绿色能源，在产生电力的同时，不会有常规燃煤火力发电厂所产生的环境污染。由于以燃煤为主的电源结构排放二氧化硫、氮氧化物、烟尘及温室气体二氧化碳，对环境造成很大污染。我国政府已制定出</w:t>
      </w:r>
      <w:r>
        <w:t>“</w:t>
      </w:r>
      <w:r>
        <w:rPr>
          <w:rFonts w:hint="eastAsia"/>
        </w:rPr>
        <w:t>开发与节约并存，重视环境保护，合理配置资源，开发新能源，实现可持续发展的能源战略</w:t>
      </w:r>
      <w:r>
        <w:t>”</w:t>
      </w:r>
      <w:r>
        <w:rPr>
          <w:rFonts w:hint="eastAsia"/>
        </w:rPr>
        <w:t>的能源政策。风力发电作为无污染绿色能源，可替代部分一次能源，优化能源结构，开发利用风能资源不仅可以提供新的电源，更重要的是能够减少二氧化碳和其它有害气体的排放，环境效益非常突出。</w:t>
      </w:r>
    </w:p>
    <w:p w14:paraId="4B05A619">
      <w:pPr>
        <w:adjustRightInd w:val="0"/>
        <w:snapToGrid w:val="0"/>
        <w:ind w:firstLine="480"/>
      </w:pPr>
      <w:r>
        <w:rPr>
          <w:rFonts w:hint="eastAsia"/>
        </w:rPr>
        <w:t>总之，不论从当地经济发展、人民生活质量的提高、环境保护、节约能源和改善结构、减排温室气体、减排有害气体、提高社会综合效益方面分析；还是从就近向当地负荷供电，提高供电经济性，符合国家制定的能源战略方针，促进地区经济发展等方面分析，本工程的建设具有较大的经济、社会环境效益，其建设是必要的。</w:t>
      </w:r>
    </w:p>
    <w:p w14:paraId="32C1F742">
      <w:pPr>
        <w:keepNext/>
        <w:keepLines/>
        <w:numPr>
          <w:ilvl w:val="1"/>
          <w:numId w:val="0"/>
        </w:numPr>
        <w:tabs>
          <w:tab w:val="left" w:pos="425"/>
          <w:tab w:val="clear" w:pos="480"/>
        </w:tabs>
        <w:adjustRightInd w:val="0"/>
        <w:textAlignment w:val="baseline"/>
        <w:outlineLvl w:val="1"/>
        <w:rPr>
          <w:b/>
          <w:kern w:val="24"/>
          <w:sz w:val="30"/>
          <w:szCs w:val="30"/>
        </w:rPr>
      </w:pPr>
      <w:bookmarkStart w:id="280" w:name="_Toc116978025"/>
      <w:bookmarkStart w:id="281" w:name="_Toc143799417"/>
      <w:r>
        <w:rPr>
          <w:rFonts w:hint="eastAsia"/>
          <w:b/>
          <w:kern w:val="24"/>
          <w:sz w:val="30"/>
          <w:szCs w:val="30"/>
        </w:rPr>
        <w:t>1</w:t>
      </w:r>
      <w:r>
        <w:rPr>
          <w:b/>
          <w:kern w:val="24"/>
          <w:sz w:val="30"/>
          <w:szCs w:val="30"/>
        </w:rPr>
        <w:t>1</w:t>
      </w:r>
      <w:r>
        <w:rPr>
          <w:rFonts w:hint="eastAsia"/>
          <w:b/>
          <w:kern w:val="24"/>
          <w:sz w:val="30"/>
          <w:szCs w:val="30"/>
        </w:rPr>
        <w:t>.</w:t>
      </w:r>
      <w:r>
        <w:rPr>
          <w:b/>
          <w:kern w:val="24"/>
          <w:sz w:val="30"/>
          <w:szCs w:val="30"/>
        </w:rPr>
        <w:t>10</w:t>
      </w:r>
      <w:r>
        <w:rPr>
          <w:rFonts w:hint="eastAsia"/>
          <w:b/>
          <w:kern w:val="24"/>
          <w:sz w:val="30"/>
          <w:szCs w:val="30"/>
        </w:rPr>
        <w:t>选址合理性分析</w:t>
      </w:r>
      <w:bookmarkEnd w:id="280"/>
      <w:bookmarkEnd w:id="281"/>
    </w:p>
    <w:p w14:paraId="5637613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11.10.1</w:t>
      </w:r>
      <w:r>
        <w:rPr>
          <w:rFonts w:hint="eastAsia" w:ascii="Times New Roman" w:eastAsia="宋体"/>
          <w:sz w:val="28"/>
          <w:szCs w:val="28"/>
          <w:lang w:val="en-US"/>
        </w:rPr>
        <w:t>风电场选址合理性</w:t>
      </w:r>
    </w:p>
    <w:p w14:paraId="25994456">
      <w:pPr>
        <w:adjustRightInd w:val="0"/>
        <w:snapToGrid w:val="0"/>
        <w:ind w:firstLine="480"/>
      </w:pPr>
      <w:r>
        <w:t>衡阳县杉桥风电场工程位于湖南省衡阳市衡阳县</w:t>
      </w:r>
      <w:r>
        <w:rPr>
          <w:rFonts w:hint="eastAsia"/>
        </w:rPr>
        <w:t>渣江镇、岣嵝乡、集兵镇、界牌镇一带</w:t>
      </w:r>
      <w:r>
        <w:t>。属于山地风电场，海拔高度约100m～500m。G0421许广高速、高速S80、县道X045、县道X043从风电场附近经过，交通便利。本风电场工程规模为中型。根据区域地质资料显示，场址区域地震基本烈度Ⅵ度，拟建场地处于稳定地块内，地质条件稳定。</w:t>
      </w:r>
    </w:p>
    <w:p w14:paraId="03DF6A6B">
      <w:pPr>
        <w:adjustRightInd w:val="0"/>
        <w:snapToGrid w:val="0"/>
        <w:ind w:firstLine="480"/>
      </w:pPr>
      <w:r>
        <w:t>根据关于《衡阳县杉桥风电场建设项目》建设项目压覆重要矿产资源查询情况的说明》：项目与矿产资源总体规划区块、矿业权、矿产地无重叠，未压覆重要矿产资源。</w:t>
      </w:r>
    </w:p>
    <w:p w14:paraId="2D022FD0">
      <w:pPr>
        <w:adjustRightInd w:val="0"/>
        <w:snapToGrid w:val="0"/>
        <w:ind w:firstLine="480"/>
      </w:pPr>
      <w:r>
        <w:t>根据调查和衡阳县林业局的相关证明文件，项目选址范围内不涉及世界文化和自然遗产地、自然保护区、风井名胜区、森林公园、地质公园、天然林等生态敏感区，不存在明显环境制约因素，在切实做好施工开挖弃渣的挡护、施工迹地的生态恢复措施，对环境的不利影响将得到有效控制。</w:t>
      </w:r>
    </w:p>
    <w:p w14:paraId="47F10718">
      <w:pPr>
        <w:adjustRightInd w:val="0"/>
        <w:snapToGrid w:val="0"/>
        <w:ind w:firstLine="480"/>
      </w:pPr>
      <w:r>
        <w:t>综合分析，本风电场选址地质条件稳定，周边环境比较简单，不存在环境制约因素，场址选择符合《风电场场址选择技术规定》中环境保护要求，选址可行。</w:t>
      </w:r>
    </w:p>
    <w:p w14:paraId="04A9F6F8">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11.10.2</w:t>
      </w:r>
      <w:r>
        <w:rPr>
          <w:rFonts w:hint="eastAsia" w:ascii="Times New Roman" w:eastAsia="宋体"/>
          <w:sz w:val="28"/>
          <w:szCs w:val="28"/>
          <w:lang w:val="en-US"/>
        </w:rPr>
        <w:t>风机布置合理性</w:t>
      </w:r>
    </w:p>
    <w:p w14:paraId="07743401">
      <w:pPr>
        <w:adjustRightInd w:val="0"/>
        <w:snapToGrid w:val="0"/>
        <w:ind w:firstLine="480"/>
      </w:pPr>
      <w:r>
        <w:t>衡阳县杉桥风电场的风机均位于山脊上，远离居民点，项目的施工及运营产生的各类环境影响在采取相应措施后对周边的敏感点影响较小。</w:t>
      </w:r>
    </w:p>
    <w:p w14:paraId="0FFBCEC7">
      <w:pPr>
        <w:adjustRightInd w:val="0"/>
        <w:snapToGrid w:val="0"/>
        <w:ind w:firstLine="480"/>
      </w:pPr>
      <w:r>
        <w:t>本项目不涉及生态红线和永久基本农田，也不涉及饮用水水源保护区。衡阳县杉桥风电场工程的风机均不在鸟类迁徙通道上，不会对迁徙候鸟产生伤害；项目评价区内主要植被类型为</w:t>
      </w:r>
      <w:r>
        <w:rPr>
          <w:rFonts w:hint="eastAsia"/>
        </w:rPr>
        <w:t>竹林、乔木林和灌草丛</w:t>
      </w:r>
      <w:r>
        <w:t>等，而根据现场踏勘可知，本工程占用的土地类型均在最大程度上避开植被发育较好区域，占用的土地类型区域植被都呈现了明显的次生特点，拟建项目施工过程中的施工活动不可避免地对区域地表植被造成破坏，造成地表扰动，产生水土流失，但随着施工期的结束和水土保持工程的实施，区域范围内植被的恢复等措施均可将区域范围内因施工产生的各类不利影响降至最低。</w:t>
      </w:r>
    </w:p>
    <w:p w14:paraId="4A38558D">
      <w:pPr>
        <w:adjustRightInd w:val="0"/>
        <w:snapToGrid w:val="0"/>
        <w:ind w:firstLine="480"/>
      </w:pPr>
      <w:r>
        <w:t>项目不涉及文物古迹等，无明显环境制约因素，因建设施工活动造成的影响可通过采取相应的措施予以减缓。因此，从环境保护的角度看，风机的布置是可行的。</w:t>
      </w:r>
    </w:p>
    <w:p w14:paraId="6E36D0F8">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11.10.3</w:t>
      </w:r>
      <w:r>
        <w:rPr>
          <w:rFonts w:hint="eastAsia" w:ascii="Times New Roman" w:eastAsia="宋体"/>
          <w:sz w:val="28"/>
          <w:szCs w:val="28"/>
          <w:lang w:val="en-US"/>
        </w:rPr>
        <w:t>施工场地选址合理性</w:t>
      </w:r>
    </w:p>
    <w:p w14:paraId="47FBB6A0">
      <w:pPr>
        <w:adjustRightInd w:val="0"/>
        <w:snapToGrid w:val="0"/>
        <w:ind w:firstLine="480"/>
      </w:pPr>
      <w:r>
        <w:t>根据现场勘查，依据本工程风电场布置和工程区的地形地貌条件，施工生产区设置在升压站附近，主要包括综合加工厂、综合仓库等。</w:t>
      </w:r>
    </w:p>
    <w:p w14:paraId="1E99EDC5">
      <w:pPr>
        <w:adjustRightInd w:val="0"/>
        <w:snapToGrid w:val="0"/>
        <w:ind w:firstLine="480"/>
      </w:pPr>
      <w:r>
        <w:t>施工生产区选择平缓地形，减少了土地平整、土石方开挖量，降低对地表的扰动，减少对环境的不利影响；施工临时占地在施工结束后及时进行土地复垦，可最大程度上减小对土地资源的影响。同时，施工废水经沉淀后回用于场内洒水抑尘，施工生活污水处理达标后用于周边林地浇灌，减少对外环境的影响。</w:t>
      </w:r>
    </w:p>
    <w:p w14:paraId="124369A6">
      <w:pPr>
        <w:adjustRightInd w:val="0"/>
        <w:snapToGrid w:val="0"/>
        <w:ind w:firstLine="480"/>
      </w:pPr>
      <w:r>
        <w:t>本项目施工场地选址不涉及湿地公园、生态保护红线、饮用水源保护区、国家二级公益林有林地集中区等敏感区域。因此，从总体布局及施工时序安排来看，施工生产生活区选址合理。</w:t>
      </w:r>
    </w:p>
    <w:p w14:paraId="3F38B8EE">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11.10.4</w:t>
      </w:r>
      <w:r>
        <w:rPr>
          <w:rFonts w:hint="eastAsia" w:ascii="Times New Roman" w:eastAsia="宋体"/>
          <w:sz w:val="28"/>
          <w:szCs w:val="28"/>
          <w:lang w:val="en-US"/>
        </w:rPr>
        <w:t>弃渣场地选址合理性</w:t>
      </w:r>
    </w:p>
    <w:p w14:paraId="7E1B6211">
      <w:pPr>
        <w:adjustRightInd w:val="0"/>
        <w:snapToGrid w:val="0"/>
        <w:ind w:firstLine="480"/>
      </w:pPr>
      <w:r>
        <w:t>（1）设置情况</w:t>
      </w:r>
    </w:p>
    <w:p w14:paraId="7B8E1DAF">
      <w:pPr>
        <w:adjustRightInd w:val="0"/>
        <w:snapToGrid w:val="0"/>
        <w:ind w:firstLine="480"/>
      </w:pPr>
      <w:r>
        <w:t>本项目设置8座弃渣场，共占地5.0hm</w:t>
      </w:r>
      <w:r>
        <w:rPr>
          <w:vertAlign w:val="superscript"/>
        </w:rPr>
        <w:t>2</w:t>
      </w:r>
      <w:r>
        <w:t>，渣场容量满足堆存弃土石渣的要求。本项目设置的弃渣场选址不涉及湿地公园、生态保护红线、饮用水源保护区、国家二级公益林有林地集中区等敏感区域。</w:t>
      </w:r>
    </w:p>
    <w:p w14:paraId="1615B7FD">
      <w:pPr>
        <w:adjustRightInd w:val="0"/>
        <w:snapToGrid w:val="0"/>
        <w:ind w:firstLine="480"/>
      </w:pPr>
      <w:r>
        <w:t>弃渣场均位于道路附近，周边均没有居民点分布，渣场与居民点之间有山体阻隔，堆渣产生的水土流失对周围村民影响小；项目弃渣场占地属临时占地，本次项目施工期结束，会对弃渣场进行地表植被恢复，恢复其原地形地貌。</w:t>
      </w:r>
    </w:p>
    <w:p w14:paraId="5A4030A9">
      <w:pPr>
        <w:adjustRightInd w:val="0"/>
        <w:snapToGrid w:val="0"/>
        <w:ind w:firstLine="480"/>
      </w:pPr>
      <w:r>
        <w:t>综合上述可知，项目各弃渣场在施工期堆渣过程中不会对居民点安全构成危险，不会对生态保护红线造成影响。</w:t>
      </w:r>
    </w:p>
    <w:p w14:paraId="6B97B5BC">
      <w:pPr>
        <w:adjustRightInd w:val="0"/>
        <w:snapToGrid w:val="0"/>
        <w:ind w:firstLine="480"/>
      </w:pPr>
      <w:r>
        <w:t>（2）占地类型</w:t>
      </w:r>
    </w:p>
    <w:p w14:paraId="3623CE2E">
      <w:pPr>
        <w:adjustRightInd w:val="0"/>
        <w:snapToGrid w:val="0"/>
        <w:ind w:firstLine="480"/>
      </w:pPr>
      <w:r>
        <w:t>项目拟选定的</w:t>
      </w:r>
      <w:r>
        <w:rPr>
          <w:rFonts w:hint="eastAsia"/>
        </w:rPr>
        <w:t>8个</w:t>
      </w:r>
      <w:r>
        <w:t>弃渣场位于风电规划区域范围内，均可通过主体工程场内现有道路到达，弃渣场类型主要为缓坡型，未占用耕地，占地范围内主要的植被类型主要为灌木林地，这样的渣场有利于防护，具有防护措施工程量小的特点。因此，本项目弃渣场选址可行。</w:t>
      </w:r>
    </w:p>
    <w:p w14:paraId="16A98F4F">
      <w:pPr>
        <w:adjustRightInd w:val="0"/>
        <w:snapToGrid w:val="0"/>
        <w:ind w:firstLine="480"/>
      </w:pPr>
      <w:r>
        <w:t>（3）行洪</w:t>
      </w:r>
    </w:p>
    <w:p w14:paraId="01EB7FF4">
      <w:pPr>
        <w:adjustRightInd w:val="0"/>
        <w:snapToGrid w:val="0"/>
        <w:ind w:firstLine="480"/>
      </w:pPr>
      <w:r>
        <w:t>弃渣场选址区域不涉及地表水体的汇水范围，其选址为缓坡型渣场，易于防护，渣场占地以灌木林为主，堆渣结束后，可采取植被恢复措施进行恢复。因此，从环境的角度，渣场选址可行。</w:t>
      </w:r>
    </w:p>
    <w:p w14:paraId="4298543C">
      <w:pPr>
        <w:adjustRightInd w:val="0"/>
        <w:snapToGrid w:val="0"/>
        <w:ind w:firstLine="480"/>
      </w:pPr>
      <w:r>
        <w:t>（4）规划符合性分析</w:t>
      </w:r>
    </w:p>
    <w:p w14:paraId="68E45C29">
      <w:pPr>
        <w:adjustRightInd w:val="0"/>
        <w:snapToGrid w:val="0"/>
        <w:ind w:firstLine="480"/>
      </w:pPr>
      <w:r>
        <w:t>弃渣场符合《开发建设项目水土保持技术规范》中弃渣场选址的要求，地表抗侵蚀能力较强，土壤侵蚀基本上属于轻度～中度水力侵蚀。从各项因素分析，弃渣场选址是适宜的，运输、运距及容量均能满足工程需要。</w:t>
      </w:r>
    </w:p>
    <w:p w14:paraId="1BB083FD">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11.10.5</w:t>
      </w:r>
      <w:r>
        <w:rPr>
          <w:rFonts w:hint="eastAsia" w:ascii="Times New Roman" w:eastAsia="宋体"/>
          <w:sz w:val="28"/>
          <w:szCs w:val="28"/>
          <w:lang w:val="en-US"/>
        </w:rPr>
        <w:t>道路选址合理性</w:t>
      </w:r>
    </w:p>
    <w:p w14:paraId="5DC43462">
      <w:pPr>
        <w:adjustRightInd w:val="0"/>
        <w:snapToGrid w:val="0"/>
        <w:ind w:firstLine="480"/>
      </w:pPr>
      <w:r>
        <w:t>风电场施工期间为满足施工及设备运输要求，运输方式采用特种车辆运输，营运期满足检修维护的需要，路面结构为泥结碎石路面。场内道路施工要求做好道路两侧的排水设施及挡墙、护坡工程，防止山体滑坡等地质灾害。</w:t>
      </w:r>
    </w:p>
    <w:p w14:paraId="4B1A8BA3">
      <w:pPr>
        <w:adjustRightInd w:val="0"/>
        <w:snapToGrid w:val="0"/>
        <w:ind w:firstLine="480"/>
      </w:pPr>
      <w:r>
        <w:t>风电场进场道路已充分利用区域内原有乡道，并适当扩宽，可有效减少占地，减少对植被的破坏。</w:t>
      </w:r>
    </w:p>
    <w:p w14:paraId="546BC59A">
      <w:pPr>
        <w:adjustRightInd w:val="0"/>
        <w:snapToGrid w:val="0"/>
        <w:ind w:firstLine="480"/>
      </w:pPr>
      <w:r>
        <w:t>经现场勘察，进场的改建路段路况良好，仅弯度较大位置处需要裁弯取直，场内外的改建和新建路段周边多为灌木丛和林地，道路征地范围内无明显保护敏感问题，道路选线避开耕地、远离居民。目在道路施工建设过程中若能严格执行《衡阳县杉桥风电场项目水土保持方案报告书》中的有关水土保持措施后，工程建设可能引发的水土流失可通过采取预防保护措施减免。从环境保护的角度本工程道路选线合理。道路施工和交通运输对其大气环境和声环境有一定的影响，但道路改造施工时间非常短，且为白天施工，通过设置减速带和限速标志，限制施工车辆的车速，可有效降低对居民点声环境的影响；对施工场地和运输道路采取洒水降尘措施，可减免扬尘对居民点大气环境的影响。从环境保护的角度道路选线合理。</w:t>
      </w:r>
    </w:p>
    <w:p w14:paraId="45889989">
      <w:pPr>
        <w:adjustRightInd w:val="0"/>
        <w:snapToGrid w:val="0"/>
        <w:ind w:firstLine="480"/>
      </w:pPr>
      <w:r>
        <w:t>根据现场踏勘，项目初步设计规划的进场道路、场内道路可满足工程施工运输要求。本项目充分利用现有或规划建设道路，施工活动通过严格控制在征地红线范围内，对地表及植被的扰动和损坏较小，道路施工对环境影响较小，因此施工道路选线合理。</w:t>
      </w:r>
    </w:p>
    <w:p w14:paraId="2476E886">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11.10.6</w:t>
      </w:r>
      <w:r>
        <w:rPr>
          <w:rFonts w:hint="eastAsia" w:ascii="Times New Roman" w:eastAsia="宋体"/>
          <w:sz w:val="28"/>
          <w:szCs w:val="28"/>
          <w:lang w:val="en-US"/>
        </w:rPr>
        <w:t>集电线路选址合理性</w:t>
      </w:r>
    </w:p>
    <w:p w14:paraId="00C328A9">
      <w:pPr>
        <w:adjustRightInd w:val="0"/>
        <w:snapToGrid w:val="0"/>
        <w:ind w:firstLine="480"/>
      </w:pPr>
      <w:r>
        <w:t>工程直埋电缆沟开挖长度为9.0km，全部沿道路</w:t>
      </w:r>
      <w:r>
        <w:rPr>
          <w:rFonts w:hint="eastAsia"/>
        </w:rPr>
        <w:t>敷设</w:t>
      </w:r>
      <w:r>
        <w:t>。直埋电缆开槽底宽0.8m，深1m，按1</w:t>
      </w:r>
      <w:r>
        <w:rPr>
          <w:rFonts w:hint="eastAsia"/>
        </w:rPr>
        <w:t>∶</w:t>
      </w:r>
      <w:r>
        <w:t>0.5开挖边坡，基础开挖完成后，应将槽底清理干净并夯实，敷设电缆的上下侧各铺100mm细砂，并在电缆上侧做盖砖保护。项目架空</w:t>
      </w:r>
      <w:r>
        <w:rPr>
          <w:rFonts w:hint="eastAsia"/>
        </w:rPr>
        <w:t>输电</w:t>
      </w:r>
      <w:r>
        <w:t>线路13.5km。</w:t>
      </w:r>
    </w:p>
    <w:p w14:paraId="59FB95EA">
      <w:pPr>
        <w:adjustRightInd w:val="0"/>
        <w:snapToGrid w:val="0"/>
        <w:ind w:firstLine="480"/>
      </w:pPr>
      <w:r>
        <w:t>经现场勘察，集电线路征地范围内不涉及环境敏感区和敏感保护目标，不会破坏周边植被；地埋电缆基本上沿道路埋设，沿道路开挖，最大限度的减少了对生态的破坏；在落实水保提出的植被恢复措施的情况下，水土流失将会得到控制。</w:t>
      </w:r>
    </w:p>
    <w:p w14:paraId="23B30688">
      <w:pPr>
        <w:adjustRightInd w:val="0"/>
        <w:snapToGrid w:val="0"/>
        <w:ind w:firstLine="480"/>
      </w:pPr>
      <w:r>
        <w:rPr>
          <w:rFonts w:hint="eastAsia"/>
        </w:rPr>
        <w:t>此外，根据调查可知，本项目架空输电线路基座不涉及</w:t>
      </w:r>
      <w:r>
        <w:t>环境敏感区和敏感保护目标</w:t>
      </w:r>
      <w:r>
        <w:rPr>
          <w:rFonts w:hint="eastAsia"/>
        </w:rPr>
        <w:t>，也不涉及饮用水水源保护区，项目3</w:t>
      </w:r>
      <w:r>
        <w:t>5</w:t>
      </w:r>
      <w:r>
        <w:rPr>
          <w:rFonts w:hint="eastAsia"/>
        </w:rPr>
        <w:t>k</w:t>
      </w:r>
      <w:r>
        <w:t>V</w:t>
      </w:r>
      <w:r>
        <w:rPr>
          <w:rFonts w:hint="eastAsia"/>
        </w:rPr>
        <w:t>架空输电线路基座占地很小，其对植被的破坏也很小，在落实水保提出的植被恢复措施的情况下，水土流失将得到控制。</w:t>
      </w:r>
    </w:p>
    <w:p w14:paraId="260E4A27">
      <w:pPr>
        <w:adjustRightInd w:val="0"/>
        <w:snapToGrid w:val="0"/>
        <w:ind w:firstLine="480"/>
      </w:pPr>
      <w:r>
        <w:t>从环境保护的角度集电线路选线合理。</w:t>
      </w:r>
    </w:p>
    <w:p w14:paraId="0D3F7D3B">
      <w:pPr>
        <w:pStyle w:val="5"/>
        <w:tabs>
          <w:tab w:val="clear" w:pos="480"/>
          <w:tab w:val="clear" w:pos="840"/>
        </w:tabs>
        <w:adjustRightInd w:val="0"/>
        <w:snapToGrid w:val="0"/>
        <w:spacing w:before="0" w:after="0" w:line="360" w:lineRule="auto"/>
        <w:rPr>
          <w:rFonts w:ascii="Times New Roman" w:eastAsia="宋体"/>
          <w:sz w:val="28"/>
          <w:szCs w:val="28"/>
          <w:lang w:val="en-US"/>
        </w:rPr>
      </w:pPr>
      <w:r>
        <w:rPr>
          <w:rFonts w:ascii="Times New Roman" w:eastAsia="宋体"/>
          <w:sz w:val="28"/>
          <w:szCs w:val="28"/>
          <w:lang w:val="en-US"/>
        </w:rPr>
        <w:t>11.10.7</w:t>
      </w:r>
      <w:r>
        <w:rPr>
          <w:rFonts w:hint="eastAsia" w:ascii="Times New Roman" w:eastAsia="宋体"/>
          <w:sz w:val="28"/>
          <w:szCs w:val="28"/>
          <w:lang w:val="en-US"/>
        </w:rPr>
        <w:t>升压站选址合理性</w:t>
      </w:r>
    </w:p>
    <w:p w14:paraId="57B409B6">
      <w:pPr>
        <w:adjustRightInd w:val="0"/>
        <w:snapToGrid w:val="0"/>
        <w:ind w:firstLine="480"/>
      </w:pPr>
      <w:r>
        <w:t>本项目升压站站址位于整个风电场的中部位置的一平缓山包。升压站站址选择时考虑现场地形地貌和工程的具体区位情况，结合工程气象、水文资料和具体施工条件的难易程度，充分利用现有地形，因地制宜，降低工程难度。升压站站址考虑交通便利，方便检修巡视进出场；并尽可能缩短场内的集电线路，从而降低集电线路的投资、减少集电线路的电能损耗。</w:t>
      </w:r>
    </w:p>
    <w:p w14:paraId="30E57DAF">
      <w:pPr>
        <w:adjustRightInd w:val="0"/>
        <w:snapToGrid w:val="0"/>
        <w:ind w:firstLine="480"/>
      </w:pPr>
      <w:r>
        <w:t>经现场勘察，升压站的选址位置交通便利，尽可能地缩短了的集电线路，充分利用现有地形，实现土石方平衡，且升压站站址周围300m范围内无民房，远离居民。本项目升压站不在衡阳县划定的生态保护红线范围内。</w:t>
      </w:r>
    </w:p>
    <w:p w14:paraId="6F1371FF">
      <w:pPr>
        <w:adjustRightInd w:val="0"/>
        <w:snapToGrid w:val="0"/>
        <w:ind w:firstLine="480"/>
      </w:pPr>
      <w:r>
        <w:t>综上，从环境保护的角度升压站选址合理。</w:t>
      </w:r>
    </w:p>
    <w:p w14:paraId="58093228">
      <w:pPr>
        <w:keepNext/>
        <w:keepLines/>
        <w:numPr>
          <w:ilvl w:val="1"/>
          <w:numId w:val="0"/>
        </w:numPr>
        <w:tabs>
          <w:tab w:val="left" w:pos="425"/>
          <w:tab w:val="clear" w:pos="480"/>
        </w:tabs>
        <w:adjustRightInd w:val="0"/>
        <w:snapToGrid w:val="0"/>
        <w:textAlignment w:val="baseline"/>
        <w:outlineLvl w:val="1"/>
        <w:rPr>
          <w:b/>
          <w:kern w:val="24"/>
          <w:sz w:val="30"/>
          <w:szCs w:val="30"/>
        </w:rPr>
      </w:pPr>
      <w:bookmarkStart w:id="282" w:name="_Toc143799418"/>
      <w:r>
        <w:rPr>
          <w:rFonts w:hint="eastAsia"/>
          <w:b/>
          <w:kern w:val="24"/>
          <w:sz w:val="30"/>
          <w:szCs w:val="30"/>
        </w:rPr>
        <w:t>1</w:t>
      </w:r>
      <w:r>
        <w:rPr>
          <w:b/>
          <w:kern w:val="24"/>
          <w:sz w:val="30"/>
          <w:szCs w:val="30"/>
        </w:rPr>
        <w:t>1</w:t>
      </w:r>
      <w:r>
        <w:rPr>
          <w:rFonts w:hint="eastAsia"/>
          <w:b/>
          <w:kern w:val="24"/>
          <w:sz w:val="30"/>
          <w:szCs w:val="30"/>
        </w:rPr>
        <w:t>.</w:t>
      </w:r>
      <w:r>
        <w:rPr>
          <w:b/>
          <w:kern w:val="24"/>
          <w:sz w:val="30"/>
          <w:szCs w:val="30"/>
        </w:rPr>
        <w:t>11</w:t>
      </w:r>
      <w:r>
        <w:rPr>
          <w:rFonts w:hint="eastAsia"/>
          <w:b/>
          <w:kern w:val="24"/>
          <w:sz w:val="30"/>
          <w:szCs w:val="30"/>
        </w:rPr>
        <w:t>项目制约因素</w:t>
      </w:r>
      <w:bookmarkEnd w:id="282"/>
    </w:p>
    <w:p w14:paraId="73D5FF5F">
      <w:pPr>
        <w:adjustRightInd w:val="0"/>
        <w:snapToGrid w:val="0"/>
        <w:ind w:firstLine="480"/>
      </w:pPr>
      <w:r>
        <w:rPr>
          <w:rFonts w:hint="eastAsia"/>
        </w:rPr>
        <w:t>本项目占地范围内不涉及国家公园、自然保护区、风景名胜区、世界文化和自然 遗产地、海洋特别保护区等生态敏感区，也不涉及饮用水水源保护区、永久基本农田和生态保护红线。</w:t>
      </w:r>
    </w:p>
    <w:p w14:paraId="73B2CD5B">
      <w:pPr>
        <w:adjustRightInd w:val="0"/>
        <w:snapToGrid w:val="0"/>
        <w:ind w:firstLine="480"/>
      </w:pPr>
      <w:r>
        <w:rPr>
          <w:rFonts w:hint="eastAsia"/>
        </w:rPr>
        <w:t>因此，项目无环境制约因素。</w:t>
      </w:r>
    </w:p>
    <w:p w14:paraId="2D7D00FD">
      <w:pPr>
        <w:tabs>
          <w:tab w:val="clear" w:pos="480"/>
        </w:tabs>
        <w:adjustRightInd w:val="0"/>
        <w:snapToGrid w:val="0"/>
        <w:ind w:firstLine="480"/>
      </w:pPr>
    </w:p>
    <w:p w14:paraId="2F9BB72A">
      <w:pPr>
        <w:tabs>
          <w:tab w:val="clear" w:pos="480"/>
        </w:tabs>
        <w:adjustRightInd w:val="0"/>
        <w:snapToGrid w:val="0"/>
        <w:ind w:firstLine="480"/>
      </w:pPr>
    </w:p>
    <w:p w14:paraId="03CE8427">
      <w:pPr>
        <w:ind w:firstLine="480"/>
      </w:pPr>
    </w:p>
    <w:p w14:paraId="24B080FF">
      <w:pPr>
        <w:tabs>
          <w:tab w:val="clear" w:pos="480"/>
        </w:tabs>
        <w:adjustRightInd w:val="0"/>
        <w:snapToGrid w:val="0"/>
        <w:ind w:firstLine="480"/>
      </w:pPr>
    </w:p>
    <w:p w14:paraId="22516C4A">
      <w:pPr>
        <w:ind w:firstLine="480"/>
      </w:pPr>
    </w:p>
    <w:p w14:paraId="79A35D21">
      <w:pPr>
        <w:tabs>
          <w:tab w:val="clear" w:pos="480"/>
        </w:tabs>
        <w:adjustRightInd w:val="0"/>
        <w:snapToGrid w:val="0"/>
        <w:ind w:firstLine="480"/>
        <w:sectPr>
          <w:pgSz w:w="11905" w:h="16838"/>
          <w:pgMar w:top="1440" w:right="1797" w:bottom="1440" w:left="1797" w:header="851" w:footer="992" w:gutter="0"/>
          <w:cols w:space="0" w:num="1"/>
          <w:docGrid w:type="lines" w:linePitch="333" w:charSpace="0"/>
        </w:sectPr>
      </w:pPr>
    </w:p>
    <w:bookmarkEnd w:id="269"/>
    <w:bookmarkEnd w:id="270"/>
    <w:bookmarkEnd w:id="271"/>
    <w:bookmarkEnd w:id="278"/>
    <w:bookmarkEnd w:id="279"/>
    <w:p w14:paraId="1DB5457A">
      <w:pPr>
        <w:pStyle w:val="3"/>
        <w:tabs>
          <w:tab w:val="clear" w:pos="480"/>
        </w:tabs>
        <w:spacing w:before="0" w:after="0"/>
        <w:jc w:val="center"/>
        <w:rPr>
          <w:rFonts w:ascii="Times New Roman" w:eastAsia="宋体"/>
          <w:bCs w:val="0"/>
          <w:sz w:val="32"/>
          <w:szCs w:val="32"/>
          <w:lang w:val="en-US"/>
        </w:rPr>
      </w:pPr>
      <w:bookmarkStart w:id="283" w:name="_Toc13308085"/>
      <w:bookmarkStart w:id="284" w:name="_Toc69118341"/>
      <w:bookmarkStart w:id="285" w:name="_Toc401255957"/>
      <w:bookmarkStart w:id="286" w:name="_Toc12959342"/>
      <w:r>
        <w:rPr>
          <w:rFonts w:ascii="Times New Roman" w:eastAsia="宋体"/>
          <w:bCs w:val="0"/>
          <w:sz w:val="32"/>
          <w:szCs w:val="32"/>
          <w:lang w:val="en-US"/>
        </w:rPr>
        <w:t xml:space="preserve">  </w:t>
      </w:r>
      <w:bookmarkStart w:id="287" w:name="_Toc143799419"/>
      <w:bookmarkStart w:id="288" w:name="_Toc116978026"/>
      <w:r>
        <w:rPr>
          <w:rFonts w:ascii="Times New Roman" w:eastAsia="宋体"/>
          <w:bCs w:val="0"/>
          <w:sz w:val="32"/>
          <w:szCs w:val="32"/>
          <w:lang w:val="en-US"/>
        </w:rPr>
        <w:t>12</w:t>
      </w:r>
      <w:r>
        <w:rPr>
          <w:rFonts w:hint="eastAsia" w:ascii="Times New Roman" w:eastAsia="宋体"/>
          <w:bCs w:val="0"/>
          <w:sz w:val="32"/>
          <w:szCs w:val="32"/>
          <w:lang w:val="en-US"/>
        </w:rPr>
        <w:t>环境管理与监测计划</w:t>
      </w:r>
      <w:bookmarkEnd w:id="287"/>
      <w:bookmarkEnd w:id="288"/>
    </w:p>
    <w:p w14:paraId="4E370C0C">
      <w:pPr>
        <w:pStyle w:val="4"/>
        <w:tabs>
          <w:tab w:val="clear" w:pos="480"/>
          <w:tab w:val="clear" w:pos="630"/>
        </w:tabs>
        <w:spacing w:before="0" w:after="0"/>
        <w:rPr>
          <w:sz w:val="30"/>
          <w:szCs w:val="30"/>
          <w:lang w:val="en-US"/>
        </w:rPr>
      </w:pPr>
      <w:bookmarkStart w:id="289" w:name="_Toc143799420"/>
      <w:bookmarkStart w:id="290" w:name="_Toc116978027"/>
      <w:r>
        <w:rPr>
          <w:sz w:val="30"/>
          <w:szCs w:val="30"/>
          <w:lang w:val="en-US"/>
        </w:rPr>
        <w:t>1</w:t>
      </w:r>
      <w:r>
        <w:rPr>
          <w:rFonts w:hint="eastAsia"/>
          <w:sz w:val="30"/>
          <w:szCs w:val="30"/>
          <w:lang w:val="en-US"/>
        </w:rPr>
        <w:t>2</w:t>
      </w:r>
      <w:r>
        <w:rPr>
          <w:sz w:val="30"/>
          <w:szCs w:val="30"/>
          <w:lang w:val="en-US"/>
        </w:rPr>
        <w:t>.1</w:t>
      </w:r>
      <w:r>
        <w:rPr>
          <w:rFonts w:hint="eastAsia"/>
          <w:sz w:val="30"/>
          <w:szCs w:val="30"/>
          <w:lang w:val="en-US"/>
        </w:rPr>
        <w:t>环境管理</w:t>
      </w:r>
      <w:bookmarkEnd w:id="289"/>
      <w:bookmarkEnd w:id="290"/>
    </w:p>
    <w:p w14:paraId="30D60113">
      <w:pPr>
        <w:adjustRightInd w:val="0"/>
        <w:snapToGrid w:val="0"/>
        <w:ind w:firstLine="480"/>
      </w:pPr>
      <w:r>
        <w:rPr>
          <w:rFonts w:hint="eastAsia"/>
        </w:rPr>
        <w:t>建设单位应在管理机构内配备必要环境管理人员，负责环境保护管理工作。</w:t>
      </w:r>
    </w:p>
    <w:p w14:paraId="1CF41224">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12.1.1</w:t>
      </w:r>
      <w:r>
        <w:rPr>
          <w:rFonts w:hint="eastAsia"/>
          <w:b/>
          <w:kern w:val="24"/>
          <w:sz w:val="28"/>
          <w:szCs w:val="28"/>
          <w:lang w:val="zh-CN"/>
        </w:rPr>
        <w:t>建设期环境管理</w:t>
      </w:r>
    </w:p>
    <w:p w14:paraId="5A68B98E">
      <w:pPr>
        <w:adjustRightInd w:val="0"/>
        <w:snapToGrid w:val="0"/>
        <w:ind w:firstLine="480"/>
      </w:pPr>
      <w:r>
        <w:rPr>
          <w:rFonts w:hint="eastAsia"/>
        </w:rPr>
        <w:t>鉴于建设期环境管理工作的重要性，施工招标中应对投标单位提出建设期间的环保要求，并应对监理单位提出环境保护人员资质要求。在施工设计文件中详细说明建设期应注意的环保问题，严格要求施工单位按设计文件施工，特别是按环保设计要求施工。环境监理人员对施工中的每一道工序都应严格检查是否满足环保要求，并不定期地对施工点进行抽查监督检查。建设期环境保护监理及环境管理的职责和任务如下：</w:t>
      </w:r>
    </w:p>
    <w:p w14:paraId="7EA36B8D">
      <w:pPr>
        <w:adjustRightInd w:val="0"/>
        <w:snapToGrid w:val="0"/>
        <w:ind w:firstLine="480"/>
      </w:pPr>
      <w:r>
        <w:rPr>
          <w:rFonts w:hint="eastAsia"/>
        </w:rPr>
        <w:t>（</w:t>
      </w:r>
      <w:r>
        <w:t>1</w:t>
      </w:r>
      <w:r>
        <w:rPr>
          <w:rFonts w:hint="eastAsia"/>
        </w:rPr>
        <w:t>）贯彻执行国家的各项环境保护方针、政策、法规和各项规章制度。</w:t>
      </w:r>
    </w:p>
    <w:p w14:paraId="5E6200CC">
      <w:pPr>
        <w:adjustRightInd w:val="0"/>
        <w:snapToGrid w:val="0"/>
        <w:ind w:firstLine="480"/>
      </w:pPr>
      <w:r>
        <w:rPr>
          <w:rFonts w:hint="eastAsia"/>
        </w:rPr>
        <w:t>（</w:t>
      </w:r>
      <w:r>
        <w:t>2</w:t>
      </w:r>
      <w:r>
        <w:rPr>
          <w:rFonts w:hint="eastAsia"/>
        </w:rPr>
        <w:t>）制定本工程施工期的环境保护计划，负责工程施工过程中各项环境保护措施实施的监督和日常管理。</w:t>
      </w:r>
    </w:p>
    <w:p w14:paraId="70C5869F">
      <w:pPr>
        <w:adjustRightInd w:val="0"/>
        <w:snapToGrid w:val="0"/>
        <w:ind w:firstLine="480"/>
      </w:pPr>
      <w:r>
        <w:rPr>
          <w:rFonts w:hint="eastAsia"/>
        </w:rPr>
        <w:t>（</w:t>
      </w:r>
      <w:r>
        <w:t>3</w:t>
      </w:r>
      <w:r>
        <w:rPr>
          <w:rFonts w:hint="eastAsia"/>
        </w:rPr>
        <w:t>）收集、整理、推广和实施工程建设中各项环境保护的先进工作经验和技术。</w:t>
      </w:r>
    </w:p>
    <w:p w14:paraId="64CA6CE8">
      <w:pPr>
        <w:adjustRightInd w:val="0"/>
        <w:snapToGrid w:val="0"/>
        <w:ind w:firstLine="480"/>
      </w:pPr>
      <w:r>
        <w:rPr>
          <w:rFonts w:hint="eastAsia"/>
        </w:rPr>
        <w:t>（</w:t>
      </w:r>
      <w:r>
        <w:t>4</w:t>
      </w:r>
      <w:r>
        <w:rPr>
          <w:rFonts w:hint="eastAsia"/>
        </w:rPr>
        <w:t>）组织和开展对施工人员进行施工活动中应遵循的环保法规、知识的培训，提高全体员工文明施工的认识。</w:t>
      </w:r>
    </w:p>
    <w:p w14:paraId="44C0F6E5">
      <w:pPr>
        <w:adjustRightInd w:val="0"/>
        <w:snapToGrid w:val="0"/>
        <w:ind w:firstLine="480"/>
      </w:pPr>
      <w:r>
        <w:rPr>
          <w:rFonts w:hint="eastAsia"/>
        </w:rPr>
        <w:t>（</w:t>
      </w:r>
      <w:r>
        <w:t>5</w:t>
      </w:r>
      <w:r>
        <w:rPr>
          <w:rFonts w:hint="eastAsia"/>
        </w:rPr>
        <w:t>）负责日常施工活动中的环境监理工作，做好工程用地区域的环境特征调查，对于环境保护目标要作到心中有数。</w:t>
      </w:r>
    </w:p>
    <w:p w14:paraId="39CC7746">
      <w:pPr>
        <w:adjustRightInd w:val="0"/>
        <w:snapToGrid w:val="0"/>
        <w:ind w:firstLine="480"/>
      </w:pPr>
      <w:r>
        <w:rPr>
          <w:rFonts w:hint="eastAsia"/>
        </w:rPr>
        <w:t>（</w:t>
      </w:r>
      <w:r>
        <w:t>6</w:t>
      </w:r>
      <w:r>
        <w:rPr>
          <w:rFonts w:hint="eastAsia"/>
        </w:rPr>
        <w:t>）在施工计划中应适当计划设备运输道路</w:t>
      </w:r>
      <w:r>
        <w:t>,</w:t>
      </w:r>
      <w:r>
        <w:rPr>
          <w:rFonts w:hint="eastAsia"/>
        </w:rPr>
        <w:t>以避免影响当地居民生活，施工中应考虑保护生态和避免水土流失，合理组织施工以减少占用临时施工用地。</w:t>
      </w:r>
    </w:p>
    <w:p w14:paraId="7408883A">
      <w:pPr>
        <w:adjustRightInd w:val="0"/>
        <w:snapToGrid w:val="0"/>
        <w:ind w:firstLine="480"/>
      </w:pPr>
      <w:r>
        <w:rPr>
          <w:rFonts w:hint="eastAsia"/>
        </w:rPr>
        <w:t>（</w:t>
      </w:r>
      <w:r>
        <w:t>7</w:t>
      </w:r>
      <w:r>
        <w:rPr>
          <w:rFonts w:hint="eastAsia"/>
        </w:rPr>
        <w:t>）做好施工中各种环境问题的收集、记录、建档和处理工作。</w:t>
      </w:r>
    </w:p>
    <w:p w14:paraId="065F0412">
      <w:pPr>
        <w:adjustRightInd w:val="0"/>
        <w:snapToGrid w:val="0"/>
        <w:ind w:firstLine="480"/>
      </w:pPr>
      <w:r>
        <w:rPr>
          <w:rFonts w:hint="eastAsia"/>
        </w:rPr>
        <w:t>（</w:t>
      </w:r>
      <w:r>
        <w:t>8</w:t>
      </w:r>
      <w:r>
        <w:rPr>
          <w:rFonts w:hint="eastAsia"/>
        </w:rPr>
        <w:t>）监督施工单位，使施工工作完成后的土地恢复和补偿，水保设施、环保设施等各项保护工程同时完成。</w:t>
      </w:r>
    </w:p>
    <w:p w14:paraId="062BE8B4">
      <w:pPr>
        <w:adjustRightInd w:val="0"/>
        <w:snapToGrid w:val="0"/>
        <w:ind w:firstLine="480"/>
      </w:pPr>
      <w:r>
        <w:rPr>
          <w:rFonts w:hint="eastAsia"/>
        </w:rPr>
        <w:t>（</w:t>
      </w:r>
      <w:r>
        <w:t>9</w:t>
      </w:r>
      <w:r>
        <w:rPr>
          <w:rFonts w:hint="eastAsia"/>
        </w:rPr>
        <w:t>）工程竣工后，将各项环保措施落实完成情况上报当地环境主管部门和水保主管部门。</w:t>
      </w:r>
    </w:p>
    <w:p w14:paraId="5D8B03C7">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12.1.2</w:t>
      </w:r>
      <w:r>
        <w:rPr>
          <w:rFonts w:hint="eastAsia"/>
          <w:b/>
          <w:kern w:val="24"/>
          <w:sz w:val="28"/>
          <w:szCs w:val="28"/>
          <w:lang w:val="zh-CN"/>
        </w:rPr>
        <w:t>运营期环境管理</w:t>
      </w:r>
    </w:p>
    <w:p w14:paraId="391CC096">
      <w:pPr>
        <w:adjustRightInd w:val="0"/>
        <w:snapToGrid w:val="0"/>
        <w:ind w:firstLine="480"/>
      </w:pPr>
      <w:r>
        <w:rPr>
          <w:rFonts w:hint="eastAsia"/>
        </w:rPr>
        <w:t>根据项目的环境特点，建设单位应配备相应的环境管理人员。环保管理人员应在各自的岗位责任制中明确所负的环保责任。监督国家法规、条例的贯彻执行情况，制订和贯彻环保管理制度，监控本工程主要污染源，对各部门、操作岗位进行环境保护监督和考核。环境管理的职能为：</w:t>
      </w:r>
    </w:p>
    <w:p w14:paraId="1F15056C">
      <w:pPr>
        <w:adjustRightInd w:val="0"/>
        <w:snapToGrid w:val="0"/>
        <w:ind w:firstLine="480"/>
      </w:pPr>
      <w:bookmarkStart w:id="291" w:name="_Toc110736056"/>
      <w:bookmarkStart w:id="292" w:name="_Toc134756871"/>
      <w:bookmarkStart w:id="293" w:name="_Toc138085029"/>
      <w:bookmarkStart w:id="294" w:name="_Toc115331380"/>
      <w:bookmarkStart w:id="295" w:name="_Toc91559124"/>
      <w:bookmarkStart w:id="296" w:name="_Toc86491194"/>
      <w:bookmarkStart w:id="297" w:name="_Toc36027603"/>
      <w:bookmarkStart w:id="298" w:name="_Toc59207248"/>
      <w:r>
        <w:rPr>
          <w:rFonts w:hint="eastAsia"/>
        </w:rPr>
        <w:t>（</w:t>
      </w:r>
      <w:r>
        <w:t>1</w:t>
      </w:r>
      <w:r>
        <w:rPr>
          <w:rFonts w:hint="eastAsia"/>
        </w:rPr>
        <w:t>）制定和实施各项环境管理计划。</w:t>
      </w:r>
    </w:p>
    <w:p w14:paraId="047DCC4A">
      <w:pPr>
        <w:adjustRightInd w:val="0"/>
        <w:snapToGrid w:val="0"/>
        <w:ind w:firstLine="480"/>
      </w:pPr>
      <w:r>
        <w:rPr>
          <w:rFonts w:hint="eastAsia"/>
        </w:rPr>
        <w:t>（</w:t>
      </w:r>
      <w:r>
        <w:t>2</w:t>
      </w:r>
      <w:r>
        <w:rPr>
          <w:rFonts w:hint="eastAsia"/>
        </w:rPr>
        <w:t>）建立工频电场、工频磁场和噪声环境监测、生态环境现状数据档案，并定期向当地环境保护行政主管部门申报。</w:t>
      </w:r>
    </w:p>
    <w:p w14:paraId="6912F45E">
      <w:pPr>
        <w:adjustRightInd w:val="0"/>
        <w:snapToGrid w:val="0"/>
        <w:ind w:firstLine="480"/>
      </w:pPr>
      <w:r>
        <w:rPr>
          <w:rFonts w:hint="eastAsia"/>
        </w:rPr>
        <w:t>（</w:t>
      </w:r>
      <w:r>
        <w:t>3</w:t>
      </w:r>
      <w:r>
        <w:rPr>
          <w:rFonts w:hint="eastAsia"/>
        </w:rPr>
        <w:t>）掌握项目所在地周围的环境特征和环境保护目标情况。建立环境管理和环境监测技术文件，做好记录、建档工作。技术文件包括：污染源的监测记录技术文件；污染控制、环境保护设施的设计和运行管理文件；导致严重环境影响事件的分析报告和监测数据资料等。并定期向当地环保主管部门申报。</w:t>
      </w:r>
    </w:p>
    <w:p w14:paraId="1735B0EA">
      <w:pPr>
        <w:adjustRightInd w:val="0"/>
        <w:snapToGrid w:val="0"/>
        <w:ind w:firstLine="480"/>
      </w:pPr>
      <w:r>
        <w:rPr>
          <w:rFonts w:hint="eastAsia"/>
        </w:rPr>
        <w:t>（</w:t>
      </w:r>
      <w:r>
        <w:t>4</w:t>
      </w:r>
      <w:r>
        <w:rPr>
          <w:rFonts w:hint="eastAsia"/>
        </w:rPr>
        <w:t>）检查治理设施运行情况，及时处理出现的问题，保证治理设施的正常运行。</w:t>
      </w:r>
    </w:p>
    <w:p w14:paraId="01D0B0AB">
      <w:pPr>
        <w:adjustRightInd w:val="0"/>
        <w:snapToGrid w:val="0"/>
        <w:ind w:firstLine="480"/>
      </w:pPr>
      <w:r>
        <w:rPr>
          <w:rFonts w:hint="eastAsia"/>
        </w:rPr>
        <w:t>（</w:t>
      </w:r>
      <w:r>
        <w:t>5</w:t>
      </w:r>
      <w:r>
        <w:rPr>
          <w:rFonts w:hint="eastAsia"/>
        </w:rPr>
        <w:t>）不定期地进行巡查，特别是各环境保护对象，保护生态环境不被破坏，保证保护生态与工程运行相协调。</w:t>
      </w:r>
    </w:p>
    <w:p w14:paraId="3E163151">
      <w:pPr>
        <w:adjustRightInd w:val="0"/>
        <w:snapToGrid w:val="0"/>
        <w:ind w:firstLine="480"/>
      </w:pPr>
      <w:r>
        <w:rPr>
          <w:rFonts w:hint="eastAsia"/>
        </w:rPr>
        <w:t>（</w:t>
      </w:r>
      <w:r>
        <w:t>6</w:t>
      </w:r>
      <w:r>
        <w:rPr>
          <w:rFonts w:hint="eastAsia"/>
        </w:rPr>
        <w:t>）协调配合上级环保主管部门所进行的环境调查，生态调查等活动。</w:t>
      </w:r>
    </w:p>
    <w:bookmarkEnd w:id="291"/>
    <w:bookmarkEnd w:id="292"/>
    <w:bookmarkEnd w:id="293"/>
    <w:bookmarkEnd w:id="294"/>
    <w:bookmarkEnd w:id="295"/>
    <w:bookmarkEnd w:id="296"/>
    <w:bookmarkEnd w:id="297"/>
    <w:bookmarkEnd w:id="298"/>
    <w:p w14:paraId="746EB5CF">
      <w:pPr>
        <w:adjustRightInd w:val="0"/>
        <w:snapToGrid w:val="0"/>
        <w:ind w:firstLine="480"/>
      </w:pPr>
      <w:r>
        <w:rPr>
          <w:rFonts w:hint="eastAsia"/>
        </w:rPr>
        <w:t>（</w:t>
      </w:r>
      <w:r>
        <w:t>7</w:t>
      </w:r>
      <w:r>
        <w:rPr>
          <w:rFonts w:hint="eastAsia"/>
        </w:rPr>
        <w:t>）各风机平台及升压站设置安全警示牌，包括防倒塌、防火灾警示牌，禁止放牧、禁止随意乱扔垃圾警示牌。</w:t>
      </w:r>
    </w:p>
    <w:p w14:paraId="5641BEAF">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12.1.3</w:t>
      </w:r>
      <w:r>
        <w:rPr>
          <w:rFonts w:hint="eastAsia"/>
          <w:b/>
          <w:kern w:val="24"/>
          <w:sz w:val="28"/>
          <w:szCs w:val="28"/>
          <w:lang w:val="zh-CN"/>
        </w:rPr>
        <w:t>施工期环境监理</w:t>
      </w:r>
    </w:p>
    <w:p w14:paraId="333D1C69">
      <w:pPr>
        <w:adjustRightInd w:val="0"/>
        <w:snapToGrid w:val="0"/>
        <w:ind w:firstLine="480"/>
      </w:pPr>
      <w:r>
        <w:rPr>
          <w:rFonts w:hint="eastAsia"/>
        </w:rPr>
        <w:t>为确保项目评价区的各项环境保护措施落到实处，施工期建设单位必须成立环境管理机构，设专人负责环境管理，必须委托有资质的单位实施环境监理。</w:t>
      </w:r>
    </w:p>
    <w:p w14:paraId="4A77C402">
      <w:pPr>
        <w:adjustRightInd w:val="0"/>
        <w:snapToGrid w:val="0"/>
        <w:ind w:firstLine="480"/>
      </w:pPr>
      <w:r>
        <w:rPr>
          <w:rFonts w:hint="eastAsia"/>
        </w:rPr>
        <w:t>（</w:t>
      </w:r>
      <w:r>
        <w:t>1</w:t>
      </w:r>
      <w:r>
        <w:rPr>
          <w:rFonts w:hint="eastAsia"/>
        </w:rPr>
        <w:t>）监理目的</w:t>
      </w:r>
    </w:p>
    <w:p w14:paraId="6FA74EB9">
      <w:pPr>
        <w:adjustRightInd w:val="0"/>
        <w:snapToGrid w:val="0"/>
        <w:ind w:firstLine="480"/>
      </w:pPr>
      <w:r>
        <w:rPr>
          <w:rFonts w:hint="eastAsia"/>
        </w:rPr>
        <w:t>对本项目在设计、施工、试生产（运行）、验收各阶段环境保护设施及配套采取的环境保护措施落实情况进行全过程监督与督促。</w:t>
      </w:r>
    </w:p>
    <w:p w14:paraId="008412C9">
      <w:pPr>
        <w:adjustRightInd w:val="0"/>
        <w:snapToGrid w:val="0"/>
        <w:ind w:firstLine="480"/>
      </w:pPr>
      <w:r>
        <w:rPr>
          <w:rFonts w:hint="eastAsia"/>
        </w:rPr>
        <w:t>（</w:t>
      </w:r>
      <w:r>
        <w:t>2</w:t>
      </w:r>
      <w:r>
        <w:rPr>
          <w:rFonts w:hint="eastAsia"/>
        </w:rPr>
        <w:t>）监理模式</w:t>
      </w:r>
    </w:p>
    <w:p w14:paraId="65D15AFF">
      <w:pPr>
        <w:adjustRightInd w:val="0"/>
        <w:snapToGrid w:val="0"/>
        <w:ind w:firstLine="480"/>
      </w:pPr>
      <w:r>
        <w:rPr>
          <w:rFonts w:hint="eastAsia"/>
        </w:rPr>
        <w:t>本项目环境监理单位受建设单位委托，以驻场、旁站或巡查方式实行本项目的环境监理。</w:t>
      </w:r>
    </w:p>
    <w:p w14:paraId="2B9CC866">
      <w:pPr>
        <w:adjustRightInd w:val="0"/>
        <w:snapToGrid w:val="0"/>
        <w:ind w:firstLine="480"/>
      </w:pPr>
      <w:r>
        <w:rPr>
          <w:rFonts w:hint="eastAsia"/>
        </w:rPr>
        <w:t>（</w:t>
      </w:r>
      <w:r>
        <w:t>3</w:t>
      </w:r>
      <w:r>
        <w:rPr>
          <w:rFonts w:hint="eastAsia"/>
        </w:rPr>
        <w:t>）监理内容</w:t>
      </w:r>
    </w:p>
    <w:p w14:paraId="38C0B53D">
      <w:pPr>
        <w:adjustRightInd w:val="0"/>
        <w:snapToGrid w:val="0"/>
        <w:ind w:firstLine="480"/>
      </w:pPr>
      <w:r>
        <w:rPr>
          <w:rFonts w:hint="eastAsia"/>
        </w:rPr>
        <w:t>环境监理单位从设计、施工、试生产（运行）到竣工环境保护验收各个环节环境保护设施措施落实情况，开展如下环境监理工作。</w:t>
      </w:r>
    </w:p>
    <w:p w14:paraId="53F5CA3D">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设计阶段的环境监理</w:t>
      </w:r>
    </w:p>
    <w:p w14:paraId="175C6147">
      <w:pPr>
        <w:adjustRightInd w:val="0"/>
        <w:snapToGrid w:val="0"/>
        <w:ind w:firstLine="480"/>
      </w:pPr>
      <w:r>
        <w:fldChar w:fldCharType="begin"/>
      </w:r>
      <w:r>
        <w:instrText xml:space="preserve"> = 1 \* alphabetic </w:instrText>
      </w:r>
      <w:r>
        <w:fldChar w:fldCharType="separate"/>
      </w:r>
      <w:r>
        <w:t>a</w:t>
      </w:r>
      <w:r>
        <w:fldChar w:fldCharType="end"/>
      </w:r>
      <w:r>
        <w:rPr>
          <w:rFonts w:hint="eastAsia"/>
        </w:rPr>
        <w:t>、环境监理单位依据环境影响评价文件及审批文件对环境保护设施设计文件内容进行全面核对，并出具核对意见，随环境保护设施设计文件一同上报建设项目环境影响评价文件审批机构。上报后的环境保护设施设计文件和核对意见不得擅自变更。因特殊情况确需变更的，须向环境影响评价文件审批机构提出申请，经同意后重新上报。</w:t>
      </w:r>
    </w:p>
    <w:p w14:paraId="4E0C8F79">
      <w:pPr>
        <w:adjustRightInd w:val="0"/>
        <w:snapToGrid w:val="0"/>
        <w:ind w:firstLine="480"/>
      </w:pPr>
      <w:r>
        <w:fldChar w:fldCharType="begin"/>
      </w:r>
      <w:r>
        <w:instrText xml:space="preserve"> = 2 \* alphabetic </w:instrText>
      </w:r>
      <w:r>
        <w:fldChar w:fldCharType="separate"/>
      </w:r>
      <w:r>
        <w:t>b</w:t>
      </w:r>
      <w:r>
        <w:fldChar w:fldCharType="end"/>
      </w:r>
      <w:r>
        <w:rPr>
          <w:rFonts w:hint="eastAsia"/>
        </w:rPr>
        <w:t>、审核施工合同中环境保护条款、施工单位环境管理计划和施工组织设计中的环保措施，核实工程占地和准备工作。</w:t>
      </w:r>
    </w:p>
    <w:p w14:paraId="52E8F504">
      <w:pPr>
        <w:adjustRightInd w:val="0"/>
        <w:snapToGrid w:val="0"/>
        <w:ind w:firstLine="480"/>
      </w:pPr>
      <w:r>
        <w:fldChar w:fldCharType="begin"/>
      </w:r>
      <w:r>
        <w:instrText xml:space="preserve"> = 3 \* alphabetic </w:instrText>
      </w:r>
      <w:r>
        <w:fldChar w:fldCharType="separate"/>
      </w:r>
      <w:r>
        <w:t>c</w:t>
      </w:r>
      <w:r>
        <w:fldChar w:fldCharType="end"/>
      </w:r>
      <w:r>
        <w:rPr>
          <w:rFonts w:hint="eastAsia"/>
        </w:rPr>
        <w:t>、督促建设单位本项目环境影响评价文件及其审批文件抄送至当地环境保护行政主管部门。</w:t>
      </w:r>
    </w:p>
    <w:p w14:paraId="4E0C6F0C">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施工阶段的环境监理</w:t>
      </w:r>
    </w:p>
    <w:p w14:paraId="4E0CFBF8">
      <w:pPr>
        <w:adjustRightInd w:val="0"/>
        <w:snapToGrid w:val="0"/>
        <w:ind w:firstLine="480"/>
      </w:pPr>
      <w:r>
        <w:fldChar w:fldCharType="begin"/>
      </w:r>
      <w:r>
        <w:instrText xml:space="preserve"> = 1 \* alphabetic </w:instrText>
      </w:r>
      <w:r>
        <w:fldChar w:fldCharType="separate"/>
      </w:r>
      <w:r>
        <w:t>a</w:t>
      </w:r>
      <w:r>
        <w:fldChar w:fldCharType="end"/>
      </w:r>
      <w:r>
        <w:rPr>
          <w:rFonts w:hint="eastAsia"/>
        </w:rPr>
        <w:t>、环境监理单位根据本项目类别、规模、技术复杂程度等因素现场派驻项目监理机构或满足专业工作要求的监理人员，建立工程环境监理日志、巡视及旁站记录、环境监理会议纪要、环境监理定期报告和专题报告等环境监理档案，监督和记录环境保护设施建设情况，及时纠正与环境影响评价文件及审批文件不符的问题，并向环境保护行政主管部门报告。</w:t>
      </w:r>
    </w:p>
    <w:p w14:paraId="632B466A">
      <w:pPr>
        <w:adjustRightInd w:val="0"/>
        <w:snapToGrid w:val="0"/>
        <w:ind w:firstLine="480"/>
      </w:pPr>
      <w:r>
        <w:fldChar w:fldCharType="begin"/>
      </w:r>
      <w:r>
        <w:instrText xml:space="preserve"> = 2 \* alphabetic </w:instrText>
      </w:r>
      <w:r>
        <w:fldChar w:fldCharType="separate"/>
      </w:r>
      <w:r>
        <w:t>b</w:t>
      </w:r>
      <w:r>
        <w:fldChar w:fldCharType="end"/>
      </w:r>
      <w:r>
        <w:rPr>
          <w:rFonts w:hint="eastAsia"/>
        </w:rPr>
        <w:t>、环境监理单位督促建设单位在建设项目施工前向当地环境保护行政主管部门报告施工进度安排。</w:t>
      </w:r>
    </w:p>
    <w:p w14:paraId="0E392AE0">
      <w:pPr>
        <w:adjustRightInd w:val="0"/>
        <w:snapToGrid w:val="0"/>
        <w:ind w:firstLine="480"/>
      </w:pPr>
      <w:r>
        <w:fldChar w:fldCharType="begin"/>
      </w:r>
      <w:r>
        <w:instrText xml:space="preserve"> = 3 \* alphabetic </w:instrText>
      </w:r>
      <w:r>
        <w:fldChar w:fldCharType="separate"/>
      </w:r>
      <w:r>
        <w:t>c</w:t>
      </w:r>
      <w:r>
        <w:fldChar w:fldCharType="end"/>
      </w:r>
      <w:r>
        <w:rPr>
          <w:rFonts w:hint="eastAsia"/>
        </w:rPr>
        <w:t>、环境监理单位依据环境影响评价文件及审批文件，督查本项目施工过程中各项环境保护措施的落实情况，及时纠正与环境影响评价文件及审批文件不符的问题。</w:t>
      </w:r>
    </w:p>
    <w:p w14:paraId="422E8919">
      <w:pPr>
        <w:adjustRightInd w:val="0"/>
        <w:snapToGrid w:val="0"/>
        <w:ind w:firstLine="480"/>
      </w:pPr>
      <w:r>
        <w:rPr>
          <w:rFonts w:hint="eastAsia"/>
        </w:rPr>
        <w:t>本项目施工阶段主要环境监理要点见下表。</w:t>
      </w:r>
    </w:p>
    <w:p w14:paraId="0E4E66FE">
      <w:pPr>
        <w:tabs>
          <w:tab w:val="clear" w:pos="480"/>
        </w:tabs>
        <w:autoSpaceDE w:val="0"/>
        <w:spacing w:line="240" w:lineRule="auto"/>
        <w:ind w:firstLine="0" w:firstLineChars="0"/>
        <w:jc w:val="center"/>
        <w:rPr>
          <w:rFonts w:hAnsi="宋体"/>
          <w:b/>
        </w:rPr>
      </w:pPr>
      <w:r>
        <w:rPr>
          <w:rFonts w:hint="eastAsia" w:hAnsi="宋体"/>
          <w:b/>
        </w:rPr>
        <w:t>表</w:t>
      </w:r>
      <w:r>
        <w:rPr>
          <w:rFonts w:hAnsi="宋体"/>
          <w:b/>
        </w:rPr>
        <w:t xml:space="preserve">12.1-1  </w:t>
      </w:r>
      <w:r>
        <w:rPr>
          <w:rFonts w:hint="eastAsia" w:hAnsi="宋体"/>
          <w:b/>
        </w:rPr>
        <w:t>施工期环境监理一览表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37"/>
        <w:gridCol w:w="7090"/>
      </w:tblGrid>
      <w:tr w14:paraId="5FAB5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12" w:space="0"/>
              <w:left w:val="single" w:color="auto" w:sz="12" w:space="0"/>
              <w:bottom w:val="single" w:color="auto" w:sz="4" w:space="0"/>
              <w:right w:val="single" w:color="auto" w:sz="4" w:space="0"/>
            </w:tcBorders>
            <w:vAlign w:val="center"/>
          </w:tcPr>
          <w:p w14:paraId="70D1C8C1">
            <w:pPr>
              <w:tabs>
                <w:tab w:val="clear" w:pos="480"/>
              </w:tabs>
              <w:adjustRightInd w:val="0"/>
              <w:snapToGrid w:val="0"/>
              <w:spacing w:line="240" w:lineRule="auto"/>
              <w:ind w:firstLine="0" w:firstLineChars="0"/>
              <w:jc w:val="center"/>
              <w:rPr>
                <w:sz w:val="18"/>
                <w:szCs w:val="18"/>
              </w:rPr>
            </w:pPr>
            <w:r>
              <w:rPr>
                <w:sz w:val="18"/>
                <w:szCs w:val="18"/>
              </w:rPr>
              <w:t>项目</w:t>
            </w:r>
          </w:p>
        </w:tc>
        <w:tc>
          <w:tcPr>
            <w:tcW w:w="7252" w:type="dxa"/>
            <w:tcBorders>
              <w:top w:val="single" w:color="auto" w:sz="12" w:space="0"/>
              <w:left w:val="single" w:color="auto" w:sz="4" w:space="0"/>
              <w:bottom w:val="single" w:color="auto" w:sz="4" w:space="0"/>
              <w:right w:val="single" w:color="auto" w:sz="12" w:space="0"/>
            </w:tcBorders>
            <w:vAlign w:val="center"/>
          </w:tcPr>
          <w:p w14:paraId="3B0F93F1">
            <w:pPr>
              <w:tabs>
                <w:tab w:val="clear" w:pos="480"/>
              </w:tabs>
              <w:adjustRightInd w:val="0"/>
              <w:snapToGrid w:val="0"/>
              <w:spacing w:line="240" w:lineRule="auto"/>
              <w:ind w:firstLine="0" w:firstLineChars="0"/>
              <w:jc w:val="center"/>
              <w:rPr>
                <w:sz w:val="18"/>
                <w:szCs w:val="18"/>
              </w:rPr>
            </w:pPr>
            <w:r>
              <w:rPr>
                <w:sz w:val="18"/>
                <w:szCs w:val="18"/>
              </w:rPr>
              <w:t>环境监理要点</w:t>
            </w:r>
          </w:p>
        </w:tc>
      </w:tr>
      <w:tr w14:paraId="68486A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4BA47BC2">
            <w:pPr>
              <w:tabs>
                <w:tab w:val="clear" w:pos="480"/>
              </w:tabs>
              <w:adjustRightInd w:val="0"/>
              <w:snapToGrid w:val="0"/>
              <w:spacing w:line="240" w:lineRule="auto"/>
              <w:ind w:firstLine="0" w:firstLineChars="0"/>
              <w:jc w:val="center"/>
              <w:rPr>
                <w:sz w:val="18"/>
                <w:szCs w:val="18"/>
              </w:rPr>
            </w:pPr>
            <w:r>
              <w:rPr>
                <w:sz w:val="18"/>
                <w:szCs w:val="18"/>
              </w:rPr>
              <w:t>施工活动生态保护</w:t>
            </w:r>
          </w:p>
        </w:tc>
        <w:tc>
          <w:tcPr>
            <w:tcW w:w="7252" w:type="dxa"/>
            <w:tcBorders>
              <w:top w:val="single" w:color="auto" w:sz="4" w:space="0"/>
              <w:left w:val="single" w:color="auto" w:sz="4" w:space="0"/>
              <w:bottom w:val="single" w:color="auto" w:sz="4" w:space="0"/>
              <w:right w:val="single" w:color="auto" w:sz="12" w:space="0"/>
            </w:tcBorders>
            <w:vAlign w:val="center"/>
          </w:tcPr>
          <w:p w14:paraId="002CABF4">
            <w:pPr>
              <w:tabs>
                <w:tab w:val="clear" w:pos="480"/>
              </w:tabs>
              <w:adjustRightInd w:val="0"/>
              <w:snapToGrid w:val="0"/>
              <w:spacing w:line="240" w:lineRule="auto"/>
              <w:ind w:firstLine="0" w:firstLineChars="0"/>
              <w:rPr>
                <w:sz w:val="18"/>
                <w:szCs w:val="18"/>
              </w:rPr>
            </w:pPr>
            <w:r>
              <w:rPr>
                <w:sz w:val="18"/>
                <w:szCs w:val="18"/>
              </w:rPr>
              <w:t>（1）施工方式的合理性、要求采取符合环保要求和生态景观保护的施工工艺和施工方法。</w:t>
            </w:r>
          </w:p>
          <w:p w14:paraId="4CCD6763">
            <w:pPr>
              <w:tabs>
                <w:tab w:val="clear" w:pos="480"/>
              </w:tabs>
              <w:adjustRightInd w:val="0"/>
              <w:snapToGrid w:val="0"/>
              <w:spacing w:line="240" w:lineRule="auto"/>
              <w:ind w:firstLine="0" w:firstLineChars="0"/>
              <w:rPr>
                <w:sz w:val="18"/>
                <w:szCs w:val="18"/>
              </w:rPr>
            </w:pPr>
            <w:r>
              <w:rPr>
                <w:sz w:val="18"/>
                <w:szCs w:val="18"/>
              </w:rPr>
              <w:t>（2）控制施工作业区面积，限制施工活动扰动范围区域，禁止施工人员随意到非施工区域。</w:t>
            </w:r>
          </w:p>
          <w:p w14:paraId="7F042032">
            <w:pPr>
              <w:tabs>
                <w:tab w:val="clear" w:pos="480"/>
              </w:tabs>
              <w:adjustRightInd w:val="0"/>
              <w:snapToGrid w:val="0"/>
              <w:spacing w:line="240" w:lineRule="auto"/>
              <w:ind w:firstLine="0" w:firstLineChars="0"/>
              <w:rPr>
                <w:sz w:val="18"/>
                <w:szCs w:val="18"/>
              </w:rPr>
            </w:pPr>
            <w:r>
              <w:rPr>
                <w:sz w:val="18"/>
                <w:szCs w:val="18"/>
              </w:rPr>
              <w:t>（3）施工车辆必须沿规定运输路线行驶，不得随意越界行驶。</w:t>
            </w:r>
          </w:p>
          <w:p w14:paraId="5C542795">
            <w:pPr>
              <w:tabs>
                <w:tab w:val="clear" w:pos="480"/>
              </w:tabs>
              <w:adjustRightInd w:val="0"/>
              <w:snapToGrid w:val="0"/>
              <w:spacing w:line="240" w:lineRule="auto"/>
              <w:ind w:firstLine="0" w:firstLineChars="0"/>
              <w:rPr>
                <w:sz w:val="18"/>
                <w:szCs w:val="18"/>
              </w:rPr>
            </w:pPr>
            <w:r>
              <w:rPr>
                <w:sz w:val="18"/>
                <w:szCs w:val="18"/>
              </w:rPr>
              <w:t>（4）施工开挖表土和弃渣应就近集中分开堆存，以利于回填。</w:t>
            </w:r>
          </w:p>
          <w:p w14:paraId="237F5E11">
            <w:pPr>
              <w:tabs>
                <w:tab w:val="clear" w:pos="480"/>
              </w:tabs>
              <w:adjustRightInd w:val="0"/>
              <w:snapToGrid w:val="0"/>
              <w:spacing w:line="240" w:lineRule="auto"/>
              <w:ind w:firstLine="0" w:firstLineChars="0"/>
              <w:rPr>
                <w:sz w:val="18"/>
                <w:szCs w:val="18"/>
              </w:rPr>
            </w:pPr>
            <w:r>
              <w:rPr>
                <w:sz w:val="18"/>
                <w:szCs w:val="18"/>
              </w:rPr>
              <w:t>（5）场内道路、施工生产设施、弃渣场等区域水土保持工程防护措施须落实。</w:t>
            </w:r>
          </w:p>
        </w:tc>
      </w:tr>
      <w:tr w14:paraId="25E743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3D3CA028">
            <w:pPr>
              <w:tabs>
                <w:tab w:val="clear" w:pos="480"/>
              </w:tabs>
              <w:adjustRightInd w:val="0"/>
              <w:snapToGrid w:val="0"/>
              <w:spacing w:line="240" w:lineRule="auto"/>
              <w:ind w:firstLine="0" w:firstLineChars="0"/>
              <w:jc w:val="center"/>
              <w:rPr>
                <w:sz w:val="18"/>
                <w:szCs w:val="18"/>
              </w:rPr>
            </w:pPr>
            <w:r>
              <w:rPr>
                <w:sz w:val="18"/>
                <w:szCs w:val="18"/>
              </w:rPr>
              <w:t>施工后期生态恢复</w:t>
            </w:r>
          </w:p>
        </w:tc>
        <w:tc>
          <w:tcPr>
            <w:tcW w:w="7252" w:type="dxa"/>
            <w:tcBorders>
              <w:top w:val="single" w:color="auto" w:sz="4" w:space="0"/>
              <w:left w:val="single" w:color="auto" w:sz="4" w:space="0"/>
              <w:bottom w:val="single" w:color="auto" w:sz="4" w:space="0"/>
              <w:right w:val="single" w:color="auto" w:sz="12" w:space="0"/>
            </w:tcBorders>
            <w:vAlign w:val="center"/>
          </w:tcPr>
          <w:p w14:paraId="59D9063B">
            <w:pPr>
              <w:tabs>
                <w:tab w:val="clear" w:pos="480"/>
              </w:tabs>
              <w:adjustRightInd w:val="0"/>
              <w:snapToGrid w:val="0"/>
              <w:spacing w:line="240" w:lineRule="auto"/>
              <w:ind w:firstLine="0" w:firstLineChars="0"/>
              <w:rPr>
                <w:sz w:val="18"/>
                <w:szCs w:val="18"/>
              </w:rPr>
            </w:pPr>
            <w:r>
              <w:rPr>
                <w:sz w:val="18"/>
                <w:szCs w:val="18"/>
              </w:rPr>
              <w:t>（1）场内道路区：要求清理公路沿线渣料，对沿线裸露区域覆土恢复植被。</w:t>
            </w:r>
          </w:p>
          <w:p w14:paraId="75D0EE41">
            <w:pPr>
              <w:tabs>
                <w:tab w:val="clear" w:pos="480"/>
              </w:tabs>
              <w:adjustRightInd w:val="0"/>
              <w:snapToGrid w:val="0"/>
              <w:spacing w:line="240" w:lineRule="auto"/>
              <w:ind w:firstLine="0" w:firstLineChars="0"/>
              <w:rPr>
                <w:sz w:val="18"/>
                <w:szCs w:val="18"/>
              </w:rPr>
            </w:pPr>
            <w:r>
              <w:rPr>
                <w:sz w:val="18"/>
                <w:szCs w:val="18"/>
              </w:rPr>
              <w:t>（2）施工营地：要求施工结束后清理场地，再覆土恢复植被。</w:t>
            </w:r>
          </w:p>
          <w:p w14:paraId="6B51383C">
            <w:pPr>
              <w:tabs>
                <w:tab w:val="clear" w:pos="480"/>
              </w:tabs>
              <w:adjustRightInd w:val="0"/>
              <w:snapToGrid w:val="0"/>
              <w:spacing w:line="240" w:lineRule="auto"/>
              <w:ind w:firstLine="0" w:firstLineChars="0"/>
              <w:rPr>
                <w:sz w:val="18"/>
                <w:szCs w:val="18"/>
              </w:rPr>
            </w:pPr>
            <w:r>
              <w:rPr>
                <w:sz w:val="18"/>
                <w:szCs w:val="18"/>
              </w:rPr>
              <w:t>（3）主体工程区：风机基础区覆土植草，电缆沟沿线整地恢复植被。</w:t>
            </w:r>
          </w:p>
        </w:tc>
      </w:tr>
      <w:tr w14:paraId="74671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3406B057">
            <w:pPr>
              <w:tabs>
                <w:tab w:val="clear" w:pos="480"/>
              </w:tabs>
              <w:adjustRightInd w:val="0"/>
              <w:snapToGrid w:val="0"/>
              <w:spacing w:line="240" w:lineRule="auto"/>
              <w:ind w:firstLine="0" w:firstLineChars="0"/>
              <w:jc w:val="left"/>
              <w:rPr>
                <w:sz w:val="18"/>
                <w:szCs w:val="18"/>
              </w:rPr>
            </w:pPr>
            <w:r>
              <w:rPr>
                <w:rFonts w:hint="eastAsia"/>
                <w:sz w:val="18"/>
                <w:szCs w:val="18"/>
              </w:rPr>
              <w:t>湖南衡阳岣嵝峰国家森林公园</w:t>
            </w:r>
          </w:p>
        </w:tc>
        <w:tc>
          <w:tcPr>
            <w:tcW w:w="7252" w:type="dxa"/>
            <w:tcBorders>
              <w:top w:val="single" w:color="auto" w:sz="4" w:space="0"/>
              <w:left w:val="single" w:color="auto" w:sz="4" w:space="0"/>
              <w:bottom w:val="single" w:color="auto" w:sz="4" w:space="0"/>
              <w:right w:val="single" w:color="auto" w:sz="12" w:space="0"/>
            </w:tcBorders>
            <w:vAlign w:val="center"/>
          </w:tcPr>
          <w:p w14:paraId="7FA7B64B">
            <w:pPr>
              <w:tabs>
                <w:tab w:val="clear" w:pos="480"/>
              </w:tabs>
              <w:adjustRightInd w:val="0"/>
              <w:snapToGrid w:val="0"/>
              <w:spacing w:line="240" w:lineRule="auto"/>
              <w:ind w:firstLine="0" w:firstLineChars="0"/>
              <w:rPr>
                <w:sz w:val="18"/>
                <w:szCs w:val="18"/>
              </w:rPr>
            </w:pPr>
            <w:r>
              <w:rPr>
                <w:rFonts w:hint="eastAsia"/>
                <w:sz w:val="18"/>
                <w:szCs w:val="18"/>
              </w:rPr>
              <w:t>（1）严格控制施工边界，严谨跨界施工；</w:t>
            </w:r>
          </w:p>
          <w:p w14:paraId="60096064">
            <w:pPr>
              <w:tabs>
                <w:tab w:val="clear" w:pos="480"/>
              </w:tabs>
              <w:adjustRightInd w:val="0"/>
              <w:snapToGrid w:val="0"/>
              <w:spacing w:line="240" w:lineRule="auto"/>
              <w:ind w:firstLine="0" w:firstLineChars="0"/>
              <w:rPr>
                <w:sz w:val="18"/>
                <w:szCs w:val="18"/>
              </w:rPr>
            </w:pPr>
            <w:r>
              <w:rPr>
                <w:rFonts w:hint="eastAsia"/>
                <w:sz w:val="18"/>
                <w:szCs w:val="18"/>
              </w:rPr>
              <w:t>（2）加强施工管理，严禁非法捕捞；</w:t>
            </w:r>
          </w:p>
          <w:p w14:paraId="62C3D3FD">
            <w:pPr>
              <w:widowControl/>
              <w:tabs>
                <w:tab w:val="clear" w:pos="480"/>
              </w:tabs>
              <w:adjustRightInd w:val="0"/>
              <w:snapToGrid w:val="0"/>
              <w:spacing w:line="240" w:lineRule="auto"/>
              <w:ind w:left="960" w:right="113" w:firstLine="0" w:firstLineChars="0"/>
              <w:rPr>
                <w:sz w:val="18"/>
                <w:szCs w:val="18"/>
              </w:rPr>
            </w:pPr>
            <w:r>
              <w:rPr>
                <w:rFonts w:hint="eastAsia"/>
                <w:sz w:val="18"/>
                <w:szCs w:val="18"/>
              </w:rPr>
              <w:t>（3）加强施工期的监督管理，严格监督施工单位按照环评所描述的风机点位和道路施工，若发生偏移，建设单位应完善相关环保手续；</w:t>
            </w:r>
          </w:p>
          <w:p w14:paraId="0DA86DD3">
            <w:pPr>
              <w:tabs>
                <w:tab w:val="clear" w:pos="480"/>
              </w:tabs>
              <w:spacing w:line="240" w:lineRule="auto"/>
              <w:ind w:firstLine="0" w:firstLineChars="0"/>
              <w:rPr>
                <w:sz w:val="18"/>
                <w:szCs w:val="18"/>
              </w:rPr>
            </w:pPr>
            <w:r>
              <w:rPr>
                <w:rFonts w:hint="eastAsia"/>
                <w:sz w:val="18"/>
                <w:szCs w:val="18"/>
              </w:rPr>
              <w:t>（4）湖南衡阳岣嵝峰国家森林公园周边风机机位和道路施工过程中设置围挡，严禁将弃渣场设置在湖南衡阳岣嵝峰国家森林公园汇水范围内；</w:t>
            </w:r>
          </w:p>
          <w:p w14:paraId="1189F41F">
            <w:pPr>
              <w:tabs>
                <w:tab w:val="clear" w:pos="480"/>
              </w:tabs>
              <w:spacing w:line="240" w:lineRule="auto"/>
              <w:ind w:firstLine="0" w:firstLineChars="0"/>
              <w:rPr>
                <w:sz w:val="18"/>
                <w:szCs w:val="18"/>
              </w:rPr>
            </w:pPr>
            <w:r>
              <w:rPr>
                <w:rFonts w:hint="eastAsia"/>
                <w:sz w:val="18"/>
                <w:szCs w:val="18"/>
              </w:rPr>
              <w:t>（5）施工过程中的废水严禁排入湖南衡阳岣嵝峰国家森林公园内，施工弃渣和生活垃圾严禁弃入该森林公园内。</w:t>
            </w:r>
          </w:p>
        </w:tc>
      </w:tr>
      <w:tr w14:paraId="725AA5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315629AA">
            <w:pPr>
              <w:tabs>
                <w:tab w:val="clear" w:pos="480"/>
              </w:tabs>
              <w:adjustRightInd w:val="0"/>
              <w:snapToGrid w:val="0"/>
              <w:spacing w:line="240" w:lineRule="auto"/>
              <w:ind w:firstLine="0" w:firstLineChars="0"/>
              <w:jc w:val="center"/>
              <w:rPr>
                <w:sz w:val="18"/>
                <w:szCs w:val="18"/>
              </w:rPr>
            </w:pPr>
            <w:r>
              <w:rPr>
                <w:sz w:val="18"/>
                <w:szCs w:val="18"/>
              </w:rPr>
              <w:t>废水</w:t>
            </w:r>
          </w:p>
        </w:tc>
        <w:tc>
          <w:tcPr>
            <w:tcW w:w="7252" w:type="dxa"/>
            <w:tcBorders>
              <w:top w:val="single" w:color="auto" w:sz="4" w:space="0"/>
              <w:left w:val="single" w:color="auto" w:sz="4" w:space="0"/>
              <w:bottom w:val="single" w:color="auto" w:sz="4" w:space="0"/>
              <w:right w:val="single" w:color="auto" w:sz="12" w:space="0"/>
            </w:tcBorders>
            <w:vAlign w:val="center"/>
          </w:tcPr>
          <w:p w14:paraId="518933A7">
            <w:pPr>
              <w:tabs>
                <w:tab w:val="clear" w:pos="480"/>
              </w:tabs>
              <w:adjustRightInd w:val="0"/>
              <w:snapToGrid w:val="0"/>
              <w:spacing w:line="240" w:lineRule="auto"/>
              <w:ind w:firstLine="0" w:firstLineChars="0"/>
              <w:rPr>
                <w:sz w:val="18"/>
                <w:szCs w:val="18"/>
              </w:rPr>
            </w:pPr>
            <w:r>
              <w:rPr>
                <w:sz w:val="18"/>
                <w:szCs w:val="18"/>
              </w:rPr>
              <w:t>（1）施工废水通过沉砂池进行澄清处理后回用于洒水抑尘；</w:t>
            </w:r>
          </w:p>
          <w:p w14:paraId="178F5FCB">
            <w:pPr>
              <w:tabs>
                <w:tab w:val="clear" w:pos="480"/>
              </w:tabs>
              <w:adjustRightInd w:val="0"/>
              <w:snapToGrid w:val="0"/>
              <w:spacing w:line="240" w:lineRule="auto"/>
              <w:ind w:firstLine="0" w:firstLineChars="0"/>
              <w:rPr>
                <w:sz w:val="18"/>
                <w:szCs w:val="18"/>
              </w:rPr>
            </w:pPr>
            <w:r>
              <w:rPr>
                <w:sz w:val="18"/>
                <w:szCs w:val="18"/>
              </w:rPr>
              <w:t>（2）施工生活污水通经化粪池处理后用于林地浇灌</w:t>
            </w:r>
            <w:r>
              <w:rPr>
                <w:rFonts w:hint="eastAsia"/>
                <w:sz w:val="18"/>
                <w:szCs w:val="18"/>
              </w:rPr>
              <w:t>；</w:t>
            </w:r>
          </w:p>
        </w:tc>
      </w:tr>
      <w:tr w14:paraId="3C2E9D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1A813135">
            <w:pPr>
              <w:tabs>
                <w:tab w:val="clear" w:pos="480"/>
              </w:tabs>
              <w:adjustRightInd w:val="0"/>
              <w:snapToGrid w:val="0"/>
              <w:spacing w:line="240" w:lineRule="auto"/>
              <w:ind w:firstLine="0" w:firstLineChars="0"/>
              <w:jc w:val="center"/>
              <w:rPr>
                <w:sz w:val="18"/>
                <w:szCs w:val="18"/>
              </w:rPr>
            </w:pPr>
            <w:r>
              <w:rPr>
                <w:rFonts w:hint="eastAsia"/>
                <w:kern w:val="0"/>
                <w:sz w:val="18"/>
                <w:szCs w:val="18"/>
              </w:rPr>
              <w:t>衡阳县岣嵝乡环洞村山溪水饮用水水源保护区</w:t>
            </w:r>
          </w:p>
        </w:tc>
        <w:tc>
          <w:tcPr>
            <w:tcW w:w="7252" w:type="dxa"/>
            <w:tcBorders>
              <w:top w:val="single" w:color="auto" w:sz="4" w:space="0"/>
              <w:left w:val="single" w:color="auto" w:sz="4" w:space="0"/>
              <w:bottom w:val="single" w:color="auto" w:sz="4" w:space="0"/>
              <w:right w:val="single" w:color="auto" w:sz="12" w:space="0"/>
            </w:tcBorders>
            <w:vAlign w:val="center"/>
          </w:tcPr>
          <w:p w14:paraId="69498C67">
            <w:pPr>
              <w:tabs>
                <w:tab w:val="clear" w:pos="480"/>
              </w:tabs>
              <w:adjustRightInd w:val="0"/>
              <w:snapToGrid w:val="0"/>
              <w:spacing w:line="240" w:lineRule="auto"/>
              <w:ind w:firstLine="0" w:firstLineChars="0"/>
              <w:rPr>
                <w:sz w:val="18"/>
                <w:szCs w:val="18"/>
              </w:rPr>
            </w:pPr>
            <w:r>
              <w:rPr>
                <w:sz w:val="18"/>
                <w:szCs w:val="18"/>
              </w:rPr>
              <w:t>（1）施工废水通过沉砂池进行澄清处理后回用于洒水抑尘；</w:t>
            </w:r>
          </w:p>
          <w:p w14:paraId="459C3691">
            <w:pPr>
              <w:tabs>
                <w:tab w:val="clear" w:pos="480"/>
              </w:tabs>
              <w:adjustRightInd w:val="0"/>
              <w:snapToGrid w:val="0"/>
              <w:spacing w:line="240" w:lineRule="auto"/>
              <w:ind w:firstLine="0" w:firstLineChars="0"/>
              <w:rPr>
                <w:sz w:val="18"/>
                <w:szCs w:val="18"/>
              </w:rPr>
            </w:pPr>
            <w:r>
              <w:rPr>
                <w:sz w:val="18"/>
                <w:szCs w:val="18"/>
              </w:rPr>
              <w:t>（2）施工生活污水通经化粪池处理后用于林地浇灌</w:t>
            </w:r>
            <w:r>
              <w:rPr>
                <w:rFonts w:hint="eastAsia"/>
                <w:sz w:val="18"/>
                <w:szCs w:val="18"/>
              </w:rPr>
              <w:t>；</w:t>
            </w:r>
          </w:p>
          <w:p w14:paraId="14E628C7">
            <w:pPr>
              <w:tabs>
                <w:tab w:val="clear" w:pos="480"/>
              </w:tabs>
              <w:adjustRightInd w:val="0"/>
              <w:snapToGrid w:val="0"/>
              <w:spacing w:line="240" w:lineRule="auto"/>
              <w:ind w:firstLine="0" w:firstLineChars="0"/>
              <w:rPr>
                <w:sz w:val="18"/>
                <w:szCs w:val="18"/>
              </w:rPr>
            </w:pPr>
            <w:r>
              <w:rPr>
                <w:rFonts w:hint="eastAsia"/>
                <w:sz w:val="21"/>
                <w:szCs w:val="18"/>
              </w:rPr>
              <w:t>（3</w:t>
            </w:r>
            <w:r>
              <w:rPr>
                <w:rFonts w:hint="eastAsia"/>
                <w:sz w:val="18"/>
                <w:szCs w:val="18"/>
              </w:rPr>
              <w:t>）各风机机位和附近道路施工时设置围挡，防止开挖土石方进入地表水；</w:t>
            </w:r>
          </w:p>
          <w:p w14:paraId="5CB71470">
            <w:pPr>
              <w:tabs>
                <w:tab w:val="clear" w:pos="480"/>
              </w:tabs>
              <w:adjustRightInd w:val="0"/>
              <w:snapToGrid w:val="0"/>
              <w:spacing w:line="240" w:lineRule="auto"/>
              <w:ind w:firstLine="0" w:firstLineChars="0"/>
              <w:rPr>
                <w:sz w:val="18"/>
                <w:szCs w:val="18"/>
              </w:rPr>
            </w:pPr>
            <w:r>
              <w:rPr>
                <w:rFonts w:hint="eastAsia"/>
                <w:sz w:val="18"/>
                <w:szCs w:val="18"/>
              </w:rPr>
              <w:t>（4）</w:t>
            </w:r>
            <w:r>
              <w:rPr>
                <w:sz w:val="18"/>
                <w:szCs w:val="18"/>
              </w:rPr>
              <w:t>3#</w:t>
            </w:r>
            <w:r>
              <w:rPr>
                <w:rFonts w:hint="eastAsia"/>
                <w:sz w:val="18"/>
                <w:szCs w:val="18"/>
              </w:rPr>
              <w:t>风机机位和3</w:t>
            </w:r>
            <w:r>
              <w:rPr>
                <w:sz w:val="18"/>
                <w:szCs w:val="18"/>
              </w:rPr>
              <w:t>#~4#</w:t>
            </w:r>
            <w:r>
              <w:rPr>
                <w:rFonts w:hint="eastAsia"/>
                <w:sz w:val="18"/>
                <w:szCs w:val="18"/>
              </w:rPr>
              <w:t>场内道路避免雨天施工；</w:t>
            </w:r>
          </w:p>
          <w:p w14:paraId="7697E4BA">
            <w:pPr>
              <w:tabs>
                <w:tab w:val="clear" w:pos="480"/>
              </w:tabs>
              <w:adjustRightInd w:val="0"/>
              <w:snapToGrid w:val="0"/>
              <w:spacing w:line="240" w:lineRule="auto"/>
              <w:ind w:firstLine="0" w:firstLineChars="0"/>
              <w:rPr>
                <w:sz w:val="18"/>
                <w:szCs w:val="18"/>
              </w:rPr>
            </w:pPr>
            <w:r>
              <w:rPr>
                <w:rFonts w:hint="eastAsia"/>
                <w:sz w:val="18"/>
                <w:szCs w:val="18"/>
              </w:rPr>
              <w:t>（5）严禁将弃渣场设置在各饮用水水源保护区的汇水范围</w:t>
            </w:r>
          </w:p>
        </w:tc>
      </w:tr>
      <w:tr w14:paraId="0768E6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63694AA4">
            <w:pPr>
              <w:tabs>
                <w:tab w:val="clear" w:pos="480"/>
              </w:tabs>
              <w:adjustRightInd w:val="0"/>
              <w:snapToGrid w:val="0"/>
              <w:spacing w:line="240" w:lineRule="auto"/>
              <w:ind w:firstLine="0" w:firstLineChars="0"/>
              <w:jc w:val="center"/>
              <w:rPr>
                <w:sz w:val="18"/>
                <w:szCs w:val="18"/>
              </w:rPr>
            </w:pPr>
            <w:r>
              <w:rPr>
                <w:sz w:val="18"/>
                <w:szCs w:val="18"/>
              </w:rPr>
              <w:t>固废</w:t>
            </w:r>
          </w:p>
        </w:tc>
        <w:tc>
          <w:tcPr>
            <w:tcW w:w="7252" w:type="dxa"/>
            <w:tcBorders>
              <w:top w:val="single" w:color="auto" w:sz="4" w:space="0"/>
              <w:left w:val="single" w:color="auto" w:sz="4" w:space="0"/>
              <w:bottom w:val="single" w:color="auto" w:sz="4" w:space="0"/>
              <w:right w:val="single" w:color="auto" w:sz="12" w:space="0"/>
            </w:tcBorders>
            <w:vAlign w:val="center"/>
          </w:tcPr>
          <w:p w14:paraId="59616F1C">
            <w:pPr>
              <w:tabs>
                <w:tab w:val="clear" w:pos="480"/>
              </w:tabs>
              <w:adjustRightInd w:val="0"/>
              <w:snapToGrid w:val="0"/>
              <w:spacing w:line="240" w:lineRule="auto"/>
              <w:ind w:firstLine="0" w:firstLineChars="0"/>
              <w:rPr>
                <w:kern w:val="0"/>
                <w:sz w:val="18"/>
                <w:szCs w:val="18"/>
              </w:rPr>
            </w:pPr>
            <w:r>
              <w:rPr>
                <w:kern w:val="0"/>
                <w:sz w:val="18"/>
                <w:szCs w:val="18"/>
              </w:rPr>
              <w:t>（1）设置</w:t>
            </w:r>
            <w:r>
              <w:rPr>
                <w:rFonts w:hint="eastAsia"/>
                <w:kern w:val="0"/>
                <w:sz w:val="18"/>
                <w:szCs w:val="18"/>
              </w:rPr>
              <w:t>8处</w:t>
            </w:r>
            <w:r>
              <w:rPr>
                <w:kern w:val="0"/>
                <w:sz w:val="18"/>
                <w:szCs w:val="18"/>
              </w:rPr>
              <w:t>弃渣场集中处理弃渣、不得随意堆弃；</w:t>
            </w:r>
          </w:p>
          <w:p w14:paraId="09F076D7">
            <w:pPr>
              <w:tabs>
                <w:tab w:val="clear" w:pos="480"/>
              </w:tabs>
              <w:adjustRightInd w:val="0"/>
              <w:snapToGrid w:val="0"/>
              <w:spacing w:line="240" w:lineRule="auto"/>
              <w:ind w:firstLine="0" w:firstLineChars="0"/>
              <w:rPr>
                <w:kern w:val="0"/>
                <w:sz w:val="18"/>
                <w:szCs w:val="18"/>
              </w:rPr>
            </w:pPr>
            <w:r>
              <w:rPr>
                <w:kern w:val="0"/>
                <w:sz w:val="18"/>
                <w:szCs w:val="18"/>
              </w:rPr>
              <w:t>（2）表土就近设置临时堆土场，上覆土工布，或弃渣场设置临时表土贮存区，施工结束后表土用于植被恢复；</w:t>
            </w:r>
          </w:p>
          <w:p w14:paraId="690BDEA2">
            <w:pPr>
              <w:tabs>
                <w:tab w:val="clear" w:pos="480"/>
              </w:tabs>
              <w:adjustRightInd w:val="0"/>
              <w:snapToGrid w:val="0"/>
              <w:spacing w:line="240" w:lineRule="auto"/>
              <w:ind w:firstLine="0" w:firstLineChars="0"/>
              <w:rPr>
                <w:sz w:val="18"/>
                <w:szCs w:val="18"/>
              </w:rPr>
            </w:pPr>
            <w:r>
              <w:rPr>
                <w:kern w:val="0"/>
                <w:sz w:val="18"/>
                <w:szCs w:val="18"/>
              </w:rPr>
              <w:t>（3）生活垃圾采用垃圾桶收集后定期清交由环卫部门处理。</w:t>
            </w:r>
          </w:p>
        </w:tc>
      </w:tr>
      <w:tr w14:paraId="11F2B3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5E5E0F23">
            <w:pPr>
              <w:tabs>
                <w:tab w:val="clear" w:pos="480"/>
              </w:tabs>
              <w:adjustRightInd w:val="0"/>
              <w:snapToGrid w:val="0"/>
              <w:spacing w:line="240" w:lineRule="auto"/>
              <w:ind w:firstLine="0" w:firstLineChars="0"/>
              <w:jc w:val="center"/>
              <w:rPr>
                <w:sz w:val="18"/>
                <w:szCs w:val="18"/>
              </w:rPr>
            </w:pPr>
            <w:r>
              <w:rPr>
                <w:sz w:val="18"/>
                <w:szCs w:val="18"/>
              </w:rPr>
              <w:t>噪声</w:t>
            </w:r>
          </w:p>
        </w:tc>
        <w:tc>
          <w:tcPr>
            <w:tcW w:w="7252" w:type="dxa"/>
            <w:tcBorders>
              <w:top w:val="single" w:color="auto" w:sz="4" w:space="0"/>
              <w:left w:val="single" w:color="auto" w:sz="4" w:space="0"/>
              <w:bottom w:val="single" w:color="auto" w:sz="4" w:space="0"/>
              <w:right w:val="single" w:color="auto" w:sz="12" w:space="0"/>
            </w:tcBorders>
            <w:vAlign w:val="center"/>
          </w:tcPr>
          <w:p w14:paraId="59779C7D">
            <w:pPr>
              <w:tabs>
                <w:tab w:val="clear" w:pos="480"/>
              </w:tabs>
              <w:adjustRightInd w:val="0"/>
              <w:snapToGrid w:val="0"/>
              <w:spacing w:line="240" w:lineRule="auto"/>
              <w:ind w:firstLine="0" w:firstLineChars="0"/>
              <w:rPr>
                <w:kern w:val="0"/>
                <w:sz w:val="18"/>
                <w:szCs w:val="18"/>
              </w:rPr>
            </w:pPr>
            <w:r>
              <w:rPr>
                <w:kern w:val="0"/>
                <w:sz w:val="18"/>
                <w:szCs w:val="18"/>
              </w:rPr>
              <w:t>（1）高噪声设备远离场界布置，合理安排施工作业时间；</w:t>
            </w:r>
          </w:p>
          <w:p w14:paraId="5CBB3B07">
            <w:pPr>
              <w:tabs>
                <w:tab w:val="clear" w:pos="480"/>
              </w:tabs>
              <w:adjustRightInd w:val="0"/>
              <w:snapToGrid w:val="0"/>
              <w:spacing w:line="240" w:lineRule="auto"/>
              <w:ind w:firstLine="0" w:firstLineChars="0"/>
              <w:rPr>
                <w:kern w:val="0"/>
                <w:sz w:val="18"/>
                <w:szCs w:val="18"/>
              </w:rPr>
            </w:pPr>
            <w:r>
              <w:rPr>
                <w:kern w:val="0"/>
                <w:sz w:val="18"/>
                <w:szCs w:val="18"/>
              </w:rPr>
              <w:t>（2）在</w:t>
            </w:r>
            <w:r>
              <w:rPr>
                <w:rFonts w:hint="eastAsia"/>
                <w:kern w:val="0"/>
                <w:sz w:val="18"/>
                <w:szCs w:val="18"/>
              </w:rPr>
              <w:t>道路沿线</w:t>
            </w:r>
            <w:r>
              <w:rPr>
                <w:kern w:val="0"/>
                <w:sz w:val="18"/>
                <w:szCs w:val="18"/>
              </w:rPr>
              <w:t>居民点处设置减速墩和禁鸣标志</w:t>
            </w:r>
            <w:r>
              <w:rPr>
                <w:rFonts w:hint="eastAsia"/>
                <w:kern w:val="0"/>
                <w:sz w:val="18"/>
                <w:szCs w:val="18"/>
              </w:rPr>
              <w:t>；</w:t>
            </w:r>
          </w:p>
          <w:p w14:paraId="15D470A9">
            <w:pPr>
              <w:tabs>
                <w:tab w:val="clear" w:pos="480"/>
              </w:tabs>
              <w:adjustRightInd w:val="0"/>
              <w:snapToGrid w:val="0"/>
              <w:spacing w:line="240" w:lineRule="auto"/>
              <w:ind w:firstLine="0" w:firstLineChars="0"/>
              <w:rPr>
                <w:sz w:val="18"/>
                <w:szCs w:val="18"/>
              </w:rPr>
            </w:pPr>
            <w:r>
              <w:rPr>
                <w:kern w:val="0"/>
                <w:sz w:val="18"/>
                <w:szCs w:val="18"/>
              </w:rPr>
              <w:t>（3）在爆破点外300m设置爆破警戒线、采用微差爆破、避免在晨昏和正午时段爆破作业、减少爆破作业频次、进行爆破现场人员清场、严格控制炸药使用量</w:t>
            </w:r>
          </w:p>
        </w:tc>
      </w:tr>
      <w:tr w14:paraId="5DA61A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4" w:space="0"/>
              <w:right w:val="single" w:color="auto" w:sz="4" w:space="0"/>
            </w:tcBorders>
            <w:vAlign w:val="center"/>
          </w:tcPr>
          <w:p w14:paraId="26D18106">
            <w:pPr>
              <w:tabs>
                <w:tab w:val="clear" w:pos="480"/>
              </w:tabs>
              <w:adjustRightInd w:val="0"/>
              <w:snapToGrid w:val="0"/>
              <w:spacing w:line="240" w:lineRule="auto"/>
              <w:ind w:firstLine="0" w:firstLineChars="0"/>
              <w:jc w:val="center"/>
              <w:rPr>
                <w:sz w:val="18"/>
                <w:szCs w:val="18"/>
              </w:rPr>
            </w:pPr>
            <w:r>
              <w:rPr>
                <w:sz w:val="18"/>
                <w:szCs w:val="18"/>
              </w:rPr>
              <w:t>废气</w:t>
            </w:r>
          </w:p>
        </w:tc>
        <w:tc>
          <w:tcPr>
            <w:tcW w:w="7252" w:type="dxa"/>
            <w:tcBorders>
              <w:top w:val="single" w:color="auto" w:sz="4" w:space="0"/>
              <w:left w:val="single" w:color="auto" w:sz="4" w:space="0"/>
              <w:bottom w:val="single" w:color="auto" w:sz="4" w:space="0"/>
              <w:right w:val="single" w:color="auto" w:sz="12" w:space="0"/>
            </w:tcBorders>
            <w:vAlign w:val="center"/>
          </w:tcPr>
          <w:p w14:paraId="4E4F8052">
            <w:pPr>
              <w:tabs>
                <w:tab w:val="clear" w:pos="480"/>
              </w:tabs>
              <w:autoSpaceDE w:val="0"/>
              <w:autoSpaceDN w:val="0"/>
              <w:adjustRightInd w:val="0"/>
              <w:snapToGrid w:val="0"/>
              <w:spacing w:line="240" w:lineRule="auto"/>
              <w:ind w:firstLine="0" w:firstLineChars="0"/>
              <w:rPr>
                <w:sz w:val="18"/>
                <w:szCs w:val="18"/>
              </w:rPr>
            </w:pPr>
            <w:r>
              <w:rPr>
                <w:sz w:val="18"/>
                <w:szCs w:val="18"/>
              </w:rPr>
              <w:t>（1）施工营地的施工场地采取洒水抑尘和堆场临时遮盖等措施；对施工机械定期进行检修保养。</w:t>
            </w:r>
          </w:p>
          <w:p w14:paraId="5AFAAC05">
            <w:pPr>
              <w:tabs>
                <w:tab w:val="clear" w:pos="480"/>
              </w:tabs>
              <w:adjustRightInd w:val="0"/>
              <w:snapToGrid w:val="0"/>
              <w:spacing w:line="240" w:lineRule="auto"/>
              <w:ind w:firstLine="0" w:firstLineChars="0"/>
              <w:rPr>
                <w:sz w:val="18"/>
                <w:szCs w:val="18"/>
              </w:rPr>
            </w:pPr>
            <w:r>
              <w:rPr>
                <w:sz w:val="18"/>
                <w:szCs w:val="18"/>
              </w:rPr>
              <w:t>（2）居民点附近加强洒水降尘。</w:t>
            </w:r>
          </w:p>
        </w:tc>
      </w:tr>
      <w:tr w14:paraId="195A07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dxa"/>
            <w:tcBorders>
              <w:top w:val="single" w:color="auto" w:sz="4" w:space="0"/>
              <w:left w:val="single" w:color="auto" w:sz="12" w:space="0"/>
              <w:bottom w:val="single" w:color="auto" w:sz="12" w:space="0"/>
              <w:right w:val="single" w:color="auto" w:sz="4" w:space="0"/>
            </w:tcBorders>
            <w:vAlign w:val="center"/>
          </w:tcPr>
          <w:p w14:paraId="485A370A">
            <w:pPr>
              <w:tabs>
                <w:tab w:val="clear" w:pos="480"/>
              </w:tabs>
              <w:adjustRightInd w:val="0"/>
              <w:snapToGrid w:val="0"/>
              <w:spacing w:line="240" w:lineRule="auto"/>
              <w:ind w:firstLine="0" w:firstLineChars="0"/>
              <w:jc w:val="center"/>
              <w:rPr>
                <w:sz w:val="18"/>
                <w:szCs w:val="18"/>
              </w:rPr>
            </w:pPr>
            <w:r>
              <w:rPr>
                <w:sz w:val="18"/>
                <w:szCs w:val="18"/>
              </w:rPr>
              <w:t>环境风险</w:t>
            </w:r>
          </w:p>
        </w:tc>
        <w:tc>
          <w:tcPr>
            <w:tcW w:w="7252" w:type="dxa"/>
            <w:tcBorders>
              <w:top w:val="single" w:color="auto" w:sz="4" w:space="0"/>
              <w:left w:val="single" w:color="auto" w:sz="4" w:space="0"/>
              <w:bottom w:val="single" w:color="auto" w:sz="12" w:space="0"/>
              <w:right w:val="single" w:color="auto" w:sz="12" w:space="0"/>
            </w:tcBorders>
            <w:vAlign w:val="center"/>
          </w:tcPr>
          <w:p w14:paraId="47FE4C74">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（1）加强防火宣传，提高施工人员的防火意识。</w:t>
            </w:r>
          </w:p>
          <w:p w14:paraId="01C7E579">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（2）加强组织领导，建立健全防火组织机构。</w:t>
            </w:r>
          </w:p>
          <w:p w14:paraId="6CBAF293">
            <w:pPr>
              <w:tabs>
                <w:tab w:val="clear" w:pos="480"/>
              </w:tabs>
              <w:autoSpaceDE w:val="0"/>
              <w:autoSpaceDN w:val="0"/>
              <w:adjustRightInd w:val="0"/>
              <w:snapToGrid w:val="0"/>
              <w:spacing w:line="240" w:lineRule="auto"/>
              <w:ind w:firstLine="0" w:firstLineChars="0"/>
              <w:jc w:val="left"/>
              <w:rPr>
                <w:kern w:val="0"/>
                <w:sz w:val="18"/>
                <w:szCs w:val="18"/>
              </w:rPr>
            </w:pPr>
            <w:r>
              <w:rPr>
                <w:kern w:val="0"/>
                <w:sz w:val="18"/>
                <w:szCs w:val="18"/>
              </w:rPr>
              <w:t>（3）设置防火隔离带，构建防火通信网络，配备相应数量的灭火器材。</w:t>
            </w:r>
          </w:p>
          <w:p w14:paraId="5AF8E445">
            <w:pPr>
              <w:tabs>
                <w:tab w:val="clear" w:pos="480"/>
              </w:tabs>
              <w:autoSpaceDE w:val="0"/>
              <w:autoSpaceDN w:val="0"/>
              <w:adjustRightInd w:val="0"/>
              <w:snapToGrid w:val="0"/>
              <w:spacing w:line="240" w:lineRule="auto"/>
              <w:ind w:firstLine="0" w:firstLineChars="0"/>
              <w:rPr>
                <w:sz w:val="18"/>
                <w:szCs w:val="18"/>
              </w:rPr>
            </w:pPr>
            <w:r>
              <w:rPr>
                <w:kern w:val="0"/>
                <w:sz w:val="18"/>
                <w:szCs w:val="18"/>
              </w:rPr>
              <w:t>（4）委托有相应资质的爆破作业单位负责爆破器材购买、运输、储存、发放和使用，并严格按照《爆破安全规程》（GB6722-2011）进行爆破作业。</w:t>
            </w:r>
          </w:p>
        </w:tc>
      </w:tr>
    </w:tbl>
    <w:p w14:paraId="2DCB8655">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竣工环境保护验收阶段的环境监理</w:t>
      </w:r>
    </w:p>
    <w:p w14:paraId="73ED43F7">
      <w:pPr>
        <w:adjustRightInd w:val="0"/>
        <w:snapToGrid w:val="0"/>
        <w:ind w:firstLine="480"/>
      </w:pPr>
      <w:r>
        <w:fldChar w:fldCharType="begin"/>
      </w:r>
      <w:r>
        <w:instrText xml:space="preserve"> = 1 \* alphabetic </w:instrText>
      </w:r>
      <w:r>
        <w:fldChar w:fldCharType="separate"/>
      </w:r>
      <w:r>
        <w:t>a</w:t>
      </w:r>
      <w:r>
        <w:fldChar w:fldCharType="end"/>
      </w:r>
      <w:r>
        <w:rPr>
          <w:rFonts w:hint="eastAsia"/>
        </w:rPr>
        <w:t>、协助建设单位应具有审批权的环境保护部门申请本项目配套环境保护设施竣工验收。需要延期的，协助建设单位申请延期验收。</w:t>
      </w:r>
    </w:p>
    <w:p w14:paraId="705559CE">
      <w:pPr>
        <w:adjustRightInd w:val="0"/>
        <w:snapToGrid w:val="0"/>
        <w:ind w:firstLine="480"/>
      </w:pPr>
      <w:r>
        <w:fldChar w:fldCharType="begin"/>
      </w:r>
      <w:r>
        <w:instrText xml:space="preserve"> = 2 \* alphabetic </w:instrText>
      </w:r>
      <w:r>
        <w:fldChar w:fldCharType="separate"/>
      </w:r>
      <w:r>
        <w:t>b</w:t>
      </w:r>
      <w:r>
        <w:fldChar w:fldCharType="end"/>
      </w:r>
      <w:r>
        <w:rPr>
          <w:rFonts w:hint="eastAsia"/>
        </w:rPr>
        <w:t>、监督试运行至竣工环境保护验收期间建设单位正常运行和维护本项目的环境保护设施。</w:t>
      </w:r>
    </w:p>
    <w:p w14:paraId="15633670">
      <w:pPr>
        <w:adjustRightInd w:val="0"/>
        <w:snapToGrid w:val="0"/>
        <w:ind w:firstLine="480"/>
      </w:pPr>
      <w:r>
        <w:fldChar w:fldCharType="begin"/>
      </w:r>
      <w:r>
        <w:instrText xml:space="preserve"> = 3 \* alphabetic </w:instrText>
      </w:r>
      <w:r>
        <w:fldChar w:fldCharType="separate"/>
      </w:r>
      <w:r>
        <w:t>c</w:t>
      </w:r>
      <w:r>
        <w:fldChar w:fldCharType="end"/>
      </w:r>
      <w:r>
        <w:rPr>
          <w:rFonts w:hint="eastAsia"/>
        </w:rPr>
        <w:t>、竣工环境保护验收前向具有审批权的环境保护部门提交本项目环境监理报告。</w:t>
      </w:r>
    </w:p>
    <w:p w14:paraId="1A2C313E">
      <w:pPr>
        <w:pStyle w:val="4"/>
        <w:tabs>
          <w:tab w:val="clear" w:pos="480"/>
          <w:tab w:val="clear" w:pos="630"/>
        </w:tabs>
        <w:spacing w:before="0" w:after="0"/>
        <w:rPr>
          <w:sz w:val="30"/>
          <w:szCs w:val="30"/>
          <w:lang w:val="en-US"/>
        </w:rPr>
      </w:pPr>
      <w:bookmarkStart w:id="299" w:name="_Toc143799421"/>
      <w:bookmarkStart w:id="300" w:name="_Toc116978028"/>
      <w:r>
        <w:rPr>
          <w:sz w:val="30"/>
          <w:szCs w:val="30"/>
          <w:lang w:val="en-US"/>
        </w:rPr>
        <w:t>1</w:t>
      </w:r>
      <w:r>
        <w:rPr>
          <w:rFonts w:hint="eastAsia"/>
          <w:sz w:val="30"/>
          <w:szCs w:val="30"/>
          <w:lang w:val="en-US"/>
        </w:rPr>
        <w:t>2</w:t>
      </w:r>
      <w:r>
        <w:rPr>
          <w:sz w:val="30"/>
          <w:szCs w:val="30"/>
          <w:lang w:val="en-US"/>
        </w:rPr>
        <w:t>.2</w:t>
      </w:r>
      <w:r>
        <w:rPr>
          <w:rFonts w:hint="eastAsia"/>
          <w:sz w:val="30"/>
          <w:szCs w:val="30"/>
          <w:lang w:val="en-US"/>
        </w:rPr>
        <w:t>环境监测</w:t>
      </w:r>
      <w:bookmarkEnd w:id="299"/>
      <w:bookmarkEnd w:id="300"/>
    </w:p>
    <w:p w14:paraId="2C69E719">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12.2.1</w:t>
      </w:r>
      <w:r>
        <w:rPr>
          <w:rFonts w:hint="eastAsia"/>
          <w:b/>
          <w:kern w:val="24"/>
          <w:sz w:val="28"/>
          <w:szCs w:val="28"/>
          <w:lang w:val="zh-CN"/>
        </w:rPr>
        <w:t>水质监测</w:t>
      </w:r>
    </w:p>
    <w:p w14:paraId="75D3802C">
      <w:pPr>
        <w:adjustRightInd w:val="0"/>
        <w:snapToGrid w:val="0"/>
        <w:ind w:firstLine="480"/>
      </w:pPr>
      <w:r>
        <w:t>（1）施工期：施工生产废水经沉淀后全部回用，不外排；生活污水经化粪池处理后用于周边林地浇灌，不外排。因此，无需对施工期废水水质进行监测。</w:t>
      </w:r>
    </w:p>
    <w:p w14:paraId="4DE90CDF">
      <w:pPr>
        <w:adjustRightInd w:val="0"/>
        <w:snapToGrid w:val="0"/>
        <w:ind w:firstLine="480"/>
      </w:pPr>
      <w:r>
        <w:t>（2）运行期：</w:t>
      </w:r>
    </w:p>
    <w:p w14:paraId="009FAEA4">
      <w:pPr>
        <w:adjustRightInd w:val="0"/>
        <w:snapToGrid w:val="0"/>
        <w:ind w:firstLine="480"/>
      </w:pPr>
      <w:r>
        <w:fldChar w:fldCharType="begin"/>
      </w:r>
      <w:r>
        <w:instrText xml:space="preserve"> = 1 \* GB3 </w:instrText>
      </w:r>
      <w:r>
        <w:fldChar w:fldCharType="separate"/>
      </w:r>
      <w:r>
        <w:rPr>
          <w:rFonts w:hint="eastAsia"/>
        </w:rPr>
        <w:t>①</w:t>
      </w:r>
      <w:r>
        <w:fldChar w:fldCharType="end"/>
      </w:r>
      <w:r>
        <w:t>监测断面：运行期拟定监测断面 1 个，设在生活污水处理系统排放口；</w:t>
      </w:r>
    </w:p>
    <w:p w14:paraId="08FB8513">
      <w:pPr>
        <w:adjustRightInd w:val="0"/>
        <w:snapToGrid w:val="0"/>
        <w:ind w:firstLine="480"/>
      </w:pPr>
      <w:r>
        <w:fldChar w:fldCharType="begin"/>
      </w:r>
      <w:r>
        <w:instrText xml:space="preserve"> = 2 \* GB3 </w:instrText>
      </w:r>
      <w:r>
        <w:fldChar w:fldCharType="separate"/>
      </w:r>
      <w:r>
        <w:rPr>
          <w:rFonts w:hint="eastAsia"/>
        </w:rPr>
        <w:t>②</w:t>
      </w:r>
      <w:r>
        <w:fldChar w:fldCharType="end"/>
      </w:r>
      <w:r>
        <w:t>监测项目：水质监测项目为pH 值、SS、粪大肠菌群、CODcr、BOD</w:t>
      </w:r>
      <w:r>
        <w:rPr>
          <w:vertAlign w:val="subscript"/>
        </w:rPr>
        <w:t>5</w:t>
      </w:r>
      <w:r>
        <w:t>、总氮、总磷、氨氮、动植物油等 9项。</w:t>
      </w:r>
    </w:p>
    <w:p w14:paraId="342CE5EC">
      <w:pPr>
        <w:adjustRightInd w:val="0"/>
        <w:snapToGrid w:val="0"/>
        <w:ind w:firstLine="480"/>
      </w:pPr>
      <w:r>
        <w:fldChar w:fldCharType="begin"/>
      </w:r>
      <w:r>
        <w:instrText xml:space="preserve"> = 3 \* GB3 </w:instrText>
      </w:r>
      <w:r>
        <w:fldChar w:fldCharType="separate"/>
      </w:r>
      <w:r>
        <w:rPr>
          <w:rFonts w:hint="eastAsia"/>
        </w:rPr>
        <w:t>③</w:t>
      </w:r>
      <w:r>
        <w:fldChar w:fldCharType="end"/>
      </w:r>
      <w:r>
        <w:t>监测频次和方法：监测频次为每年监测 1 次，监测3年。监测方法按水污染监测调查与有关饮用水监测规定的方法进行。</w:t>
      </w:r>
    </w:p>
    <w:p w14:paraId="397D60AB">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12.2.2</w:t>
      </w:r>
      <w:r>
        <w:rPr>
          <w:rFonts w:hint="eastAsia"/>
          <w:b/>
          <w:kern w:val="24"/>
          <w:sz w:val="28"/>
          <w:szCs w:val="28"/>
          <w:lang w:val="zh-CN"/>
        </w:rPr>
        <w:t>大气环境监测</w:t>
      </w:r>
    </w:p>
    <w:p w14:paraId="19F25EB9">
      <w:pPr>
        <w:adjustRightInd w:val="0"/>
        <w:snapToGrid w:val="0"/>
        <w:ind w:firstLine="480"/>
      </w:pPr>
      <w:r>
        <w:t>大气环境影响主要发生在施工期，运营期不会产生影响。因此，环境空气质量监测只考虑施工期。</w:t>
      </w:r>
    </w:p>
    <w:p w14:paraId="02288BDE">
      <w:pPr>
        <w:adjustRightInd w:val="0"/>
        <w:snapToGrid w:val="0"/>
        <w:ind w:firstLine="480"/>
      </w:pPr>
      <w:r>
        <w:t>（1）监测点位：考虑与环境现状监测点对应，拟在升压站施工场地边界设置 1 个大气环境监测点。</w:t>
      </w:r>
    </w:p>
    <w:p w14:paraId="688A8103">
      <w:pPr>
        <w:adjustRightInd w:val="0"/>
        <w:snapToGrid w:val="0"/>
        <w:ind w:firstLine="480"/>
      </w:pPr>
      <w:r>
        <w:t>（2）监测项目：监测项目为 TSP。</w:t>
      </w:r>
    </w:p>
    <w:p w14:paraId="2484473B">
      <w:pPr>
        <w:adjustRightInd w:val="0"/>
        <w:snapToGrid w:val="0"/>
        <w:ind w:firstLine="480"/>
      </w:pPr>
      <w:r>
        <w:t>（3）监测频次和方法：1次/半年，共监测2次。监测方法按国家环保总局规定的大气监测方法进行。</w:t>
      </w:r>
    </w:p>
    <w:p w14:paraId="01AD6593">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12.2.3</w:t>
      </w:r>
      <w:r>
        <w:rPr>
          <w:rFonts w:hint="eastAsia"/>
          <w:b/>
          <w:kern w:val="24"/>
          <w:sz w:val="28"/>
          <w:szCs w:val="28"/>
          <w:lang w:val="zh-CN"/>
        </w:rPr>
        <w:t>声环境监测</w:t>
      </w:r>
    </w:p>
    <w:p w14:paraId="741E6249">
      <w:pPr>
        <w:adjustRightInd w:val="0"/>
        <w:snapToGrid w:val="0"/>
        <w:ind w:firstLine="480"/>
      </w:pPr>
      <w:r>
        <w:t>（1）施工期：</w:t>
      </w:r>
    </w:p>
    <w:p w14:paraId="4CAD78F7">
      <w:pPr>
        <w:adjustRightInd w:val="0"/>
        <w:snapToGrid w:val="0"/>
        <w:ind w:firstLine="480"/>
      </w:pPr>
      <w:r>
        <w:fldChar w:fldCharType="begin"/>
      </w:r>
      <w:r>
        <w:instrText xml:space="preserve"> = 1 \* GB3 </w:instrText>
      </w:r>
      <w:r>
        <w:fldChar w:fldCharType="separate"/>
      </w:r>
      <w:r>
        <w:rPr>
          <w:rFonts w:hint="eastAsia"/>
        </w:rPr>
        <w:t>①</w:t>
      </w:r>
      <w:r>
        <w:fldChar w:fldCharType="end"/>
      </w:r>
      <w:r>
        <w:t>监测点位：为控制施工对当地居民正常生活的影响，施工期声环境监测设点设在升压站场地边界、新(改)建道路附近居民点（羊角冲居民点、元冲居民点、大湾居民点）以及风机机位较近处（环洞村扶贫基地居民点）各设 1 个监测点，共5 个监测点。</w:t>
      </w:r>
    </w:p>
    <w:p w14:paraId="3606829C">
      <w:pPr>
        <w:adjustRightInd w:val="0"/>
        <w:snapToGrid w:val="0"/>
        <w:ind w:firstLine="480"/>
      </w:pPr>
      <w:r>
        <w:fldChar w:fldCharType="begin"/>
      </w:r>
      <w:r>
        <w:instrText xml:space="preserve"> = 2 \* GB3 </w:instrText>
      </w:r>
      <w:r>
        <w:fldChar w:fldCharType="separate"/>
      </w:r>
      <w:r>
        <w:rPr>
          <w:rFonts w:hint="eastAsia"/>
        </w:rPr>
        <w:t>②</w:t>
      </w:r>
      <w:r>
        <w:fldChar w:fldCharType="end"/>
      </w:r>
      <w:r>
        <w:t>监测项目：监测项目主要为等效连续 A 声级。</w:t>
      </w:r>
    </w:p>
    <w:p w14:paraId="32CD5D36">
      <w:pPr>
        <w:adjustRightInd w:val="0"/>
        <w:snapToGrid w:val="0"/>
        <w:ind w:firstLine="480"/>
      </w:pPr>
      <w:r>
        <w:fldChar w:fldCharType="begin"/>
      </w:r>
      <w:r>
        <w:instrText xml:space="preserve"> = 3 \* GB3 </w:instrText>
      </w:r>
      <w:r>
        <w:fldChar w:fldCharType="separate"/>
      </w:r>
      <w:r>
        <w:rPr>
          <w:rFonts w:hint="eastAsia"/>
        </w:rPr>
        <w:t>③</w:t>
      </w:r>
      <w:r>
        <w:fldChar w:fldCharType="end"/>
      </w:r>
      <w:r>
        <w:t>监测频次：工程施工期间，各季度分别监测 1 天，共 4 次。每一测点仅在昼间测量。</w:t>
      </w:r>
    </w:p>
    <w:p w14:paraId="0B7D9F7C">
      <w:pPr>
        <w:adjustRightInd w:val="0"/>
        <w:snapToGrid w:val="0"/>
        <w:ind w:firstLine="480"/>
      </w:pPr>
      <w:r>
        <w:t>（2）运营期：</w:t>
      </w:r>
    </w:p>
    <w:p w14:paraId="6D5C1ABB">
      <w:pPr>
        <w:adjustRightInd w:val="0"/>
        <w:snapToGrid w:val="0"/>
        <w:ind w:firstLine="480"/>
      </w:pPr>
      <w:r>
        <w:fldChar w:fldCharType="begin"/>
      </w:r>
      <w:r>
        <w:instrText xml:space="preserve"> = 1 \* GB3 </w:instrText>
      </w:r>
      <w:r>
        <w:fldChar w:fldCharType="separate"/>
      </w:r>
      <w:r>
        <w:rPr>
          <w:rFonts w:hint="eastAsia"/>
        </w:rPr>
        <w:t>①</w:t>
      </w:r>
      <w:r>
        <w:fldChar w:fldCharType="end"/>
      </w:r>
      <w:r>
        <w:t>监测点位：在升压站厂区边界、机位</w:t>
      </w:r>
      <w:r>
        <w:rPr>
          <w:rFonts w:hint="eastAsia"/>
        </w:rPr>
        <w:t>较近</w:t>
      </w:r>
      <w:r>
        <w:t>居民点茅草坳居民点</w:t>
      </w:r>
      <w:r>
        <w:rPr>
          <w:rFonts w:hint="eastAsia"/>
        </w:rPr>
        <w:t>、</w:t>
      </w:r>
      <w:r>
        <w:t>环洞村扶贫基地</w:t>
      </w:r>
      <w:r>
        <w:rPr>
          <w:rFonts w:hint="eastAsia"/>
        </w:rPr>
        <w:t>、</w:t>
      </w:r>
      <w:r>
        <w:t>仁皇村</w:t>
      </w:r>
      <w:r>
        <w:rPr>
          <w:rFonts w:hint="eastAsia"/>
        </w:rPr>
        <w:t>居民点</w:t>
      </w:r>
      <w:r>
        <w:t>各设置 1 个监测点。</w:t>
      </w:r>
    </w:p>
    <w:p w14:paraId="017A6B1A">
      <w:pPr>
        <w:adjustRightInd w:val="0"/>
        <w:snapToGrid w:val="0"/>
        <w:ind w:firstLine="480"/>
      </w:pPr>
      <w:r>
        <w:fldChar w:fldCharType="begin"/>
      </w:r>
      <w:r>
        <w:instrText xml:space="preserve"> = 2 \* GB3 </w:instrText>
      </w:r>
      <w:r>
        <w:fldChar w:fldCharType="separate"/>
      </w:r>
      <w:r>
        <w:rPr>
          <w:rFonts w:hint="eastAsia"/>
        </w:rPr>
        <w:t>②</w:t>
      </w:r>
      <w:r>
        <w:fldChar w:fldCharType="end"/>
      </w:r>
      <w:r>
        <w:t>监测项目：监测项目主要为等效连续 A 声级。</w:t>
      </w:r>
    </w:p>
    <w:p w14:paraId="506B7EF7">
      <w:pPr>
        <w:adjustRightInd w:val="0"/>
        <w:snapToGrid w:val="0"/>
        <w:ind w:firstLine="480"/>
      </w:pPr>
      <w:r>
        <w:fldChar w:fldCharType="begin"/>
      </w:r>
      <w:r>
        <w:instrText xml:space="preserve"> = 3 \* GB3 </w:instrText>
      </w:r>
      <w:r>
        <w:fldChar w:fldCharType="separate"/>
      </w:r>
      <w:r>
        <w:rPr>
          <w:rFonts w:hint="eastAsia"/>
        </w:rPr>
        <w:t>③</w:t>
      </w:r>
      <w:r>
        <w:fldChar w:fldCharType="end"/>
      </w:r>
      <w:r>
        <w:t>监测频次和方法：每年监测 1 天，1 次，监测 3年。监测方法按国家环保总局的噪声监测方法进行。</w:t>
      </w:r>
    </w:p>
    <w:p w14:paraId="46F29E40">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12.2.4</w:t>
      </w:r>
      <w:r>
        <w:rPr>
          <w:rFonts w:hint="eastAsia"/>
          <w:b/>
          <w:kern w:val="24"/>
          <w:sz w:val="28"/>
          <w:szCs w:val="28"/>
          <w:lang w:val="zh-CN"/>
        </w:rPr>
        <w:t>地表水环境监测</w:t>
      </w:r>
    </w:p>
    <w:p w14:paraId="64ADDE5B">
      <w:pPr>
        <w:adjustRightInd w:val="0"/>
        <w:snapToGrid w:val="0"/>
        <w:ind w:firstLine="480"/>
      </w:pPr>
      <w:r>
        <w:t>项目地表水环境影响主要在施工期。因此对施工期风电场周围的地表水环境质量进项监测。</w:t>
      </w:r>
    </w:p>
    <w:p w14:paraId="7D38327B">
      <w:pPr>
        <w:adjustRightInd w:val="0"/>
        <w:snapToGrid w:val="0"/>
        <w:ind w:firstLine="480"/>
      </w:pPr>
      <w:r>
        <w:fldChar w:fldCharType="begin"/>
      </w:r>
      <w:r>
        <w:instrText xml:space="preserve"> = 1 \* GB3 </w:instrText>
      </w:r>
      <w:r>
        <w:fldChar w:fldCharType="separate"/>
      </w:r>
      <w:r>
        <w:rPr>
          <w:rFonts w:hint="eastAsia"/>
        </w:rPr>
        <w:t>①</w:t>
      </w:r>
      <w:r>
        <w:fldChar w:fldCharType="end"/>
      </w:r>
      <w:r>
        <w:t>监测断面：</w:t>
      </w:r>
      <w:r>
        <w:rPr>
          <w:rFonts w:hint="eastAsia"/>
        </w:rPr>
        <w:t>衡阳县岣嵝乡环洞村山溪水饮用水水源保护区取水口和饮用水水源二级保护区、</w:t>
      </w:r>
      <w:r>
        <w:t>风电场</w:t>
      </w:r>
      <w:r>
        <w:rPr>
          <w:rFonts w:hint="eastAsia"/>
        </w:rPr>
        <w:t>东</w:t>
      </w:r>
      <w:r>
        <w:t>侧无名小溪设置1个水质监测断面；</w:t>
      </w:r>
    </w:p>
    <w:p w14:paraId="6FF58853">
      <w:pPr>
        <w:adjustRightInd w:val="0"/>
        <w:snapToGrid w:val="0"/>
        <w:ind w:firstLine="480"/>
      </w:pPr>
      <w:r>
        <w:fldChar w:fldCharType="begin"/>
      </w:r>
      <w:r>
        <w:instrText xml:space="preserve"> = 2 \* GB3 </w:instrText>
      </w:r>
      <w:r>
        <w:fldChar w:fldCharType="separate"/>
      </w:r>
      <w:r>
        <w:rPr>
          <w:rFonts w:hint="eastAsia"/>
        </w:rPr>
        <w:t>②</w:t>
      </w:r>
      <w:r>
        <w:fldChar w:fldCharType="end"/>
      </w:r>
      <w:r>
        <w:t>监测项目：水质监测项目为pH 值、SS、CODcr、BOD5、氨氮、石油类等 6项。</w:t>
      </w:r>
    </w:p>
    <w:p w14:paraId="397BCADE">
      <w:pPr>
        <w:adjustRightInd w:val="0"/>
        <w:snapToGrid w:val="0"/>
        <w:ind w:firstLine="480"/>
      </w:pPr>
      <w:r>
        <w:fldChar w:fldCharType="begin"/>
      </w:r>
      <w:r>
        <w:instrText xml:space="preserve"> = 3 \* GB3 </w:instrText>
      </w:r>
      <w:r>
        <w:fldChar w:fldCharType="separate"/>
      </w:r>
      <w:r>
        <w:rPr>
          <w:rFonts w:hint="eastAsia"/>
        </w:rPr>
        <w:t>③</w:t>
      </w:r>
      <w:r>
        <w:fldChar w:fldCharType="end"/>
      </w:r>
      <w:r>
        <w:t>监测频次和方法：监测频次为1次/半年，施工期监测 2次。监测方法按水污染监测调查与有关饮用水监测规定的方法进行。</w:t>
      </w:r>
    </w:p>
    <w:p w14:paraId="5D228415">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12.2.5</w:t>
      </w:r>
      <w:r>
        <w:rPr>
          <w:rFonts w:hint="eastAsia"/>
          <w:b/>
          <w:kern w:val="24"/>
          <w:sz w:val="28"/>
          <w:szCs w:val="28"/>
          <w:lang w:val="zh-CN"/>
        </w:rPr>
        <w:t>电磁环境监测</w:t>
      </w:r>
    </w:p>
    <w:p w14:paraId="103206E1">
      <w:pPr>
        <w:adjustRightInd w:val="0"/>
        <w:snapToGrid w:val="0"/>
        <w:ind w:firstLine="480"/>
      </w:pPr>
      <w:r>
        <w:rPr>
          <w:rFonts w:hint="eastAsia"/>
        </w:rPr>
        <w:t>施工期：本项目施工期无电磁辐射产生，故施工期不设电磁辐射监测点。</w:t>
      </w:r>
    </w:p>
    <w:p w14:paraId="6A3E92C5">
      <w:pPr>
        <w:adjustRightInd w:val="0"/>
        <w:snapToGrid w:val="0"/>
        <w:ind w:firstLine="480"/>
      </w:pPr>
      <w:r>
        <w:rPr>
          <w:rFonts w:hint="eastAsia"/>
        </w:rPr>
        <w:t>运营期：本工程完成后，正式投产后第一年结合竣工环境保护验收监测一次。按相关规范在升压站围墙外进行电场强度、磁感应强度监测。</w:t>
      </w:r>
    </w:p>
    <w:p w14:paraId="7D916FC5">
      <w:pPr>
        <w:keepNext/>
        <w:keepLines/>
        <w:numPr>
          <w:ilvl w:val="2"/>
          <w:numId w:val="0"/>
        </w:numPr>
        <w:tabs>
          <w:tab w:val="left" w:pos="425"/>
          <w:tab w:val="clear" w:pos="480"/>
        </w:tabs>
        <w:adjustRightInd w:val="0"/>
        <w:snapToGrid w:val="0"/>
        <w:textAlignment w:val="baseline"/>
        <w:outlineLvl w:val="2"/>
        <w:rPr>
          <w:b/>
          <w:kern w:val="24"/>
          <w:sz w:val="28"/>
          <w:szCs w:val="28"/>
          <w:lang w:val="zh-CN"/>
        </w:rPr>
      </w:pPr>
      <w:r>
        <w:rPr>
          <w:b/>
          <w:kern w:val="24"/>
          <w:sz w:val="28"/>
          <w:szCs w:val="28"/>
          <w:lang w:val="zh-CN"/>
        </w:rPr>
        <w:t>12.2.6</w:t>
      </w:r>
      <w:r>
        <w:rPr>
          <w:rFonts w:hint="eastAsia"/>
          <w:b/>
          <w:kern w:val="24"/>
          <w:sz w:val="28"/>
          <w:szCs w:val="28"/>
          <w:lang w:val="zh-CN"/>
        </w:rPr>
        <w:t>生态监测</w:t>
      </w:r>
    </w:p>
    <w:p w14:paraId="4F79E176">
      <w:pPr>
        <w:adjustRightInd w:val="0"/>
        <w:snapToGrid w:val="0"/>
        <w:ind w:firstLine="480"/>
      </w:pPr>
      <w:r>
        <w:rPr>
          <w:rFonts w:hint="eastAsia"/>
        </w:rPr>
        <w:t>（1）监测范围</w:t>
      </w:r>
    </w:p>
    <w:p w14:paraId="11CB4051">
      <w:pPr>
        <w:adjustRightInd w:val="0"/>
        <w:snapToGrid w:val="0"/>
        <w:ind w:firstLine="480"/>
      </w:pPr>
      <w:r>
        <w:t>以风机点位、新建道路、输电线路为重点，监测工程影响区域。</w:t>
      </w:r>
    </w:p>
    <w:p w14:paraId="3D6F0BBD">
      <w:pPr>
        <w:adjustRightInd w:val="0"/>
        <w:snapToGrid w:val="0"/>
        <w:ind w:firstLine="480"/>
      </w:pPr>
      <w:r>
        <w:rPr>
          <w:rFonts w:hint="eastAsia"/>
        </w:rPr>
        <w:t>（2）监测时间</w:t>
      </w:r>
    </w:p>
    <w:p w14:paraId="682220DB">
      <w:pPr>
        <w:adjustRightInd w:val="0"/>
        <w:snapToGrid w:val="0"/>
        <w:ind w:firstLine="480"/>
      </w:pPr>
      <w:r>
        <w:t>开展生态监测和管理，工程建设施工期、运行期都应进行生态影响的监测或调查。施工前后各监测1次。鸟类监测不应少于一个周期(即一年中，夏季、冬季以及春季或秋季)。</w:t>
      </w:r>
    </w:p>
    <w:p w14:paraId="0053718A">
      <w:pPr>
        <w:adjustRightInd w:val="0"/>
        <w:snapToGrid w:val="0"/>
        <w:ind w:firstLine="480"/>
      </w:pPr>
      <w:r>
        <w:rPr>
          <w:rFonts w:hint="eastAsia"/>
        </w:rPr>
        <w:t>（3）监测布点</w:t>
      </w:r>
    </w:p>
    <w:p w14:paraId="1C3777E7">
      <w:pPr>
        <w:adjustRightInd w:val="0"/>
        <w:snapToGrid w:val="0"/>
        <w:ind w:firstLine="480"/>
      </w:pPr>
      <w:r>
        <w:t>风机基础及箱变基础区、集电线路区、升压站区、施工道路区、施工生产生活区、弃渣场区、表土堆存场区。</w:t>
      </w:r>
    </w:p>
    <w:p w14:paraId="16FF9850">
      <w:pPr>
        <w:adjustRightInd w:val="0"/>
        <w:snapToGrid w:val="0"/>
        <w:ind w:firstLine="480"/>
      </w:pPr>
      <w:r>
        <w:rPr>
          <w:rFonts w:hint="eastAsia"/>
        </w:rPr>
        <w:t>（4）监测内容</w:t>
      </w:r>
    </w:p>
    <w:p w14:paraId="6682EA2F">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物种</w:t>
      </w:r>
    </w:p>
    <w:p w14:paraId="475F04F6">
      <w:pPr>
        <w:adjustRightInd w:val="0"/>
        <w:snapToGrid w:val="0"/>
        <w:ind w:firstLine="480"/>
      </w:pPr>
      <w:r>
        <w:t>监测物种的分布范围、种群数量、群落结构和行为；</w:t>
      </w:r>
    </w:p>
    <w:p w14:paraId="234E1CD2">
      <w:pPr>
        <w:adjustRightInd w:val="0"/>
        <w:snapToGrid w:val="0"/>
        <w:ind w:firstLine="480"/>
        <w:rPr>
          <w:rFonts w:hint="eastAsia" w:eastAsia="宋体"/>
          <w:lang w:eastAsia="zh-CN"/>
        </w:rPr>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lang w:eastAsia="zh-CN"/>
        </w:rPr>
        <w:t>环境</w:t>
      </w:r>
    </w:p>
    <w:p w14:paraId="06B47AC3">
      <w:pPr>
        <w:adjustRightInd w:val="0"/>
        <w:snapToGrid w:val="0"/>
        <w:ind w:firstLine="480"/>
      </w:pPr>
      <w:r>
        <w:t>监测</w:t>
      </w:r>
      <w:r>
        <w:rPr>
          <w:rFonts w:hint="eastAsia"/>
          <w:lang w:eastAsia="zh-CN"/>
        </w:rPr>
        <w:t>环境</w:t>
      </w:r>
      <w:r>
        <w:t>的面积、质量和连通性；</w:t>
      </w:r>
    </w:p>
    <w:p w14:paraId="54D62F7B">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生态系统</w:t>
      </w:r>
    </w:p>
    <w:p w14:paraId="37E854B4">
      <w:pPr>
        <w:adjustRightInd w:val="0"/>
        <w:snapToGrid w:val="0"/>
        <w:ind w:firstLine="480"/>
      </w:pPr>
      <w:r>
        <w:t>监测生态系统的功能、生物量、植被覆盖度；</w:t>
      </w:r>
    </w:p>
    <w:p w14:paraId="6706611E">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景观：监测景观的多样性、完整性</w:t>
      </w:r>
    </w:p>
    <w:p w14:paraId="7AC8B308">
      <w:pPr>
        <w:adjustRightInd w:val="0"/>
        <w:snapToGrid w:val="0"/>
        <w:ind w:firstLine="480"/>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植物监测</w:t>
      </w:r>
    </w:p>
    <w:p w14:paraId="008932C5">
      <w:pPr>
        <w:adjustRightInd w:val="0"/>
        <w:snapToGrid w:val="0"/>
        <w:ind w:firstLine="480"/>
      </w:pPr>
      <w:r>
        <w:t>包括种类及组成、指示植物、指示群落、种群密度、覆盖度、外来种、重点保护种等。</w:t>
      </w:r>
    </w:p>
    <w:p w14:paraId="2A6D6298">
      <w:pPr>
        <w:adjustRightInd w:val="0"/>
        <w:snapToGrid w:val="0"/>
        <w:ind w:firstLine="480"/>
      </w:pPr>
      <w:r>
        <w:rPr>
          <w:rFonts w:hint="eastAsia"/>
        </w:rPr>
        <w:t>a</w:t>
      </w:r>
      <w:r>
        <w:t>在施工期，主要对施工区域进行监测，监测施工期间受影响的主要植被类型的分布范围和面积及其动态变化。在施工过程中若发现有其它重点保护对象，及时上报主管部门，迁地保护。</w:t>
      </w:r>
    </w:p>
    <w:p w14:paraId="416C2F72">
      <w:pPr>
        <w:adjustRightInd w:val="0"/>
        <w:snapToGrid w:val="0"/>
        <w:ind w:firstLine="480"/>
      </w:pPr>
      <w:r>
        <w:rPr>
          <w:rFonts w:hint="eastAsia"/>
        </w:rPr>
        <w:t>b</w:t>
      </w:r>
      <w:r>
        <w:t>运行期主要监测</w:t>
      </w:r>
      <w:r>
        <w:rPr>
          <w:rFonts w:hint="eastAsia"/>
          <w:lang w:eastAsia="zh-CN"/>
        </w:rPr>
        <w:t>环境</w:t>
      </w:r>
      <w:r>
        <w:t>的变化，监测应在 4 个季节进行，以更好的监测评价区内不同季节植物的演替，植被的变化以及生态系统整体性变化。监测线路主要位于原有道路以及新建道路两侧，各个风机所在区域，监测内容为评价区内的植物物种多样性，植被类型、构成及其演替规律。通过监测，建立数据库进行对比分析，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14:paraId="6E64FFAA">
      <w:pPr>
        <w:adjustRightInd w:val="0"/>
        <w:snapToGrid w:val="0"/>
        <w:ind w:firstLine="480"/>
      </w:pPr>
      <w:r>
        <w:t>（6）动物监测</w:t>
      </w:r>
    </w:p>
    <w:p w14:paraId="33B11DC9">
      <w:pPr>
        <w:adjustRightInd w:val="0"/>
        <w:snapToGrid w:val="0"/>
        <w:ind w:firstLine="480"/>
      </w:pPr>
      <w:r>
        <w:rPr>
          <w:rFonts w:hint="eastAsia"/>
        </w:rPr>
        <w:t>①</w:t>
      </w:r>
      <w:r>
        <w:t>主要监测鸟类，监测至少一个周期内，鸟类通过量和死亡率监测。收集区域内迁徙鸟类的路线、高度、觅食、停歇等活动特征以及鸟机撞击、鸟类回避距离、方向等重要的监测数据，重点关注风电场对迁徙鸟类的实际危害程度。</w:t>
      </w:r>
    </w:p>
    <w:p w14:paraId="2CD079C5">
      <w:pPr>
        <w:adjustRightInd w:val="0"/>
        <w:snapToGrid w:val="0"/>
        <w:ind w:firstLine="480"/>
      </w:pPr>
      <w:r>
        <w:rPr>
          <w:rFonts w:hint="eastAsia"/>
        </w:rPr>
        <w:t>②</w:t>
      </w:r>
      <w:r>
        <w:t>监测重点保护动物，主要是评价区分布的国家重点保护的动物的情况，以掌握其种类、数量、栖息地、捕食范围等的详细变化情况。</w:t>
      </w:r>
    </w:p>
    <w:p w14:paraId="54DC348F">
      <w:pPr>
        <w:tabs>
          <w:tab w:val="clear" w:pos="480"/>
        </w:tabs>
        <w:autoSpaceDE w:val="0"/>
        <w:spacing w:line="240" w:lineRule="auto"/>
        <w:ind w:firstLine="482" w:firstLineChars="0"/>
        <w:jc w:val="center"/>
        <w:rPr>
          <w:rFonts w:hAnsi="宋体"/>
          <w:b/>
        </w:rPr>
      </w:pPr>
      <w:r>
        <w:rPr>
          <w:rFonts w:hint="eastAsia" w:hAnsi="宋体"/>
          <w:b/>
        </w:rPr>
        <w:t>表</w:t>
      </w:r>
      <w:r>
        <w:rPr>
          <w:rFonts w:hAnsi="宋体"/>
          <w:b/>
        </w:rPr>
        <w:t>12.2</w:t>
      </w:r>
      <w:r>
        <w:rPr>
          <w:rFonts w:hint="eastAsia" w:hAnsi="宋体"/>
          <w:b/>
        </w:rPr>
        <w:t>-</w:t>
      </w:r>
      <w:r>
        <w:rPr>
          <w:rFonts w:hAnsi="宋体"/>
          <w:b/>
        </w:rPr>
        <w:t xml:space="preserve">1 </w:t>
      </w:r>
      <w:r>
        <w:rPr>
          <w:rFonts w:hint="eastAsia" w:hAnsi="宋体"/>
          <w:b/>
        </w:rPr>
        <w:t>环境监测计划表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1119"/>
        <w:gridCol w:w="2398"/>
        <w:gridCol w:w="2760"/>
        <w:gridCol w:w="1273"/>
      </w:tblGrid>
      <w:tr w14:paraId="0D091D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vAlign w:val="center"/>
          </w:tcPr>
          <w:p w14:paraId="1ED9426B">
            <w:pPr>
              <w:tabs>
                <w:tab w:val="clear" w:pos="480"/>
              </w:tabs>
              <w:adjustRightInd w:val="0"/>
              <w:snapToGrid w:val="0"/>
              <w:spacing w:line="240" w:lineRule="auto"/>
              <w:ind w:firstLine="0" w:firstLineChars="0"/>
              <w:jc w:val="center"/>
              <w:rPr>
                <w:sz w:val="18"/>
                <w:szCs w:val="18"/>
              </w:rPr>
            </w:pPr>
            <w:bookmarkStart w:id="301" w:name="_Toc116978029"/>
            <w:r>
              <w:rPr>
                <w:sz w:val="18"/>
                <w:szCs w:val="18"/>
              </w:rPr>
              <w:t>时段</w:t>
            </w:r>
          </w:p>
        </w:tc>
        <w:tc>
          <w:tcPr>
            <w:tcW w:w="656" w:type="pct"/>
            <w:vAlign w:val="center"/>
          </w:tcPr>
          <w:p w14:paraId="0FD5CF00">
            <w:pPr>
              <w:tabs>
                <w:tab w:val="clear" w:pos="480"/>
              </w:tabs>
              <w:adjustRightInd w:val="0"/>
              <w:snapToGrid w:val="0"/>
              <w:spacing w:line="240" w:lineRule="auto"/>
              <w:ind w:firstLine="0" w:firstLineChars="0"/>
              <w:jc w:val="center"/>
              <w:rPr>
                <w:sz w:val="18"/>
                <w:szCs w:val="18"/>
              </w:rPr>
            </w:pPr>
            <w:r>
              <w:rPr>
                <w:sz w:val="18"/>
                <w:szCs w:val="18"/>
              </w:rPr>
              <w:t>监测项目</w:t>
            </w:r>
          </w:p>
        </w:tc>
        <w:tc>
          <w:tcPr>
            <w:tcW w:w="1406" w:type="pct"/>
            <w:vAlign w:val="center"/>
          </w:tcPr>
          <w:p w14:paraId="1872FB75">
            <w:pPr>
              <w:tabs>
                <w:tab w:val="clear" w:pos="480"/>
              </w:tabs>
              <w:adjustRightInd w:val="0"/>
              <w:snapToGrid w:val="0"/>
              <w:spacing w:line="240" w:lineRule="auto"/>
              <w:ind w:firstLine="0" w:firstLineChars="0"/>
              <w:jc w:val="center"/>
              <w:rPr>
                <w:sz w:val="18"/>
                <w:szCs w:val="18"/>
              </w:rPr>
            </w:pPr>
            <w:r>
              <w:rPr>
                <w:sz w:val="18"/>
                <w:szCs w:val="18"/>
              </w:rPr>
              <w:t>监测点</w:t>
            </w:r>
          </w:p>
        </w:tc>
        <w:tc>
          <w:tcPr>
            <w:tcW w:w="1618" w:type="pct"/>
            <w:vAlign w:val="center"/>
          </w:tcPr>
          <w:p w14:paraId="0E2583C9">
            <w:pPr>
              <w:tabs>
                <w:tab w:val="clear" w:pos="480"/>
              </w:tabs>
              <w:adjustRightInd w:val="0"/>
              <w:snapToGrid w:val="0"/>
              <w:spacing w:line="240" w:lineRule="auto"/>
              <w:ind w:firstLine="0" w:firstLineChars="0"/>
              <w:jc w:val="center"/>
              <w:rPr>
                <w:sz w:val="18"/>
                <w:szCs w:val="18"/>
              </w:rPr>
            </w:pPr>
            <w:r>
              <w:rPr>
                <w:sz w:val="18"/>
                <w:szCs w:val="18"/>
              </w:rPr>
              <w:t>监测内容</w:t>
            </w:r>
          </w:p>
        </w:tc>
        <w:tc>
          <w:tcPr>
            <w:tcW w:w="746" w:type="pct"/>
            <w:vAlign w:val="center"/>
          </w:tcPr>
          <w:p w14:paraId="503D660C">
            <w:pPr>
              <w:tabs>
                <w:tab w:val="clear" w:pos="480"/>
              </w:tabs>
              <w:adjustRightInd w:val="0"/>
              <w:snapToGrid w:val="0"/>
              <w:spacing w:line="240" w:lineRule="auto"/>
              <w:ind w:firstLine="0" w:firstLineChars="0"/>
              <w:jc w:val="center"/>
              <w:rPr>
                <w:sz w:val="18"/>
                <w:szCs w:val="18"/>
              </w:rPr>
            </w:pPr>
            <w:r>
              <w:rPr>
                <w:sz w:val="18"/>
                <w:szCs w:val="18"/>
              </w:rPr>
              <w:t>监测时段</w:t>
            </w:r>
          </w:p>
          <w:p w14:paraId="5E80C4C2">
            <w:pPr>
              <w:tabs>
                <w:tab w:val="clear" w:pos="480"/>
              </w:tabs>
              <w:adjustRightInd w:val="0"/>
              <w:snapToGrid w:val="0"/>
              <w:spacing w:line="240" w:lineRule="auto"/>
              <w:ind w:firstLine="0" w:firstLineChars="0"/>
              <w:jc w:val="center"/>
              <w:rPr>
                <w:sz w:val="18"/>
                <w:szCs w:val="18"/>
              </w:rPr>
            </w:pPr>
            <w:r>
              <w:rPr>
                <w:sz w:val="18"/>
                <w:szCs w:val="18"/>
              </w:rPr>
              <w:t>和频次</w:t>
            </w:r>
          </w:p>
        </w:tc>
      </w:tr>
      <w:tr w14:paraId="6322FA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573" w:type="pct"/>
            <w:vMerge w:val="restart"/>
            <w:vAlign w:val="center"/>
          </w:tcPr>
          <w:p w14:paraId="31C219C1">
            <w:pPr>
              <w:tabs>
                <w:tab w:val="clear" w:pos="480"/>
              </w:tabs>
              <w:adjustRightInd w:val="0"/>
              <w:snapToGrid w:val="0"/>
              <w:spacing w:line="240" w:lineRule="auto"/>
              <w:ind w:firstLine="0" w:firstLineChars="0"/>
              <w:jc w:val="center"/>
              <w:rPr>
                <w:sz w:val="18"/>
                <w:szCs w:val="18"/>
              </w:rPr>
            </w:pPr>
            <w:r>
              <w:rPr>
                <w:sz w:val="18"/>
                <w:szCs w:val="18"/>
              </w:rPr>
              <w:t>施工期</w:t>
            </w:r>
          </w:p>
        </w:tc>
        <w:tc>
          <w:tcPr>
            <w:tcW w:w="656" w:type="pct"/>
            <w:vAlign w:val="center"/>
          </w:tcPr>
          <w:p w14:paraId="7E62D567">
            <w:pPr>
              <w:tabs>
                <w:tab w:val="clear" w:pos="480"/>
              </w:tabs>
              <w:adjustRightInd w:val="0"/>
              <w:snapToGrid w:val="0"/>
              <w:spacing w:line="240" w:lineRule="auto"/>
              <w:ind w:firstLine="0" w:firstLineChars="0"/>
              <w:jc w:val="center"/>
              <w:rPr>
                <w:sz w:val="18"/>
                <w:szCs w:val="18"/>
              </w:rPr>
            </w:pPr>
            <w:r>
              <w:rPr>
                <w:sz w:val="18"/>
                <w:szCs w:val="18"/>
              </w:rPr>
              <w:t>废气</w:t>
            </w:r>
          </w:p>
        </w:tc>
        <w:tc>
          <w:tcPr>
            <w:tcW w:w="1406" w:type="pct"/>
            <w:vAlign w:val="center"/>
          </w:tcPr>
          <w:p w14:paraId="30A1DDE2">
            <w:pPr>
              <w:tabs>
                <w:tab w:val="clear" w:pos="480"/>
              </w:tabs>
              <w:adjustRightInd w:val="0"/>
              <w:snapToGrid w:val="0"/>
              <w:spacing w:line="240" w:lineRule="auto"/>
              <w:ind w:firstLine="0" w:firstLineChars="0"/>
              <w:jc w:val="center"/>
              <w:rPr>
                <w:sz w:val="18"/>
                <w:szCs w:val="18"/>
              </w:rPr>
            </w:pPr>
            <w:r>
              <w:rPr>
                <w:sz w:val="18"/>
                <w:szCs w:val="18"/>
              </w:rPr>
              <w:t>施工营地边界</w:t>
            </w:r>
          </w:p>
        </w:tc>
        <w:tc>
          <w:tcPr>
            <w:tcW w:w="1618" w:type="pct"/>
            <w:vAlign w:val="center"/>
          </w:tcPr>
          <w:p w14:paraId="4CC9FE8B">
            <w:pPr>
              <w:tabs>
                <w:tab w:val="clear" w:pos="480"/>
              </w:tabs>
              <w:adjustRightInd w:val="0"/>
              <w:snapToGrid w:val="0"/>
              <w:spacing w:line="240" w:lineRule="auto"/>
              <w:ind w:firstLine="0" w:firstLineChars="0"/>
              <w:jc w:val="center"/>
              <w:rPr>
                <w:sz w:val="18"/>
                <w:szCs w:val="18"/>
              </w:rPr>
            </w:pPr>
            <w:r>
              <w:rPr>
                <w:sz w:val="18"/>
                <w:szCs w:val="18"/>
              </w:rPr>
              <w:t>TSP</w:t>
            </w:r>
          </w:p>
        </w:tc>
        <w:tc>
          <w:tcPr>
            <w:tcW w:w="746" w:type="pct"/>
            <w:vAlign w:val="center"/>
          </w:tcPr>
          <w:p w14:paraId="7C36F35C">
            <w:pPr>
              <w:tabs>
                <w:tab w:val="clear" w:pos="480"/>
              </w:tabs>
              <w:adjustRightInd w:val="0"/>
              <w:snapToGrid w:val="0"/>
              <w:spacing w:line="240" w:lineRule="auto"/>
              <w:ind w:firstLine="0" w:firstLineChars="0"/>
              <w:jc w:val="center"/>
              <w:rPr>
                <w:sz w:val="18"/>
                <w:szCs w:val="18"/>
              </w:rPr>
            </w:pPr>
            <w:r>
              <w:rPr>
                <w:sz w:val="18"/>
                <w:szCs w:val="18"/>
              </w:rPr>
              <w:t>1次/半年，共监测2次</w:t>
            </w:r>
          </w:p>
        </w:tc>
      </w:tr>
      <w:tr w14:paraId="57B9A7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vMerge w:val="continue"/>
            <w:vAlign w:val="center"/>
          </w:tcPr>
          <w:p w14:paraId="4FF481E5">
            <w:pPr>
              <w:tabs>
                <w:tab w:val="clear" w:pos="480"/>
              </w:tabs>
              <w:adjustRightInd w:val="0"/>
              <w:snapToGrid w:val="0"/>
              <w:spacing w:line="240" w:lineRule="auto"/>
              <w:ind w:firstLine="0" w:firstLineChars="0"/>
              <w:jc w:val="center"/>
              <w:rPr>
                <w:sz w:val="18"/>
                <w:szCs w:val="18"/>
              </w:rPr>
            </w:pPr>
          </w:p>
        </w:tc>
        <w:tc>
          <w:tcPr>
            <w:tcW w:w="656" w:type="pct"/>
            <w:vAlign w:val="center"/>
          </w:tcPr>
          <w:p w14:paraId="7227FE83">
            <w:pPr>
              <w:tabs>
                <w:tab w:val="clear" w:pos="480"/>
              </w:tabs>
              <w:adjustRightInd w:val="0"/>
              <w:snapToGrid w:val="0"/>
              <w:spacing w:line="240" w:lineRule="auto"/>
              <w:ind w:firstLine="0" w:firstLineChars="0"/>
              <w:jc w:val="center"/>
              <w:rPr>
                <w:sz w:val="18"/>
                <w:szCs w:val="18"/>
              </w:rPr>
            </w:pPr>
            <w:r>
              <w:rPr>
                <w:sz w:val="18"/>
                <w:szCs w:val="18"/>
              </w:rPr>
              <w:t>噪声</w:t>
            </w:r>
          </w:p>
        </w:tc>
        <w:tc>
          <w:tcPr>
            <w:tcW w:w="1406" w:type="pct"/>
            <w:vAlign w:val="center"/>
          </w:tcPr>
          <w:p w14:paraId="035BDD02">
            <w:pPr>
              <w:tabs>
                <w:tab w:val="clear" w:pos="480"/>
              </w:tabs>
              <w:adjustRightInd w:val="0"/>
              <w:snapToGrid w:val="0"/>
              <w:spacing w:line="240" w:lineRule="auto"/>
              <w:ind w:firstLine="0" w:firstLineChars="0"/>
              <w:jc w:val="center"/>
              <w:rPr>
                <w:sz w:val="18"/>
                <w:szCs w:val="18"/>
              </w:rPr>
            </w:pPr>
            <w:r>
              <w:rPr>
                <w:sz w:val="18"/>
                <w:szCs w:val="18"/>
              </w:rPr>
              <w:t>施工营地边界、羊角冲居民点、元冲居民点、大湾居民点</w:t>
            </w:r>
            <w:r>
              <w:rPr>
                <w:rFonts w:hint="eastAsia"/>
                <w:sz w:val="18"/>
                <w:szCs w:val="18"/>
              </w:rPr>
              <w:t>、</w:t>
            </w:r>
            <w:r>
              <w:rPr>
                <w:sz w:val="18"/>
                <w:szCs w:val="18"/>
              </w:rPr>
              <w:t>环洞村扶贫基地居民点</w:t>
            </w:r>
          </w:p>
        </w:tc>
        <w:tc>
          <w:tcPr>
            <w:tcW w:w="1618" w:type="pct"/>
            <w:vAlign w:val="center"/>
          </w:tcPr>
          <w:p w14:paraId="763A3B1D">
            <w:pPr>
              <w:tabs>
                <w:tab w:val="clear" w:pos="480"/>
              </w:tabs>
              <w:adjustRightInd w:val="0"/>
              <w:snapToGrid w:val="0"/>
              <w:spacing w:line="240" w:lineRule="auto"/>
              <w:ind w:firstLine="0" w:firstLineChars="0"/>
              <w:jc w:val="center"/>
              <w:rPr>
                <w:sz w:val="18"/>
                <w:szCs w:val="18"/>
              </w:rPr>
            </w:pPr>
            <w:r>
              <w:rPr>
                <w:sz w:val="18"/>
                <w:szCs w:val="18"/>
              </w:rPr>
              <w:t>Leq(A)，昼间</w:t>
            </w:r>
          </w:p>
        </w:tc>
        <w:tc>
          <w:tcPr>
            <w:tcW w:w="746" w:type="pct"/>
            <w:vAlign w:val="center"/>
          </w:tcPr>
          <w:p w14:paraId="32FAB9E0">
            <w:pPr>
              <w:tabs>
                <w:tab w:val="clear" w:pos="480"/>
              </w:tabs>
              <w:adjustRightInd w:val="0"/>
              <w:snapToGrid w:val="0"/>
              <w:spacing w:line="240" w:lineRule="auto"/>
              <w:ind w:firstLine="0" w:firstLineChars="0"/>
              <w:jc w:val="center"/>
              <w:rPr>
                <w:sz w:val="18"/>
                <w:szCs w:val="18"/>
              </w:rPr>
            </w:pPr>
            <w:r>
              <w:rPr>
                <w:sz w:val="18"/>
                <w:szCs w:val="18"/>
              </w:rPr>
              <w:t>1次/季度，2天/次</w:t>
            </w:r>
          </w:p>
        </w:tc>
      </w:tr>
      <w:tr w14:paraId="477E4C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vMerge w:val="continue"/>
            <w:vAlign w:val="center"/>
          </w:tcPr>
          <w:p w14:paraId="0858233E">
            <w:pPr>
              <w:tabs>
                <w:tab w:val="clear" w:pos="480"/>
              </w:tabs>
              <w:adjustRightInd w:val="0"/>
              <w:snapToGrid w:val="0"/>
              <w:spacing w:line="240" w:lineRule="auto"/>
              <w:ind w:firstLine="0" w:firstLineChars="0"/>
              <w:jc w:val="center"/>
              <w:rPr>
                <w:sz w:val="18"/>
                <w:szCs w:val="18"/>
              </w:rPr>
            </w:pPr>
          </w:p>
        </w:tc>
        <w:tc>
          <w:tcPr>
            <w:tcW w:w="656" w:type="pct"/>
            <w:vAlign w:val="center"/>
          </w:tcPr>
          <w:p w14:paraId="384CA890">
            <w:pPr>
              <w:tabs>
                <w:tab w:val="clear" w:pos="480"/>
              </w:tabs>
              <w:adjustRightInd w:val="0"/>
              <w:snapToGrid w:val="0"/>
              <w:spacing w:line="240" w:lineRule="auto"/>
              <w:ind w:firstLine="0" w:firstLineChars="0"/>
              <w:jc w:val="center"/>
              <w:rPr>
                <w:sz w:val="18"/>
                <w:szCs w:val="18"/>
              </w:rPr>
            </w:pPr>
            <w:r>
              <w:rPr>
                <w:sz w:val="18"/>
                <w:szCs w:val="18"/>
              </w:rPr>
              <w:t>地表水</w:t>
            </w:r>
          </w:p>
        </w:tc>
        <w:tc>
          <w:tcPr>
            <w:tcW w:w="1406" w:type="pct"/>
            <w:vAlign w:val="center"/>
          </w:tcPr>
          <w:p w14:paraId="6FEB6823">
            <w:pPr>
              <w:tabs>
                <w:tab w:val="clear" w:pos="480"/>
              </w:tabs>
              <w:adjustRightInd w:val="0"/>
              <w:snapToGrid w:val="0"/>
              <w:spacing w:line="240" w:lineRule="auto"/>
              <w:ind w:firstLine="0" w:firstLineChars="0"/>
              <w:jc w:val="center"/>
              <w:rPr>
                <w:sz w:val="18"/>
                <w:szCs w:val="18"/>
              </w:rPr>
            </w:pPr>
            <w:r>
              <w:rPr>
                <w:rFonts w:hint="eastAsia"/>
                <w:sz w:val="18"/>
                <w:szCs w:val="18"/>
              </w:rPr>
              <w:t>衡阳县岣嵝乡环洞村山溪水饮用水水源保护区取水口和饮用水水源二级保护区、</w:t>
            </w:r>
            <w:r>
              <w:rPr>
                <w:sz w:val="18"/>
                <w:szCs w:val="18"/>
              </w:rPr>
              <w:t>风电场</w:t>
            </w:r>
            <w:r>
              <w:rPr>
                <w:rFonts w:hint="eastAsia"/>
                <w:sz w:val="18"/>
                <w:szCs w:val="18"/>
              </w:rPr>
              <w:t>东</w:t>
            </w:r>
            <w:r>
              <w:rPr>
                <w:sz w:val="18"/>
                <w:szCs w:val="18"/>
              </w:rPr>
              <w:t>侧无名小溪</w:t>
            </w:r>
          </w:p>
        </w:tc>
        <w:tc>
          <w:tcPr>
            <w:tcW w:w="1618" w:type="pct"/>
            <w:vAlign w:val="center"/>
          </w:tcPr>
          <w:p w14:paraId="35070006">
            <w:pPr>
              <w:tabs>
                <w:tab w:val="clear" w:pos="480"/>
              </w:tabs>
              <w:adjustRightInd w:val="0"/>
              <w:snapToGrid w:val="0"/>
              <w:spacing w:line="240" w:lineRule="auto"/>
              <w:ind w:firstLine="0" w:firstLineChars="0"/>
              <w:rPr>
                <w:sz w:val="18"/>
                <w:szCs w:val="18"/>
              </w:rPr>
            </w:pPr>
            <w:r>
              <w:rPr>
                <w:sz w:val="18"/>
                <w:szCs w:val="18"/>
              </w:rPr>
              <w:t>pH 值、SS、COD</w:t>
            </w:r>
            <w:r>
              <w:rPr>
                <w:sz w:val="18"/>
                <w:szCs w:val="18"/>
                <w:vertAlign w:val="subscript"/>
              </w:rPr>
              <w:t>Cr</w:t>
            </w:r>
            <w:r>
              <w:rPr>
                <w:sz w:val="18"/>
                <w:szCs w:val="18"/>
              </w:rPr>
              <w:t>、BOD</w:t>
            </w:r>
            <w:r>
              <w:rPr>
                <w:sz w:val="18"/>
                <w:szCs w:val="18"/>
                <w:vertAlign w:val="subscript"/>
              </w:rPr>
              <w:t>5</w:t>
            </w:r>
            <w:r>
              <w:rPr>
                <w:sz w:val="18"/>
                <w:szCs w:val="18"/>
              </w:rPr>
              <w:t>、氨氮、石油类</w:t>
            </w:r>
          </w:p>
        </w:tc>
        <w:tc>
          <w:tcPr>
            <w:tcW w:w="746" w:type="pct"/>
            <w:vAlign w:val="center"/>
          </w:tcPr>
          <w:p w14:paraId="6898C304">
            <w:pPr>
              <w:tabs>
                <w:tab w:val="clear" w:pos="480"/>
              </w:tabs>
              <w:adjustRightInd w:val="0"/>
              <w:snapToGrid w:val="0"/>
              <w:spacing w:line="240" w:lineRule="auto"/>
              <w:ind w:firstLine="0" w:firstLineChars="0"/>
              <w:jc w:val="center"/>
              <w:rPr>
                <w:sz w:val="18"/>
                <w:szCs w:val="18"/>
              </w:rPr>
            </w:pPr>
            <w:r>
              <w:rPr>
                <w:sz w:val="18"/>
                <w:szCs w:val="18"/>
              </w:rPr>
              <w:t>1次/半年，共监测2次</w:t>
            </w:r>
          </w:p>
        </w:tc>
      </w:tr>
      <w:tr w14:paraId="1BB23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573" w:type="pct"/>
            <w:vMerge w:val="continue"/>
            <w:vAlign w:val="center"/>
          </w:tcPr>
          <w:p w14:paraId="53428D6D">
            <w:pPr>
              <w:tabs>
                <w:tab w:val="clear" w:pos="480"/>
              </w:tabs>
              <w:adjustRightInd w:val="0"/>
              <w:snapToGrid w:val="0"/>
              <w:spacing w:line="240" w:lineRule="auto"/>
              <w:ind w:firstLine="0" w:firstLineChars="0"/>
              <w:rPr>
                <w:sz w:val="18"/>
                <w:szCs w:val="18"/>
              </w:rPr>
            </w:pPr>
          </w:p>
        </w:tc>
        <w:tc>
          <w:tcPr>
            <w:tcW w:w="656" w:type="pct"/>
            <w:vAlign w:val="center"/>
          </w:tcPr>
          <w:p w14:paraId="3B386BCF">
            <w:pPr>
              <w:tabs>
                <w:tab w:val="clear" w:pos="480"/>
              </w:tabs>
              <w:adjustRightInd w:val="0"/>
              <w:snapToGrid w:val="0"/>
              <w:spacing w:line="240" w:lineRule="auto"/>
              <w:ind w:firstLine="0" w:firstLineChars="0"/>
              <w:rPr>
                <w:sz w:val="18"/>
                <w:szCs w:val="18"/>
              </w:rPr>
            </w:pPr>
            <w:r>
              <w:rPr>
                <w:sz w:val="18"/>
                <w:szCs w:val="18"/>
              </w:rPr>
              <w:t>生态监测</w:t>
            </w:r>
          </w:p>
        </w:tc>
        <w:tc>
          <w:tcPr>
            <w:tcW w:w="1406" w:type="pct"/>
            <w:vAlign w:val="center"/>
          </w:tcPr>
          <w:p w14:paraId="7E8CBC89">
            <w:pPr>
              <w:tabs>
                <w:tab w:val="clear" w:pos="480"/>
              </w:tabs>
              <w:adjustRightInd w:val="0"/>
              <w:snapToGrid w:val="0"/>
              <w:spacing w:line="240" w:lineRule="auto"/>
              <w:ind w:firstLine="0" w:firstLineChars="0"/>
              <w:jc w:val="center"/>
              <w:rPr>
                <w:sz w:val="18"/>
                <w:szCs w:val="18"/>
              </w:rPr>
            </w:pPr>
            <w:r>
              <w:rPr>
                <w:sz w:val="18"/>
                <w:szCs w:val="18"/>
              </w:rPr>
              <w:t>风机基础及箱变基础区、集电线路区、升压站区、施工道路区、施工生产生活区、弃渣场区、表土堆存场区</w:t>
            </w:r>
          </w:p>
        </w:tc>
        <w:tc>
          <w:tcPr>
            <w:tcW w:w="1618" w:type="pct"/>
            <w:vAlign w:val="center"/>
          </w:tcPr>
          <w:p w14:paraId="7829D9E3">
            <w:pPr>
              <w:tabs>
                <w:tab w:val="clear" w:pos="480"/>
              </w:tabs>
              <w:adjustRightInd w:val="0"/>
              <w:snapToGrid w:val="0"/>
              <w:spacing w:line="240" w:lineRule="auto"/>
              <w:ind w:firstLine="0" w:firstLineChars="0"/>
              <w:rPr>
                <w:sz w:val="18"/>
                <w:szCs w:val="18"/>
              </w:rPr>
            </w:pPr>
            <w:r>
              <w:rPr>
                <w:sz w:val="18"/>
                <w:szCs w:val="18"/>
              </w:rPr>
              <w:t>监测物种、</w:t>
            </w:r>
            <w:r>
              <w:rPr>
                <w:rFonts w:hint="eastAsia"/>
                <w:sz w:val="18"/>
                <w:szCs w:val="18"/>
                <w:lang w:eastAsia="zh-CN"/>
              </w:rPr>
              <w:t>环境</w:t>
            </w:r>
            <w:r>
              <w:rPr>
                <w:sz w:val="18"/>
                <w:szCs w:val="18"/>
              </w:rPr>
              <w:t>、生物群落、生态系统、自然景观、植物、动物等内容</w:t>
            </w:r>
          </w:p>
        </w:tc>
        <w:tc>
          <w:tcPr>
            <w:tcW w:w="746" w:type="pct"/>
            <w:vAlign w:val="center"/>
          </w:tcPr>
          <w:p w14:paraId="7898DF0F">
            <w:pPr>
              <w:tabs>
                <w:tab w:val="clear" w:pos="480"/>
              </w:tabs>
              <w:adjustRightInd w:val="0"/>
              <w:snapToGrid w:val="0"/>
              <w:spacing w:line="240" w:lineRule="auto"/>
              <w:ind w:firstLine="0" w:firstLineChars="0"/>
              <w:jc w:val="center"/>
              <w:rPr>
                <w:sz w:val="18"/>
                <w:szCs w:val="18"/>
              </w:rPr>
            </w:pPr>
            <w:r>
              <w:rPr>
                <w:sz w:val="18"/>
                <w:szCs w:val="18"/>
              </w:rPr>
              <w:t>施工前监测1次，施工结束后第监测1次</w:t>
            </w:r>
          </w:p>
        </w:tc>
      </w:tr>
      <w:tr w14:paraId="020972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vMerge w:val="restart"/>
            <w:vAlign w:val="center"/>
          </w:tcPr>
          <w:p w14:paraId="1FF05B36">
            <w:pPr>
              <w:tabs>
                <w:tab w:val="clear" w:pos="480"/>
              </w:tabs>
              <w:adjustRightInd w:val="0"/>
              <w:snapToGrid w:val="0"/>
              <w:spacing w:line="240" w:lineRule="auto"/>
              <w:ind w:firstLine="0" w:firstLineChars="0"/>
              <w:rPr>
                <w:sz w:val="18"/>
                <w:szCs w:val="18"/>
              </w:rPr>
            </w:pPr>
            <w:r>
              <w:rPr>
                <w:sz w:val="18"/>
                <w:szCs w:val="18"/>
              </w:rPr>
              <w:t>运营期</w:t>
            </w:r>
          </w:p>
        </w:tc>
        <w:tc>
          <w:tcPr>
            <w:tcW w:w="656" w:type="pct"/>
            <w:vAlign w:val="center"/>
          </w:tcPr>
          <w:p w14:paraId="62E7EC4C">
            <w:pPr>
              <w:tabs>
                <w:tab w:val="clear" w:pos="480"/>
              </w:tabs>
              <w:adjustRightInd w:val="0"/>
              <w:snapToGrid w:val="0"/>
              <w:spacing w:line="240" w:lineRule="auto"/>
              <w:ind w:firstLine="0" w:firstLineChars="0"/>
              <w:jc w:val="center"/>
              <w:rPr>
                <w:sz w:val="18"/>
                <w:szCs w:val="18"/>
              </w:rPr>
            </w:pPr>
            <w:r>
              <w:rPr>
                <w:sz w:val="18"/>
                <w:szCs w:val="18"/>
              </w:rPr>
              <w:t>噪声</w:t>
            </w:r>
          </w:p>
        </w:tc>
        <w:tc>
          <w:tcPr>
            <w:tcW w:w="1406" w:type="pct"/>
            <w:vAlign w:val="center"/>
          </w:tcPr>
          <w:p w14:paraId="76611CF6">
            <w:pPr>
              <w:tabs>
                <w:tab w:val="clear" w:pos="480"/>
              </w:tabs>
              <w:adjustRightInd w:val="0"/>
              <w:snapToGrid w:val="0"/>
              <w:spacing w:line="240" w:lineRule="auto"/>
              <w:ind w:firstLine="0" w:firstLineChars="0"/>
              <w:jc w:val="center"/>
              <w:rPr>
                <w:sz w:val="18"/>
                <w:szCs w:val="18"/>
              </w:rPr>
            </w:pPr>
            <w:r>
              <w:rPr>
                <w:sz w:val="18"/>
                <w:szCs w:val="18"/>
              </w:rPr>
              <w:t>在升压站厂区边界、机位</w:t>
            </w:r>
            <w:r>
              <w:rPr>
                <w:rFonts w:hint="eastAsia"/>
                <w:sz w:val="18"/>
                <w:szCs w:val="18"/>
              </w:rPr>
              <w:t>较近</w:t>
            </w:r>
            <w:r>
              <w:rPr>
                <w:sz w:val="18"/>
                <w:szCs w:val="18"/>
              </w:rPr>
              <w:t>居民点茅草坳居民点</w:t>
            </w:r>
            <w:r>
              <w:rPr>
                <w:rFonts w:hint="eastAsia"/>
                <w:sz w:val="18"/>
                <w:szCs w:val="18"/>
              </w:rPr>
              <w:t>、</w:t>
            </w:r>
            <w:r>
              <w:rPr>
                <w:sz w:val="18"/>
                <w:szCs w:val="18"/>
              </w:rPr>
              <w:t>环洞村扶贫基地</w:t>
            </w:r>
            <w:r>
              <w:rPr>
                <w:rFonts w:hint="eastAsia"/>
                <w:sz w:val="18"/>
                <w:szCs w:val="18"/>
              </w:rPr>
              <w:t>、</w:t>
            </w:r>
            <w:r>
              <w:rPr>
                <w:sz w:val="18"/>
                <w:szCs w:val="18"/>
              </w:rPr>
              <w:t>仁皇村</w:t>
            </w:r>
            <w:r>
              <w:rPr>
                <w:rFonts w:hint="eastAsia"/>
                <w:sz w:val="18"/>
                <w:szCs w:val="18"/>
              </w:rPr>
              <w:t>居民点</w:t>
            </w:r>
          </w:p>
        </w:tc>
        <w:tc>
          <w:tcPr>
            <w:tcW w:w="1618" w:type="pct"/>
            <w:vAlign w:val="center"/>
          </w:tcPr>
          <w:p w14:paraId="06A10527">
            <w:pPr>
              <w:tabs>
                <w:tab w:val="clear" w:pos="480"/>
              </w:tabs>
              <w:adjustRightInd w:val="0"/>
              <w:snapToGrid w:val="0"/>
              <w:spacing w:line="240" w:lineRule="auto"/>
              <w:ind w:firstLine="0" w:firstLineChars="0"/>
              <w:rPr>
                <w:sz w:val="18"/>
                <w:szCs w:val="18"/>
              </w:rPr>
            </w:pPr>
            <w:r>
              <w:rPr>
                <w:sz w:val="18"/>
                <w:szCs w:val="18"/>
              </w:rPr>
              <w:t>Leq(A)，昼夜</w:t>
            </w:r>
          </w:p>
        </w:tc>
        <w:tc>
          <w:tcPr>
            <w:tcW w:w="746" w:type="pct"/>
            <w:vAlign w:val="center"/>
          </w:tcPr>
          <w:p w14:paraId="6A4F5F57">
            <w:pPr>
              <w:tabs>
                <w:tab w:val="clear" w:pos="480"/>
              </w:tabs>
              <w:adjustRightInd w:val="0"/>
              <w:snapToGrid w:val="0"/>
              <w:spacing w:line="240" w:lineRule="auto"/>
              <w:ind w:firstLine="0" w:firstLineChars="0"/>
              <w:jc w:val="center"/>
              <w:rPr>
                <w:sz w:val="18"/>
                <w:szCs w:val="18"/>
              </w:rPr>
            </w:pPr>
            <w:r>
              <w:rPr>
                <w:sz w:val="18"/>
                <w:szCs w:val="18"/>
              </w:rPr>
              <w:t>1次/年，监测3年</w:t>
            </w:r>
          </w:p>
        </w:tc>
      </w:tr>
      <w:tr w14:paraId="2ECF05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vMerge w:val="continue"/>
            <w:vAlign w:val="center"/>
          </w:tcPr>
          <w:p w14:paraId="3F8BFF7D">
            <w:pPr>
              <w:tabs>
                <w:tab w:val="clear" w:pos="480"/>
              </w:tabs>
              <w:adjustRightInd w:val="0"/>
              <w:snapToGrid w:val="0"/>
              <w:spacing w:line="240" w:lineRule="auto"/>
              <w:ind w:firstLine="0" w:firstLineChars="0"/>
              <w:rPr>
                <w:sz w:val="18"/>
                <w:szCs w:val="18"/>
              </w:rPr>
            </w:pPr>
          </w:p>
        </w:tc>
        <w:tc>
          <w:tcPr>
            <w:tcW w:w="656" w:type="pct"/>
            <w:vAlign w:val="center"/>
          </w:tcPr>
          <w:p w14:paraId="78D53A1F">
            <w:pPr>
              <w:tabs>
                <w:tab w:val="clear" w:pos="480"/>
              </w:tabs>
              <w:adjustRightInd w:val="0"/>
              <w:snapToGrid w:val="0"/>
              <w:spacing w:line="240" w:lineRule="auto"/>
              <w:ind w:firstLine="0" w:firstLineChars="0"/>
              <w:rPr>
                <w:sz w:val="18"/>
                <w:szCs w:val="18"/>
              </w:rPr>
            </w:pPr>
            <w:r>
              <w:rPr>
                <w:sz w:val="18"/>
                <w:szCs w:val="18"/>
              </w:rPr>
              <w:t>废水</w:t>
            </w:r>
          </w:p>
        </w:tc>
        <w:tc>
          <w:tcPr>
            <w:tcW w:w="1406" w:type="pct"/>
            <w:vAlign w:val="center"/>
          </w:tcPr>
          <w:p w14:paraId="2723B4B2">
            <w:pPr>
              <w:tabs>
                <w:tab w:val="clear" w:pos="480"/>
              </w:tabs>
              <w:adjustRightInd w:val="0"/>
              <w:snapToGrid w:val="0"/>
              <w:spacing w:line="240" w:lineRule="auto"/>
              <w:ind w:firstLine="0" w:firstLineChars="0"/>
              <w:jc w:val="center"/>
              <w:rPr>
                <w:sz w:val="18"/>
                <w:szCs w:val="18"/>
              </w:rPr>
            </w:pPr>
            <w:r>
              <w:rPr>
                <w:sz w:val="18"/>
                <w:szCs w:val="18"/>
              </w:rPr>
              <w:t>升压站废水处理站出口</w:t>
            </w:r>
          </w:p>
        </w:tc>
        <w:tc>
          <w:tcPr>
            <w:tcW w:w="1618" w:type="pct"/>
            <w:vAlign w:val="center"/>
          </w:tcPr>
          <w:p w14:paraId="1FD7C6D7">
            <w:pPr>
              <w:tabs>
                <w:tab w:val="clear" w:pos="480"/>
              </w:tabs>
              <w:adjustRightInd w:val="0"/>
              <w:snapToGrid w:val="0"/>
              <w:spacing w:line="240" w:lineRule="auto"/>
              <w:ind w:firstLine="0" w:firstLineChars="0"/>
              <w:rPr>
                <w:sz w:val="18"/>
                <w:szCs w:val="18"/>
              </w:rPr>
            </w:pPr>
            <w:r>
              <w:rPr>
                <w:sz w:val="18"/>
                <w:szCs w:val="18"/>
              </w:rPr>
              <w:t>pH 值、SS、粪大肠菌群、CODCr、BOD</w:t>
            </w:r>
            <w:r>
              <w:rPr>
                <w:sz w:val="18"/>
                <w:szCs w:val="18"/>
                <w:vertAlign w:val="subscript"/>
              </w:rPr>
              <w:t>5</w:t>
            </w:r>
            <w:r>
              <w:rPr>
                <w:sz w:val="18"/>
                <w:szCs w:val="18"/>
              </w:rPr>
              <w:t>、总氮、总磷、氨氮、动植物油</w:t>
            </w:r>
          </w:p>
        </w:tc>
        <w:tc>
          <w:tcPr>
            <w:tcW w:w="746" w:type="pct"/>
            <w:vAlign w:val="center"/>
          </w:tcPr>
          <w:p w14:paraId="33F3E618">
            <w:pPr>
              <w:tabs>
                <w:tab w:val="clear" w:pos="480"/>
              </w:tabs>
              <w:adjustRightInd w:val="0"/>
              <w:snapToGrid w:val="0"/>
              <w:spacing w:line="240" w:lineRule="auto"/>
              <w:ind w:firstLine="0" w:firstLineChars="0"/>
              <w:jc w:val="center"/>
              <w:rPr>
                <w:sz w:val="18"/>
                <w:szCs w:val="18"/>
              </w:rPr>
            </w:pPr>
            <w:r>
              <w:rPr>
                <w:sz w:val="18"/>
                <w:szCs w:val="18"/>
              </w:rPr>
              <w:t>1次/年，监测3年</w:t>
            </w:r>
          </w:p>
        </w:tc>
      </w:tr>
      <w:tr w14:paraId="7BD2AF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vMerge w:val="continue"/>
            <w:vAlign w:val="center"/>
          </w:tcPr>
          <w:p w14:paraId="5707779A">
            <w:pPr>
              <w:tabs>
                <w:tab w:val="clear" w:pos="480"/>
              </w:tabs>
              <w:adjustRightInd w:val="0"/>
              <w:snapToGrid w:val="0"/>
              <w:spacing w:line="240" w:lineRule="auto"/>
              <w:ind w:firstLine="0" w:firstLineChars="0"/>
              <w:rPr>
                <w:sz w:val="18"/>
                <w:szCs w:val="18"/>
              </w:rPr>
            </w:pPr>
          </w:p>
        </w:tc>
        <w:tc>
          <w:tcPr>
            <w:tcW w:w="656" w:type="pct"/>
            <w:vAlign w:val="center"/>
          </w:tcPr>
          <w:p w14:paraId="5484355F">
            <w:pPr>
              <w:tabs>
                <w:tab w:val="clear" w:pos="480"/>
              </w:tabs>
              <w:adjustRightInd w:val="0"/>
              <w:snapToGrid w:val="0"/>
              <w:spacing w:line="240" w:lineRule="auto"/>
              <w:ind w:firstLine="0" w:firstLineChars="0"/>
              <w:rPr>
                <w:sz w:val="18"/>
                <w:szCs w:val="18"/>
              </w:rPr>
            </w:pPr>
            <w:r>
              <w:rPr>
                <w:sz w:val="18"/>
                <w:szCs w:val="18"/>
              </w:rPr>
              <w:t>电磁环境</w:t>
            </w:r>
          </w:p>
        </w:tc>
        <w:tc>
          <w:tcPr>
            <w:tcW w:w="1406" w:type="pct"/>
            <w:vAlign w:val="center"/>
          </w:tcPr>
          <w:p w14:paraId="6F0062F6">
            <w:pPr>
              <w:tabs>
                <w:tab w:val="clear" w:pos="480"/>
              </w:tabs>
              <w:adjustRightInd w:val="0"/>
              <w:snapToGrid w:val="0"/>
              <w:spacing w:line="240" w:lineRule="auto"/>
              <w:ind w:firstLine="0" w:firstLineChars="0"/>
              <w:jc w:val="center"/>
              <w:rPr>
                <w:sz w:val="18"/>
                <w:szCs w:val="18"/>
              </w:rPr>
            </w:pPr>
            <w:r>
              <w:rPr>
                <w:sz w:val="18"/>
                <w:szCs w:val="18"/>
              </w:rPr>
              <w:t>升压站厂界四周</w:t>
            </w:r>
          </w:p>
        </w:tc>
        <w:tc>
          <w:tcPr>
            <w:tcW w:w="1618" w:type="pct"/>
            <w:vAlign w:val="center"/>
          </w:tcPr>
          <w:p w14:paraId="7CE17551">
            <w:pPr>
              <w:tabs>
                <w:tab w:val="clear" w:pos="480"/>
              </w:tabs>
              <w:adjustRightInd w:val="0"/>
              <w:snapToGrid w:val="0"/>
              <w:spacing w:line="240" w:lineRule="auto"/>
              <w:ind w:firstLine="0" w:firstLineChars="0"/>
              <w:rPr>
                <w:sz w:val="18"/>
                <w:szCs w:val="18"/>
              </w:rPr>
            </w:pPr>
            <w:r>
              <w:rPr>
                <w:sz w:val="18"/>
                <w:szCs w:val="18"/>
              </w:rPr>
              <w:t>工频电场强度和工频磁感应强度</w:t>
            </w:r>
          </w:p>
        </w:tc>
        <w:tc>
          <w:tcPr>
            <w:tcW w:w="746" w:type="pct"/>
            <w:vAlign w:val="center"/>
          </w:tcPr>
          <w:p w14:paraId="705EB1AA">
            <w:pPr>
              <w:tabs>
                <w:tab w:val="clear" w:pos="480"/>
              </w:tabs>
              <w:adjustRightInd w:val="0"/>
              <w:snapToGrid w:val="0"/>
              <w:spacing w:line="240" w:lineRule="auto"/>
              <w:ind w:firstLine="0" w:firstLineChars="0"/>
              <w:jc w:val="center"/>
              <w:rPr>
                <w:sz w:val="18"/>
                <w:szCs w:val="18"/>
              </w:rPr>
            </w:pPr>
            <w:r>
              <w:rPr>
                <w:sz w:val="18"/>
                <w:szCs w:val="18"/>
              </w:rPr>
              <w:t>监测一次</w:t>
            </w:r>
          </w:p>
        </w:tc>
      </w:tr>
    </w:tbl>
    <w:p w14:paraId="5CAC8534">
      <w:pPr>
        <w:pStyle w:val="4"/>
        <w:tabs>
          <w:tab w:val="clear" w:pos="480"/>
          <w:tab w:val="clear" w:pos="630"/>
        </w:tabs>
        <w:spacing w:before="0" w:after="0"/>
        <w:rPr>
          <w:sz w:val="30"/>
          <w:szCs w:val="30"/>
          <w:lang w:val="en-US"/>
        </w:rPr>
      </w:pPr>
      <w:bookmarkStart w:id="302" w:name="_Toc143799422"/>
      <w:r>
        <w:rPr>
          <w:sz w:val="30"/>
          <w:szCs w:val="30"/>
          <w:lang w:val="en-US"/>
        </w:rPr>
        <w:t>1</w:t>
      </w:r>
      <w:r>
        <w:rPr>
          <w:rFonts w:hint="eastAsia"/>
          <w:sz w:val="30"/>
          <w:szCs w:val="30"/>
          <w:lang w:val="en-US"/>
        </w:rPr>
        <w:t>2</w:t>
      </w:r>
      <w:r>
        <w:rPr>
          <w:sz w:val="30"/>
          <w:szCs w:val="30"/>
          <w:lang w:val="en-US"/>
        </w:rPr>
        <w:t>.3竣工环境保护验收</w:t>
      </w:r>
      <w:bookmarkEnd w:id="301"/>
      <w:bookmarkEnd w:id="302"/>
    </w:p>
    <w:p w14:paraId="617F07DC">
      <w:pPr>
        <w:tabs>
          <w:tab w:val="clear" w:pos="480"/>
        </w:tabs>
        <w:adjustRightInd w:val="0"/>
        <w:snapToGrid w:val="0"/>
        <w:ind w:firstLine="480"/>
      </w:pPr>
      <w:r>
        <w:t>本项目环境保护“三同时”验收内容见</w:t>
      </w:r>
      <w:r>
        <w:rPr>
          <w:rFonts w:hint="eastAsia"/>
        </w:rPr>
        <w:t>下表</w:t>
      </w:r>
      <w:r>
        <w:t>。</w:t>
      </w:r>
    </w:p>
    <w:p w14:paraId="615D794F">
      <w:pPr>
        <w:tabs>
          <w:tab w:val="clear" w:pos="480"/>
        </w:tabs>
        <w:adjustRightInd w:val="0"/>
        <w:snapToGrid w:val="0"/>
        <w:spacing w:line="240" w:lineRule="auto"/>
        <w:ind w:firstLine="0" w:firstLineChars="0"/>
        <w:jc w:val="center"/>
        <w:rPr>
          <w:b/>
          <w:bCs/>
        </w:rPr>
      </w:pPr>
      <w:r>
        <w:rPr>
          <w:b/>
          <w:bCs/>
        </w:rPr>
        <w:t>表12.3</w:t>
      </w:r>
      <w:r>
        <w:rPr>
          <w:rFonts w:hint="eastAsia"/>
          <w:b/>
          <w:bCs/>
        </w:rPr>
        <w:t>-</w:t>
      </w:r>
      <w:r>
        <w:rPr>
          <w:b/>
          <w:bCs/>
        </w:rPr>
        <w:t>1竣工环保验收一览表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1284"/>
        <w:gridCol w:w="754"/>
        <w:gridCol w:w="3377"/>
        <w:gridCol w:w="2391"/>
      </w:tblGrid>
      <w:tr w14:paraId="60A59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shd w:val="clear" w:color="auto" w:fill="auto"/>
            <w:vAlign w:val="center"/>
          </w:tcPr>
          <w:p w14:paraId="5A03A53D">
            <w:pPr>
              <w:widowControl/>
              <w:tabs>
                <w:tab w:val="clear" w:pos="480"/>
              </w:tabs>
              <w:adjustRightInd w:val="0"/>
              <w:snapToGrid w:val="0"/>
              <w:spacing w:line="240" w:lineRule="auto"/>
              <w:ind w:firstLine="0" w:firstLineChars="0"/>
              <w:jc w:val="center"/>
              <w:rPr>
                <w:sz w:val="18"/>
                <w:szCs w:val="18"/>
              </w:rPr>
            </w:pPr>
            <w:r>
              <w:rPr>
                <w:sz w:val="18"/>
                <w:szCs w:val="18"/>
              </w:rPr>
              <w:t>时段</w:t>
            </w:r>
          </w:p>
        </w:tc>
        <w:tc>
          <w:tcPr>
            <w:tcW w:w="753" w:type="pct"/>
            <w:shd w:val="clear" w:color="auto" w:fill="auto"/>
            <w:vAlign w:val="center"/>
          </w:tcPr>
          <w:p w14:paraId="58E6F152">
            <w:pPr>
              <w:widowControl/>
              <w:tabs>
                <w:tab w:val="clear" w:pos="480"/>
              </w:tabs>
              <w:adjustRightInd w:val="0"/>
              <w:snapToGrid w:val="0"/>
              <w:spacing w:line="240" w:lineRule="auto"/>
              <w:ind w:firstLine="0" w:firstLineChars="0"/>
              <w:jc w:val="center"/>
              <w:rPr>
                <w:sz w:val="18"/>
                <w:szCs w:val="18"/>
              </w:rPr>
            </w:pPr>
            <w:r>
              <w:rPr>
                <w:sz w:val="18"/>
                <w:szCs w:val="18"/>
              </w:rPr>
              <w:t>项目</w:t>
            </w:r>
          </w:p>
        </w:tc>
        <w:tc>
          <w:tcPr>
            <w:tcW w:w="2422" w:type="pct"/>
            <w:gridSpan w:val="2"/>
            <w:shd w:val="clear" w:color="auto" w:fill="auto"/>
            <w:vAlign w:val="center"/>
          </w:tcPr>
          <w:p w14:paraId="2EC4C0AA">
            <w:pPr>
              <w:widowControl/>
              <w:tabs>
                <w:tab w:val="clear" w:pos="480"/>
              </w:tabs>
              <w:adjustRightInd w:val="0"/>
              <w:snapToGrid w:val="0"/>
              <w:spacing w:line="240" w:lineRule="auto"/>
              <w:ind w:firstLine="0" w:firstLineChars="0"/>
              <w:jc w:val="center"/>
              <w:rPr>
                <w:sz w:val="18"/>
                <w:szCs w:val="18"/>
              </w:rPr>
            </w:pPr>
            <w:r>
              <w:rPr>
                <w:sz w:val="18"/>
                <w:szCs w:val="18"/>
              </w:rPr>
              <w:t>治理措施</w:t>
            </w:r>
          </w:p>
        </w:tc>
        <w:tc>
          <w:tcPr>
            <w:tcW w:w="1402" w:type="pct"/>
            <w:shd w:val="clear" w:color="auto" w:fill="auto"/>
            <w:vAlign w:val="center"/>
          </w:tcPr>
          <w:p w14:paraId="4D20067C">
            <w:pPr>
              <w:widowControl/>
              <w:tabs>
                <w:tab w:val="clear" w:pos="480"/>
              </w:tabs>
              <w:adjustRightInd w:val="0"/>
              <w:snapToGrid w:val="0"/>
              <w:spacing w:line="240" w:lineRule="auto"/>
              <w:ind w:firstLine="0" w:firstLineChars="0"/>
              <w:jc w:val="center"/>
              <w:rPr>
                <w:sz w:val="18"/>
                <w:szCs w:val="18"/>
              </w:rPr>
            </w:pPr>
            <w:r>
              <w:rPr>
                <w:sz w:val="18"/>
                <w:szCs w:val="18"/>
              </w:rPr>
              <w:t>治理效果</w:t>
            </w:r>
          </w:p>
        </w:tc>
      </w:tr>
      <w:tr w14:paraId="3B2EE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restart"/>
            <w:shd w:val="clear" w:color="auto" w:fill="auto"/>
            <w:vAlign w:val="center"/>
          </w:tcPr>
          <w:p w14:paraId="4C808223">
            <w:pPr>
              <w:widowControl/>
              <w:tabs>
                <w:tab w:val="clear" w:pos="480"/>
              </w:tabs>
              <w:adjustRightInd w:val="0"/>
              <w:snapToGrid w:val="0"/>
              <w:spacing w:line="240" w:lineRule="auto"/>
              <w:ind w:firstLine="0" w:firstLineChars="0"/>
              <w:jc w:val="center"/>
              <w:rPr>
                <w:sz w:val="18"/>
                <w:szCs w:val="18"/>
              </w:rPr>
            </w:pPr>
            <w:r>
              <w:rPr>
                <w:sz w:val="18"/>
                <w:szCs w:val="18"/>
              </w:rPr>
              <w:t>施工期</w:t>
            </w:r>
          </w:p>
        </w:tc>
        <w:tc>
          <w:tcPr>
            <w:tcW w:w="753" w:type="pct"/>
            <w:shd w:val="clear" w:color="auto" w:fill="auto"/>
            <w:vAlign w:val="center"/>
          </w:tcPr>
          <w:p w14:paraId="790D521A">
            <w:pPr>
              <w:widowControl/>
              <w:tabs>
                <w:tab w:val="clear" w:pos="480"/>
              </w:tabs>
              <w:adjustRightInd w:val="0"/>
              <w:snapToGrid w:val="0"/>
              <w:spacing w:line="240" w:lineRule="auto"/>
              <w:ind w:firstLine="0" w:firstLineChars="0"/>
              <w:jc w:val="center"/>
              <w:rPr>
                <w:bCs/>
                <w:sz w:val="18"/>
                <w:szCs w:val="18"/>
              </w:rPr>
            </w:pPr>
            <w:r>
              <w:rPr>
                <w:bCs/>
                <w:sz w:val="18"/>
                <w:szCs w:val="18"/>
              </w:rPr>
              <w:t>水环境</w:t>
            </w:r>
          </w:p>
        </w:tc>
        <w:tc>
          <w:tcPr>
            <w:tcW w:w="2422" w:type="pct"/>
            <w:gridSpan w:val="2"/>
            <w:shd w:val="clear" w:color="auto" w:fill="auto"/>
            <w:vAlign w:val="center"/>
          </w:tcPr>
          <w:p w14:paraId="0F13A409">
            <w:pPr>
              <w:tabs>
                <w:tab w:val="clear" w:pos="480"/>
              </w:tabs>
              <w:adjustRightInd w:val="0"/>
              <w:snapToGrid w:val="0"/>
              <w:spacing w:line="240" w:lineRule="auto"/>
              <w:ind w:firstLine="0" w:firstLineChars="0"/>
              <w:rPr>
                <w:bCs/>
                <w:sz w:val="18"/>
                <w:szCs w:val="18"/>
              </w:rPr>
            </w:pPr>
            <w:r>
              <w:rPr>
                <w:bCs/>
                <w:sz w:val="18"/>
                <w:szCs w:val="18"/>
              </w:rPr>
              <w:t>生产废水采取沉淀处理后回用；生活污水经化粪池处理后用于周边林地浇灌，不外排</w:t>
            </w:r>
          </w:p>
        </w:tc>
        <w:tc>
          <w:tcPr>
            <w:tcW w:w="1402" w:type="pct"/>
            <w:shd w:val="clear" w:color="auto" w:fill="auto"/>
            <w:vAlign w:val="center"/>
          </w:tcPr>
          <w:p w14:paraId="7F88B905">
            <w:pPr>
              <w:widowControl/>
              <w:tabs>
                <w:tab w:val="clear" w:pos="480"/>
              </w:tabs>
              <w:autoSpaceDE w:val="0"/>
              <w:autoSpaceDN w:val="0"/>
              <w:adjustRightInd w:val="0"/>
              <w:snapToGrid w:val="0"/>
              <w:spacing w:line="240" w:lineRule="auto"/>
              <w:ind w:firstLine="0" w:firstLineChars="0"/>
              <w:jc w:val="center"/>
              <w:rPr>
                <w:bCs/>
                <w:sz w:val="18"/>
                <w:szCs w:val="18"/>
              </w:rPr>
            </w:pPr>
            <w:r>
              <w:rPr>
                <w:bCs/>
                <w:sz w:val="18"/>
                <w:szCs w:val="18"/>
              </w:rPr>
              <w:t>不外排，对周边地表水影响较小</w:t>
            </w:r>
            <w:r>
              <w:rPr>
                <w:rFonts w:hint="eastAsia"/>
                <w:bCs/>
                <w:sz w:val="18"/>
                <w:szCs w:val="18"/>
              </w:rPr>
              <w:t>。</w:t>
            </w:r>
          </w:p>
        </w:tc>
      </w:tr>
      <w:tr w14:paraId="2D85CB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1166CA91">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2F75D8C5">
            <w:pPr>
              <w:widowControl/>
              <w:tabs>
                <w:tab w:val="clear" w:pos="480"/>
              </w:tabs>
              <w:adjustRightInd w:val="0"/>
              <w:snapToGrid w:val="0"/>
              <w:spacing w:line="240" w:lineRule="auto"/>
              <w:ind w:firstLine="0" w:firstLineChars="0"/>
              <w:jc w:val="center"/>
              <w:rPr>
                <w:bCs/>
                <w:sz w:val="18"/>
                <w:szCs w:val="18"/>
              </w:rPr>
            </w:pPr>
            <w:r>
              <w:rPr>
                <w:bCs/>
                <w:sz w:val="18"/>
                <w:szCs w:val="18"/>
              </w:rPr>
              <w:t>大气环境</w:t>
            </w:r>
          </w:p>
        </w:tc>
        <w:tc>
          <w:tcPr>
            <w:tcW w:w="2422" w:type="pct"/>
            <w:gridSpan w:val="2"/>
            <w:shd w:val="clear" w:color="auto" w:fill="auto"/>
            <w:vAlign w:val="center"/>
          </w:tcPr>
          <w:p w14:paraId="5709CAF7">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洒水降尘，干旱季节每天3~4次。选择符合环保标准的施工机械和运输车辆，并定期维修保养</w:t>
            </w:r>
          </w:p>
        </w:tc>
        <w:tc>
          <w:tcPr>
            <w:tcW w:w="1402" w:type="pct"/>
            <w:shd w:val="clear" w:color="auto" w:fill="auto"/>
            <w:vAlign w:val="center"/>
          </w:tcPr>
          <w:p w14:paraId="2DBC57EC">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符合《大气污染物综合排放标准》（GB16297-1996）二级标准及无组织排放限值要求。</w:t>
            </w:r>
          </w:p>
        </w:tc>
      </w:tr>
      <w:tr w14:paraId="38C59B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00E3AEFA">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39BC5B5A">
            <w:pPr>
              <w:widowControl/>
              <w:tabs>
                <w:tab w:val="clear" w:pos="480"/>
              </w:tabs>
              <w:adjustRightInd w:val="0"/>
              <w:snapToGrid w:val="0"/>
              <w:spacing w:line="240" w:lineRule="auto"/>
              <w:ind w:firstLine="0" w:firstLineChars="0"/>
              <w:jc w:val="center"/>
              <w:rPr>
                <w:bCs/>
                <w:sz w:val="18"/>
                <w:szCs w:val="18"/>
              </w:rPr>
            </w:pPr>
            <w:r>
              <w:rPr>
                <w:bCs/>
                <w:sz w:val="18"/>
                <w:szCs w:val="18"/>
              </w:rPr>
              <w:t>声环境</w:t>
            </w:r>
          </w:p>
        </w:tc>
        <w:tc>
          <w:tcPr>
            <w:tcW w:w="2422" w:type="pct"/>
            <w:gridSpan w:val="2"/>
            <w:shd w:val="clear" w:color="auto" w:fill="auto"/>
            <w:vAlign w:val="center"/>
          </w:tcPr>
          <w:p w14:paraId="0A095DD2">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禁止夜间爆破施工；采取低噪声工艺和设备；禁止夜间运行高噪声设备；在运输道路沿线居民路段设置减速警示牌和禁鸣标志，进场道路施工、材料设备运输必须安排在昼间进行；对运输道路沿线居民点的声环境进行跟踪监测；居民点附近道路改造安排在昼间，并提前告知附近居民；预留环保资金</w:t>
            </w:r>
          </w:p>
        </w:tc>
        <w:tc>
          <w:tcPr>
            <w:tcW w:w="1402" w:type="pct"/>
            <w:shd w:val="clear" w:color="auto" w:fill="auto"/>
            <w:vAlign w:val="center"/>
          </w:tcPr>
          <w:p w14:paraId="2461033A">
            <w:pPr>
              <w:widowControl/>
              <w:tabs>
                <w:tab w:val="clear" w:pos="480"/>
              </w:tabs>
              <w:autoSpaceDE w:val="0"/>
              <w:autoSpaceDN w:val="0"/>
              <w:adjustRightInd w:val="0"/>
              <w:snapToGrid w:val="0"/>
              <w:spacing w:line="240" w:lineRule="auto"/>
              <w:ind w:firstLine="0" w:firstLineChars="0"/>
              <w:jc w:val="center"/>
              <w:rPr>
                <w:bCs/>
                <w:sz w:val="18"/>
                <w:szCs w:val="18"/>
              </w:rPr>
            </w:pPr>
            <w:r>
              <w:rPr>
                <w:bCs/>
                <w:sz w:val="18"/>
                <w:szCs w:val="18"/>
              </w:rPr>
              <w:t>符合《建筑施工场界环境噪声排放标准》（GB12523-2011）</w:t>
            </w:r>
          </w:p>
        </w:tc>
      </w:tr>
      <w:tr w14:paraId="24A30D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0FFB43AA">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355F9A90">
            <w:pPr>
              <w:widowControl/>
              <w:tabs>
                <w:tab w:val="clear" w:pos="480"/>
              </w:tabs>
              <w:adjustRightInd w:val="0"/>
              <w:snapToGrid w:val="0"/>
              <w:spacing w:line="240" w:lineRule="auto"/>
              <w:ind w:firstLine="0" w:firstLineChars="0"/>
              <w:jc w:val="center"/>
              <w:rPr>
                <w:bCs/>
                <w:sz w:val="18"/>
                <w:szCs w:val="18"/>
              </w:rPr>
            </w:pPr>
            <w:r>
              <w:rPr>
                <w:bCs/>
                <w:sz w:val="18"/>
                <w:szCs w:val="18"/>
              </w:rPr>
              <w:t>固体废物</w:t>
            </w:r>
          </w:p>
        </w:tc>
        <w:tc>
          <w:tcPr>
            <w:tcW w:w="2422" w:type="pct"/>
            <w:gridSpan w:val="2"/>
            <w:shd w:val="clear" w:color="auto" w:fill="auto"/>
            <w:vAlign w:val="center"/>
          </w:tcPr>
          <w:p w14:paraId="2FB95CEE">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施工期采用垃圾桶分类收集，送乡镇垃圾收集系统进行处置；弃渣进行表土收集堆存，规范堆存于弃渣场或表土场，施工结束后对弃渣进行覆土绿化</w:t>
            </w:r>
          </w:p>
        </w:tc>
        <w:tc>
          <w:tcPr>
            <w:tcW w:w="1402" w:type="pct"/>
            <w:shd w:val="clear" w:color="auto" w:fill="auto"/>
            <w:vAlign w:val="center"/>
          </w:tcPr>
          <w:p w14:paraId="752EEF66">
            <w:pPr>
              <w:widowControl/>
              <w:tabs>
                <w:tab w:val="clear" w:pos="480"/>
              </w:tabs>
              <w:adjustRightInd w:val="0"/>
              <w:snapToGrid w:val="0"/>
              <w:spacing w:line="240" w:lineRule="auto"/>
              <w:ind w:firstLine="0" w:firstLineChars="0"/>
              <w:jc w:val="center"/>
              <w:rPr>
                <w:bCs/>
                <w:sz w:val="18"/>
                <w:szCs w:val="18"/>
              </w:rPr>
            </w:pPr>
            <w:r>
              <w:rPr>
                <w:bCs/>
                <w:sz w:val="18"/>
                <w:szCs w:val="18"/>
              </w:rPr>
              <w:t>统一处置，不外排</w:t>
            </w:r>
          </w:p>
        </w:tc>
      </w:tr>
      <w:tr w14:paraId="7A821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1E3E1BCC">
            <w:pPr>
              <w:widowControl/>
              <w:tabs>
                <w:tab w:val="clear" w:pos="480"/>
              </w:tabs>
              <w:adjustRightInd w:val="0"/>
              <w:snapToGrid w:val="0"/>
              <w:spacing w:line="240" w:lineRule="auto"/>
              <w:ind w:firstLine="0" w:firstLineChars="0"/>
              <w:jc w:val="center"/>
              <w:rPr>
                <w:sz w:val="18"/>
                <w:szCs w:val="18"/>
              </w:rPr>
            </w:pPr>
          </w:p>
        </w:tc>
        <w:tc>
          <w:tcPr>
            <w:tcW w:w="753" w:type="pct"/>
            <w:vMerge w:val="restart"/>
            <w:shd w:val="clear" w:color="auto" w:fill="auto"/>
            <w:vAlign w:val="center"/>
          </w:tcPr>
          <w:p w14:paraId="4FBD1269">
            <w:pPr>
              <w:widowControl/>
              <w:tabs>
                <w:tab w:val="clear" w:pos="480"/>
              </w:tabs>
              <w:adjustRightInd w:val="0"/>
              <w:snapToGrid w:val="0"/>
              <w:spacing w:line="240" w:lineRule="auto"/>
              <w:ind w:firstLine="0" w:firstLineChars="0"/>
              <w:jc w:val="center"/>
              <w:rPr>
                <w:bCs/>
                <w:sz w:val="18"/>
                <w:szCs w:val="18"/>
              </w:rPr>
            </w:pPr>
            <w:r>
              <w:rPr>
                <w:bCs/>
                <w:sz w:val="18"/>
                <w:szCs w:val="18"/>
              </w:rPr>
              <w:t>生态环境</w:t>
            </w:r>
          </w:p>
        </w:tc>
        <w:tc>
          <w:tcPr>
            <w:tcW w:w="442" w:type="pct"/>
            <w:shd w:val="clear" w:color="auto" w:fill="auto"/>
            <w:vAlign w:val="center"/>
          </w:tcPr>
          <w:p w14:paraId="237833EB">
            <w:pPr>
              <w:widowControl/>
              <w:tabs>
                <w:tab w:val="clear" w:pos="480"/>
              </w:tabs>
              <w:adjustRightInd w:val="0"/>
              <w:snapToGrid w:val="0"/>
              <w:spacing w:line="240" w:lineRule="auto"/>
              <w:ind w:firstLine="0" w:firstLineChars="0"/>
              <w:jc w:val="left"/>
              <w:rPr>
                <w:bCs/>
                <w:sz w:val="18"/>
                <w:szCs w:val="18"/>
              </w:rPr>
            </w:pPr>
            <w:r>
              <w:rPr>
                <w:rFonts w:hint="eastAsia"/>
                <w:bCs/>
                <w:sz w:val="18"/>
                <w:szCs w:val="18"/>
              </w:rPr>
              <w:t>陆生生态</w:t>
            </w:r>
          </w:p>
        </w:tc>
        <w:tc>
          <w:tcPr>
            <w:tcW w:w="1980" w:type="pct"/>
            <w:shd w:val="clear" w:color="auto" w:fill="auto"/>
            <w:vAlign w:val="center"/>
          </w:tcPr>
          <w:p w14:paraId="556C75D1">
            <w:pPr>
              <w:widowControl/>
              <w:tabs>
                <w:tab w:val="clear" w:pos="480"/>
              </w:tabs>
              <w:adjustRightInd w:val="0"/>
              <w:snapToGrid w:val="0"/>
              <w:spacing w:line="240" w:lineRule="auto"/>
              <w:ind w:firstLine="0" w:firstLineChars="0"/>
              <w:jc w:val="left"/>
              <w:rPr>
                <w:bCs/>
                <w:sz w:val="18"/>
                <w:szCs w:val="18"/>
              </w:rPr>
            </w:pPr>
            <w:r>
              <w:rPr>
                <w:rFonts w:hint="eastAsia"/>
                <w:bCs/>
                <w:sz w:val="18"/>
                <w:szCs w:val="18"/>
              </w:rPr>
              <w:t>不跨界施工，严格在施工红线范围内施工，不乱挖乱弃渣，做好植被恢复工作</w:t>
            </w:r>
          </w:p>
        </w:tc>
        <w:tc>
          <w:tcPr>
            <w:tcW w:w="1402" w:type="pct"/>
            <w:shd w:val="clear" w:color="auto" w:fill="auto"/>
            <w:vAlign w:val="center"/>
          </w:tcPr>
          <w:p w14:paraId="3CF0BCA6">
            <w:pPr>
              <w:widowControl/>
              <w:tabs>
                <w:tab w:val="clear" w:pos="480"/>
              </w:tabs>
              <w:adjustRightInd w:val="0"/>
              <w:snapToGrid w:val="0"/>
              <w:spacing w:line="240" w:lineRule="auto"/>
              <w:ind w:firstLine="0" w:firstLineChars="0"/>
              <w:jc w:val="center"/>
              <w:rPr>
                <w:bCs/>
                <w:sz w:val="18"/>
                <w:szCs w:val="18"/>
              </w:rPr>
            </w:pPr>
            <w:r>
              <w:rPr>
                <w:rFonts w:hint="eastAsia"/>
                <w:bCs/>
                <w:sz w:val="18"/>
                <w:szCs w:val="18"/>
              </w:rPr>
              <w:t>避免或减少对植被和动物的影响</w:t>
            </w:r>
          </w:p>
        </w:tc>
      </w:tr>
      <w:tr w14:paraId="17E730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6AE49795">
            <w:pPr>
              <w:widowControl/>
              <w:tabs>
                <w:tab w:val="clear" w:pos="480"/>
              </w:tabs>
              <w:adjustRightInd w:val="0"/>
              <w:snapToGrid w:val="0"/>
              <w:spacing w:line="240" w:lineRule="auto"/>
              <w:ind w:firstLine="0" w:firstLineChars="0"/>
              <w:jc w:val="center"/>
              <w:rPr>
                <w:sz w:val="18"/>
                <w:szCs w:val="18"/>
              </w:rPr>
            </w:pPr>
          </w:p>
        </w:tc>
        <w:tc>
          <w:tcPr>
            <w:tcW w:w="753" w:type="pct"/>
            <w:vMerge w:val="continue"/>
            <w:shd w:val="clear" w:color="auto" w:fill="auto"/>
            <w:vAlign w:val="center"/>
          </w:tcPr>
          <w:p w14:paraId="5E98267D">
            <w:pPr>
              <w:widowControl/>
              <w:tabs>
                <w:tab w:val="clear" w:pos="480"/>
              </w:tabs>
              <w:adjustRightInd w:val="0"/>
              <w:snapToGrid w:val="0"/>
              <w:spacing w:line="240" w:lineRule="auto"/>
              <w:ind w:firstLine="0" w:firstLineChars="0"/>
              <w:jc w:val="center"/>
              <w:rPr>
                <w:bCs/>
                <w:sz w:val="18"/>
                <w:szCs w:val="18"/>
              </w:rPr>
            </w:pPr>
          </w:p>
        </w:tc>
        <w:tc>
          <w:tcPr>
            <w:tcW w:w="442" w:type="pct"/>
            <w:shd w:val="clear" w:color="auto" w:fill="auto"/>
            <w:vAlign w:val="center"/>
          </w:tcPr>
          <w:p w14:paraId="0E0970E4">
            <w:pPr>
              <w:widowControl/>
              <w:tabs>
                <w:tab w:val="clear" w:pos="480"/>
              </w:tabs>
              <w:adjustRightInd w:val="0"/>
              <w:snapToGrid w:val="0"/>
              <w:spacing w:line="240" w:lineRule="auto"/>
              <w:ind w:firstLine="0" w:firstLineChars="0"/>
              <w:jc w:val="left"/>
              <w:rPr>
                <w:bCs/>
                <w:sz w:val="18"/>
                <w:szCs w:val="18"/>
              </w:rPr>
            </w:pPr>
            <w:r>
              <w:rPr>
                <w:rFonts w:hint="eastAsia"/>
                <w:bCs/>
                <w:sz w:val="18"/>
                <w:szCs w:val="18"/>
              </w:rPr>
              <w:t>水生生态</w:t>
            </w:r>
          </w:p>
        </w:tc>
        <w:tc>
          <w:tcPr>
            <w:tcW w:w="1980" w:type="pct"/>
            <w:shd w:val="clear" w:color="auto" w:fill="auto"/>
            <w:vAlign w:val="center"/>
          </w:tcPr>
          <w:p w14:paraId="1B3C8863">
            <w:pPr>
              <w:widowControl/>
              <w:tabs>
                <w:tab w:val="clear" w:pos="480"/>
              </w:tabs>
              <w:adjustRightInd w:val="0"/>
              <w:snapToGrid w:val="0"/>
              <w:spacing w:line="240" w:lineRule="auto"/>
              <w:ind w:firstLine="0" w:firstLineChars="0"/>
              <w:jc w:val="left"/>
              <w:rPr>
                <w:bCs/>
                <w:sz w:val="18"/>
                <w:szCs w:val="18"/>
              </w:rPr>
            </w:pPr>
            <w:r>
              <w:rPr>
                <w:rFonts w:hint="eastAsia"/>
                <w:bCs/>
                <w:sz w:val="18"/>
                <w:szCs w:val="18"/>
              </w:rPr>
              <w:t>不跨界施工，严格在施工红线范围内施工，不乱挖乱弃渣，做好植被恢复工作</w:t>
            </w:r>
          </w:p>
        </w:tc>
        <w:tc>
          <w:tcPr>
            <w:tcW w:w="1402" w:type="pct"/>
            <w:vMerge w:val="restart"/>
            <w:shd w:val="clear" w:color="auto" w:fill="auto"/>
            <w:vAlign w:val="center"/>
          </w:tcPr>
          <w:p w14:paraId="7C490239">
            <w:pPr>
              <w:widowControl/>
              <w:tabs>
                <w:tab w:val="clear" w:pos="480"/>
              </w:tabs>
              <w:adjustRightInd w:val="0"/>
              <w:snapToGrid w:val="0"/>
              <w:spacing w:line="240" w:lineRule="auto"/>
              <w:ind w:firstLine="0" w:firstLineChars="0"/>
              <w:jc w:val="left"/>
              <w:rPr>
                <w:bCs/>
                <w:sz w:val="18"/>
                <w:szCs w:val="18"/>
              </w:rPr>
            </w:pPr>
            <w:r>
              <w:rPr>
                <w:rFonts w:hint="eastAsia"/>
                <w:bCs/>
                <w:sz w:val="18"/>
                <w:szCs w:val="18"/>
              </w:rPr>
              <w:t>施工弃土严禁倾倒进入地表水体</w:t>
            </w:r>
          </w:p>
        </w:tc>
      </w:tr>
      <w:tr w14:paraId="4E401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1B463342">
            <w:pPr>
              <w:widowControl/>
              <w:tabs>
                <w:tab w:val="clear" w:pos="480"/>
              </w:tabs>
              <w:adjustRightInd w:val="0"/>
              <w:snapToGrid w:val="0"/>
              <w:spacing w:line="240" w:lineRule="auto"/>
              <w:ind w:firstLine="0" w:firstLineChars="0"/>
              <w:jc w:val="center"/>
              <w:rPr>
                <w:sz w:val="18"/>
                <w:szCs w:val="18"/>
              </w:rPr>
            </w:pPr>
          </w:p>
        </w:tc>
        <w:tc>
          <w:tcPr>
            <w:tcW w:w="753" w:type="pct"/>
            <w:vMerge w:val="continue"/>
            <w:shd w:val="clear" w:color="auto" w:fill="auto"/>
            <w:vAlign w:val="center"/>
          </w:tcPr>
          <w:p w14:paraId="6F2927F7">
            <w:pPr>
              <w:widowControl/>
              <w:tabs>
                <w:tab w:val="clear" w:pos="480"/>
              </w:tabs>
              <w:adjustRightInd w:val="0"/>
              <w:snapToGrid w:val="0"/>
              <w:spacing w:line="240" w:lineRule="auto"/>
              <w:ind w:firstLine="0" w:firstLineChars="0"/>
              <w:jc w:val="center"/>
              <w:rPr>
                <w:bCs/>
                <w:sz w:val="18"/>
                <w:szCs w:val="18"/>
              </w:rPr>
            </w:pPr>
          </w:p>
        </w:tc>
        <w:tc>
          <w:tcPr>
            <w:tcW w:w="2422" w:type="pct"/>
            <w:gridSpan w:val="2"/>
            <w:shd w:val="clear" w:color="auto" w:fill="auto"/>
            <w:vAlign w:val="center"/>
          </w:tcPr>
          <w:p w14:paraId="18EF2964">
            <w:pPr>
              <w:widowControl/>
              <w:tabs>
                <w:tab w:val="clear" w:pos="480"/>
              </w:tabs>
              <w:adjustRightInd w:val="0"/>
              <w:snapToGrid w:val="0"/>
              <w:spacing w:line="240" w:lineRule="auto"/>
              <w:ind w:firstLine="0" w:firstLineChars="0"/>
              <w:jc w:val="center"/>
              <w:rPr>
                <w:bCs/>
                <w:sz w:val="18"/>
                <w:szCs w:val="18"/>
              </w:rPr>
            </w:pPr>
            <w:r>
              <w:rPr>
                <w:bCs/>
                <w:sz w:val="18"/>
                <w:szCs w:val="18"/>
              </w:rPr>
              <w:t>在施工期间加强对施工人员动</w:t>
            </w:r>
            <w:r>
              <w:rPr>
                <w:rFonts w:hint="eastAsia"/>
                <w:bCs/>
                <w:sz w:val="18"/>
                <w:szCs w:val="18"/>
              </w:rPr>
              <w:t>植</w:t>
            </w:r>
            <w:r>
              <w:rPr>
                <w:bCs/>
                <w:sz w:val="18"/>
                <w:szCs w:val="18"/>
              </w:rPr>
              <w:t>物保护意识</w:t>
            </w:r>
            <w:r>
              <w:rPr>
                <w:rFonts w:hint="eastAsia"/>
                <w:bCs/>
                <w:sz w:val="18"/>
                <w:szCs w:val="18"/>
              </w:rPr>
              <w:t>教育。对扰动区域新发现的保护植物进行保护。</w:t>
            </w:r>
          </w:p>
        </w:tc>
        <w:tc>
          <w:tcPr>
            <w:tcW w:w="1402" w:type="pct"/>
            <w:vMerge w:val="continue"/>
            <w:shd w:val="clear" w:color="auto" w:fill="auto"/>
            <w:vAlign w:val="center"/>
          </w:tcPr>
          <w:p w14:paraId="2A13A225">
            <w:pPr>
              <w:widowControl/>
              <w:tabs>
                <w:tab w:val="clear" w:pos="480"/>
              </w:tabs>
              <w:adjustRightInd w:val="0"/>
              <w:snapToGrid w:val="0"/>
              <w:spacing w:line="240" w:lineRule="auto"/>
              <w:ind w:firstLine="0" w:firstLineChars="0"/>
              <w:jc w:val="left"/>
              <w:rPr>
                <w:sz w:val="18"/>
                <w:szCs w:val="18"/>
              </w:rPr>
            </w:pPr>
          </w:p>
        </w:tc>
      </w:tr>
      <w:tr w14:paraId="3C178B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0CB81928">
            <w:pPr>
              <w:widowControl/>
              <w:tabs>
                <w:tab w:val="clear" w:pos="480"/>
              </w:tabs>
              <w:adjustRightInd w:val="0"/>
              <w:snapToGrid w:val="0"/>
              <w:spacing w:line="240" w:lineRule="auto"/>
              <w:ind w:firstLine="0" w:firstLineChars="0"/>
              <w:jc w:val="center"/>
              <w:rPr>
                <w:sz w:val="18"/>
                <w:szCs w:val="18"/>
              </w:rPr>
            </w:pPr>
          </w:p>
        </w:tc>
        <w:tc>
          <w:tcPr>
            <w:tcW w:w="753" w:type="pct"/>
            <w:vMerge w:val="continue"/>
            <w:shd w:val="clear" w:color="auto" w:fill="auto"/>
            <w:vAlign w:val="center"/>
          </w:tcPr>
          <w:p w14:paraId="0DA9D7B8">
            <w:pPr>
              <w:widowControl/>
              <w:tabs>
                <w:tab w:val="clear" w:pos="480"/>
              </w:tabs>
              <w:adjustRightInd w:val="0"/>
              <w:snapToGrid w:val="0"/>
              <w:spacing w:line="240" w:lineRule="auto"/>
              <w:ind w:firstLine="0" w:firstLineChars="0"/>
              <w:jc w:val="center"/>
              <w:rPr>
                <w:bCs/>
                <w:sz w:val="18"/>
                <w:szCs w:val="18"/>
              </w:rPr>
            </w:pPr>
          </w:p>
        </w:tc>
        <w:tc>
          <w:tcPr>
            <w:tcW w:w="2422" w:type="pct"/>
            <w:gridSpan w:val="2"/>
            <w:shd w:val="clear" w:color="auto" w:fill="auto"/>
            <w:vAlign w:val="center"/>
          </w:tcPr>
          <w:p w14:paraId="47C56C8F">
            <w:pPr>
              <w:widowControl/>
              <w:tabs>
                <w:tab w:val="clear" w:pos="480"/>
              </w:tabs>
              <w:adjustRightInd w:val="0"/>
              <w:snapToGrid w:val="0"/>
              <w:spacing w:line="240" w:lineRule="auto"/>
              <w:ind w:firstLine="0" w:firstLineChars="0"/>
              <w:jc w:val="center"/>
              <w:rPr>
                <w:bCs/>
                <w:sz w:val="18"/>
                <w:szCs w:val="18"/>
              </w:rPr>
            </w:pPr>
            <w:r>
              <w:rPr>
                <w:bCs/>
                <w:sz w:val="18"/>
                <w:szCs w:val="18"/>
              </w:rPr>
              <w:t>选择</w:t>
            </w:r>
            <w:r>
              <w:rPr>
                <w:rFonts w:hint="eastAsia"/>
                <w:bCs/>
                <w:sz w:val="18"/>
                <w:szCs w:val="18"/>
              </w:rPr>
              <w:t>扰动区域易种植的</w:t>
            </w:r>
            <w:r>
              <w:rPr>
                <w:bCs/>
                <w:sz w:val="18"/>
                <w:szCs w:val="18"/>
              </w:rPr>
              <w:t>常见种或优势种进行植被恢复</w:t>
            </w:r>
          </w:p>
        </w:tc>
        <w:tc>
          <w:tcPr>
            <w:tcW w:w="1402" w:type="pct"/>
            <w:vMerge w:val="continue"/>
            <w:shd w:val="clear" w:color="auto" w:fill="auto"/>
            <w:vAlign w:val="center"/>
          </w:tcPr>
          <w:p w14:paraId="7BE2850F">
            <w:pPr>
              <w:widowControl/>
              <w:tabs>
                <w:tab w:val="clear" w:pos="480"/>
              </w:tabs>
              <w:adjustRightInd w:val="0"/>
              <w:snapToGrid w:val="0"/>
              <w:spacing w:line="240" w:lineRule="auto"/>
              <w:ind w:firstLine="0" w:firstLineChars="0"/>
              <w:jc w:val="left"/>
              <w:rPr>
                <w:sz w:val="18"/>
                <w:szCs w:val="18"/>
              </w:rPr>
            </w:pPr>
          </w:p>
        </w:tc>
      </w:tr>
      <w:tr w14:paraId="4F8674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6E5D30B0">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0821D1DE">
            <w:pPr>
              <w:widowControl/>
              <w:tabs>
                <w:tab w:val="clear" w:pos="480"/>
              </w:tabs>
              <w:adjustRightInd w:val="0"/>
              <w:snapToGrid w:val="0"/>
              <w:spacing w:line="240" w:lineRule="auto"/>
              <w:ind w:firstLine="0" w:firstLineChars="0"/>
              <w:jc w:val="center"/>
              <w:rPr>
                <w:bCs/>
                <w:sz w:val="18"/>
                <w:szCs w:val="18"/>
              </w:rPr>
            </w:pPr>
            <w:r>
              <w:rPr>
                <w:bCs/>
                <w:sz w:val="18"/>
                <w:szCs w:val="18"/>
              </w:rPr>
              <w:t>施工爆破</w:t>
            </w:r>
          </w:p>
        </w:tc>
        <w:tc>
          <w:tcPr>
            <w:tcW w:w="2422" w:type="pct"/>
            <w:gridSpan w:val="2"/>
            <w:shd w:val="clear" w:color="auto" w:fill="auto"/>
            <w:vAlign w:val="center"/>
          </w:tcPr>
          <w:p w14:paraId="147CE3EE">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委托有相应资质的爆破作业单位负责爆破器材购买、运输、储存、发放和使用，并严格按照《爆破安全规程》（GB6722-2011）进行爆破作业。</w:t>
            </w:r>
          </w:p>
        </w:tc>
        <w:tc>
          <w:tcPr>
            <w:tcW w:w="1402" w:type="pct"/>
            <w:shd w:val="clear" w:color="auto" w:fill="auto"/>
            <w:vAlign w:val="center"/>
          </w:tcPr>
          <w:p w14:paraId="1640D05E">
            <w:pPr>
              <w:widowControl/>
              <w:tabs>
                <w:tab w:val="clear" w:pos="480"/>
              </w:tabs>
              <w:adjustRightInd w:val="0"/>
              <w:snapToGrid w:val="0"/>
              <w:spacing w:line="240" w:lineRule="auto"/>
              <w:ind w:firstLine="0" w:firstLineChars="0"/>
              <w:jc w:val="center"/>
              <w:rPr>
                <w:bCs/>
                <w:sz w:val="18"/>
                <w:szCs w:val="18"/>
              </w:rPr>
            </w:pPr>
            <w:r>
              <w:rPr>
                <w:bCs/>
                <w:sz w:val="18"/>
                <w:szCs w:val="18"/>
              </w:rPr>
              <w:t>避免爆破扰民。</w:t>
            </w:r>
          </w:p>
        </w:tc>
      </w:tr>
      <w:tr w14:paraId="002F74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7439B1FA">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646DC7EB">
            <w:pPr>
              <w:widowControl/>
              <w:tabs>
                <w:tab w:val="clear" w:pos="480"/>
              </w:tabs>
              <w:adjustRightInd w:val="0"/>
              <w:snapToGrid w:val="0"/>
              <w:spacing w:line="240" w:lineRule="auto"/>
              <w:ind w:firstLine="0" w:firstLineChars="0"/>
              <w:jc w:val="center"/>
              <w:rPr>
                <w:bCs/>
                <w:sz w:val="18"/>
                <w:szCs w:val="18"/>
              </w:rPr>
            </w:pPr>
            <w:r>
              <w:rPr>
                <w:bCs/>
                <w:sz w:val="18"/>
                <w:szCs w:val="18"/>
              </w:rPr>
              <w:t>环境风险</w:t>
            </w:r>
          </w:p>
        </w:tc>
        <w:tc>
          <w:tcPr>
            <w:tcW w:w="2422" w:type="pct"/>
            <w:gridSpan w:val="2"/>
            <w:shd w:val="clear" w:color="auto" w:fill="auto"/>
            <w:vAlign w:val="center"/>
          </w:tcPr>
          <w:p w14:paraId="629B6533">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加强防火宣传，提高施工人员的防火意识。加强组织领导，建立健全防火组织机构。设置防火隔离带，构建防火通信网络，配备相应数量的灭火器材。</w:t>
            </w:r>
          </w:p>
        </w:tc>
        <w:tc>
          <w:tcPr>
            <w:tcW w:w="1402" w:type="pct"/>
            <w:shd w:val="clear" w:color="auto" w:fill="auto"/>
            <w:vAlign w:val="center"/>
          </w:tcPr>
          <w:p w14:paraId="7E8645C4">
            <w:pPr>
              <w:widowControl/>
              <w:tabs>
                <w:tab w:val="clear" w:pos="480"/>
              </w:tabs>
              <w:autoSpaceDE w:val="0"/>
              <w:autoSpaceDN w:val="0"/>
              <w:adjustRightInd w:val="0"/>
              <w:snapToGrid w:val="0"/>
              <w:spacing w:line="240" w:lineRule="auto"/>
              <w:ind w:firstLine="0" w:firstLineChars="0"/>
              <w:jc w:val="center"/>
              <w:rPr>
                <w:bCs/>
                <w:sz w:val="18"/>
                <w:szCs w:val="18"/>
              </w:rPr>
            </w:pPr>
            <w:r>
              <w:rPr>
                <w:bCs/>
                <w:sz w:val="18"/>
                <w:szCs w:val="18"/>
              </w:rPr>
              <w:t>环境风险控制在可接受的水平。</w:t>
            </w:r>
          </w:p>
        </w:tc>
      </w:tr>
      <w:tr w14:paraId="0DEF98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3787D110">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706C24EF">
            <w:pPr>
              <w:widowControl/>
              <w:tabs>
                <w:tab w:val="clear" w:pos="480"/>
              </w:tabs>
              <w:adjustRightInd w:val="0"/>
              <w:snapToGrid w:val="0"/>
              <w:spacing w:line="240" w:lineRule="auto"/>
              <w:ind w:firstLine="0" w:firstLineChars="0"/>
              <w:jc w:val="center"/>
              <w:rPr>
                <w:bCs/>
                <w:sz w:val="18"/>
                <w:szCs w:val="18"/>
              </w:rPr>
            </w:pPr>
            <w:r>
              <w:rPr>
                <w:bCs/>
                <w:sz w:val="18"/>
                <w:szCs w:val="18"/>
              </w:rPr>
              <w:t>环境管理与监测</w:t>
            </w:r>
          </w:p>
        </w:tc>
        <w:tc>
          <w:tcPr>
            <w:tcW w:w="2422" w:type="pct"/>
            <w:gridSpan w:val="2"/>
            <w:shd w:val="clear" w:color="auto" w:fill="auto"/>
            <w:vAlign w:val="center"/>
          </w:tcPr>
          <w:p w14:paraId="7FD1D00B">
            <w:pPr>
              <w:widowControl/>
              <w:tabs>
                <w:tab w:val="clear" w:pos="480"/>
              </w:tabs>
              <w:autoSpaceDE w:val="0"/>
              <w:autoSpaceDN w:val="0"/>
              <w:adjustRightInd w:val="0"/>
              <w:snapToGrid w:val="0"/>
              <w:spacing w:line="240" w:lineRule="auto"/>
              <w:ind w:firstLine="0" w:firstLineChars="0"/>
              <w:jc w:val="center"/>
              <w:rPr>
                <w:bCs/>
                <w:sz w:val="18"/>
                <w:szCs w:val="18"/>
              </w:rPr>
            </w:pPr>
            <w:r>
              <w:rPr>
                <w:bCs/>
                <w:sz w:val="18"/>
                <w:szCs w:val="18"/>
              </w:rPr>
              <w:t>落实本报告表提出的环境监测及环境管理措施。</w:t>
            </w:r>
          </w:p>
        </w:tc>
        <w:tc>
          <w:tcPr>
            <w:tcW w:w="1402" w:type="pct"/>
            <w:shd w:val="clear" w:color="auto" w:fill="auto"/>
            <w:vAlign w:val="center"/>
          </w:tcPr>
          <w:p w14:paraId="2F273381">
            <w:pPr>
              <w:widowControl/>
              <w:tabs>
                <w:tab w:val="clear" w:pos="480"/>
              </w:tabs>
              <w:autoSpaceDE w:val="0"/>
              <w:autoSpaceDN w:val="0"/>
              <w:adjustRightInd w:val="0"/>
              <w:snapToGrid w:val="0"/>
              <w:spacing w:line="240" w:lineRule="auto"/>
              <w:ind w:firstLine="0" w:firstLineChars="0"/>
              <w:jc w:val="center"/>
              <w:rPr>
                <w:bCs/>
                <w:sz w:val="18"/>
                <w:szCs w:val="18"/>
              </w:rPr>
            </w:pPr>
            <w:r>
              <w:rPr>
                <w:bCs/>
                <w:sz w:val="18"/>
                <w:szCs w:val="18"/>
              </w:rPr>
              <w:t>及时报告施工期所产生的环境问题，并得到及时得到处理，使环境问题得到有效控制。</w:t>
            </w:r>
          </w:p>
        </w:tc>
      </w:tr>
      <w:tr w14:paraId="68AB00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restart"/>
            <w:shd w:val="clear" w:color="auto" w:fill="auto"/>
            <w:vAlign w:val="center"/>
          </w:tcPr>
          <w:p w14:paraId="3BCABDB9">
            <w:pPr>
              <w:widowControl/>
              <w:tabs>
                <w:tab w:val="clear" w:pos="480"/>
              </w:tabs>
              <w:adjustRightInd w:val="0"/>
              <w:snapToGrid w:val="0"/>
              <w:spacing w:line="240" w:lineRule="auto"/>
              <w:ind w:firstLine="0" w:firstLineChars="0"/>
              <w:jc w:val="center"/>
              <w:rPr>
                <w:sz w:val="18"/>
                <w:szCs w:val="18"/>
              </w:rPr>
            </w:pPr>
            <w:r>
              <w:rPr>
                <w:sz w:val="18"/>
                <w:szCs w:val="18"/>
              </w:rPr>
              <w:t>运行期</w:t>
            </w:r>
          </w:p>
        </w:tc>
        <w:tc>
          <w:tcPr>
            <w:tcW w:w="753" w:type="pct"/>
            <w:shd w:val="clear" w:color="auto" w:fill="auto"/>
            <w:vAlign w:val="center"/>
          </w:tcPr>
          <w:p w14:paraId="6BDD452F">
            <w:pPr>
              <w:widowControl/>
              <w:tabs>
                <w:tab w:val="clear" w:pos="480"/>
              </w:tabs>
              <w:adjustRightInd w:val="0"/>
              <w:snapToGrid w:val="0"/>
              <w:spacing w:line="240" w:lineRule="auto"/>
              <w:ind w:firstLine="0" w:firstLineChars="0"/>
              <w:jc w:val="center"/>
              <w:rPr>
                <w:bCs/>
                <w:sz w:val="18"/>
                <w:szCs w:val="18"/>
              </w:rPr>
            </w:pPr>
            <w:r>
              <w:rPr>
                <w:bCs/>
                <w:sz w:val="18"/>
                <w:szCs w:val="18"/>
              </w:rPr>
              <w:t>水环境</w:t>
            </w:r>
          </w:p>
        </w:tc>
        <w:tc>
          <w:tcPr>
            <w:tcW w:w="2422" w:type="pct"/>
            <w:gridSpan w:val="2"/>
            <w:shd w:val="clear" w:color="auto" w:fill="auto"/>
            <w:vAlign w:val="center"/>
          </w:tcPr>
          <w:p w14:paraId="22B41A41">
            <w:pPr>
              <w:widowControl/>
              <w:tabs>
                <w:tab w:val="clear" w:pos="480"/>
              </w:tabs>
              <w:adjustRightInd w:val="0"/>
              <w:snapToGrid w:val="0"/>
              <w:spacing w:line="240" w:lineRule="auto"/>
              <w:ind w:firstLine="0" w:firstLineChars="0"/>
              <w:jc w:val="center"/>
              <w:rPr>
                <w:bCs/>
                <w:sz w:val="18"/>
                <w:szCs w:val="18"/>
              </w:rPr>
            </w:pPr>
            <w:r>
              <w:rPr>
                <w:bCs/>
                <w:sz w:val="18"/>
                <w:szCs w:val="18"/>
              </w:rPr>
              <w:t>生活污水采取成套污水处理设备处理，处理能力0.5m</w:t>
            </w:r>
            <w:r>
              <w:rPr>
                <w:bCs/>
                <w:sz w:val="18"/>
                <w:szCs w:val="18"/>
                <w:vertAlign w:val="superscript"/>
              </w:rPr>
              <w:t>3</w:t>
            </w:r>
            <w:r>
              <w:rPr>
                <w:bCs/>
                <w:sz w:val="18"/>
                <w:szCs w:val="18"/>
              </w:rPr>
              <w:t>/h</w:t>
            </w:r>
          </w:p>
        </w:tc>
        <w:tc>
          <w:tcPr>
            <w:tcW w:w="1402" w:type="pct"/>
            <w:shd w:val="clear" w:color="auto" w:fill="auto"/>
            <w:vAlign w:val="center"/>
          </w:tcPr>
          <w:p w14:paraId="726004F4">
            <w:pPr>
              <w:widowControl/>
              <w:tabs>
                <w:tab w:val="clear" w:pos="480"/>
              </w:tabs>
              <w:adjustRightInd w:val="0"/>
              <w:snapToGrid w:val="0"/>
              <w:spacing w:line="240" w:lineRule="auto"/>
              <w:ind w:firstLine="0" w:firstLineChars="0"/>
              <w:jc w:val="center"/>
              <w:rPr>
                <w:bCs/>
                <w:sz w:val="18"/>
                <w:szCs w:val="18"/>
              </w:rPr>
            </w:pPr>
            <w:r>
              <w:rPr>
                <w:bCs/>
                <w:sz w:val="18"/>
                <w:szCs w:val="18"/>
              </w:rPr>
              <w:t>不外排</w:t>
            </w:r>
          </w:p>
        </w:tc>
      </w:tr>
      <w:tr w14:paraId="6FFD52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0341CBAB">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0E2EFE72">
            <w:pPr>
              <w:widowControl/>
              <w:tabs>
                <w:tab w:val="clear" w:pos="480"/>
              </w:tabs>
              <w:adjustRightInd w:val="0"/>
              <w:snapToGrid w:val="0"/>
              <w:spacing w:line="240" w:lineRule="auto"/>
              <w:ind w:firstLine="0" w:firstLineChars="0"/>
              <w:jc w:val="center"/>
              <w:rPr>
                <w:bCs/>
                <w:sz w:val="18"/>
                <w:szCs w:val="18"/>
              </w:rPr>
            </w:pPr>
            <w:r>
              <w:rPr>
                <w:bCs/>
                <w:sz w:val="18"/>
                <w:szCs w:val="18"/>
              </w:rPr>
              <w:t>声环境</w:t>
            </w:r>
          </w:p>
        </w:tc>
        <w:tc>
          <w:tcPr>
            <w:tcW w:w="2422" w:type="pct"/>
            <w:gridSpan w:val="2"/>
            <w:shd w:val="clear" w:color="auto" w:fill="auto"/>
            <w:vAlign w:val="center"/>
          </w:tcPr>
          <w:p w14:paraId="3BE40C0C">
            <w:pPr>
              <w:widowControl/>
              <w:tabs>
                <w:tab w:val="clear" w:pos="480"/>
              </w:tabs>
              <w:adjustRightInd w:val="0"/>
              <w:snapToGrid w:val="0"/>
              <w:spacing w:line="240" w:lineRule="auto"/>
              <w:ind w:firstLine="0" w:firstLineChars="0"/>
              <w:jc w:val="left"/>
              <w:rPr>
                <w:bCs/>
                <w:sz w:val="18"/>
                <w:szCs w:val="18"/>
              </w:rPr>
            </w:pPr>
            <w:r>
              <w:rPr>
                <w:bCs/>
                <w:sz w:val="18"/>
                <w:szCs w:val="18"/>
              </w:rPr>
              <w:t>合理布置、选择低噪声设备，加强冷却系统维修保养、加强偏航系统的维护保养并应尽量避免夜间运行偏航系统;选用低噪声主变压器，优化站内布局；</w:t>
            </w:r>
            <w:r>
              <w:rPr>
                <w:rFonts w:hint="eastAsia"/>
                <w:bCs/>
                <w:sz w:val="18"/>
                <w:szCs w:val="18"/>
              </w:rPr>
              <w:t>2</w:t>
            </w:r>
            <w:r>
              <w:rPr>
                <w:bCs/>
                <w:sz w:val="18"/>
                <w:szCs w:val="18"/>
              </w:rPr>
              <w:t>#</w:t>
            </w:r>
            <w:r>
              <w:rPr>
                <w:rFonts w:hint="eastAsia"/>
                <w:bCs/>
                <w:sz w:val="18"/>
                <w:szCs w:val="18"/>
              </w:rPr>
              <w:t>风机机位采取锯齿和V</w:t>
            </w:r>
            <w:r>
              <w:rPr>
                <w:bCs/>
                <w:sz w:val="18"/>
                <w:szCs w:val="18"/>
              </w:rPr>
              <w:t>G</w:t>
            </w:r>
            <w:r>
              <w:rPr>
                <w:rFonts w:hint="eastAsia"/>
                <w:bCs/>
                <w:sz w:val="18"/>
                <w:szCs w:val="18"/>
              </w:rPr>
              <w:t>削减源强措施；</w:t>
            </w:r>
            <w:r>
              <w:rPr>
                <w:bCs/>
                <w:sz w:val="18"/>
                <w:szCs w:val="18"/>
              </w:rPr>
              <w:t>预留环保资金，根据跟踪监测结果，考虑是否采取安装通风隔声窗等措施。</w:t>
            </w:r>
          </w:p>
        </w:tc>
        <w:tc>
          <w:tcPr>
            <w:tcW w:w="1402" w:type="pct"/>
            <w:shd w:val="clear" w:color="auto" w:fill="auto"/>
            <w:vAlign w:val="center"/>
          </w:tcPr>
          <w:p w14:paraId="36AEEE6B">
            <w:pPr>
              <w:widowControl/>
              <w:tabs>
                <w:tab w:val="clear" w:pos="480"/>
              </w:tabs>
              <w:adjustRightInd w:val="0"/>
              <w:snapToGrid w:val="0"/>
              <w:spacing w:line="240" w:lineRule="auto"/>
              <w:ind w:firstLine="0" w:firstLineChars="0"/>
              <w:jc w:val="center"/>
              <w:rPr>
                <w:bCs/>
                <w:sz w:val="18"/>
                <w:szCs w:val="18"/>
              </w:rPr>
            </w:pPr>
            <w:r>
              <w:rPr>
                <w:bCs/>
                <w:sz w:val="18"/>
                <w:szCs w:val="18"/>
              </w:rPr>
              <w:t>声环境保护目标处满足《声环境质量标准》(GB3096-2008)2类声环境功能区限值、夜间突发噪声限值65dB(A)的要求。升压站厂界噪声排放达到《工业企业厂界环境噪声排放标准》（GB12348-2008）中2类标准</w:t>
            </w:r>
          </w:p>
        </w:tc>
      </w:tr>
      <w:tr w14:paraId="1318D6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644CBAC8">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6EA66923">
            <w:pPr>
              <w:widowControl/>
              <w:tabs>
                <w:tab w:val="clear" w:pos="480"/>
              </w:tabs>
              <w:adjustRightInd w:val="0"/>
              <w:snapToGrid w:val="0"/>
              <w:spacing w:line="240" w:lineRule="auto"/>
              <w:ind w:firstLine="0" w:firstLineChars="0"/>
              <w:jc w:val="center"/>
              <w:rPr>
                <w:bCs/>
                <w:sz w:val="18"/>
                <w:szCs w:val="18"/>
              </w:rPr>
            </w:pPr>
            <w:r>
              <w:rPr>
                <w:bCs/>
                <w:sz w:val="18"/>
                <w:szCs w:val="18"/>
              </w:rPr>
              <w:t>固体废物</w:t>
            </w:r>
          </w:p>
        </w:tc>
        <w:tc>
          <w:tcPr>
            <w:tcW w:w="2422" w:type="pct"/>
            <w:gridSpan w:val="2"/>
            <w:shd w:val="clear" w:color="auto" w:fill="auto"/>
            <w:vAlign w:val="center"/>
          </w:tcPr>
          <w:p w14:paraId="011C65CB">
            <w:pPr>
              <w:widowControl/>
              <w:tabs>
                <w:tab w:val="clear" w:pos="480"/>
              </w:tabs>
              <w:adjustRightInd w:val="0"/>
              <w:snapToGrid w:val="0"/>
              <w:spacing w:line="240" w:lineRule="auto"/>
              <w:ind w:firstLine="0" w:firstLineChars="0"/>
              <w:jc w:val="center"/>
              <w:rPr>
                <w:bCs/>
                <w:sz w:val="18"/>
                <w:szCs w:val="18"/>
              </w:rPr>
            </w:pPr>
            <w:r>
              <w:rPr>
                <w:bCs/>
                <w:sz w:val="18"/>
                <w:szCs w:val="18"/>
              </w:rPr>
              <w:t>设置垃圾桶，统一收集后送乡镇垃圾收集系统进行处置。危险废物按《危险废物收集贮存运输技术规范》（HJ 2025-2012）、《危险废物贮存污染控制标准》（GB18597-2023）的相关规定进行管理，最终交由有资质的单位进行处置。升压站设置合格的危废暂存间</w:t>
            </w:r>
          </w:p>
        </w:tc>
        <w:tc>
          <w:tcPr>
            <w:tcW w:w="1402" w:type="pct"/>
            <w:shd w:val="clear" w:color="auto" w:fill="auto"/>
            <w:vAlign w:val="center"/>
          </w:tcPr>
          <w:p w14:paraId="3979DCCF">
            <w:pPr>
              <w:widowControl/>
              <w:tabs>
                <w:tab w:val="clear" w:pos="480"/>
              </w:tabs>
              <w:adjustRightInd w:val="0"/>
              <w:snapToGrid w:val="0"/>
              <w:spacing w:line="240" w:lineRule="auto"/>
              <w:ind w:firstLine="0" w:firstLineChars="0"/>
              <w:jc w:val="center"/>
              <w:rPr>
                <w:bCs/>
                <w:sz w:val="18"/>
                <w:szCs w:val="18"/>
              </w:rPr>
            </w:pPr>
            <w:r>
              <w:rPr>
                <w:bCs/>
                <w:sz w:val="18"/>
                <w:szCs w:val="18"/>
              </w:rPr>
              <w:t>妥善处置，不外排。</w:t>
            </w:r>
          </w:p>
        </w:tc>
      </w:tr>
      <w:tr w14:paraId="17427F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3AEFA7B9">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170242FF">
            <w:pPr>
              <w:widowControl/>
              <w:tabs>
                <w:tab w:val="clear" w:pos="480"/>
              </w:tabs>
              <w:adjustRightInd w:val="0"/>
              <w:snapToGrid w:val="0"/>
              <w:spacing w:line="240" w:lineRule="auto"/>
              <w:ind w:firstLine="0" w:firstLineChars="0"/>
              <w:jc w:val="center"/>
              <w:rPr>
                <w:bCs/>
                <w:sz w:val="18"/>
                <w:szCs w:val="18"/>
              </w:rPr>
            </w:pPr>
            <w:r>
              <w:rPr>
                <w:bCs/>
                <w:sz w:val="18"/>
                <w:szCs w:val="18"/>
              </w:rPr>
              <w:t>生态环境</w:t>
            </w:r>
          </w:p>
        </w:tc>
        <w:tc>
          <w:tcPr>
            <w:tcW w:w="2422" w:type="pct"/>
            <w:gridSpan w:val="2"/>
            <w:shd w:val="clear" w:color="auto" w:fill="auto"/>
            <w:vAlign w:val="center"/>
          </w:tcPr>
          <w:p w14:paraId="4CD0DB7F">
            <w:pPr>
              <w:widowControl/>
              <w:tabs>
                <w:tab w:val="clear" w:pos="480"/>
              </w:tabs>
              <w:adjustRightInd w:val="0"/>
              <w:snapToGrid w:val="0"/>
              <w:spacing w:line="240" w:lineRule="auto"/>
              <w:ind w:firstLine="0" w:firstLineChars="0"/>
              <w:jc w:val="center"/>
              <w:rPr>
                <w:bCs/>
                <w:sz w:val="18"/>
                <w:szCs w:val="18"/>
              </w:rPr>
            </w:pPr>
            <w:r>
              <w:rPr>
                <w:bCs/>
                <w:sz w:val="18"/>
                <w:szCs w:val="18"/>
              </w:rPr>
              <w:t>设置候鸟迁徙监测点，优化风机叶片、生态恢复措施植物群落特征协调性。</w:t>
            </w:r>
          </w:p>
        </w:tc>
        <w:tc>
          <w:tcPr>
            <w:tcW w:w="1402" w:type="pct"/>
            <w:shd w:val="clear" w:color="auto" w:fill="auto"/>
            <w:vAlign w:val="center"/>
          </w:tcPr>
          <w:p w14:paraId="03816D15">
            <w:pPr>
              <w:widowControl/>
              <w:tabs>
                <w:tab w:val="clear" w:pos="480"/>
              </w:tabs>
              <w:autoSpaceDE w:val="0"/>
              <w:autoSpaceDN w:val="0"/>
              <w:adjustRightInd w:val="0"/>
              <w:snapToGrid w:val="0"/>
              <w:spacing w:line="240" w:lineRule="auto"/>
              <w:ind w:firstLine="0" w:firstLineChars="0"/>
              <w:jc w:val="left"/>
              <w:rPr>
                <w:bCs/>
                <w:sz w:val="18"/>
                <w:szCs w:val="18"/>
              </w:rPr>
            </w:pPr>
            <w:r>
              <w:rPr>
                <w:bCs/>
                <w:sz w:val="18"/>
                <w:szCs w:val="18"/>
              </w:rPr>
              <w:t>避免或减少对野生鸟类的影响，减少对区域景观生态环境影响</w:t>
            </w:r>
          </w:p>
        </w:tc>
      </w:tr>
      <w:tr w14:paraId="18ED28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3" w:type="pct"/>
            <w:vMerge w:val="continue"/>
            <w:shd w:val="clear" w:color="auto" w:fill="auto"/>
            <w:vAlign w:val="center"/>
          </w:tcPr>
          <w:p w14:paraId="6D1750D9">
            <w:pPr>
              <w:widowControl/>
              <w:tabs>
                <w:tab w:val="clear" w:pos="480"/>
              </w:tabs>
              <w:adjustRightInd w:val="0"/>
              <w:snapToGrid w:val="0"/>
              <w:spacing w:line="240" w:lineRule="auto"/>
              <w:ind w:firstLine="0" w:firstLineChars="0"/>
              <w:jc w:val="center"/>
              <w:rPr>
                <w:sz w:val="18"/>
                <w:szCs w:val="18"/>
              </w:rPr>
            </w:pPr>
          </w:p>
        </w:tc>
        <w:tc>
          <w:tcPr>
            <w:tcW w:w="753" w:type="pct"/>
            <w:shd w:val="clear" w:color="auto" w:fill="auto"/>
            <w:vAlign w:val="center"/>
          </w:tcPr>
          <w:p w14:paraId="328575F1">
            <w:pPr>
              <w:widowControl/>
              <w:tabs>
                <w:tab w:val="clear" w:pos="480"/>
              </w:tabs>
              <w:adjustRightInd w:val="0"/>
              <w:snapToGrid w:val="0"/>
              <w:spacing w:line="240" w:lineRule="auto"/>
              <w:ind w:firstLine="0" w:firstLineChars="0"/>
              <w:jc w:val="center"/>
              <w:rPr>
                <w:bCs/>
                <w:sz w:val="18"/>
                <w:szCs w:val="18"/>
              </w:rPr>
            </w:pPr>
            <w:r>
              <w:rPr>
                <w:bCs/>
                <w:sz w:val="18"/>
                <w:szCs w:val="18"/>
              </w:rPr>
              <w:t>环境风险</w:t>
            </w:r>
          </w:p>
        </w:tc>
        <w:tc>
          <w:tcPr>
            <w:tcW w:w="2422" w:type="pct"/>
            <w:gridSpan w:val="2"/>
            <w:shd w:val="clear" w:color="auto" w:fill="auto"/>
            <w:vAlign w:val="center"/>
          </w:tcPr>
          <w:p w14:paraId="450A619D">
            <w:pPr>
              <w:widowControl/>
              <w:tabs>
                <w:tab w:val="clear" w:pos="480"/>
              </w:tabs>
              <w:autoSpaceDE w:val="0"/>
              <w:autoSpaceDN w:val="0"/>
              <w:adjustRightInd w:val="0"/>
              <w:snapToGrid w:val="0"/>
              <w:spacing w:line="240" w:lineRule="auto"/>
              <w:ind w:firstLine="0" w:firstLineChars="0"/>
              <w:jc w:val="center"/>
              <w:rPr>
                <w:bCs/>
                <w:sz w:val="18"/>
                <w:szCs w:val="18"/>
              </w:rPr>
            </w:pPr>
            <w:r>
              <w:rPr>
                <w:rFonts w:hint="eastAsia"/>
                <w:bCs/>
                <w:sz w:val="18"/>
                <w:szCs w:val="18"/>
              </w:rPr>
              <w:t>主</w:t>
            </w:r>
            <w:r>
              <w:rPr>
                <w:bCs/>
                <w:sz w:val="18"/>
                <w:szCs w:val="18"/>
              </w:rPr>
              <w:t>变压器</w:t>
            </w:r>
            <w:r>
              <w:rPr>
                <w:rFonts w:hint="eastAsia"/>
                <w:bCs/>
                <w:sz w:val="18"/>
                <w:szCs w:val="18"/>
              </w:rPr>
              <w:t>设置1座</w:t>
            </w:r>
            <w:r>
              <w:rPr>
                <w:bCs/>
                <w:sz w:val="18"/>
                <w:szCs w:val="18"/>
              </w:rPr>
              <w:t>事故池（30m</w:t>
            </w:r>
            <w:r>
              <w:rPr>
                <w:bCs/>
                <w:sz w:val="18"/>
                <w:szCs w:val="18"/>
                <w:vertAlign w:val="superscript"/>
              </w:rPr>
              <w:t>3</w:t>
            </w:r>
            <w:r>
              <w:rPr>
                <w:bCs/>
                <w:sz w:val="18"/>
                <w:szCs w:val="18"/>
              </w:rPr>
              <w:t>）</w:t>
            </w:r>
            <w:r>
              <w:rPr>
                <w:rFonts w:hint="eastAsia"/>
                <w:bCs/>
                <w:sz w:val="18"/>
                <w:szCs w:val="18"/>
              </w:rPr>
              <w:t>，保护区周边安装防撞护栏</w:t>
            </w:r>
          </w:p>
        </w:tc>
        <w:tc>
          <w:tcPr>
            <w:tcW w:w="1402" w:type="pct"/>
            <w:shd w:val="clear" w:color="auto" w:fill="auto"/>
            <w:vAlign w:val="center"/>
          </w:tcPr>
          <w:p w14:paraId="3A4F8D51">
            <w:pPr>
              <w:widowControl/>
              <w:tabs>
                <w:tab w:val="clear" w:pos="480"/>
              </w:tabs>
              <w:autoSpaceDE w:val="0"/>
              <w:autoSpaceDN w:val="0"/>
              <w:adjustRightInd w:val="0"/>
              <w:snapToGrid w:val="0"/>
              <w:spacing w:line="240" w:lineRule="auto"/>
              <w:ind w:firstLine="0" w:firstLineChars="0"/>
              <w:rPr>
                <w:bCs/>
                <w:sz w:val="18"/>
                <w:szCs w:val="18"/>
              </w:rPr>
            </w:pPr>
            <w:r>
              <w:rPr>
                <w:bCs/>
                <w:sz w:val="18"/>
                <w:szCs w:val="18"/>
              </w:rPr>
              <w:t>环境风险控制在可接受的水平。</w:t>
            </w:r>
          </w:p>
        </w:tc>
      </w:tr>
      <w:bookmarkEnd w:id="283"/>
      <w:bookmarkEnd w:id="284"/>
      <w:bookmarkEnd w:id="285"/>
      <w:bookmarkEnd w:id="286"/>
    </w:tbl>
    <w:p w14:paraId="2393E97C">
      <w:pPr>
        <w:pStyle w:val="2"/>
        <w:ind w:firstLine="420"/>
        <w:sectPr>
          <w:pgSz w:w="11905" w:h="16838"/>
          <w:pgMar w:top="1440" w:right="1797" w:bottom="1440" w:left="1797" w:header="851" w:footer="992" w:gutter="0"/>
          <w:cols w:space="0" w:num="1"/>
          <w:docGrid w:type="lines" w:linePitch="333" w:charSpace="0"/>
        </w:sectPr>
      </w:pPr>
    </w:p>
    <w:p w14:paraId="73D11429">
      <w:pPr>
        <w:pStyle w:val="3"/>
        <w:tabs>
          <w:tab w:val="clear" w:pos="480"/>
        </w:tabs>
        <w:spacing w:before="0" w:after="0"/>
        <w:jc w:val="center"/>
        <w:rPr>
          <w:rFonts w:ascii="Times New Roman" w:eastAsia="宋体"/>
          <w:bCs w:val="0"/>
          <w:sz w:val="32"/>
          <w:szCs w:val="32"/>
          <w:lang w:val="en-US"/>
        </w:rPr>
      </w:pPr>
      <w:r>
        <w:rPr>
          <w:rFonts w:ascii="Times New Roman" w:eastAsia="宋体"/>
          <w:bCs w:val="0"/>
          <w:sz w:val="32"/>
          <w:szCs w:val="32"/>
          <w:lang w:val="en-US"/>
        </w:rPr>
        <w:t xml:space="preserve"> </w:t>
      </w:r>
      <w:bookmarkStart w:id="303" w:name="_Toc116978030"/>
      <w:bookmarkStart w:id="304" w:name="_Toc143799423"/>
      <w:r>
        <w:rPr>
          <w:rFonts w:ascii="Times New Roman" w:eastAsia="宋体"/>
          <w:bCs w:val="0"/>
          <w:sz w:val="32"/>
          <w:szCs w:val="32"/>
          <w:lang w:val="en-US"/>
        </w:rPr>
        <w:t>13</w:t>
      </w:r>
      <w:r>
        <w:rPr>
          <w:rFonts w:hint="eastAsia" w:ascii="Times New Roman" w:eastAsia="宋体"/>
          <w:bCs w:val="0"/>
          <w:sz w:val="32"/>
          <w:szCs w:val="32"/>
          <w:lang w:val="en-US"/>
        </w:rPr>
        <w:t>结论</w:t>
      </w:r>
      <w:bookmarkEnd w:id="303"/>
      <w:bookmarkEnd w:id="304"/>
    </w:p>
    <w:p w14:paraId="36FF6607">
      <w:pPr>
        <w:pStyle w:val="4"/>
        <w:tabs>
          <w:tab w:val="clear" w:pos="480"/>
          <w:tab w:val="clear" w:pos="630"/>
        </w:tabs>
        <w:adjustRightInd w:val="0"/>
        <w:snapToGrid w:val="0"/>
        <w:spacing w:before="0" w:after="0"/>
        <w:rPr>
          <w:sz w:val="30"/>
          <w:szCs w:val="30"/>
          <w:lang w:val="en-US"/>
        </w:rPr>
      </w:pPr>
      <w:bookmarkStart w:id="305" w:name="_Toc143799424"/>
      <w:bookmarkStart w:id="306" w:name="_Toc467851568"/>
      <w:bookmarkStart w:id="307" w:name="_Toc9113011"/>
      <w:bookmarkStart w:id="308" w:name="_Toc31150"/>
      <w:bookmarkStart w:id="309" w:name="_Toc116978031"/>
      <w:bookmarkStart w:id="310" w:name="_Toc472280196"/>
      <w:r>
        <w:rPr>
          <w:sz w:val="30"/>
          <w:szCs w:val="30"/>
          <w:lang w:val="en-US"/>
        </w:rPr>
        <w:t>13.1 结论</w:t>
      </w:r>
      <w:bookmarkEnd w:id="305"/>
      <w:bookmarkEnd w:id="306"/>
      <w:bookmarkEnd w:id="307"/>
      <w:bookmarkEnd w:id="308"/>
      <w:bookmarkEnd w:id="309"/>
      <w:bookmarkEnd w:id="310"/>
    </w:p>
    <w:p w14:paraId="7EF9DB34">
      <w:pPr>
        <w:adjustRightInd w:val="0"/>
        <w:snapToGrid w:val="0"/>
        <w:ind w:firstLine="0" w:firstLineChars="0"/>
        <w:rPr>
          <w:b/>
          <w:bCs/>
          <w:sz w:val="28"/>
          <w:szCs w:val="28"/>
        </w:rPr>
      </w:pPr>
      <w:bookmarkStart w:id="311" w:name="_Toc27900"/>
      <w:r>
        <w:rPr>
          <w:b/>
          <w:bCs/>
          <w:sz w:val="28"/>
          <w:szCs w:val="28"/>
        </w:rPr>
        <w:t>13.1.1 项目概况</w:t>
      </w:r>
      <w:bookmarkEnd w:id="311"/>
    </w:p>
    <w:p w14:paraId="525B50BA">
      <w:pPr>
        <w:adjustRightInd w:val="0"/>
        <w:snapToGrid w:val="0"/>
        <w:ind w:firstLine="480"/>
      </w:pPr>
      <w:r>
        <w:t>项目名称：衡阳县杉桥风电场工程；</w:t>
      </w:r>
    </w:p>
    <w:p w14:paraId="1434CCB6">
      <w:pPr>
        <w:adjustRightInd w:val="0"/>
        <w:snapToGrid w:val="0"/>
        <w:ind w:firstLine="480"/>
      </w:pPr>
      <w:r>
        <w:t>建设性质：新建；</w:t>
      </w:r>
    </w:p>
    <w:p w14:paraId="489E0D20">
      <w:pPr>
        <w:adjustRightInd w:val="0"/>
        <w:snapToGrid w:val="0"/>
        <w:ind w:firstLine="480"/>
      </w:pPr>
      <w:r>
        <w:t>建设单位：湘投能源（衡阳）有限公司</w:t>
      </w:r>
    </w:p>
    <w:p w14:paraId="726A6880">
      <w:pPr>
        <w:adjustRightInd w:val="0"/>
        <w:snapToGrid w:val="0"/>
        <w:ind w:firstLine="480"/>
      </w:pPr>
      <w:r>
        <w:t>建设地点：湖南省衡阳市衡阳县</w:t>
      </w:r>
      <w:r>
        <w:rPr>
          <w:rFonts w:hint="eastAsia"/>
        </w:rPr>
        <w:t>渣江镇、岣嵝乡、集兵镇、界牌镇一带</w:t>
      </w:r>
      <w:r>
        <w:t>；</w:t>
      </w:r>
    </w:p>
    <w:p w14:paraId="7737FB92">
      <w:pPr>
        <w:adjustRightInd w:val="0"/>
        <w:snapToGrid w:val="0"/>
        <w:ind w:firstLine="480"/>
      </w:pPr>
      <w:r>
        <w:rPr>
          <w:rFonts w:hint="eastAsia"/>
        </w:rPr>
        <w:t>总投资：本项目总投资</w:t>
      </w:r>
      <w:r>
        <w:t>37954.51</w:t>
      </w:r>
      <w:r>
        <w:rPr>
          <w:rFonts w:hint="eastAsia"/>
        </w:rPr>
        <w:t>万元（动态）；</w:t>
      </w:r>
    </w:p>
    <w:p w14:paraId="39BB00A8">
      <w:pPr>
        <w:adjustRightInd w:val="0"/>
        <w:snapToGrid w:val="0"/>
        <w:ind w:firstLine="480"/>
      </w:pPr>
      <w:r>
        <w:rPr>
          <w:rFonts w:hint="eastAsia"/>
        </w:rPr>
        <w:t>建设规模：本工程总用地面积</w:t>
      </w:r>
      <w:r>
        <w:t>43.163</w:t>
      </w:r>
      <w:r>
        <w:rPr>
          <w:rFonts w:hint="eastAsia"/>
        </w:rPr>
        <w:t>万</w:t>
      </w:r>
      <w:r>
        <w:t>m</w:t>
      </w:r>
      <w:r>
        <w:rPr>
          <w:vertAlign w:val="superscript"/>
        </w:rPr>
        <w:t>2</w:t>
      </w:r>
      <w:r>
        <w:rPr>
          <w:rFonts w:hint="eastAsia"/>
        </w:rPr>
        <w:t>，其中永久性用地面积为</w:t>
      </w:r>
      <w:r>
        <w:t>1.163</w:t>
      </w:r>
      <w:r>
        <w:rPr>
          <w:rFonts w:hint="eastAsia"/>
        </w:rPr>
        <w:t>万</w:t>
      </w:r>
      <w:r>
        <w:t>m</w:t>
      </w:r>
      <w:r>
        <w:rPr>
          <w:vertAlign w:val="superscript"/>
        </w:rPr>
        <w:t>2</w:t>
      </w:r>
      <w:r>
        <w:rPr>
          <w:rFonts w:hint="eastAsia"/>
        </w:rPr>
        <w:t>，临时性用地面积</w:t>
      </w:r>
      <w:r>
        <w:t xml:space="preserve">42.0 </w:t>
      </w:r>
      <w:r>
        <w:rPr>
          <w:rFonts w:hint="eastAsia"/>
        </w:rPr>
        <w:t>万</w:t>
      </w:r>
      <w:r>
        <w:t>m</w:t>
      </w:r>
      <w:r>
        <w:rPr>
          <w:vertAlign w:val="superscript"/>
        </w:rPr>
        <w:t>2</w:t>
      </w:r>
      <w:r>
        <w:rPr>
          <w:rFonts w:hint="eastAsia"/>
        </w:rPr>
        <w:t>。工程共拟安装</w:t>
      </w:r>
      <w:r>
        <w:t>10</w:t>
      </w:r>
      <w:r>
        <w:rPr>
          <w:rFonts w:hint="eastAsia"/>
        </w:rPr>
        <w:t>台风电机组单机容量为5</w:t>
      </w:r>
      <w:r>
        <w:t>.0MW</w:t>
      </w:r>
      <w:r>
        <w:rPr>
          <w:rFonts w:hint="eastAsia"/>
        </w:rPr>
        <w:t>的风力发电机组，总装机规模为</w:t>
      </w:r>
      <w:r>
        <w:t>50MW</w:t>
      </w:r>
      <w:r>
        <w:rPr>
          <w:rFonts w:hint="eastAsia"/>
        </w:rPr>
        <w:t>，项目年上网发电量为</w:t>
      </w:r>
      <w:r>
        <w:t>9080</w:t>
      </w:r>
      <w:r>
        <w:rPr>
          <w:rFonts w:hint="eastAsia"/>
        </w:rPr>
        <w:t>万</w:t>
      </w:r>
      <w:r>
        <w:t>kW</w:t>
      </w:r>
      <w:r>
        <w:rPr>
          <w:rFonts w:hint="eastAsia"/>
        </w:rPr>
        <w:t>·</w:t>
      </w:r>
      <w:r>
        <w:t>h</w:t>
      </w:r>
      <w:r>
        <w:rPr>
          <w:rFonts w:hint="eastAsia"/>
        </w:rPr>
        <w:t>，年等效满负荷小时数为</w:t>
      </w:r>
      <w:r>
        <w:t>1816h</w:t>
      </w:r>
      <w:r>
        <w:rPr>
          <w:rFonts w:hint="eastAsia"/>
        </w:rPr>
        <w:t>。拟建设一座</w:t>
      </w:r>
      <w:r>
        <w:t xml:space="preserve">110kV </w:t>
      </w:r>
      <w:r>
        <w:rPr>
          <w:rFonts w:hint="eastAsia"/>
        </w:rPr>
        <w:t>升压站，升压站内拟安装1台</w:t>
      </w:r>
      <w:r>
        <w:t>50MVA</w:t>
      </w:r>
      <w:r>
        <w:rPr>
          <w:rFonts w:hint="eastAsia"/>
        </w:rPr>
        <w:t>主变压器，以一回</w:t>
      </w:r>
      <w:r>
        <w:t xml:space="preserve">110kV </w:t>
      </w:r>
      <w:r>
        <w:rPr>
          <w:rFonts w:hint="eastAsia"/>
        </w:rPr>
        <w:t>线路送出。</w:t>
      </w:r>
    </w:p>
    <w:p w14:paraId="5615072B">
      <w:pPr>
        <w:adjustRightInd w:val="0"/>
        <w:snapToGrid w:val="0"/>
        <w:ind w:firstLine="480"/>
      </w:pPr>
      <w:r>
        <w:rPr>
          <w:rFonts w:hint="eastAsia"/>
        </w:rPr>
        <w:t>本项目规划区域范围内无大型机关厂矿、无压覆矿产资源、无基本农田、无电台、机场、无军事设施、未发现重大文物古迹。</w:t>
      </w:r>
      <w:r>
        <w:t xml:space="preserve"> </w:t>
      </w:r>
    </w:p>
    <w:p w14:paraId="7FC0EA2A">
      <w:pPr>
        <w:adjustRightInd w:val="0"/>
        <w:snapToGrid w:val="0"/>
        <w:ind w:firstLine="0" w:firstLineChars="0"/>
        <w:rPr>
          <w:b/>
          <w:bCs/>
          <w:sz w:val="28"/>
          <w:szCs w:val="28"/>
        </w:rPr>
      </w:pPr>
      <w:bookmarkStart w:id="312" w:name="_Toc486018740"/>
      <w:r>
        <w:rPr>
          <w:b/>
          <w:bCs/>
          <w:sz w:val="28"/>
          <w:szCs w:val="28"/>
        </w:rPr>
        <w:t>13.1.</w:t>
      </w:r>
      <w:r>
        <w:rPr>
          <w:rFonts w:hint="eastAsia"/>
          <w:b/>
          <w:bCs/>
          <w:sz w:val="28"/>
          <w:szCs w:val="28"/>
        </w:rPr>
        <w:t>2</w:t>
      </w:r>
      <w:r>
        <w:rPr>
          <w:b/>
          <w:bCs/>
          <w:sz w:val="28"/>
          <w:szCs w:val="28"/>
        </w:rPr>
        <w:t xml:space="preserve"> </w:t>
      </w:r>
      <w:r>
        <w:rPr>
          <w:rFonts w:hint="eastAsia"/>
          <w:b/>
          <w:bCs/>
          <w:sz w:val="28"/>
          <w:szCs w:val="28"/>
        </w:rPr>
        <w:t>本项目与国家产业政策、发展规划及当地规划相符性</w:t>
      </w:r>
      <w:bookmarkEnd w:id="312"/>
    </w:p>
    <w:p w14:paraId="26E43C87">
      <w:pPr>
        <w:adjustRightInd w:val="0"/>
        <w:snapToGrid w:val="0"/>
        <w:ind w:firstLine="480"/>
      </w:pPr>
      <w:bookmarkStart w:id="313" w:name="_Toc30352"/>
      <w:r>
        <w:t>利用风能发电，可减少因燃用化石燃料所产生的环境污染</w:t>
      </w:r>
      <w:r>
        <w:rPr>
          <w:rFonts w:hint="eastAsia"/>
        </w:rPr>
        <w:t>，本项目</w:t>
      </w:r>
      <w:r>
        <w:t>的建设，在有效利用当地风能资源进行清洁发电的同时，对于带动地区风电旅游、促进经济发展也将起到积极的作用。</w:t>
      </w:r>
    </w:p>
    <w:p w14:paraId="1CF2D6D8">
      <w:pPr>
        <w:adjustRightInd w:val="0"/>
        <w:snapToGrid w:val="0"/>
        <w:ind w:firstLine="480"/>
      </w:pPr>
      <w:r>
        <w:t>本</w:t>
      </w:r>
      <w:r>
        <w:rPr>
          <w:rFonts w:hint="eastAsia"/>
        </w:rPr>
        <w:t>项目</w:t>
      </w:r>
      <w:r>
        <w:t>属于《产业结构调整指导目录》中允许类别，《中华人民共和国可再生能源法》中明确的“国家鼓励和支持可再生能源并网发电”类项目，符合产业政策。</w:t>
      </w:r>
    </w:p>
    <w:p w14:paraId="2B28E11B">
      <w:pPr>
        <w:adjustRightInd w:val="0"/>
        <w:snapToGrid w:val="0"/>
        <w:ind w:firstLine="480"/>
      </w:pPr>
      <w:r>
        <w:rPr>
          <w:rFonts w:hint="eastAsia"/>
        </w:rPr>
        <w:t>项目符合“三线一单”的要求；项目</w:t>
      </w:r>
      <w:r>
        <w:t>与《可再生能源发展中长期发展规划》、《可再生能源发展“十三五”规划》、《风电发展“十三五”规划》</w:t>
      </w:r>
      <w:r>
        <w:rPr>
          <w:rFonts w:hint="eastAsia"/>
        </w:rPr>
        <w:t>、</w:t>
      </w:r>
      <w:r>
        <w:t>《湖南省新能源产业振兴实施规划(2010-2020年)》 (湘政办发[2010]2号)、《湖南省风电场项目建设管理办法》(湘发改能源［2012］445号)等国家</w:t>
      </w:r>
      <w:r>
        <w:rPr>
          <w:rFonts w:hint="eastAsia"/>
        </w:rPr>
        <w:t>及地方</w:t>
      </w:r>
      <w:r>
        <w:t>有关风电发展规划相符合</w:t>
      </w:r>
      <w:r>
        <w:rPr>
          <w:rFonts w:hint="eastAsia"/>
        </w:rPr>
        <w:t>；与</w:t>
      </w:r>
      <w:r>
        <w:t>《关于规范风电场项目建设使用林地的通知》</w:t>
      </w:r>
      <w:r>
        <w:rPr>
          <w:rFonts w:hint="eastAsia"/>
        </w:rPr>
        <w:t>、</w:t>
      </w:r>
      <w:r>
        <w:t>《关于进一步规范风电发展的通知》</w:t>
      </w:r>
      <w:r>
        <w:rPr>
          <w:rFonts w:hint="eastAsia"/>
        </w:rPr>
        <w:t>等要求相符；与《湖南省饮用水水源保护条例》的相关要求相符。</w:t>
      </w:r>
    </w:p>
    <w:p w14:paraId="5A508AF8">
      <w:pPr>
        <w:adjustRightInd w:val="0"/>
        <w:snapToGrid w:val="0"/>
        <w:ind w:firstLine="0" w:firstLineChars="0"/>
        <w:rPr>
          <w:b/>
          <w:bCs/>
          <w:sz w:val="28"/>
          <w:szCs w:val="28"/>
        </w:rPr>
      </w:pPr>
      <w:r>
        <w:rPr>
          <w:b/>
          <w:bCs/>
          <w:sz w:val="28"/>
          <w:szCs w:val="28"/>
        </w:rPr>
        <w:t>13.1.</w:t>
      </w:r>
      <w:r>
        <w:rPr>
          <w:rFonts w:hint="eastAsia"/>
          <w:b/>
          <w:bCs/>
          <w:sz w:val="28"/>
          <w:szCs w:val="28"/>
        </w:rPr>
        <w:t>3</w:t>
      </w:r>
      <w:r>
        <w:rPr>
          <w:b/>
          <w:bCs/>
          <w:sz w:val="28"/>
          <w:szCs w:val="28"/>
        </w:rPr>
        <w:t>环境质量现状</w:t>
      </w:r>
      <w:bookmarkEnd w:id="313"/>
    </w:p>
    <w:p w14:paraId="5EF034D8">
      <w:pPr>
        <w:tabs>
          <w:tab w:val="clear" w:pos="480"/>
        </w:tabs>
        <w:adjustRightInd w:val="0"/>
        <w:snapToGrid w:val="0"/>
        <w:ind w:firstLine="480"/>
      </w:pPr>
      <w:bookmarkStart w:id="314" w:name="_Toc10061"/>
      <w:r>
        <w:rPr>
          <w:rFonts w:hint="eastAsia"/>
        </w:rPr>
        <w:t>（1）环境空气</w:t>
      </w:r>
    </w:p>
    <w:p w14:paraId="402819C3">
      <w:pPr>
        <w:tabs>
          <w:tab w:val="clear" w:pos="480"/>
        </w:tabs>
        <w:adjustRightInd w:val="0"/>
        <w:snapToGrid w:val="0"/>
        <w:ind w:firstLine="480"/>
      </w:pPr>
      <w:r>
        <w:t>根据《环境影响评价技术导则大气环境》（HJ2.2-2018）第6.4.1.1条</w:t>
      </w:r>
      <w:r>
        <w:rPr>
          <w:rFonts w:hint="eastAsia"/>
        </w:rPr>
        <w:t>“</w:t>
      </w:r>
      <w:r>
        <w:t>城市环境空气质量达标情况评价指标为SO</w:t>
      </w:r>
      <w:r>
        <w:rPr>
          <w:vertAlign w:val="subscript"/>
        </w:rPr>
        <w:t>2</w:t>
      </w:r>
      <w:r>
        <w:t>、NO</w:t>
      </w:r>
      <w:r>
        <w:rPr>
          <w:vertAlign w:val="subscript"/>
        </w:rPr>
        <w:t>2</w:t>
      </w:r>
      <w:r>
        <w:t>、PM</w:t>
      </w:r>
      <w:r>
        <w:rPr>
          <w:vertAlign w:val="subscript"/>
        </w:rPr>
        <w:t>10</w:t>
      </w:r>
      <w:r>
        <w:t>、PM</w:t>
      </w:r>
      <w:r>
        <w:rPr>
          <w:vertAlign w:val="subscript"/>
        </w:rPr>
        <w:t>2.5</w:t>
      </w:r>
      <w:r>
        <w:t>、CO和O</w:t>
      </w:r>
      <w:r>
        <w:rPr>
          <w:vertAlign w:val="subscript"/>
        </w:rPr>
        <w:t>3</w:t>
      </w:r>
      <w:r>
        <w:t>，六项污染物全部达标即为城市环境空气质量达标</w:t>
      </w:r>
      <w:r>
        <w:rPr>
          <w:rFonts w:hint="eastAsia"/>
        </w:rPr>
        <w:t>”</w:t>
      </w:r>
      <w:r>
        <w:t>。本项目所在区域2020年为环境空气质量达标区。</w:t>
      </w:r>
    </w:p>
    <w:p w14:paraId="5D7118C4">
      <w:pPr>
        <w:adjustRightInd w:val="0"/>
        <w:snapToGrid w:val="0"/>
        <w:ind w:firstLine="480"/>
      </w:pPr>
      <w:r>
        <w:rPr>
          <w:rFonts w:hint="eastAsia"/>
        </w:rPr>
        <w:t>（2）地表水环境</w:t>
      </w:r>
    </w:p>
    <w:p w14:paraId="56D0099E">
      <w:pPr>
        <w:adjustRightInd w:val="0"/>
        <w:snapToGrid w:val="0"/>
        <w:ind w:firstLine="480"/>
      </w:pPr>
      <w:r>
        <w:rPr>
          <w:rFonts w:hint="eastAsia"/>
        </w:rPr>
        <w:t>除饮用水水源一级保护区的监测断面各监测因子的现状监测值能够满足《</w:t>
      </w:r>
      <w:r>
        <w:t>地表水环境质量标准》（GB3838-2002）“</w:t>
      </w:r>
      <w:r>
        <w:fldChar w:fldCharType="begin"/>
      </w:r>
      <w:r>
        <w:instrText xml:space="preserve"> </w:instrText>
      </w:r>
      <w:r>
        <w:rPr>
          <w:rFonts w:hint="eastAsia"/>
        </w:rPr>
        <w:instrText xml:space="preserve">= 2 \* ROMAN</w:instrText>
      </w:r>
      <w:r>
        <w:instrText xml:space="preserve"> </w:instrText>
      </w:r>
      <w:r>
        <w:fldChar w:fldCharType="separate"/>
      </w:r>
      <w:r>
        <w:t>II</w:t>
      </w:r>
      <w:r>
        <w:fldChar w:fldCharType="end"/>
      </w:r>
      <w:r>
        <w:t>类”水质标准，其中悬浮物能够满足《地表水资源质量标准》（SL63-1994）中“</w:t>
      </w:r>
      <w:r>
        <w:rPr>
          <w:rFonts w:hint="eastAsia"/>
        </w:rPr>
        <w:t>二</w:t>
      </w:r>
      <w:r>
        <w:t>级”标准</w:t>
      </w:r>
      <w:r>
        <w:rPr>
          <w:rFonts w:hint="eastAsia"/>
        </w:rPr>
        <w:t>；其他各监测断面的各监测因子的现状监测值均能够满足</w:t>
      </w:r>
      <w:r>
        <w:t>《地表水环境质量标准》（GB3838-2002）“III类”水质标准，其中悬浮物能够满足《地表水资源质量标准》（SL63-1994）中“三级”标准。</w:t>
      </w:r>
    </w:p>
    <w:p w14:paraId="060DDA41">
      <w:pPr>
        <w:adjustRightInd w:val="0"/>
        <w:snapToGrid w:val="0"/>
        <w:ind w:firstLine="480"/>
      </w:pPr>
      <w:r>
        <w:rPr>
          <w:rFonts w:hint="eastAsia"/>
        </w:rPr>
        <w:t>（</w:t>
      </w:r>
      <w:r>
        <w:t>3</w:t>
      </w:r>
      <w:r>
        <w:rPr>
          <w:rFonts w:hint="eastAsia"/>
        </w:rPr>
        <w:t>）声环境</w:t>
      </w:r>
    </w:p>
    <w:p w14:paraId="5C7A99A6">
      <w:pPr>
        <w:adjustRightInd w:val="0"/>
        <w:snapToGrid w:val="0"/>
        <w:ind w:firstLine="480"/>
      </w:pPr>
      <w:r>
        <w:t>各声环境现状监测点噪声监测值均可满足《声环境质量标准》（GB3096-2008）中 2 类标准要求。</w:t>
      </w:r>
    </w:p>
    <w:p w14:paraId="66654B52">
      <w:pPr>
        <w:adjustRightInd w:val="0"/>
        <w:snapToGrid w:val="0"/>
        <w:ind w:firstLine="480"/>
      </w:pPr>
      <w:r>
        <w:rPr>
          <w:rFonts w:hint="eastAsia"/>
        </w:rPr>
        <w:t>（</w:t>
      </w:r>
      <w:r>
        <w:t>4</w:t>
      </w:r>
      <w:r>
        <w:rPr>
          <w:rFonts w:hint="eastAsia"/>
        </w:rPr>
        <w:t>）电磁环境</w:t>
      </w:r>
    </w:p>
    <w:p w14:paraId="570776B5">
      <w:pPr>
        <w:adjustRightInd w:val="0"/>
        <w:snapToGrid w:val="0"/>
        <w:ind w:firstLine="480"/>
      </w:pPr>
      <w:r>
        <w:t>各点位的工频电场强度和工频磁感应强度测量值均满足《电磁环境控制限值》(GB8702-2014)表 1 中频率为 50Hz 所对应的标准，即工频电场强度：4000V/m；工频磁感应强度：100μT。</w:t>
      </w:r>
    </w:p>
    <w:p w14:paraId="5461E980">
      <w:pPr>
        <w:adjustRightInd w:val="0"/>
        <w:snapToGrid w:val="0"/>
        <w:ind w:firstLine="480"/>
      </w:pPr>
      <w:r>
        <w:rPr>
          <w:rFonts w:hint="eastAsia"/>
        </w:rPr>
        <w:t>（</w:t>
      </w:r>
      <w:r>
        <w:t>5</w:t>
      </w:r>
      <w:r>
        <w:rPr>
          <w:rFonts w:hint="eastAsia"/>
        </w:rPr>
        <w:t>）生态</w:t>
      </w:r>
    </w:p>
    <w:p w14:paraId="4B47B4FB">
      <w:pPr>
        <w:adjustRightInd w:val="0"/>
        <w:snapToGrid w:val="0"/>
        <w:ind w:firstLine="480"/>
      </w:pPr>
      <w:r>
        <w:t>评价区土地利用格局的斑块类型分为林地、灌草地、耕地、水域、建筑用地等 5种类景观型，其中以灌草地及林地为主。评价区的生态系统可分为森林生态系统、湿地生态系统、农业生态系统和城镇/村落生态系统。其中森林生态系统为评价区主要生态系统，面积较大。</w:t>
      </w:r>
    </w:p>
    <w:p w14:paraId="18F6E717">
      <w:pPr>
        <w:adjustRightInd w:val="0"/>
        <w:snapToGrid w:val="0"/>
        <w:ind w:firstLine="480"/>
      </w:pPr>
      <w:r>
        <w:t>根据现场对评价区植被的实地调查，采用群落学—生态学分类原则，将评价区自然植被初步划分为3</w:t>
      </w:r>
      <w:r>
        <w:rPr>
          <w:rFonts w:hint="eastAsia"/>
        </w:rPr>
        <w:t>个植被型组、</w:t>
      </w:r>
      <w:r>
        <w:t>6</w:t>
      </w:r>
      <w:r>
        <w:rPr>
          <w:rFonts w:hint="eastAsia"/>
        </w:rPr>
        <w:t>个植被型、</w:t>
      </w:r>
      <w:r>
        <w:t>18</w:t>
      </w:r>
      <w:r>
        <w:rPr>
          <w:rFonts w:hint="eastAsia"/>
        </w:rPr>
        <w:t>个群系</w:t>
      </w:r>
      <w:r>
        <w:t>。</w:t>
      </w:r>
    </w:p>
    <w:p w14:paraId="530C1207">
      <w:pPr>
        <w:adjustRightInd w:val="0"/>
        <w:snapToGrid w:val="0"/>
        <w:ind w:firstLine="480"/>
      </w:pPr>
      <w:r>
        <w:t>评价区有陆生脊椎动物4纲18目55科131种，</w:t>
      </w:r>
      <w:r>
        <w:rPr>
          <w:rFonts w:hint="eastAsia"/>
        </w:rPr>
        <w:t>其中东洋种</w:t>
      </w:r>
      <w:r>
        <w:t>74</w:t>
      </w:r>
      <w:r>
        <w:rPr>
          <w:rFonts w:hint="eastAsia"/>
        </w:rPr>
        <w:t>种，占评价区总种数的</w:t>
      </w:r>
      <w:r>
        <w:t>56.49%</w:t>
      </w:r>
      <w:r>
        <w:rPr>
          <w:rFonts w:hint="eastAsia"/>
        </w:rPr>
        <w:t>；古北种</w:t>
      </w:r>
      <w:r>
        <w:t>17</w:t>
      </w:r>
      <w:r>
        <w:rPr>
          <w:rFonts w:hint="eastAsia"/>
        </w:rPr>
        <w:t>种，占评价区总种数的</w:t>
      </w:r>
      <w:r>
        <w:t>15.27%</w:t>
      </w:r>
      <w:r>
        <w:rPr>
          <w:rFonts w:hint="eastAsia"/>
        </w:rPr>
        <w:t>；广布种</w:t>
      </w:r>
      <w:r>
        <w:t>40</w:t>
      </w:r>
      <w:r>
        <w:rPr>
          <w:rFonts w:hint="eastAsia"/>
        </w:rPr>
        <w:t>种，占评价区总种数的</w:t>
      </w:r>
      <w:r>
        <w:t>28.24%</w:t>
      </w:r>
      <w:r>
        <w:rPr>
          <w:rFonts w:hint="eastAsia"/>
        </w:rPr>
        <w:t>。</w:t>
      </w:r>
    </w:p>
    <w:p w14:paraId="111C8AFC">
      <w:pPr>
        <w:adjustRightInd w:val="0"/>
        <w:snapToGrid w:val="0"/>
        <w:ind w:firstLine="480"/>
      </w:pPr>
      <w:r>
        <w:t>经过现场调查和资料搜集，评价范围内未调查到国家Ⅰ级重点保护动物，调查记录到国家Ⅱ级重点保护动物5</w:t>
      </w:r>
      <w:r>
        <w:rPr>
          <w:rFonts w:hint="eastAsia"/>
        </w:rPr>
        <w:t>种，全部为猛禽：雀鹰、</w:t>
      </w:r>
      <w:r>
        <w:t>黑鸢</w:t>
      </w:r>
      <w:r>
        <w:rPr>
          <w:rFonts w:hint="eastAsia"/>
        </w:rPr>
        <w:t>、</w:t>
      </w:r>
      <w:r>
        <w:t>东方草鸮</w:t>
      </w:r>
      <w:r>
        <w:rPr>
          <w:rFonts w:hint="eastAsia"/>
        </w:rPr>
        <w:t>、斑头鸺鹠和红隼。</w:t>
      </w:r>
      <w:r>
        <w:t>评价区范围内陆生脊椎动物中，调查记录到湖南省重点保护动物 85 种，现场调查有</w:t>
      </w:r>
      <w:r>
        <w:rPr>
          <w:rFonts w:hint="eastAsia"/>
        </w:rPr>
        <w:t>黑眶蟾蜍、中华蟾蜍、斑腿泛树蛙、小弧斑姬蛙、饰纹姬蛙、花姬蛙、黑斑侧褶蛙、沼水蛙、泽陆蛙、棘胸蛙、花臭蛙</w:t>
      </w:r>
      <w:r>
        <w:t>等。</w:t>
      </w:r>
    </w:p>
    <w:p w14:paraId="0F0CA35E">
      <w:pPr>
        <w:adjustRightInd w:val="0"/>
        <w:snapToGrid w:val="0"/>
        <w:ind w:firstLine="480"/>
      </w:pPr>
      <w:r>
        <w:t>本工程不涉及Ⅰ级保护林地、一级国家公益林地、鸟类迁徙通道。不处于国家级生态公益林一级区和生态红线范围内；项目不属于天然林和单位面积蓄积量高的林地，未处于生态脆弱、毁损后难以恢复的区域。</w:t>
      </w:r>
    </w:p>
    <w:p w14:paraId="72E3FB00">
      <w:pPr>
        <w:adjustRightInd w:val="0"/>
        <w:snapToGrid w:val="0"/>
        <w:ind w:firstLine="0" w:firstLineChars="0"/>
        <w:rPr>
          <w:b/>
          <w:bCs/>
          <w:sz w:val="28"/>
          <w:szCs w:val="28"/>
        </w:rPr>
      </w:pPr>
      <w:r>
        <w:rPr>
          <w:b/>
          <w:bCs/>
          <w:sz w:val="28"/>
          <w:szCs w:val="28"/>
        </w:rPr>
        <w:t>13.1.</w:t>
      </w:r>
      <w:r>
        <w:rPr>
          <w:rFonts w:hint="eastAsia"/>
          <w:b/>
          <w:bCs/>
          <w:sz w:val="28"/>
          <w:szCs w:val="28"/>
        </w:rPr>
        <w:t>4</w:t>
      </w:r>
      <w:r>
        <w:rPr>
          <w:b/>
          <w:bCs/>
          <w:sz w:val="28"/>
          <w:szCs w:val="28"/>
        </w:rPr>
        <w:t>环境影响</w:t>
      </w:r>
      <w:bookmarkEnd w:id="314"/>
      <w:r>
        <w:rPr>
          <w:b/>
          <w:bCs/>
          <w:sz w:val="28"/>
          <w:szCs w:val="28"/>
        </w:rPr>
        <w:t>结论</w:t>
      </w:r>
    </w:p>
    <w:p w14:paraId="2F21357F">
      <w:pPr>
        <w:adjustRightInd w:val="0"/>
        <w:snapToGrid w:val="0"/>
        <w:ind w:firstLine="480"/>
      </w:pPr>
      <w:r>
        <w:t>（1）施工期环境影响结论</w:t>
      </w:r>
    </w:p>
    <w:p w14:paraId="280E24C7">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大气环境影响</w:t>
      </w:r>
    </w:p>
    <w:p w14:paraId="41A59F63">
      <w:pPr>
        <w:adjustRightInd w:val="0"/>
        <w:snapToGrid w:val="0"/>
        <w:ind w:firstLine="480"/>
      </w:pPr>
      <w:r>
        <w:rPr>
          <w:rFonts w:hint="eastAsia"/>
        </w:rPr>
        <w:t>本项目施工期产生的大气污染物主要为施工扬尘、道路扬尘、车辆废气、砂石堆扬尘及爆破废气，通过采取加强施工管理、物料堆放和运输采用</w:t>
      </w:r>
      <w:r>
        <w:t>毡布遮盖</w:t>
      </w:r>
      <w:r>
        <w:rPr>
          <w:rFonts w:hint="eastAsia"/>
        </w:rPr>
        <w:t>、道路硬化和洒水、避免大面积开挖、采用微式爆破法等措施后，施工期对周围环境的影响较小。</w:t>
      </w:r>
    </w:p>
    <w:p w14:paraId="09E0828B">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水环境影响</w:t>
      </w:r>
    </w:p>
    <w:p w14:paraId="04FCBF5A">
      <w:pPr>
        <w:adjustRightInd w:val="0"/>
        <w:snapToGrid w:val="0"/>
        <w:ind w:firstLine="480"/>
      </w:pPr>
      <w:r>
        <w:rPr>
          <w:rFonts w:hint="eastAsia"/>
        </w:rPr>
        <w:t>项目施工期产生的废水主要为施工废水和生活污水。施工废水经简易沉淀池处理后回用于施工场地洒水抑尘和绿化用水。施工期生活污水经化粪池处理后定期清运用于周边林地施肥。故本项目施工期对水环境影响较小。</w:t>
      </w:r>
    </w:p>
    <w:p w14:paraId="6F45A3A7">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固体废物环境影响</w:t>
      </w:r>
    </w:p>
    <w:p w14:paraId="5DA43434">
      <w:pPr>
        <w:adjustRightInd w:val="0"/>
        <w:snapToGrid w:val="0"/>
        <w:ind w:firstLine="480"/>
      </w:pPr>
      <w:r>
        <w:t>工程施工期固体废弃物包括施工弃渣和施工人员生活垃圾两类。施工弃渣</w:t>
      </w:r>
      <w:r>
        <w:rPr>
          <w:rFonts w:hint="eastAsia"/>
        </w:rPr>
        <w:t>以及沉淀池沉渣</w:t>
      </w:r>
      <w:r>
        <w:t>规范堆存于弃渣场，生活垃圾均集中定点收集，妥善处置，对区域环境影响较小。</w:t>
      </w:r>
    </w:p>
    <w:p w14:paraId="7F739683">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声环境影响</w:t>
      </w:r>
    </w:p>
    <w:p w14:paraId="106227D0">
      <w:pPr>
        <w:adjustRightInd w:val="0"/>
        <w:snapToGrid w:val="0"/>
        <w:ind w:firstLine="480"/>
      </w:pPr>
      <w:r>
        <w:t>本项目施工期噪声主要</w:t>
      </w:r>
      <w:r>
        <w:rPr>
          <w:rFonts w:hint="eastAsia"/>
        </w:rPr>
        <w:t>为</w:t>
      </w:r>
      <w:r>
        <w:t>车辆运输</w:t>
      </w:r>
      <w:r>
        <w:rPr>
          <w:rFonts w:hint="eastAsia"/>
        </w:rPr>
        <w:t>噪声</w:t>
      </w:r>
      <w:r>
        <w:t>及施工机械设备</w:t>
      </w:r>
      <w:r>
        <w:rPr>
          <w:rFonts w:hint="eastAsia"/>
        </w:rPr>
        <w:t>噪声</w:t>
      </w:r>
      <w:r>
        <w:t>。运输车辆在通过</w:t>
      </w:r>
      <w:r>
        <w:rPr>
          <w:rFonts w:hint="eastAsia"/>
        </w:rPr>
        <w:t>大路下村、雷动村以及棠下村</w:t>
      </w:r>
      <w:r>
        <w:t>居民聚居点时应适当减速行驶，禁止鸣笛。</w:t>
      </w:r>
    </w:p>
    <w:p w14:paraId="209E12BB">
      <w:pPr>
        <w:adjustRightInd w:val="0"/>
        <w:snapToGrid w:val="0"/>
        <w:ind w:firstLine="480"/>
      </w:pPr>
      <w:r>
        <w:t>施工噪声通过距离衰减、山体阻隔、植被吸收后，可确保施工场界噪声达标排放。</w:t>
      </w:r>
    </w:p>
    <w:p w14:paraId="6B41644D">
      <w:pPr>
        <w:adjustRightInd w:val="0"/>
        <w:snapToGrid w:val="0"/>
        <w:ind w:firstLine="480"/>
      </w:pPr>
      <w:r>
        <w:rPr>
          <w:rFonts w:hint="eastAsia"/>
        </w:rPr>
        <w:t>（2）</w:t>
      </w:r>
      <w:r>
        <w:t>营运期环境影响结论</w:t>
      </w:r>
    </w:p>
    <w:p w14:paraId="46B1CC0B">
      <w:pPr>
        <w:adjustRightInd w:val="0"/>
        <w:snapToGri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大气环境影响</w:t>
      </w:r>
    </w:p>
    <w:p w14:paraId="2DED9565">
      <w:pPr>
        <w:adjustRightInd w:val="0"/>
        <w:snapToGrid w:val="0"/>
        <w:ind w:firstLine="480"/>
      </w:pPr>
      <w:r>
        <w:rPr>
          <w:rFonts w:hint="eastAsia"/>
        </w:rPr>
        <w:t>本项目运营期废气主要为升压站食堂产生的食堂油烟较少，食堂油烟经油烟净化装置处理满足《饮食业油烟排放标准》（GB18483-2001）小型标准后排放，对周围环境影响较小。</w:t>
      </w:r>
    </w:p>
    <w:p w14:paraId="0E88FD8A">
      <w:pPr>
        <w:adjustRightInd w:val="0"/>
        <w:snapToGri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水环境影响</w:t>
      </w:r>
    </w:p>
    <w:p w14:paraId="3873534D">
      <w:pPr>
        <w:adjustRightInd w:val="0"/>
        <w:snapToGrid w:val="0"/>
        <w:ind w:firstLine="480"/>
      </w:pPr>
      <w:r>
        <w:rPr>
          <w:rFonts w:hint="eastAsia"/>
        </w:rPr>
        <w:t>本项目运行期产生的废水为工作人员的生活废水和生产废水。生产废水主要为变压器检修或发生事故时的含油废水，含油废水经事故油池收集后交由有资质的单位处理。生活污水经一体化污水处理设备</w:t>
      </w:r>
      <w:r>
        <w:t>（0.5m</w:t>
      </w:r>
      <w:r>
        <w:rPr>
          <w:vertAlign w:val="superscript"/>
        </w:rPr>
        <w:t>3</w:t>
      </w:r>
      <w:r>
        <w:t>/h）</w:t>
      </w:r>
      <w:r>
        <w:rPr>
          <w:rFonts w:hint="eastAsia"/>
        </w:rPr>
        <w:t>处理达到</w:t>
      </w:r>
      <w:r>
        <w:t>《污水综合排放标准》</w:t>
      </w:r>
      <w:r>
        <w:rPr>
          <w:rFonts w:hint="eastAsia"/>
        </w:rPr>
        <w:t>（</w:t>
      </w:r>
      <w:r>
        <w:t>GB8978-1996</w:t>
      </w:r>
      <w:r>
        <w:rPr>
          <w:rFonts w:hint="eastAsia"/>
        </w:rPr>
        <w:t>）表4的一级标准后用于升压站绿化。故本项目运行期对周围环境影响较小。</w:t>
      </w:r>
    </w:p>
    <w:p w14:paraId="3B4F8558">
      <w:pPr>
        <w:adjustRightInd w:val="0"/>
        <w:snapToGri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固体废物环境影响</w:t>
      </w:r>
    </w:p>
    <w:p w14:paraId="74BB48AC">
      <w:pPr>
        <w:adjustRightInd w:val="0"/>
        <w:snapToGrid w:val="0"/>
        <w:ind w:firstLine="480"/>
      </w:pPr>
      <w:r>
        <w:rPr>
          <w:rFonts w:hint="eastAsia"/>
        </w:rPr>
        <w:t>本项目运行期产生的固体废物主要有生活垃圾、废机油、检修垃圾及报废设备、配件以及废蓄电池。本项目产生的废机油和废蓄电池交由有资质的单位处理；项目产生的报废的设备和配件统一回收；生活垃圾和检修垃圾交由环卫部门处理。故本项目运行期固体废物对周围环境影响较小。</w:t>
      </w:r>
    </w:p>
    <w:p w14:paraId="4FDFE82B">
      <w:pPr>
        <w:adjustRightInd w:val="0"/>
        <w:snapToGri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声环境</w:t>
      </w:r>
      <w:r>
        <w:rPr>
          <w:rFonts w:hint="eastAsia"/>
        </w:rPr>
        <w:t>影响</w:t>
      </w:r>
    </w:p>
    <w:p w14:paraId="5BDA92DC">
      <w:pPr>
        <w:adjustRightInd w:val="0"/>
        <w:snapToGrid w:val="0"/>
        <w:ind w:firstLine="480"/>
      </w:pPr>
      <w:r>
        <w:t>风力发电机组在运转过程中产生的噪声来自于叶片扫风产生的噪声和机组内部机械运转产生的噪声，其中以机组内部的机械噪声为主。</w:t>
      </w:r>
      <w:r>
        <w:rPr>
          <w:rFonts w:hint="eastAsia"/>
        </w:rPr>
        <w:t>根据预测可知，运营期间项目周边各声环境敏感点的声环境质量能够满足</w:t>
      </w:r>
      <w:r>
        <w:t>《声环境质量标准》（GB3096-2008）中2类标准</w:t>
      </w:r>
      <w:r>
        <w:rPr>
          <w:rFonts w:hint="eastAsia"/>
        </w:rPr>
        <w:t>（昼间60</w:t>
      </w:r>
      <w:r>
        <w:t>dB(A)</w:t>
      </w:r>
      <w:r>
        <w:rPr>
          <w:rFonts w:hint="eastAsia"/>
        </w:rPr>
        <w:t>，夜间50</w:t>
      </w:r>
      <w:r>
        <w:t>dB(A)</w:t>
      </w:r>
      <w:r>
        <w:rPr>
          <w:rFonts w:hint="eastAsia"/>
        </w:rPr>
        <w:t>）</w:t>
      </w:r>
      <w:r>
        <w:t>要求</w:t>
      </w:r>
      <w:r>
        <w:rPr>
          <w:rFonts w:hint="eastAsia"/>
        </w:rPr>
        <w:t>；升压站厂界噪声值能够满足</w:t>
      </w:r>
      <w:r>
        <w:t>《工业企业厂界环境噪声排放标准》（GB12348-2008）</w:t>
      </w:r>
      <w:r>
        <w:rPr>
          <w:rFonts w:hint="eastAsia"/>
        </w:rPr>
        <w:t>2类标准。</w:t>
      </w:r>
    </w:p>
    <w:p w14:paraId="6B40E892">
      <w:pPr>
        <w:adjustRightInd w:val="0"/>
        <w:snapToGrid w:val="0"/>
        <w:ind w:firstLine="480"/>
      </w:pPr>
      <w:r>
        <w:rPr>
          <w:rFonts w:hint="eastAsia"/>
        </w:rPr>
        <w:t>根据预测结果及相关要求，环评建议风力发电机组安装平台边界外延</w:t>
      </w:r>
      <w:r>
        <w:t>350m</w:t>
      </w:r>
      <w:r>
        <w:rPr>
          <w:rFonts w:hint="eastAsia"/>
        </w:rPr>
        <w:t>范围的区域划定为风电机组的噪声影响控制区，在该区域范围内，不得新建居民住宅、学校、医院等噪声敏感建筑物。</w:t>
      </w:r>
    </w:p>
    <w:p w14:paraId="34272366">
      <w:pPr>
        <w:adjustRightInd w:val="0"/>
        <w:snapToGrid w:val="0"/>
        <w:ind w:firstLine="480"/>
      </w:pPr>
      <w:r>
        <w:t>（3）生态环境影响</w:t>
      </w:r>
      <w:r>
        <w:rPr>
          <w:rFonts w:hint="eastAsia"/>
        </w:rPr>
        <w:t>评价结论</w:t>
      </w:r>
    </w:p>
    <w:p w14:paraId="5C85CB5B">
      <w:pPr>
        <w:adjustRightInd w:val="0"/>
        <w:snapToGrid w:val="0"/>
        <w:ind w:firstLine="480"/>
      </w:pPr>
      <w:r>
        <w:rPr>
          <w:rFonts w:hint="eastAsia"/>
        </w:rPr>
        <w:t>①工</w:t>
      </w:r>
      <w:r>
        <w:t>程建成和运行后，</w:t>
      </w:r>
      <w:r>
        <w:rPr>
          <w:rFonts w:hint="eastAsia"/>
        </w:rPr>
        <w:t>评价区植被面积因工程永久占地略有缩小，生物量也略有减少，但以针叶林和灌草丛为主体的生态系统有较强的自我调节能力，</w:t>
      </w:r>
      <w:r>
        <w:t>工程实施和运行</w:t>
      </w:r>
      <w:r>
        <w:rPr>
          <w:rFonts w:hint="eastAsia"/>
        </w:rPr>
        <w:t>后本区域内的生物多样性及生态系统稳定性不会发生明显改变。</w:t>
      </w:r>
    </w:p>
    <w:p w14:paraId="13D750F5">
      <w:pPr>
        <w:adjustRightInd w:val="0"/>
        <w:snapToGrid w:val="0"/>
        <w:ind w:firstLine="480"/>
      </w:pPr>
      <w:r>
        <w:rPr>
          <w:rFonts w:hint="eastAsia"/>
        </w:rPr>
        <w:t>②工</w:t>
      </w:r>
      <w:r>
        <w:t>程</w:t>
      </w:r>
      <w:r>
        <w:rPr>
          <w:rFonts w:hint="eastAsia"/>
        </w:rPr>
        <w:t>施工造成破坏的植被绝大部分在工程完成后容易自然或人工恢复，不会对植物的物种数量、植被类型及多样性造成明显影响。</w:t>
      </w:r>
    </w:p>
    <w:p w14:paraId="464973E3">
      <w:pPr>
        <w:adjustRightInd w:val="0"/>
        <w:snapToGrid w:val="0"/>
        <w:ind w:firstLine="480"/>
      </w:pPr>
      <w:r>
        <w:rPr>
          <w:rFonts w:hint="eastAsia"/>
        </w:rPr>
        <w:t>③工程施工对工程沿线及其周边区域的资源性野生动物</w:t>
      </w:r>
      <w:r>
        <w:rPr>
          <w:rFonts w:hint="eastAsia"/>
          <w:lang w:eastAsia="zh-CN"/>
        </w:rPr>
        <w:t>环境</w:t>
      </w:r>
      <w:r>
        <w:rPr>
          <w:rFonts w:hint="eastAsia"/>
        </w:rPr>
        <w:t>将造成一定的负面影响，但工程完成后这种影响随之消失。</w:t>
      </w:r>
    </w:p>
    <w:p w14:paraId="0AEF9DBD">
      <w:pPr>
        <w:adjustRightInd w:val="0"/>
        <w:snapToGrid w:val="0"/>
        <w:ind w:firstLine="480"/>
      </w:pPr>
      <w:r>
        <w:rPr>
          <w:rFonts w:hint="eastAsia"/>
        </w:rPr>
        <w:t>④</w:t>
      </w:r>
      <w:r>
        <w:t>本项目评价区所在区域不涉及重要的鸟类迁徙通道。对鸟类的迁徙“走廊”不具有阻断效应，对鸟类迁徙影响较小。</w:t>
      </w:r>
    </w:p>
    <w:p w14:paraId="25832012">
      <w:pPr>
        <w:adjustRightInd w:val="0"/>
        <w:snapToGrid w:val="0"/>
        <w:ind w:firstLine="480"/>
      </w:pPr>
      <w:r>
        <w:rPr>
          <w:rFonts w:hint="eastAsia"/>
        </w:rPr>
        <w:t>⑤项目施工及运行基本上不会影响工程涉及区域的地形地貌、植物群落结构及动物的活动，</w:t>
      </w:r>
      <w:r>
        <w:t>对评价区自然体系的景观质量</w:t>
      </w:r>
      <w:r>
        <w:rPr>
          <w:rFonts w:hint="eastAsia"/>
        </w:rPr>
        <w:t>和生态景观格局</w:t>
      </w:r>
      <w:r>
        <w:t>影响不大</w:t>
      </w:r>
      <w:r>
        <w:rPr>
          <w:rFonts w:hint="eastAsia"/>
        </w:rPr>
        <w:t>。同时，该</w:t>
      </w:r>
      <w:r>
        <w:t>风电场建成</w:t>
      </w:r>
      <w:r>
        <w:rPr>
          <w:rFonts w:hint="eastAsia"/>
        </w:rPr>
        <w:t>后，高高耸立</w:t>
      </w:r>
      <w:r>
        <w:t>的风</w:t>
      </w:r>
      <w:r>
        <w:rPr>
          <w:rFonts w:hint="eastAsia"/>
        </w:rPr>
        <w:t>机能增强山顶的景观效果。</w:t>
      </w:r>
    </w:p>
    <w:p w14:paraId="32722629">
      <w:pPr>
        <w:adjustRightInd w:val="0"/>
        <w:snapToGrid w:val="0"/>
        <w:ind w:firstLine="480"/>
      </w:pPr>
      <w:r>
        <w:rPr>
          <w:rFonts w:hint="eastAsia"/>
        </w:rPr>
        <w:t>⑥工程建设对沿线周边区域地表水流的水质影响范围有限，由此涉及的生态环境影响很小。</w:t>
      </w:r>
    </w:p>
    <w:p w14:paraId="602EC1A4">
      <w:pPr>
        <w:adjustRightInd w:val="0"/>
        <w:snapToGrid w:val="0"/>
        <w:ind w:firstLine="480"/>
      </w:pPr>
      <w:r>
        <w:rPr>
          <w:rFonts w:hint="eastAsia"/>
        </w:rPr>
        <w:t>⑦工程路线布设较为合理，占地主要为杉木林地、马尾松林地、竹林地和灌丛地，从生态影响角度评价，本项目建设可行。</w:t>
      </w:r>
    </w:p>
    <w:p w14:paraId="7CC7AD1B">
      <w:pPr>
        <w:adjustRightInd w:val="0"/>
        <w:snapToGrid w:val="0"/>
        <w:ind w:firstLine="0" w:firstLineChars="0"/>
        <w:rPr>
          <w:b/>
          <w:bCs/>
          <w:sz w:val="28"/>
          <w:szCs w:val="28"/>
        </w:rPr>
      </w:pPr>
      <w:r>
        <w:rPr>
          <w:b/>
          <w:bCs/>
          <w:sz w:val="28"/>
          <w:szCs w:val="28"/>
        </w:rPr>
        <w:t>13.1.</w:t>
      </w:r>
      <w:r>
        <w:rPr>
          <w:rFonts w:hint="eastAsia"/>
          <w:b/>
          <w:bCs/>
          <w:sz w:val="28"/>
          <w:szCs w:val="28"/>
        </w:rPr>
        <w:t>5环境监测及环境管理</w:t>
      </w:r>
    </w:p>
    <w:p w14:paraId="1348E0AB">
      <w:pPr>
        <w:adjustRightInd w:val="0"/>
        <w:snapToGrid w:val="0"/>
        <w:ind w:firstLine="480"/>
      </w:pPr>
      <w:r>
        <w:rPr>
          <w:rFonts w:hint="eastAsia"/>
        </w:rPr>
        <w:t>项目开工前成立以建设单位为责任主体的环境管理结构，配备相关专业的专职或兼职人员，对于施工期所产生的环境问题及时向环境保护主管部门报告，并及时得到处理，使环境问题得到有效控制。</w:t>
      </w:r>
    </w:p>
    <w:p w14:paraId="6DDFBD56">
      <w:pPr>
        <w:adjustRightInd w:val="0"/>
        <w:snapToGrid w:val="0"/>
        <w:ind w:firstLine="480"/>
      </w:pPr>
      <w:r>
        <w:rPr>
          <w:rFonts w:hint="eastAsia"/>
        </w:rPr>
        <w:t>施工期对施工营地周边大气环境、声环境进行监测，对施工扰动区进行水土流失监测；运行期在升压站边界</w:t>
      </w:r>
      <w:r>
        <w:t>进行声环境监测。</w:t>
      </w:r>
    </w:p>
    <w:p w14:paraId="3B6F7571">
      <w:pPr>
        <w:adjustRightInd w:val="0"/>
        <w:snapToGrid w:val="0"/>
        <w:ind w:firstLine="480"/>
      </w:pPr>
      <w:r>
        <w:t>委托有资质的单位进行环境监理、生态跟踪监测、水土保持监测。</w:t>
      </w:r>
    </w:p>
    <w:p w14:paraId="3DF94ACA">
      <w:pPr>
        <w:adjustRightInd w:val="0"/>
        <w:snapToGrid w:val="0"/>
        <w:ind w:firstLine="0" w:firstLineChars="0"/>
        <w:rPr>
          <w:b/>
          <w:bCs/>
          <w:sz w:val="28"/>
          <w:szCs w:val="28"/>
        </w:rPr>
      </w:pPr>
      <w:r>
        <w:rPr>
          <w:b/>
          <w:bCs/>
          <w:sz w:val="28"/>
          <w:szCs w:val="28"/>
        </w:rPr>
        <w:t>13.1.</w:t>
      </w:r>
      <w:r>
        <w:rPr>
          <w:rFonts w:hint="eastAsia"/>
          <w:b/>
          <w:bCs/>
          <w:sz w:val="28"/>
          <w:szCs w:val="28"/>
        </w:rPr>
        <w:t>6环境工程效益</w:t>
      </w:r>
    </w:p>
    <w:p w14:paraId="1FB6FFF3">
      <w:pPr>
        <w:adjustRightInd w:val="0"/>
        <w:snapToGrid w:val="0"/>
        <w:ind w:firstLine="480"/>
      </w:pPr>
      <w:r>
        <w:t>本项目建成投运后，每年可提供上网电量9080</w:t>
      </w:r>
      <w:r>
        <w:rPr>
          <w:rFonts w:hint="eastAsia"/>
        </w:rPr>
        <w:t>万</w:t>
      </w:r>
      <w:r>
        <w:t>kW·h，</w:t>
      </w:r>
      <w:r>
        <w:rPr>
          <w:rFonts w:hint="eastAsia"/>
        </w:rPr>
        <w:t>与燃煤电厂相比，</w:t>
      </w:r>
      <w:r>
        <w:t>每年</w:t>
      </w:r>
      <w:r>
        <w:rPr>
          <w:rFonts w:hint="eastAsia"/>
        </w:rPr>
        <w:t>可</w:t>
      </w:r>
      <w:r>
        <w:t>节约标煤2.7467万t</w:t>
      </w:r>
      <w:r>
        <w:rPr>
          <w:rFonts w:hint="eastAsia"/>
        </w:rPr>
        <w:t>。相应每年可减少多种大气污染物的排放，还可减少大量灰渣的排放，改善环境质量。风电场建设还可促进当地旅游业的发展。同时还可带动第三产业发展，促进当地经济建设。因此，风电场的建设不仅有较好的经济效益，而且具有明显的社会效益及环境效益。</w:t>
      </w:r>
    </w:p>
    <w:p w14:paraId="4A85DB94">
      <w:pPr>
        <w:adjustRightInd w:val="0"/>
        <w:snapToGrid w:val="0"/>
        <w:ind w:firstLine="0" w:firstLineChars="0"/>
        <w:rPr>
          <w:b/>
          <w:bCs/>
          <w:sz w:val="28"/>
          <w:szCs w:val="28"/>
        </w:rPr>
      </w:pPr>
      <w:r>
        <w:rPr>
          <w:b/>
          <w:bCs/>
          <w:sz w:val="28"/>
          <w:szCs w:val="28"/>
        </w:rPr>
        <w:t>13.1.</w:t>
      </w:r>
      <w:r>
        <w:rPr>
          <w:rFonts w:hint="eastAsia"/>
          <w:b/>
          <w:bCs/>
          <w:sz w:val="28"/>
          <w:szCs w:val="28"/>
        </w:rPr>
        <w:t>7项目选址合理性及工程布置合理性</w:t>
      </w:r>
    </w:p>
    <w:p w14:paraId="0C458F7D">
      <w:pPr>
        <w:adjustRightInd w:val="0"/>
        <w:snapToGrid w:val="0"/>
        <w:ind w:firstLine="480"/>
      </w:pPr>
      <w:r>
        <w:t>本项目未压覆具有工业价值的重要矿产资源。同时本项目不涉及自然保护区、风景名胜区、世界文化或自然遗产地、森林公园、</w:t>
      </w:r>
      <w:r>
        <w:rPr>
          <w:rFonts w:hint="eastAsia"/>
        </w:rPr>
        <w:t>地质</w:t>
      </w:r>
      <w:r>
        <w:t>公园、重要湿地、文物保护单位等环境敏感区。</w:t>
      </w:r>
    </w:p>
    <w:p w14:paraId="639E7644">
      <w:pPr>
        <w:adjustRightInd w:val="0"/>
        <w:snapToGrid w:val="0"/>
        <w:ind w:firstLine="480"/>
      </w:pPr>
      <w:r>
        <w:t>本项目工程布置合理，项目风电机组布置避开了植被荗密区，</w:t>
      </w:r>
      <w:r>
        <w:rPr>
          <w:rFonts w:hint="eastAsia"/>
        </w:rPr>
        <w:t>场内外的改建和新建路段周边多为灌木丛和草地，道路选线尽量避开耕地、远离居民</w:t>
      </w:r>
      <w:r>
        <w:t>。弃渣场布置在弃渣量大且相对集中的地段，缩短了弃渣运输距离。弃渣场所在区域植被类型为林地或灌草地，植被容易恢复</w:t>
      </w:r>
      <w:r>
        <w:rPr>
          <w:rFonts w:hint="eastAsia"/>
        </w:rPr>
        <w:t>。升压站选址</w:t>
      </w:r>
      <w:r>
        <w:t>位置交通便利，200m范围内无民房</w:t>
      </w:r>
      <w:r>
        <w:rPr>
          <w:rFonts w:hint="eastAsia"/>
        </w:rPr>
        <w:t>。</w:t>
      </w:r>
    </w:p>
    <w:p w14:paraId="512BEFF6">
      <w:pPr>
        <w:adjustRightInd w:val="0"/>
        <w:snapToGrid w:val="0"/>
        <w:ind w:firstLine="0" w:firstLineChars="0"/>
        <w:rPr>
          <w:b/>
          <w:bCs/>
          <w:sz w:val="28"/>
          <w:szCs w:val="28"/>
        </w:rPr>
      </w:pPr>
      <w:r>
        <w:rPr>
          <w:b/>
          <w:bCs/>
          <w:sz w:val="28"/>
          <w:szCs w:val="28"/>
        </w:rPr>
        <w:t>13.1.</w:t>
      </w:r>
      <w:r>
        <w:rPr>
          <w:rFonts w:hint="eastAsia"/>
          <w:b/>
          <w:bCs/>
          <w:sz w:val="28"/>
          <w:szCs w:val="28"/>
        </w:rPr>
        <w:t>8公众参与</w:t>
      </w:r>
    </w:p>
    <w:p w14:paraId="1DA1815E">
      <w:pPr>
        <w:adjustRightInd w:val="0"/>
        <w:snapToGrid w:val="0"/>
        <w:ind w:firstLine="480"/>
      </w:pPr>
      <w:bookmarkStart w:id="315" w:name="_Toc488866560"/>
      <w:r>
        <w:t>建设方按照《环境影响评价公众参与办法》的相关要求，在</w:t>
      </w:r>
      <w:r>
        <w:rPr>
          <w:rFonts w:hint="eastAsia"/>
        </w:rPr>
        <w:t>衡阳县杉桥风电场工程</w:t>
      </w:r>
      <w:r>
        <w:t>环境影响报告书编制阶段开展了公众参与工作</w:t>
      </w:r>
      <w:r>
        <w:rPr>
          <w:rFonts w:hint="eastAsia"/>
        </w:rPr>
        <w:t>。建设单位采用发放调查表的方式征求了风电场周边3</w:t>
      </w:r>
      <w:r>
        <w:t>50</w:t>
      </w:r>
      <w:r>
        <w:rPr>
          <w:rFonts w:hint="eastAsia"/>
        </w:rPr>
        <w:t>m范围内居民的意见，均同意本项目的建设。除此之外，项目</w:t>
      </w:r>
      <w:r>
        <w:t>公示期间未收到居民对于本项目的公众意见调查表。</w:t>
      </w:r>
    </w:p>
    <w:bookmarkEnd w:id="315"/>
    <w:p w14:paraId="57ECB42F">
      <w:pPr>
        <w:adjustRightInd w:val="0"/>
        <w:snapToGrid w:val="0"/>
        <w:ind w:firstLine="0" w:firstLineChars="0"/>
        <w:rPr>
          <w:b/>
          <w:bCs/>
          <w:sz w:val="28"/>
          <w:szCs w:val="28"/>
        </w:rPr>
      </w:pPr>
      <w:r>
        <w:rPr>
          <w:b/>
          <w:bCs/>
          <w:sz w:val="28"/>
          <w:szCs w:val="28"/>
        </w:rPr>
        <w:t>13.1.</w:t>
      </w:r>
      <w:r>
        <w:rPr>
          <w:rFonts w:hint="eastAsia"/>
          <w:b/>
          <w:bCs/>
          <w:sz w:val="28"/>
          <w:szCs w:val="28"/>
        </w:rPr>
        <w:t>9综合结论</w:t>
      </w:r>
    </w:p>
    <w:p w14:paraId="2EC96264">
      <w:pPr>
        <w:adjustRightInd w:val="0"/>
        <w:snapToGrid w:val="0"/>
        <w:ind w:firstLine="480"/>
      </w:pPr>
      <w:r>
        <w:t>本项目的建设符合国家产业政策，</w:t>
      </w:r>
      <w:r>
        <w:rPr>
          <w:rFonts w:hint="eastAsia"/>
        </w:rPr>
        <w:t>符合风电行业发展规范要求，符合衡阳市“三线一单”管控要求。工程的实施具有良好的经济效益和社会效益；建设单位通过严格执行国家有关环境保护法规，严格执行“三同时”制度，认真落实评价中提出的生态环境保护和恢复措施、污染防治措施、环境风险防范措施和环境管理措施后，可使项目建成后对周围环境影响减少到最低限度，项目的建设从环境保护角度而言是可行的。</w:t>
      </w:r>
    </w:p>
    <w:p w14:paraId="7ED05EB5">
      <w:pPr>
        <w:pStyle w:val="4"/>
        <w:tabs>
          <w:tab w:val="clear" w:pos="480"/>
          <w:tab w:val="clear" w:pos="630"/>
        </w:tabs>
        <w:adjustRightInd w:val="0"/>
        <w:snapToGrid w:val="0"/>
        <w:spacing w:before="0" w:after="0"/>
        <w:rPr>
          <w:sz w:val="30"/>
          <w:szCs w:val="30"/>
          <w:lang w:val="en-US"/>
        </w:rPr>
      </w:pPr>
      <w:bookmarkStart w:id="316" w:name="_Toc1243"/>
      <w:bookmarkStart w:id="317" w:name="_Toc116978032"/>
      <w:bookmarkStart w:id="318" w:name="_Toc143799425"/>
      <w:bookmarkStart w:id="319" w:name="_Toc472280197"/>
      <w:bookmarkStart w:id="320" w:name="_Toc467851569"/>
      <w:bookmarkStart w:id="321" w:name="_Toc9113012"/>
      <w:r>
        <w:rPr>
          <w:sz w:val="30"/>
          <w:szCs w:val="30"/>
          <w:lang w:val="en-US"/>
        </w:rPr>
        <w:t>13.2建议</w:t>
      </w:r>
      <w:bookmarkEnd w:id="316"/>
      <w:r>
        <w:rPr>
          <w:sz w:val="30"/>
          <w:szCs w:val="30"/>
          <w:lang w:val="en-US"/>
        </w:rPr>
        <w:t>和要求</w:t>
      </w:r>
      <w:bookmarkEnd w:id="317"/>
      <w:bookmarkEnd w:id="318"/>
      <w:bookmarkEnd w:id="319"/>
      <w:bookmarkEnd w:id="320"/>
      <w:bookmarkEnd w:id="321"/>
    </w:p>
    <w:p w14:paraId="1ACE316E">
      <w:pPr>
        <w:adjustRightInd w:val="0"/>
        <w:snapToGrid w:val="0"/>
        <w:ind w:firstLine="480"/>
      </w:pPr>
      <w:r>
        <w:t>下阶段应严格按照环境影响报告表的要求，将各项环保要求及措施落到实处，细化各单项环境保护设计，使其更具备可操作性、实践性，能指导环保工程施工。</w:t>
      </w:r>
    </w:p>
    <w:p w14:paraId="734AFD2F">
      <w:pPr>
        <w:adjustRightInd w:val="0"/>
        <w:snapToGrid w:val="0"/>
        <w:ind w:firstLine="480"/>
      </w:pPr>
      <w:r>
        <w:rPr>
          <w:rFonts w:hint="eastAsia"/>
        </w:rPr>
        <w:t>（1）</w:t>
      </w:r>
      <w:r>
        <w:t>建设方在施工过程中必须严格按照评价提出的环境保护措施，对施工区可移栽的阔叶林树木尽量移栽，若发现珍稀保护植物必须采取避让、减缓、补偿、重建等生态保护措施。先砌挡墙，固定护坡、同时绿化，弃渣必须入场妥善堆存，加强生态保护与水土流失防治。</w:t>
      </w:r>
    </w:p>
    <w:p w14:paraId="1EDFE512">
      <w:pPr>
        <w:adjustRightInd w:val="0"/>
        <w:snapToGrid w:val="0"/>
        <w:ind w:firstLine="480"/>
      </w:pPr>
      <w:r>
        <w:t>（</w:t>
      </w:r>
      <w:r>
        <w:rPr>
          <w:rFonts w:hint="eastAsia"/>
        </w:rPr>
        <w:t>2</w:t>
      </w:r>
      <w:r>
        <w:t>）建议委托有专业资质的单位开展项目区域内及周边绿化设计及景观设计工作</w:t>
      </w:r>
      <w:r>
        <w:rPr>
          <w:rFonts w:hint="eastAsia"/>
        </w:rPr>
        <w:t>；</w:t>
      </w:r>
      <w:r>
        <w:t>要求每个风机台坪设立临时表土堆场，表土用于风机台坪复土恢复植被</w:t>
      </w:r>
      <w:r>
        <w:rPr>
          <w:rFonts w:hint="eastAsia"/>
        </w:rPr>
        <w:t>；</w:t>
      </w:r>
      <w:r>
        <w:t>着重做好弃渣场撇洪沟的修建，确保渣场稳定与安全。</w:t>
      </w:r>
    </w:p>
    <w:p w14:paraId="0E6393B9">
      <w:pPr>
        <w:adjustRightInd w:val="0"/>
        <w:snapToGrid w:val="0"/>
        <w:ind w:firstLine="480"/>
      </w:pPr>
      <w:r>
        <w:t>（</w:t>
      </w:r>
      <w:r>
        <w:rPr>
          <w:rFonts w:hint="eastAsia"/>
        </w:rPr>
        <w:t>3</w:t>
      </w:r>
      <w:r>
        <w:t>）风电塔下面的建设施工用地等破坏、裸露地面必须进行平整和植树种草绿化，绿化品种宜选用当地植物</w:t>
      </w:r>
      <w:r>
        <w:rPr>
          <w:rFonts w:hint="eastAsia"/>
        </w:rPr>
        <w:t>；</w:t>
      </w:r>
      <w:r>
        <w:t>至各风机位道路设置于临主道背面一侧，以减少对生态景观的破坏。</w:t>
      </w:r>
    </w:p>
    <w:p w14:paraId="1D26CBD1">
      <w:pPr>
        <w:adjustRightInd w:val="0"/>
        <w:snapToGrid w:val="0"/>
        <w:ind w:firstLine="480"/>
      </w:pPr>
      <w:r>
        <w:t>（</w:t>
      </w:r>
      <w:r>
        <w:rPr>
          <w:rFonts w:hint="eastAsia"/>
        </w:rPr>
        <w:t>4</w:t>
      </w:r>
      <w:r>
        <w:t>）建设方应严格执行国家 “三同时”政策，做到环保治理措施与主体工程同时设计、同时施工、同时</w:t>
      </w:r>
      <w:r>
        <w:rPr>
          <w:rFonts w:hint="eastAsia"/>
        </w:rPr>
        <w:t>投产使用</w:t>
      </w:r>
      <w:r>
        <w:t>；本项目建成，经环保部门验收合格后，方可投入使用。</w:t>
      </w:r>
    </w:p>
    <w:p w14:paraId="7465DFD3">
      <w:pPr>
        <w:adjustRightInd w:val="0"/>
        <w:snapToGrid w:val="0"/>
        <w:ind w:firstLine="480"/>
      </w:pPr>
      <w:r>
        <w:rPr>
          <w:rFonts w:hint="eastAsia"/>
        </w:rPr>
        <w:t>（5）</w:t>
      </w:r>
      <w:r>
        <w:t>在微观选址时，风电机组机位、新建进场道路要尽量避开荗密植被区；确保风电机组周边范围内无噪声敏感建筑物；</w:t>
      </w:r>
    </w:p>
    <w:p w14:paraId="034885C3">
      <w:pPr>
        <w:adjustRightInd w:val="0"/>
        <w:snapToGrid w:val="0"/>
        <w:ind w:firstLine="480"/>
      </w:pPr>
      <w:r>
        <w:rPr>
          <w:rFonts w:hint="eastAsia"/>
        </w:rPr>
        <w:t>（6）</w:t>
      </w:r>
      <w:r>
        <w:t>建设单位应向当地政府部门提出以</w:t>
      </w:r>
      <w:r>
        <w:rPr>
          <w:rFonts w:hint="eastAsia"/>
        </w:rPr>
        <w:t>风力发电机组安装平台边界外延</w:t>
      </w:r>
      <w:r>
        <w:t>350m</w:t>
      </w:r>
      <w:r>
        <w:rPr>
          <w:rFonts w:hint="eastAsia"/>
        </w:rPr>
        <w:t>范围的区域划定为风电机组的噪声影响控制区，在该区域范围内，不得新建居民住宅、学校、医院等噪声敏感建筑物。</w:t>
      </w:r>
    </w:p>
    <w:p w14:paraId="104030BB">
      <w:pPr>
        <w:adjustRightInd w:val="0"/>
        <w:snapToGrid w:val="0"/>
        <w:ind w:firstLine="480"/>
      </w:pPr>
      <w:r>
        <w:rPr>
          <w:rFonts w:hint="eastAsia"/>
        </w:rPr>
        <w:t>（7）</w:t>
      </w:r>
      <w:r>
        <w:t>建设单位应提前做好生态恢复准备工作，在具备生态恢复条件时，及时进行生态恢复工作</w:t>
      </w:r>
      <w:r>
        <w:rPr>
          <w:rFonts w:hint="eastAsia"/>
        </w:rPr>
        <w:t>；</w:t>
      </w:r>
    </w:p>
    <w:p w14:paraId="099A33D5">
      <w:pPr>
        <w:adjustRightInd w:val="0"/>
        <w:snapToGrid w:val="0"/>
        <w:ind w:firstLine="480"/>
      </w:pPr>
    </w:p>
    <w:sectPr>
      <w:pgSz w:w="11905" w:h="16838"/>
      <w:pgMar w:top="1440" w:right="1797" w:bottom="1440" w:left="1797" w:header="851" w:footer="992" w:gutter="0"/>
      <w:cols w:space="0" w:num="1"/>
      <w:docGrid w:type="lines" w:linePitch="333" w:charSpace="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MS Gothic">
    <w:panose1 w:val="020B0609070205080204"/>
    <w:charset w:val="80"/>
    <w:family w:val="modern"/>
    <w:pitch w:val="default"/>
    <w:sig w:usb0="E00002FF" w:usb1="6AC7FDFB" w:usb2="08000012" w:usb3="00000000" w:csb0="4002009F" w:csb1="DFD70000"/>
  </w:font>
  <w:font w:name="Arial Unicode MS">
    <w:altName w:val="宋体"/>
    <w:panose1 w:val="020B0604020202020204"/>
    <w:charset w:val="86"/>
    <w:family w:val="swiss"/>
    <w:pitch w:val="default"/>
    <w:sig w:usb0="00000000" w:usb1="00000000" w:usb2="0000003F" w:usb3="00000000" w:csb0="003F01FF" w:csb1="00000000"/>
  </w:font>
  <w:font w:name="Sim Sun+ 2">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仿宋体">
    <w:altName w:val="宋体"/>
    <w:panose1 w:val="00000000000000000000"/>
    <w:charset w:val="86"/>
    <w:family w:val="roman"/>
    <w:pitch w:val="default"/>
    <w:sig w:usb0="00000000" w:usb1="00000000" w:usb2="00000010" w:usb3="00000000" w:csb0="00040000" w:csb1="00000000"/>
  </w:font>
  <w:font w:name="隶书">
    <w:altName w:val="微软雅黑"/>
    <w:panose1 w:val="02010509060101010101"/>
    <w:charset w:val="86"/>
    <w:family w:val="moder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00000"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华文细黑">
    <w:altName w:val="微软雅黑"/>
    <w:panose1 w:val="02010600040101010101"/>
    <w:charset w:val="86"/>
    <w:family w:val="auto"/>
    <w:pitch w:val="default"/>
    <w:sig w:usb0="00000000" w:usb1="00000000" w:usb2="00000010" w:usb3="00000000" w:csb0="0004009F" w:csb1="00000000"/>
  </w:font>
  <w:font w:name="方正宋三简体">
    <w:altName w:val="宋体"/>
    <w:panose1 w:val="00000000000000000000"/>
    <w:charset w:val="86"/>
    <w:family w:val="auto"/>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10" w:usb3="00000000" w:csb0="0004009F"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CG Times (W1)">
    <w:altName w:val="Segoe Print"/>
    <w:panose1 w:val="00000000000000000000"/>
    <w:charset w:val="00"/>
    <w:family w:val="roman"/>
    <w:pitch w:val="default"/>
    <w:sig w:usb0="00000000" w:usb1="00000000" w:usb2="00000000" w:usb3="00000000" w:csb0="00000001" w:csb1="00000000"/>
  </w:font>
  <w:font w:name="Times">
    <w:altName w:val="Times New Roman"/>
    <w:panose1 w:val="02020603050405020304"/>
    <w:charset w:val="00"/>
    <w:family w:val="roman"/>
    <w:pitch w:val="default"/>
    <w:sig w:usb0="00000000" w:usb1="00000000" w:usb2="00000009" w:usb3="00000000" w:csb0="000001FF" w:csb1="00000000"/>
  </w:font>
  <w:font w:name="文鼎大标宋简">
    <w:altName w:val="微软雅黑"/>
    <w:panose1 w:val="00000000000000000000"/>
    <w:charset w:val="86"/>
    <w:family w:val="modern"/>
    <w:pitch w:val="default"/>
    <w:sig w:usb0="00000000" w:usb1="00000000" w:usb2="0000001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01" w:csb1="00000000"/>
  </w:font>
  <w:font w:name="Univers 57 Condensed">
    <w:altName w:val="Segoe Print"/>
    <w:panose1 w:val="00000000000000000000"/>
    <w:charset w:val="00"/>
    <w:family w:val="swiss"/>
    <w:pitch w:val="default"/>
    <w:sig w:usb0="00000000" w:usb1="00000000" w:usb2="00000000" w:usb3="00000000" w:csb0="00000001" w:csb1="00000000"/>
  </w:font>
  <w:font w:name="方正仿宋简体">
    <w:altName w:val="宋体"/>
    <w:panose1 w:val="00000000000000000000"/>
    <w:charset w:val="86"/>
    <w:family w:val="auto"/>
    <w:pitch w:val="default"/>
    <w:sig w:usb0="00000000" w:usb1="00000000" w:usb2="00000010" w:usb3="00000000" w:csb0="00040000" w:csb1="00000000"/>
  </w:font>
  <w:font w:name="p10">
    <w:altName w:val="Segoe Print"/>
    <w:panose1 w:val="00000000000000000000"/>
    <w:charset w:val="00"/>
    <w:family w:val="roman"/>
    <w:pitch w:val="default"/>
    <w:sig w:usb0="00000000" w:usb1="00000000" w:usb2="00000000" w:usb3="00000000" w:csb0="00000001" w:csb1="00000000"/>
  </w:font>
  <w:font w:name="方正隶变简体">
    <w:altName w:val="宋体"/>
    <w:panose1 w:val="00000000000000000000"/>
    <w:charset w:val="86"/>
    <w:family w:val="script"/>
    <w:pitch w:val="default"/>
    <w:sig w:usb0="00000000" w:usb1="00000000" w:usb2="00000010" w:usb3="00000000" w:csb0="00040000" w:csb1="00000000"/>
  </w:font>
  <w:font w:name="幼圆">
    <w:altName w:val="宋体"/>
    <w:panose1 w:val="02010509060101010101"/>
    <w:charset w:val="86"/>
    <w:family w:val="modern"/>
    <w:pitch w:val="default"/>
    <w:sig w:usb0="00000000" w:usb1="00000000" w:usb2="00000010" w:usb3="00000000" w:csb0="00040000" w:csb1="00000000"/>
  </w:font>
  <w:font w:name="华文楷体">
    <w:altName w:val="宋体"/>
    <w:panose1 w:val="02010600040101010101"/>
    <w:charset w:val="86"/>
    <w:family w:val="auto"/>
    <w:pitch w:val="default"/>
    <w:sig w:usb0="00000000" w:usb1="00000000" w:usb2="00000010" w:usb3="00000000" w:csb0="0004009F" w:csb1="00000000"/>
  </w:font>
  <w:font w:name="Plotter">
    <w:altName w:val="Segoe Print"/>
    <w:panose1 w:val="00000000000000000000"/>
    <w:charset w:val="00"/>
    <w:family w:val="modern"/>
    <w:pitch w:val="default"/>
    <w:sig w:usb0="00000000" w:usb1="00000000" w:usb2="00000000" w:usb3="00000000" w:csb0="00000001" w:csb1="00000000"/>
  </w:font>
  <w:font w:name="DFKai-SB">
    <w:altName w:val="Microsoft JhengHei Light"/>
    <w:panose1 w:val="00000000000000000000"/>
    <w:charset w:val="88"/>
    <w:family w:val="script"/>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华文仿宋">
    <w:altName w:val="仿宋"/>
    <w:panose1 w:val="02010600040101010101"/>
    <w:charset w:val="86"/>
    <w:family w:val="auto"/>
    <w:pitch w:val="default"/>
    <w:sig w:usb0="00000000" w:usb1="00000000" w:usb2="00000010" w:usb3="00000000" w:csb0="0004009F"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Century Gothic">
    <w:altName w:val="Yu Gothic UI"/>
    <w:panose1 w:val="020B0502020202020204"/>
    <w:charset w:val="00"/>
    <w:family w:val="swiss"/>
    <w:pitch w:val="default"/>
    <w:sig w:usb0="00000000" w:usb1="00000000" w:usb2="00000000" w:usb3="00000000" w:csb0="0000009F" w:csb1="00000000"/>
  </w:font>
  <w:font w:name="方正大标宋_GBK">
    <w:altName w:val="黑体"/>
    <w:panose1 w:val="00000000000000000000"/>
    <w:charset w:val="86"/>
    <w:family w:val="script"/>
    <w:pitch w:val="default"/>
    <w:sig w:usb0="00000000" w:usb1="00000000" w:usb2="0000001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方正书宋简体">
    <w:altName w:val="宋体"/>
    <w:panose1 w:val="00000000000000000000"/>
    <w:charset w:val="86"/>
    <w:family w:val="auto"/>
    <w:pitch w:val="default"/>
    <w:sig w:usb0="00000000" w:usb1="00000000" w:usb2="00000010" w:usb3="00000000" w:csb0="00040000" w:csb1="00000000"/>
  </w:font>
  <w:font w:name="长城仿宋">
    <w:altName w:val="黑体"/>
    <w:panose1 w:val="00000000000000000000"/>
    <w:charset w:val="86"/>
    <w:family w:val="modern"/>
    <w:pitch w:val="default"/>
    <w:sig w:usb0="00000000" w:usb1="00000000" w:usb2="00000010" w:usb3="00000000" w:csb0="00040008" w:csb1="00000000"/>
  </w:font>
  <w:font w:name="Arial Rounded MT Bold">
    <w:altName w:val="Arial"/>
    <w:panose1 w:val="020F0704030504030204"/>
    <w:charset w:val="00"/>
    <w:family w:val="swiss"/>
    <w:pitch w:val="default"/>
    <w:sig w:usb0="00000000" w:usb1="00000000" w:usb2="00000000" w:usb3="00000000" w:csb0="00000001" w:csb1="00000000"/>
  </w:font>
  <w:font w:name="方正大标宋简体">
    <w:altName w:val="微软雅黑"/>
    <w:panose1 w:val="00000000000000000000"/>
    <w:charset w:val="86"/>
    <w:family w:val="auto"/>
    <w:pitch w:val="default"/>
    <w:sig w:usb0="00000000" w:usb1="00000000" w:usb2="00000010" w:usb3="00000000" w:csb0="00040000" w:csb1="00000000"/>
  </w:font>
  <w:font w:name="华文新魏">
    <w:altName w:val="宋体"/>
    <w:panose1 w:val="02010800040101010101"/>
    <w:charset w:val="86"/>
    <w:family w:val="auto"/>
    <w:pitch w:val="default"/>
    <w:sig w:usb0="00000000" w:usb1="00000000" w:usb2="00000010" w:usb3="00000000" w:csb0="00040000" w:csb1="00000000"/>
  </w:font>
  <w:font w:name="TimesNewRomanPS-BoldMT">
    <w:altName w:val="Times New Roman"/>
    <w:panose1 w:val="00000000000000000000"/>
    <w:charset w:val="00"/>
    <w:family w:val="roman"/>
    <w:pitch w:val="default"/>
    <w:sig w:usb0="00000000" w:usb1="00000000" w:usb2="00000010" w:usb3="00000000" w:csb0="00040000" w:csb1="00000000"/>
  </w:font>
  <w:font w:name="TimesNewRomanPSMT">
    <w:altName w:val="微软雅黑"/>
    <w:panose1 w:val="00000000000000000000"/>
    <w:charset w:val="00"/>
    <w:family w:val="roman"/>
    <w:pitch w:val="default"/>
    <w:sig w:usb0="00000000" w:usb1="00000000" w:usb2="00000010" w:usb3="00000000" w:csb0="00040001" w:csb1="00000000"/>
  </w:font>
  <w:font w:name="Arial Black">
    <w:panose1 w:val="020B0A04020102020204"/>
    <w:charset w:val="00"/>
    <w:family w:val="swiss"/>
    <w:pitch w:val="default"/>
    <w:sig w:usb0="A00002AF" w:usb1="400078FB" w:usb2="00000000" w:usb3="00000000" w:csb0="6000009F" w:csb1="DFD70000"/>
  </w:font>
  <w:font w:name="方正宋黑简体">
    <w:altName w:val="宋体"/>
    <w:panose1 w:val="00000000000000000000"/>
    <w:charset w:val="86"/>
    <w:family w:val="auto"/>
    <w:pitch w:val="default"/>
    <w:sig w:usb0="00000000" w:usb1="00000000" w:usb2="00000010" w:usb3="00000000" w:csb0="00040000" w:csb1="00000000"/>
  </w:font>
  <w:font w:name="Century">
    <w:altName w:val="Times New Roman"/>
    <w:panose1 w:val="02040604050505020304"/>
    <w:charset w:val="00"/>
    <w:family w:val="roman"/>
    <w:pitch w:val="default"/>
    <w:sig w:usb0="00000000" w:usb1="00000000" w:usb2="00000000" w:usb3="00000000" w:csb0="0000009F" w:csb1="00000000"/>
  </w:font>
  <w:font w:name="Hei">
    <w:altName w:val="微软雅黑"/>
    <w:panose1 w:val="00000000000000000000"/>
    <w:charset w:val="00"/>
    <w:family w:val="roman"/>
    <w:pitch w:val="default"/>
    <w:sig w:usb0="00000000" w:usb1="00000000" w:usb2="00000000" w:usb3="00000000" w:csb0="00040001" w:csb1="00000000"/>
  </w:font>
  <w:font w:name="Roman 10cpi">
    <w:altName w:val="Segoe Print"/>
    <w:panose1 w:val="00000000000000000000"/>
    <w:charset w:val="00"/>
    <w:family w:val="roman"/>
    <w:pitch w:val="default"/>
    <w:sig w:usb0="00000000" w:usb1="00000000" w:usb2="0000006E" w:usb3="81540000" w:csb0="00000000" w:csb1="8155A1AC"/>
  </w:font>
  <w:font w:name="Helvetica-Normal">
    <w:altName w:val="Segoe Print"/>
    <w:panose1 w:val="00000000000000000000"/>
    <w:charset w:val="00"/>
    <w:family w:val="auto"/>
    <w:pitch w:val="default"/>
    <w:sig w:usb0="00000000" w:usb1="00000000" w:usb2="00000000" w:usb3="00000000" w:csb0="0000001B"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Arial Narrow">
    <w:altName w:val="Arial"/>
    <w:panose1 w:val="020B0606020202030204"/>
    <w:charset w:val="00"/>
    <w:family w:val="swiss"/>
    <w:pitch w:val="default"/>
    <w:sig w:usb0="00000000" w:usb1="00000000" w:usb2="00000000" w:usb3="00000000" w:csb0="0000009F" w:csb1="00000000"/>
  </w:font>
  <w:font w:name="全真楷書">
    <w:altName w:val="宋体"/>
    <w:panose1 w:val="00000000000000000000"/>
    <w:charset w:val="88"/>
    <w:family w:val="modern"/>
    <w:pitch w:val="default"/>
    <w:sig w:usb0="00000000" w:usb1="00000000" w:usb2="00000010" w:usb3="00000000" w:csb0="00100000" w:csb1="00000000"/>
  </w:font>
  <w:font w:name="Dutch801 Rm BT">
    <w:altName w:val="Times New Roman"/>
    <w:panose1 w:val="00000000000000000000"/>
    <w:charset w:val="00"/>
    <w:family w:val="roman"/>
    <w:pitch w:val="default"/>
    <w:sig w:usb0="00000000" w:usb1="00000000" w:usb2="00000000" w:usb3="00000000" w:csb0="0000001B" w:csb1="00000000"/>
  </w:font>
  <w:font w:name="隶书体">
    <w:altName w:val="宋体"/>
    <w:panose1 w:val="00000000000000000000"/>
    <w:charset w:val="86"/>
    <w:family w:val="swiss"/>
    <w:pitch w:val="default"/>
    <w:sig w:usb0="00000000" w:usb1="00000000" w:usb2="00000010" w:usb3="00000000" w:csb0="00040000" w:csb1="00000000"/>
  </w:font>
  <w:font w:name="Bookman Old Style">
    <w:altName w:val="Segoe Print"/>
    <w:panose1 w:val="02050604050505020204"/>
    <w:charset w:val="00"/>
    <w:family w:val="roman"/>
    <w:pitch w:val="default"/>
    <w:sig w:usb0="00000000" w:usb1="00000000" w:usb2="00000000" w:usb3="00000000" w:csb0="0000009F" w:csb1="00000000"/>
  </w:font>
  <w:font w:name="五">
    <w:altName w:val="黑体"/>
    <w:panose1 w:val="00000000000000000000"/>
    <w:charset w:val="86"/>
    <w:family w:val="auto"/>
    <w:pitch w:val="default"/>
    <w:sig w:usb0="00000000" w:usb1="00000000" w:usb2="00000010" w:usb3="00000000" w:csb0="00040000" w:csb1="00000000"/>
  </w:font>
  <w:font w:name="ArialMT">
    <w:altName w:val="Arial"/>
    <w:panose1 w:val="00000000000000000000"/>
    <w:charset w:val="00"/>
    <w:family w:val="roman"/>
    <w:pitch w:val="default"/>
    <w:sig w:usb0="00000000" w:usb1="00000000" w:usb2="00000000" w:usb3="00000000" w:csb0="00000000" w:csb1="00000000"/>
  </w:font>
  <w:font w:name="Alaska">
    <w:altName w:val="Segoe Print"/>
    <w:panose1 w:val="00000000000000000000"/>
    <w:charset w:val="00"/>
    <w:family w:val="swiss"/>
    <w:pitch w:val="default"/>
    <w:sig w:usb0="00000000" w:usb1="00000000" w:usb2="00000000" w:usb3="00000000" w:csb0="00000011" w:csb1="00000000"/>
  </w:font>
  <w:font w:name="方正小标宋_GBK">
    <w:altName w:val="微软雅黑"/>
    <w:panose1 w:val="03000509000000000000"/>
    <w:charset w:val="86"/>
    <w:family w:val="auto"/>
    <w:pitch w:val="default"/>
    <w:sig w:usb0="00000000" w:usb1="0000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Calibri Light">
    <w:panose1 w:val="020F0302020204030204"/>
    <w:charset w:val="00"/>
    <w:family w:val="swiss"/>
    <w:pitch w:val="default"/>
    <w:sig w:usb0="E4002EFF" w:usb1="C000247B" w:usb2="00000009" w:usb3="00000000" w:csb0="200001FF" w:csb1="00000000"/>
  </w:font>
  <w:font w:name="Microsoft YaHei UI">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RomanD">
    <w:altName w:val="Segoe Print"/>
    <w:panose1 w:val="00000000000000000000"/>
    <w:charset w:val="00"/>
    <w:family w:val="auto"/>
    <w:pitch w:val="default"/>
    <w:sig w:usb0="00000000" w:usb1="00000000" w:usb2="00000000" w:usb3="00000000" w:csb0="000001F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53246">
    <w:pPr>
      <w:pStyle w:val="55"/>
      <w:ind w:firstLine="360"/>
      <w:jc w:val="center"/>
    </w:pPr>
  </w:p>
  <w:p w14:paraId="5B466146">
    <w:pPr>
      <w:pStyle w:val="55"/>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DE796">
    <w:pPr>
      <w:pStyle w:val="5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F6078">
    <w:pPr>
      <w:pStyle w:val="5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A3608">
    <w:pPr>
      <w:pStyle w:val="55"/>
      <w:ind w:firstLine="360"/>
      <w:jc w:val="center"/>
    </w:pPr>
  </w:p>
  <w:p w14:paraId="14F7A4E7">
    <w:pPr>
      <w:pStyle w:val="55"/>
      <w:ind w:right="360"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49067688"/>
    </w:sdtPr>
    <w:sdtContent>
      <w:p w14:paraId="2B655C5E">
        <w:pPr>
          <w:pStyle w:val="55"/>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518FD3">
    <w:pPr>
      <w:adjustRightInd w:val="0"/>
      <w:snapToGrid w:val="0"/>
      <w:spacing w:line="240" w:lineRule="auto"/>
      <w:ind w:firstLine="0" w:firstLineChars="0"/>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DE84C8">
    <w:pPr>
      <w:pStyle w:val="5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85DBC">
    <w:pPr>
      <w:pStyle w:val="5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1BB30F"/>
    <w:multiLevelType w:val="multilevel"/>
    <w:tmpl w:val="8F1BB30F"/>
    <w:lvl w:ilvl="0" w:tentative="0">
      <w:start w:val="1"/>
      <w:numFmt w:val="decimal"/>
      <w:pStyle w:val="3651"/>
      <w:lvlText w:val="表9-%1  "/>
      <w:lvlJc w:val="center"/>
      <w:pPr>
        <w:ind w:left="420" w:hanging="420"/>
      </w:pPr>
      <w:rPr>
        <w:rFonts w:hint="default" w:ascii="Times New Roman" w:hAnsi="Times New Roman"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CBE135A4"/>
    <w:multiLevelType w:val="multilevel"/>
    <w:tmpl w:val="CBE135A4"/>
    <w:lvl w:ilvl="0" w:tentative="0">
      <w:start w:val="1"/>
      <w:numFmt w:val="decimal"/>
      <w:pStyle w:val="3588"/>
      <w:lvlText w:val="表5-%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FFFFFF7C"/>
    <w:multiLevelType w:val="singleLevel"/>
    <w:tmpl w:val="FFFFFF7C"/>
    <w:lvl w:ilvl="0" w:tentative="0">
      <w:start w:val="1"/>
      <w:numFmt w:val="decimal"/>
      <w:pStyle w:val="65"/>
      <w:lvlText w:val="%1."/>
      <w:lvlJc w:val="left"/>
      <w:pPr>
        <w:tabs>
          <w:tab w:val="left" w:pos="2040"/>
        </w:tabs>
        <w:ind w:left="2040" w:leftChars="800" w:hanging="360" w:hangingChars="200"/>
      </w:pPr>
    </w:lvl>
  </w:abstractNum>
  <w:abstractNum w:abstractNumId="3">
    <w:nsid w:val="FFFFFF7D"/>
    <w:multiLevelType w:val="singleLevel"/>
    <w:tmpl w:val="FFFFFF7D"/>
    <w:lvl w:ilvl="0" w:tentative="0">
      <w:start w:val="1"/>
      <w:numFmt w:val="decimal"/>
      <w:pStyle w:val="47"/>
      <w:lvlText w:val="%1."/>
      <w:lvlJc w:val="left"/>
      <w:pPr>
        <w:tabs>
          <w:tab w:val="left" w:pos="1620"/>
        </w:tabs>
        <w:ind w:left="1620" w:leftChars="600" w:hanging="360" w:hangingChars="200"/>
      </w:pPr>
    </w:lvl>
  </w:abstractNum>
  <w:abstractNum w:abstractNumId="4">
    <w:nsid w:val="FFFFFF7E"/>
    <w:multiLevelType w:val="singleLevel"/>
    <w:tmpl w:val="FFFFFF7E"/>
    <w:lvl w:ilvl="0" w:tentative="0">
      <w:start w:val="1"/>
      <w:numFmt w:val="decimal"/>
      <w:pStyle w:val="36"/>
      <w:lvlText w:val="%1."/>
      <w:lvlJc w:val="left"/>
      <w:pPr>
        <w:tabs>
          <w:tab w:val="left" w:pos="1200"/>
        </w:tabs>
        <w:ind w:left="1200" w:leftChars="400" w:hanging="360" w:hangingChars="200"/>
      </w:pPr>
    </w:lvl>
  </w:abstractNum>
  <w:abstractNum w:abstractNumId="5">
    <w:nsid w:val="FFFFFF80"/>
    <w:multiLevelType w:val="singleLevel"/>
    <w:tmpl w:val="FFFFFF80"/>
    <w:lvl w:ilvl="0" w:tentative="0">
      <w:start w:val="1"/>
      <w:numFmt w:val="bullet"/>
      <w:pStyle w:val="46"/>
      <w:lvlText w:val=""/>
      <w:lvlJc w:val="left"/>
      <w:pPr>
        <w:tabs>
          <w:tab w:val="left" w:pos="2040"/>
        </w:tabs>
        <w:ind w:left="2040" w:leftChars="800" w:hanging="360" w:hangingChars="200"/>
      </w:pPr>
      <w:rPr>
        <w:rFonts w:hint="default" w:ascii="Wingdings" w:hAnsi="Wingdings"/>
      </w:rPr>
    </w:lvl>
  </w:abstractNum>
  <w:abstractNum w:abstractNumId="6">
    <w:nsid w:val="FFFFFF81"/>
    <w:multiLevelType w:val="singleLevel"/>
    <w:tmpl w:val="FFFFFF81"/>
    <w:lvl w:ilvl="0" w:tentative="0">
      <w:start w:val="1"/>
      <w:numFmt w:val="bullet"/>
      <w:pStyle w:val="17"/>
      <w:lvlText w:val=""/>
      <w:lvlJc w:val="left"/>
      <w:pPr>
        <w:tabs>
          <w:tab w:val="left" w:pos="1620"/>
        </w:tabs>
        <w:ind w:left="1620" w:leftChars="600" w:hanging="360" w:hangingChars="200"/>
      </w:pPr>
      <w:rPr>
        <w:rFonts w:hint="default" w:ascii="Wingdings" w:hAnsi="Wingdings"/>
      </w:rPr>
    </w:lvl>
  </w:abstractNum>
  <w:abstractNum w:abstractNumId="7">
    <w:nsid w:val="FFFFFF82"/>
    <w:multiLevelType w:val="singleLevel"/>
    <w:tmpl w:val="FFFFFF82"/>
    <w:lvl w:ilvl="0" w:tentative="0">
      <w:start w:val="1"/>
      <w:numFmt w:val="bullet"/>
      <w:pStyle w:val="34"/>
      <w:lvlText w:val=""/>
      <w:lvlJc w:val="left"/>
      <w:pPr>
        <w:tabs>
          <w:tab w:val="left" w:pos="1200"/>
        </w:tabs>
        <w:ind w:left="1200" w:leftChars="400" w:hanging="360" w:hangingChars="200"/>
      </w:pPr>
      <w:rPr>
        <w:rFonts w:hint="default" w:ascii="Wingdings" w:hAnsi="Wingdings"/>
      </w:rPr>
    </w:lvl>
  </w:abstractNum>
  <w:abstractNum w:abstractNumId="8">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9">
    <w:nsid w:val="FFFFFF88"/>
    <w:multiLevelType w:val="singleLevel"/>
    <w:tmpl w:val="FFFFFF88"/>
    <w:lvl w:ilvl="0" w:tentative="0">
      <w:start w:val="1"/>
      <w:numFmt w:val="decimal"/>
      <w:pStyle w:val="20"/>
      <w:lvlText w:val="%1."/>
      <w:lvlJc w:val="left"/>
      <w:pPr>
        <w:tabs>
          <w:tab w:val="left" w:pos="360"/>
        </w:tabs>
        <w:ind w:left="360" w:hanging="360" w:hangingChars="200"/>
      </w:pPr>
    </w:lvl>
  </w:abstractNum>
  <w:abstractNum w:abstractNumId="10">
    <w:nsid w:val="FFFFFF89"/>
    <w:multiLevelType w:val="singleLevel"/>
    <w:tmpl w:val="FFFFFF89"/>
    <w:lvl w:ilvl="0" w:tentative="0">
      <w:start w:val="1"/>
      <w:numFmt w:val="bullet"/>
      <w:pStyle w:val="786"/>
      <w:lvlText w:val=""/>
      <w:lvlJc w:val="left"/>
      <w:pPr>
        <w:tabs>
          <w:tab w:val="left" w:pos="360"/>
        </w:tabs>
        <w:ind w:left="360" w:hanging="360" w:hangingChars="200"/>
      </w:pPr>
      <w:rPr>
        <w:rFonts w:hint="default" w:ascii="Wingdings" w:hAnsi="Wingdings"/>
      </w:rPr>
    </w:lvl>
  </w:abstractNum>
  <w:abstractNum w:abstractNumId="11">
    <w:nsid w:val="0CEA2B28"/>
    <w:multiLevelType w:val="multilevel"/>
    <w:tmpl w:val="0CEA2B28"/>
    <w:lvl w:ilvl="0" w:tentative="0">
      <w:start w:val="1"/>
      <w:numFmt w:val="decimal"/>
      <w:pStyle w:val="3586"/>
      <w:lvlText w:val="表4-%1  "/>
      <w:lvlJc w:val="center"/>
      <w:pPr>
        <w:ind w:left="420" w:hanging="420"/>
      </w:pPr>
      <w:rPr>
        <w:rFonts w:hint="eastAsia"/>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0DC55E8C"/>
    <w:multiLevelType w:val="multilevel"/>
    <w:tmpl w:val="0DC55E8C"/>
    <w:lvl w:ilvl="0" w:tentative="0">
      <w:start w:val="1"/>
      <w:numFmt w:val="decimal"/>
      <w:pStyle w:val="841"/>
      <w:isLgl/>
      <w:lvlText w:val="%1"/>
      <w:lvlJc w:val="left"/>
      <w:rPr>
        <w:rFonts w:hint="eastAsia" w:ascii="Times New Roman" w:hAnsi="Times New Roman" w:cs="Times New Roman"/>
        <w:b/>
        <w:bCs w:val="0"/>
        <w:i w:val="0"/>
        <w:iCs w:val="0"/>
        <w:caps w:val="0"/>
        <w:smallCaps w:val="0"/>
        <w:strike w:val="0"/>
        <w:dstrike w:val="0"/>
        <w:vanish w:val="0"/>
        <w:color w:val="000000"/>
        <w:spacing w:val="0"/>
        <w:position w:val="0"/>
        <w:sz w:val="28"/>
        <w:szCs w:val="28"/>
        <w:u w:val="none"/>
        <w:vertAlign w:val="baseline"/>
      </w:rPr>
    </w:lvl>
    <w:lvl w:ilvl="1" w:tentative="0">
      <w:start w:val="1"/>
      <w:numFmt w:val="decimal"/>
      <w:pStyle w:val="839"/>
      <w:lvlText w:val="%1.%2"/>
      <w:lvlJc w:val="center"/>
      <w:pPr>
        <w:tabs>
          <w:tab w:val="left" w:pos="2446"/>
        </w:tabs>
        <w:ind w:left="2446" w:firstLine="0"/>
      </w:pPr>
      <w:rPr>
        <w:rFonts w:hint="eastAsia" w:ascii="宋体" w:hAnsi="宋体" w:eastAsia="宋体"/>
        <w:b/>
        <w:color w:val="auto"/>
        <w:sz w:val="24"/>
        <w:szCs w:val="24"/>
      </w:rPr>
    </w:lvl>
    <w:lvl w:ilvl="2" w:tentative="0">
      <w:start w:val="1"/>
      <w:numFmt w:val="decimal"/>
      <w:lvlText w:val="%1.%2.%3"/>
      <w:lvlJc w:val="left"/>
      <w:pPr>
        <w:tabs>
          <w:tab w:val="left" w:pos="709"/>
        </w:tabs>
        <w:ind w:left="709" w:hanging="709"/>
      </w:pPr>
      <w:rPr>
        <w:rFonts w:hint="eastAsia" w:ascii="宋体" w:hAnsi="宋体" w:eastAsia="宋体"/>
        <w:color w:val="auto"/>
      </w:rPr>
    </w:lvl>
    <w:lvl w:ilvl="3" w:tentative="0">
      <w:start w:val="1"/>
      <w:numFmt w:val="decimal"/>
      <w:lvlText w:val="%1.%2.%3.%4"/>
      <w:lvlJc w:val="left"/>
      <w:rPr>
        <w:rFonts w:hint="eastAsia" w:ascii="宋体" w:hAnsi="宋体" w:eastAsia="宋体" w:cs="Times New Roman"/>
        <w:b w:val="0"/>
        <w:bCs w:val="0"/>
        <w:i w:val="0"/>
        <w:iCs w:val="0"/>
        <w:caps w:val="0"/>
        <w:smallCaps w:val="0"/>
        <w:strike w:val="0"/>
        <w:dstrike w:val="0"/>
        <w:vanish w:val="0"/>
        <w:color w:val="000000"/>
        <w:spacing w:val="0"/>
        <w:position w:val="0"/>
        <w:sz w:val="24"/>
        <w:szCs w:val="24"/>
        <w:u w:val="none"/>
        <w:vertAlign w:val="baseline"/>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3">
    <w:nsid w:val="0F210F6B"/>
    <w:multiLevelType w:val="multilevel"/>
    <w:tmpl w:val="0F210F6B"/>
    <w:lvl w:ilvl="0" w:tentative="0">
      <w:start w:val="1"/>
      <w:numFmt w:val="decimal"/>
      <w:pStyle w:val="1930"/>
      <w:lvlText w:val="(%1)"/>
      <w:lvlJc w:val="left"/>
      <w:rPr>
        <w:rFonts w:hint="default" w:ascii="Arial" w:hAnsi="Arial" w:eastAsia="宋体"/>
        <w:b w:val="0"/>
        <w:i w:val="0"/>
        <w:caps w:val="0"/>
        <w:strike w:val="0"/>
        <w:dstrike w:val="0"/>
        <w:vanish w:val="0"/>
        <w:color w:val="auto"/>
        <w:sz w:val="24"/>
        <w:szCs w:val="24"/>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F4F09C1"/>
    <w:multiLevelType w:val="multilevel"/>
    <w:tmpl w:val="0F4F09C1"/>
    <w:lvl w:ilvl="0" w:tentative="0">
      <w:start w:val="1"/>
      <w:numFmt w:val="decimal"/>
      <w:pStyle w:val="3592"/>
      <w:lvlText w:val="表7-%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12F7E9C"/>
    <w:multiLevelType w:val="multilevel"/>
    <w:tmpl w:val="112F7E9C"/>
    <w:lvl w:ilvl="0" w:tentative="0">
      <w:start w:val="1"/>
      <w:numFmt w:val="decimal"/>
      <w:isLgl/>
      <w:suff w:val="nothing"/>
      <w:lvlText w:val="第%1章"/>
      <w:lvlJc w:val="left"/>
      <w:rPr>
        <w:rFonts w:ascii="Times New Roman" w:hAnsi="Times New Roman" w:eastAsia="Times New Roman" w:cs="Times New Roman"/>
        <w:sz w:val="36"/>
        <w:szCs w:val="36"/>
      </w:rPr>
    </w:lvl>
    <w:lvl w:ilvl="1" w:tentative="0">
      <w:start w:val="1"/>
      <w:numFmt w:val="decimal"/>
      <w:isLgl/>
      <w:suff w:val="nothing"/>
      <w:lvlText w:val="%1.%2 "/>
      <w:lvlJc w:val="left"/>
      <w:rPr>
        <w:rFonts w:hint="default" w:ascii="Times New Roman" w:hAnsi="Times New Roman" w:eastAsia="宋体" w:cs="Times New Roman"/>
        <w:b/>
        <w:i w:val="0"/>
        <w:color w:val="auto"/>
        <w:sz w:val="32"/>
        <w:szCs w:val="32"/>
      </w:rPr>
    </w:lvl>
    <w:lvl w:ilvl="2" w:tentative="0">
      <w:start w:val="1"/>
      <w:numFmt w:val="decimal"/>
      <w:isLgl/>
      <w:suff w:val="space"/>
      <w:lvlText w:val="%1.%2.%3 "/>
      <w:lvlJc w:val="left"/>
      <w:rPr>
        <w:rFonts w:hint="default" w:ascii="Times New Roman" w:hAnsi="Times New Roman" w:cs="Times New Roman"/>
        <w:b/>
        <w:sz w:val="30"/>
        <w:szCs w:val="30"/>
      </w:rPr>
    </w:lvl>
    <w:lvl w:ilvl="3" w:tentative="0">
      <w:start w:val="1"/>
      <w:numFmt w:val="decimal"/>
      <w:pStyle w:val="6"/>
      <w:isLgl/>
      <w:suff w:val="space"/>
      <w:lvlText w:val="%1.%2.%3.%4"/>
      <w:lvlJc w:val="left"/>
      <w:pPr>
        <w:ind w:firstLine="284"/>
      </w:pPr>
      <w:rPr>
        <w:rFonts w:hint="default" w:ascii="Times New Roman" w:hAnsi="Times New Roman" w:cs="Times New Roman"/>
        <w:b/>
        <w:sz w:val="24"/>
        <w:szCs w:val="28"/>
      </w:rPr>
    </w:lvl>
    <w:lvl w:ilvl="4" w:tentative="0">
      <w:start w:val="1"/>
      <w:numFmt w:val="decimal"/>
      <w:pStyle w:val="7"/>
      <w:isLgl/>
      <w:lvlText w:val="%1.%2.%3.%4.%5"/>
      <w:lvlJc w:val="left"/>
      <w:pPr>
        <w:tabs>
          <w:tab w:val="left" w:pos="1364"/>
        </w:tabs>
        <w:ind w:firstLine="284"/>
      </w:pPr>
      <w:rPr>
        <w:rFonts w:hint="eastAsia"/>
      </w:rPr>
    </w:lvl>
    <w:lvl w:ilvl="5" w:tentative="0">
      <w:start w:val="1"/>
      <w:numFmt w:val="decimal"/>
      <w:pStyle w:val="8"/>
      <w:lvlText w:val="%1.%2.%3.%4.%5.%6"/>
      <w:lvlJc w:val="left"/>
      <w:pPr>
        <w:tabs>
          <w:tab w:val="left" w:pos="432"/>
        </w:tabs>
        <w:ind w:left="432" w:hanging="1152"/>
      </w:pPr>
      <w:rPr>
        <w:rFonts w:hint="eastAsia"/>
      </w:rPr>
    </w:lvl>
    <w:lvl w:ilvl="6" w:tentative="0">
      <w:start w:val="1"/>
      <w:numFmt w:val="decimal"/>
      <w:pStyle w:val="9"/>
      <w:lvlText w:val="%1.%2.%3.%4.%5.%6.%7"/>
      <w:lvlJc w:val="left"/>
      <w:pPr>
        <w:tabs>
          <w:tab w:val="left" w:pos="576"/>
        </w:tabs>
        <w:ind w:left="576" w:hanging="1296"/>
      </w:pPr>
      <w:rPr>
        <w:rFonts w:hint="eastAsia"/>
      </w:rPr>
    </w:lvl>
    <w:lvl w:ilvl="7" w:tentative="0">
      <w:start w:val="1"/>
      <w:numFmt w:val="decimal"/>
      <w:pStyle w:val="10"/>
      <w:lvlText w:val="%1.%2.%3.%4.%5.%6.%7.%8"/>
      <w:lvlJc w:val="left"/>
      <w:pPr>
        <w:tabs>
          <w:tab w:val="left" w:pos="720"/>
        </w:tabs>
        <w:ind w:left="720" w:hanging="1440"/>
      </w:pPr>
      <w:rPr>
        <w:rFonts w:hint="eastAsia"/>
      </w:rPr>
    </w:lvl>
    <w:lvl w:ilvl="8" w:tentative="0">
      <w:start w:val="1"/>
      <w:numFmt w:val="decimal"/>
      <w:pStyle w:val="11"/>
      <w:lvlText w:val="%1.%2.%3.%4.%5.%6.%7.%8.%9"/>
      <w:lvlJc w:val="left"/>
      <w:pPr>
        <w:tabs>
          <w:tab w:val="left" w:pos="864"/>
        </w:tabs>
        <w:ind w:left="864" w:hanging="1584"/>
      </w:pPr>
      <w:rPr>
        <w:rFonts w:hint="eastAsia"/>
      </w:rPr>
    </w:lvl>
  </w:abstractNum>
  <w:abstractNum w:abstractNumId="16">
    <w:nsid w:val="26E8569B"/>
    <w:multiLevelType w:val="multilevel"/>
    <w:tmpl w:val="26E8569B"/>
    <w:lvl w:ilvl="0" w:tentative="0">
      <w:start w:val="1"/>
      <w:numFmt w:val="upperLetter"/>
      <w:pStyle w:val="1868"/>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28AF7EDD"/>
    <w:multiLevelType w:val="multilevel"/>
    <w:tmpl w:val="28AF7EDD"/>
    <w:lvl w:ilvl="0" w:tentative="0">
      <w:start w:val="1"/>
      <w:numFmt w:val="decimal"/>
      <w:lvlText w:val="%1 "/>
      <w:lvlJc w:val="left"/>
      <w:pPr>
        <w:tabs>
          <w:tab w:val="left" w:pos="425"/>
        </w:tabs>
        <w:ind w:left="425" w:hanging="425"/>
      </w:pPr>
      <w:rPr>
        <w:rFonts w:hint="eastAsia" w:eastAsia="宋体"/>
        <w:b/>
        <w:bCs/>
        <w:spacing w:val="-4"/>
        <w:kern w:val="2"/>
        <w:sz w:val="28"/>
      </w:rPr>
    </w:lvl>
    <w:lvl w:ilvl="1" w:tentative="0">
      <w:start w:val="1"/>
      <w:numFmt w:val="decimal"/>
      <w:lvlText w:val="%1.%2 "/>
      <w:lvlJc w:val="left"/>
      <w:pPr>
        <w:tabs>
          <w:tab w:val="left" w:pos="567"/>
        </w:tabs>
        <w:ind w:left="567" w:hanging="567"/>
      </w:pPr>
      <w:rPr>
        <w:rFonts w:hint="eastAsia"/>
      </w:rPr>
    </w:lvl>
    <w:lvl w:ilvl="2" w:tentative="0">
      <w:start w:val="1"/>
      <w:numFmt w:val="decimal"/>
      <w:lvlText w:val="%1.%2.%3 "/>
      <w:lvlJc w:val="left"/>
      <w:pPr>
        <w:tabs>
          <w:tab w:val="left" w:pos="709"/>
        </w:tabs>
        <w:ind w:left="709" w:hanging="709"/>
      </w:pPr>
      <w:rPr>
        <w:rFonts w:hint="eastAsia"/>
      </w:rPr>
    </w:lvl>
    <w:lvl w:ilvl="3" w:tentative="0">
      <w:start w:val="1"/>
      <w:numFmt w:val="decimal"/>
      <w:lvlText w:val="%1.%2.%3.%4 "/>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8">
    <w:nsid w:val="2C8C3E05"/>
    <w:multiLevelType w:val="multilevel"/>
    <w:tmpl w:val="2C8C3E05"/>
    <w:lvl w:ilvl="0" w:tentative="0">
      <w:start w:val="1"/>
      <w:numFmt w:val="decimal"/>
      <w:pStyle w:val="1875"/>
      <w:lvlText w:val="%1"/>
      <w:lvlJc w:val="left"/>
      <w:pPr>
        <w:tabs>
          <w:tab w:val="left" w:pos="711"/>
        </w:tabs>
        <w:ind w:left="711" w:hanging="432"/>
      </w:pPr>
      <w:rPr>
        <w:rFonts w:hint="eastAsia"/>
      </w:rPr>
    </w:lvl>
    <w:lvl w:ilvl="1" w:tentative="0">
      <w:start w:val="1"/>
      <w:numFmt w:val="decimal"/>
      <w:lvlText w:val="%1.%2"/>
      <w:lvlJc w:val="left"/>
      <w:pPr>
        <w:tabs>
          <w:tab w:val="left" w:pos="855"/>
        </w:tabs>
        <w:ind w:left="855" w:hanging="576"/>
      </w:pPr>
      <w:rPr>
        <w:rFonts w:hint="eastAsia"/>
      </w:rPr>
    </w:lvl>
    <w:lvl w:ilvl="2" w:tentative="0">
      <w:start w:val="1"/>
      <w:numFmt w:val="decimal"/>
      <w:lvlText w:val="%1.%2.%3"/>
      <w:lvlJc w:val="left"/>
      <w:pPr>
        <w:tabs>
          <w:tab w:val="left" w:pos="999"/>
        </w:tabs>
        <w:ind w:left="999" w:hanging="720"/>
      </w:pPr>
      <w:rPr>
        <w:rFonts w:hint="eastAsia"/>
        <w:lang w:val="en-US"/>
      </w:rPr>
    </w:lvl>
    <w:lvl w:ilvl="3" w:tentative="0">
      <w:start w:val="1"/>
      <w:numFmt w:val="decimal"/>
      <w:lvlText w:val="%1.%2.%3.%4"/>
      <w:lvlJc w:val="left"/>
      <w:pPr>
        <w:tabs>
          <w:tab w:val="left" w:pos="1143"/>
        </w:tabs>
        <w:ind w:left="1143" w:hanging="864"/>
      </w:pPr>
      <w:rPr>
        <w:rFonts w:hint="eastAsia"/>
      </w:rPr>
    </w:lvl>
    <w:lvl w:ilvl="4" w:tentative="0">
      <w:start w:val="1"/>
      <w:numFmt w:val="decimal"/>
      <w:lvlText w:val="%1.%2.%3.%4.%5"/>
      <w:lvlJc w:val="left"/>
      <w:pPr>
        <w:tabs>
          <w:tab w:val="left" w:pos="1287"/>
        </w:tabs>
        <w:ind w:left="1287" w:hanging="1008"/>
      </w:pPr>
      <w:rPr>
        <w:rFonts w:hint="eastAsia"/>
      </w:rPr>
    </w:lvl>
    <w:lvl w:ilvl="5" w:tentative="0">
      <w:start w:val="1"/>
      <w:numFmt w:val="decimal"/>
      <w:lvlText w:val="%1.%2.%3.%4.%5.%6"/>
      <w:lvlJc w:val="left"/>
      <w:pPr>
        <w:tabs>
          <w:tab w:val="left" w:pos="1431"/>
        </w:tabs>
        <w:ind w:left="1431" w:hanging="1152"/>
      </w:pPr>
      <w:rPr>
        <w:rFonts w:hint="eastAsia"/>
      </w:rPr>
    </w:lvl>
    <w:lvl w:ilvl="6" w:tentative="0">
      <w:start w:val="1"/>
      <w:numFmt w:val="decimal"/>
      <w:lvlText w:val="%1.%2.%3.%4.%5.%6.%7"/>
      <w:lvlJc w:val="left"/>
      <w:pPr>
        <w:tabs>
          <w:tab w:val="left" w:pos="1575"/>
        </w:tabs>
        <w:ind w:left="1575" w:hanging="1296"/>
      </w:pPr>
      <w:rPr>
        <w:rFonts w:hint="eastAsia"/>
      </w:rPr>
    </w:lvl>
    <w:lvl w:ilvl="7" w:tentative="0">
      <w:start w:val="1"/>
      <w:numFmt w:val="decimal"/>
      <w:lvlText w:val="%1.%2.%3.%4.%5.%6.%7.%8"/>
      <w:lvlJc w:val="left"/>
      <w:pPr>
        <w:tabs>
          <w:tab w:val="left" w:pos="1719"/>
        </w:tabs>
        <w:ind w:left="1719" w:hanging="1440"/>
      </w:pPr>
      <w:rPr>
        <w:rFonts w:hint="eastAsia"/>
      </w:rPr>
    </w:lvl>
    <w:lvl w:ilvl="8" w:tentative="0">
      <w:start w:val="1"/>
      <w:numFmt w:val="decimal"/>
      <w:lvlText w:val="%1.%2.%3.%4.%5.%6.%7.%8.%9"/>
      <w:lvlJc w:val="left"/>
      <w:pPr>
        <w:tabs>
          <w:tab w:val="left" w:pos="1863"/>
        </w:tabs>
        <w:ind w:left="1863" w:hanging="1584"/>
      </w:pPr>
      <w:rPr>
        <w:rFonts w:hint="eastAsia"/>
      </w:rPr>
    </w:lvl>
  </w:abstractNum>
  <w:abstractNum w:abstractNumId="19">
    <w:nsid w:val="330B5D76"/>
    <w:multiLevelType w:val="multilevel"/>
    <w:tmpl w:val="330B5D76"/>
    <w:lvl w:ilvl="0" w:tentative="0">
      <w:start w:val="1"/>
      <w:numFmt w:val="decimalEnclosedCircle"/>
      <w:pStyle w:val="1867"/>
      <w:lvlText w:val="%1"/>
      <w:lvlJc w:val="left"/>
      <w:pPr>
        <w:ind w:left="1352" w:hanging="360"/>
      </w:pPr>
      <w:rPr>
        <w:rFonts w:hint="default"/>
      </w:rPr>
    </w:lvl>
    <w:lvl w:ilvl="1" w:tentative="0">
      <w:start w:val="1"/>
      <w:numFmt w:val="lowerLetter"/>
      <w:lvlText w:val="%2)"/>
      <w:lvlJc w:val="left"/>
      <w:pPr>
        <w:ind w:left="1832" w:hanging="420"/>
      </w:pPr>
    </w:lvl>
    <w:lvl w:ilvl="2" w:tentative="0">
      <w:start w:val="1"/>
      <w:numFmt w:val="lowerRoman"/>
      <w:lvlText w:val="%3."/>
      <w:lvlJc w:val="right"/>
      <w:pPr>
        <w:ind w:left="2252" w:hanging="420"/>
      </w:p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20">
    <w:nsid w:val="362722E1"/>
    <w:multiLevelType w:val="multilevel"/>
    <w:tmpl w:val="362722E1"/>
    <w:lvl w:ilvl="0" w:tentative="0">
      <w:start w:val="1"/>
      <w:numFmt w:val="lowerLetter"/>
      <w:pStyle w:val="1870"/>
      <w:lvlText w:val="%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1">
    <w:nsid w:val="39054188"/>
    <w:multiLevelType w:val="singleLevel"/>
    <w:tmpl w:val="39054188"/>
    <w:lvl w:ilvl="0" w:tentative="0">
      <w:start w:val="1"/>
      <w:numFmt w:val="decimal"/>
      <w:pStyle w:val="781"/>
      <w:lvlText w:val="[%1]"/>
      <w:lvlJc w:val="left"/>
      <w:pPr>
        <w:tabs>
          <w:tab w:val="left" w:pos="1275"/>
        </w:tabs>
        <w:ind w:left="1275" w:hanging="855"/>
      </w:pPr>
      <w:rPr>
        <w:rFonts w:hint="eastAsia"/>
      </w:rPr>
    </w:lvl>
  </w:abstractNum>
  <w:abstractNum w:abstractNumId="22">
    <w:nsid w:val="39275CC2"/>
    <w:multiLevelType w:val="multilevel"/>
    <w:tmpl w:val="39275CC2"/>
    <w:lvl w:ilvl="0" w:tentative="0">
      <w:start w:val="1"/>
      <w:numFmt w:val="decimal"/>
      <w:pStyle w:val="3315"/>
      <w:lvlText w:val="（%1）"/>
      <w:lvlJc w:val="left"/>
      <w:pPr>
        <w:tabs>
          <w:tab w:val="left" w:pos="720"/>
        </w:tabs>
        <w:ind w:left="720" w:hanging="720"/>
      </w:pPr>
      <w:rPr>
        <w:rFonts w:hint="eastAsia"/>
      </w:rPr>
    </w:lvl>
    <w:lvl w:ilvl="1" w:tentative="0">
      <w:start w:val="1"/>
      <w:numFmt w:val="decimal"/>
      <w:lvlText w:val="%2、"/>
      <w:lvlJc w:val="left"/>
      <w:pPr>
        <w:tabs>
          <w:tab w:val="left" w:pos="1380"/>
        </w:tabs>
        <w:ind w:left="1380" w:hanging="960"/>
      </w:pPr>
      <w:rPr>
        <w:rFonts w:hint="default"/>
      </w:rPr>
    </w:lvl>
    <w:lvl w:ilvl="2" w:tentative="0">
      <w:start w:val="1"/>
      <w:numFmt w:val="decimal"/>
      <w:lvlText w:val="（%3）"/>
      <w:lvlJc w:val="left"/>
      <w:pPr>
        <w:tabs>
          <w:tab w:val="left" w:pos="1560"/>
        </w:tabs>
        <w:ind w:left="1560" w:hanging="720"/>
      </w:pPr>
      <w:rPr>
        <w:rFonts w:hint="eastAsia"/>
      </w:rPr>
    </w:lvl>
    <w:lvl w:ilvl="3" w:tentative="0">
      <w:start w:val="1"/>
      <w:numFmt w:val="decimal"/>
      <w:pStyle w:val="3245"/>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3">
    <w:nsid w:val="3ACC762E"/>
    <w:multiLevelType w:val="multilevel"/>
    <w:tmpl w:val="3ACC762E"/>
    <w:lvl w:ilvl="0" w:tentative="0">
      <w:start w:val="1"/>
      <w:numFmt w:val="decimal"/>
      <w:lvlText w:val="（%1）"/>
      <w:lvlJc w:val="left"/>
      <w:pPr>
        <w:tabs>
          <w:tab w:val="left" w:pos="720"/>
        </w:tabs>
        <w:ind w:left="0" w:firstLine="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3306"/>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4">
    <w:nsid w:val="409009D8"/>
    <w:multiLevelType w:val="multilevel"/>
    <w:tmpl w:val="409009D8"/>
    <w:lvl w:ilvl="0" w:tentative="0">
      <w:start w:val="1"/>
      <w:numFmt w:val="decimal"/>
      <w:pStyle w:val="1972"/>
      <w:lvlText w:val="(%1)"/>
      <w:lvlJc w:val="left"/>
      <w:rPr>
        <w:rFonts w:hint="default" w:ascii="Arial" w:hAnsi="Arial" w:eastAsia="宋体"/>
        <w:b w:val="0"/>
        <w:i w:val="0"/>
        <w:caps w:val="0"/>
        <w:strike w:val="0"/>
        <w:dstrike w:val="0"/>
        <w:vanish w:val="0"/>
        <w:color w:val="auto"/>
        <w:sz w:val="24"/>
        <w:szCs w:val="24"/>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5">
    <w:nsid w:val="44070CCF"/>
    <w:multiLevelType w:val="multilevel"/>
    <w:tmpl w:val="44070CCF"/>
    <w:lvl w:ilvl="0" w:tentative="0">
      <w:start w:val="1"/>
      <w:numFmt w:val="decimal"/>
      <w:pStyle w:val="3135"/>
      <w:lvlText w:val="(%1)"/>
      <w:lvlJc w:val="left"/>
      <w:pPr>
        <w:tabs>
          <w:tab w:val="left" w:pos="431"/>
        </w:tabs>
        <w:ind w:left="431" w:hanging="431"/>
      </w:pPr>
    </w:lvl>
    <w:lvl w:ilvl="1" w:tentative="0">
      <w:start w:val="1"/>
      <w:numFmt w:val="decimal"/>
      <w:lvlText w:val="（%2）"/>
      <w:lvlJc w:val="left"/>
      <w:pPr>
        <w:tabs>
          <w:tab w:val="left" w:pos="1140"/>
        </w:tabs>
        <w:ind w:left="1140" w:hanging="7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49699F99"/>
    <w:multiLevelType w:val="multilevel"/>
    <w:tmpl w:val="49699F99"/>
    <w:lvl w:ilvl="0" w:tentative="0">
      <w:start w:val="1"/>
      <w:numFmt w:val="decimal"/>
      <w:pStyle w:val="3637"/>
      <w:lvlText w:val="表6-%1  "/>
      <w:lvlJc w:val="center"/>
      <w:pPr>
        <w:ind w:left="420" w:hanging="420"/>
      </w:pPr>
      <w:rPr>
        <w:rFonts w:hint="default" w:ascii="Times New Roman" w:hAnsi="Times New Roman" w:eastAsia="宋体" w:cs="宋体"/>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4C300254"/>
    <w:multiLevelType w:val="multilevel"/>
    <w:tmpl w:val="4C300254"/>
    <w:lvl w:ilvl="0" w:tentative="0">
      <w:start w:val="1"/>
      <w:numFmt w:val="decimal"/>
      <w:pStyle w:val="621"/>
      <w:lvlText w:val="表1-%1  "/>
      <w:lvlJc w:val="center"/>
      <w:rPr>
        <w:b/>
        <w:bCs w:val="0"/>
        <w:i w:val="0"/>
        <w:iCs w:val="0"/>
        <w:caps w:val="0"/>
        <w:smallCaps w:val="0"/>
        <w:strike w:val="0"/>
        <w:dstrike w:val="0"/>
        <w:vanish w:val="0"/>
        <w:color w:val="000000"/>
        <w:spacing w:val="0"/>
        <w:position w:val="0"/>
        <w:u w:val="none"/>
        <w:vertAlign w:val="baseline"/>
      </w:rPr>
    </w:lvl>
    <w:lvl w:ilvl="1" w:tentative="0">
      <w:start w:val="1"/>
      <w:numFmt w:val="decimal"/>
      <w:lvlText w:val="%2、"/>
      <w:lvlJc w:val="left"/>
      <w:pPr>
        <w:ind w:left="795" w:hanging="375"/>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51422A6E"/>
    <w:multiLevelType w:val="multilevel"/>
    <w:tmpl w:val="51422A6E"/>
    <w:lvl w:ilvl="0" w:tentative="0">
      <w:start w:val="1"/>
      <w:numFmt w:val="decimal"/>
      <w:pStyle w:val="787"/>
      <w:lvlText w:val="表 8－%1"/>
      <w:lvlJc w:val="left"/>
      <w:pPr>
        <w:tabs>
          <w:tab w:val="left" w:pos="2345"/>
        </w:tabs>
        <w:ind w:left="1330" w:hanging="425"/>
      </w:pPr>
      <w:rPr>
        <w:rFonts w:hint="eastAsia"/>
        <w:lang w:val="en-US"/>
      </w:rPr>
    </w:lvl>
    <w:lvl w:ilvl="1" w:tentative="0">
      <w:start w:val="1"/>
      <w:numFmt w:val="decimal"/>
      <w:lvlText w:val="表 %1.%2"/>
      <w:lvlJc w:val="left"/>
      <w:pPr>
        <w:tabs>
          <w:tab w:val="left" w:pos="1625"/>
        </w:tabs>
        <w:ind w:left="1472" w:hanging="567"/>
      </w:pPr>
      <w:rPr>
        <w:rFonts w:hint="eastAsia"/>
      </w:rPr>
    </w:lvl>
    <w:lvl w:ilvl="2" w:tentative="0">
      <w:start w:val="1"/>
      <w:numFmt w:val="decimal"/>
      <w:lvlText w:val="表 %1.%2.%3"/>
      <w:lvlJc w:val="left"/>
      <w:pPr>
        <w:tabs>
          <w:tab w:val="left" w:pos="1985"/>
        </w:tabs>
        <w:ind w:left="1614" w:hanging="709"/>
      </w:pPr>
      <w:rPr>
        <w:rFonts w:hint="eastAsia"/>
      </w:rPr>
    </w:lvl>
    <w:lvl w:ilvl="3" w:tentative="0">
      <w:start w:val="1"/>
      <w:numFmt w:val="decimal"/>
      <w:lvlText w:val="%1.%2.%3.%4."/>
      <w:lvlJc w:val="left"/>
      <w:pPr>
        <w:tabs>
          <w:tab w:val="left" w:pos="1756"/>
        </w:tabs>
        <w:ind w:left="1756" w:hanging="851"/>
      </w:pPr>
      <w:rPr>
        <w:rFonts w:hint="eastAsia"/>
      </w:rPr>
    </w:lvl>
    <w:lvl w:ilvl="4" w:tentative="0">
      <w:start w:val="1"/>
      <w:numFmt w:val="decimal"/>
      <w:lvlText w:val="%1.%2.%3.%4.%5."/>
      <w:lvlJc w:val="left"/>
      <w:pPr>
        <w:tabs>
          <w:tab w:val="left" w:pos="1897"/>
        </w:tabs>
        <w:ind w:left="1897" w:hanging="992"/>
      </w:pPr>
      <w:rPr>
        <w:rFonts w:hint="eastAsia"/>
      </w:rPr>
    </w:lvl>
    <w:lvl w:ilvl="5" w:tentative="0">
      <w:start w:val="1"/>
      <w:numFmt w:val="decimal"/>
      <w:lvlText w:val="%1.%2.%3.%4.%5.%6."/>
      <w:lvlJc w:val="left"/>
      <w:pPr>
        <w:tabs>
          <w:tab w:val="left" w:pos="2039"/>
        </w:tabs>
        <w:ind w:left="2039" w:hanging="1134"/>
      </w:pPr>
      <w:rPr>
        <w:rFonts w:hint="eastAsia"/>
      </w:rPr>
    </w:lvl>
    <w:lvl w:ilvl="6" w:tentative="0">
      <w:start w:val="1"/>
      <w:numFmt w:val="decimal"/>
      <w:lvlText w:val="%1.%2.%3.%4.%5.%6.%7."/>
      <w:lvlJc w:val="left"/>
      <w:pPr>
        <w:tabs>
          <w:tab w:val="left" w:pos="2181"/>
        </w:tabs>
        <w:ind w:left="2181" w:hanging="1276"/>
      </w:pPr>
      <w:rPr>
        <w:rFonts w:hint="eastAsia"/>
      </w:rPr>
    </w:lvl>
    <w:lvl w:ilvl="7" w:tentative="0">
      <w:start w:val="1"/>
      <w:numFmt w:val="decimal"/>
      <w:lvlText w:val="%1.%2.%3.%4.%5.%6.%7.%8."/>
      <w:lvlJc w:val="left"/>
      <w:pPr>
        <w:tabs>
          <w:tab w:val="left" w:pos="2323"/>
        </w:tabs>
        <w:ind w:left="2323" w:hanging="1418"/>
      </w:pPr>
      <w:rPr>
        <w:rFonts w:hint="eastAsia"/>
      </w:rPr>
    </w:lvl>
    <w:lvl w:ilvl="8" w:tentative="0">
      <w:start w:val="1"/>
      <w:numFmt w:val="decimal"/>
      <w:lvlText w:val="%1.%2.%3.%4.%5.%6.%7.%8.%9."/>
      <w:lvlJc w:val="left"/>
      <w:pPr>
        <w:tabs>
          <w:tab w:val="left" w:pos="2464"/>
        </w:tabs>
        <w:ind w:left="2464" w:hanging="1559"/>
      </w:pPr>
      <w:rPr>
        <w:rFonts w:hint="eastAsia"/>
      </w:rPr>
    </w:lvl>
  </w:abstractNum>
  <w:abstractNum w:abstractNumId="29">
    <w:nsid w:val="53E828EC"/>
    <w:multiLevelType w:val="multilevel"/>
    <w:tmpl w:val="53E828EC"/>
    <w:lvl w:ilvl="0" w:tentative="0">
      <w:start w:val="1"/>
      <w:numFmt w:val="decimal"/>
      <w:pStyle w:val="3611"/>
      <w:lvlText w:val="图5-%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5C601AE7"/>
    <w:multiLevelType w:val="singleLevel"/>
    <w:tmpl w:val="5C601AE7"/>
    <w:lvl w:ilvl="0" w:tentative="0">
      <w:start w:val="1"/>
      <w:numFmt w:val="decimal"/>
      <w:pStyle w:val="3091"/>
      <w:lvlText w:val="(%1)"/>
      <w:lvlJc w:val="left"/>
      <w:pPr>
        <w:tabs>
          <w:tab w:val="left" w:pos="870"/>
        </w:tabs>
        <w:ind w:left="567" w:hanging="57"/>
      </w:pPr>
    </w:lvl>
  </w:abstractNum>
  <w:abstractNum w:abstractNumId="31">
    <w:nsid w:val="5D141AAB"/>
    <w:multiLevelType w:val="multilevel"/>
    <w:tmpl w:val="5D141AAB"/>
    <w:lvl w:ilvl="0" w:tentative="0">
      <w:start w:val="1"/>
      <w:numFmt w:val="decimal"/>
      <w:pStyle w:val="1880"/>
      <w:lvlText w:val="%1"/>
      <w:lvlJc w:val="left"/>
      <w:pPr>
        <w:tabs>
          <w:tab w:val="left" w:pos="432"/>
        </w:tabs>
        <w:ind w:left="432" w:hanging="432"/>
      </w:pPr>
      <w:rPr>
        <w:rFonts w:hint="eastAsia"/>
      </w:rPr>
    </w:lvl>
    <w:lvl w:ilvl="1" w:tentative="0">
      <w:start w:val="1"/>
      <w:numFmt w:val="decimal"/>
      <w:pStyle w:val="1874"/>
      <w:isLgl/>
      <w:lvlText w:val="%1.%2."/>
      <w:lvlJc w:val="left"/>
      <w:pPr>
        <w:tabs>
          <w:tab w:val="left" w:pos="576"/>
        </w:tabs>
        <w:ind w:left="576" w:hanging="576"/>
      </w:pPr>
      <w:rPr>
        <w:rFonts w:hint="eastAsia"/>
      </w:rPr>
    </w:lvl>
    <w:lvl w:ilvl="2" w:tentative="0">
      <w:start w:val="1"/>
      <w:numFmt w:val="decimal"/>
      <w:isLgl/>
      <w:lvlText w:val="%1.%2.%3."/>
      <w:lvlJc w:val="left"/>
      <w:pPr>
        <w:tabs>
          <w:tab w:val="left" w:pos="720"/>
        </w:tabs>
        <w:ind w:left="720" w:hanging="720"/>
      </w:pPr>
      <w:rPr>
        <w:rFonts w:hint="eastAsia"/>
        <w:sz w:val="24"/>
        <w:szCs w:val="24"/>
      </w:rPr>
    </w:lvl>
    <w:lvl w:ilvl="3" w:tentative="0">
      <w:start w:val="1"/>
      <w:numFmt w:val="decimal"/>
      <w:isLg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2">
    <w:nsid w:val="5EC454CB"/>
    <w:multiLevelType w:val="multilevel"/>
    <w:tmpl w:val="5EC454CB"/>
    <w:lvl w:ilvl="0" w:tentative="0">
      <w:start w:val="1"/>
      <w:numFmt w:val="decimal"/>
      <w:pStyle w:val="1970"/>
      <w:lvlText w:val="(%1)"/>
      <w:lvlJc w:val="left"/>
      <w:rPr>
        <w:rFonts w:hint="default" w:ascii="Arial" w:hAnsi="Arial" w:eastAsia="宋体"/>
        <w:b w:val="0"/>
        <w:i w:val="0"/>
        <w:caps w:val="0"/>
        <w:strike w:val="0"/>
        <w:dstrike w:val="0"/>
        <w:vanish w:val="0"/>
        <w:color w:val="auto"/>
        <w:sz w:val="24"/>
        <w:szCs w:val="24"/>
        <w:u w:val="none"/>
        <w:vertAlign w:val="baseline"/>
      </w:rPr>
    </w:lvl>
    <w:lvl w:ilvl="1" w:tentative="0">
      <w:start w:val="1"/>
      <w:numFmt w:val="lowerLetter"/>
      <w:lvlText w:val="%2)"/>
      <w:lvlJc w:val="left"/>
      <w:pPr>
        <w:tabs>
          <w:tab w:val="left" w:pos="1311"/>
        </w:tabs>
        <w:ind w:left="1311" w:hanging="420"/>
      </w:pPr>
    </w:lvl>
    <w:lvl w:ilvl="2" w:tentative="0">
      <w:start w:val="1"/>
      <w:numFmt w:val="lowerRoman"/>
      <w:lvlText w:val="%3."/>
      <w:lvlJc w:val="right"/>
      <w:pPr>
        <w:tabs>
          <w:tab w:val="left" w:pos="1731"/>
        </w:tabs>
        <w:ind w:left="1731" w:hanging="420"/>
      </w:pPr>
    </w:lvl>
    <w:lvl w:ilvl="3" w:tentative="0">
      <w:start w:val="1"/>
      <w:numFmt w:val="decimal"/>
      <w:lvlText w:val="%4."/>
      <w:lvlJc w:val="left"/>
      <w:pPr>
        <w:tabs>
          <w:tab w:val="left" w:pos="2151"/>
        </w:tabs>
        <w:ind w:left="2151" w:hanging="420"/>
      </w:pPr>
    </w:lvl>
    <w:lvl w:ilvl="4" w:tentative="0">
      <w:start w:val="1"/>
      <w:numFmt w:val="lowerLetter"/>
      <w:lvlText w:val="%5)"/>
      <w:lvlJc w:val="left"/>
      <w:pPr>
        <w:tabs>
          <w:tab w:val="left" w:pos="2571"/>
        </w:tabs>
        <w:ind w:left="2571" w:hanging="420"/>
      </w:pPr>
    </w:lvl>
    <w:lvl w:ilvl="5" w:tentative="0">
      <w:start w:val="1"/>
      <w:numFmt w:val="lowerRoman"/>
      <w:lvlText w:val="%6."/>
      <w:lvlJc w:val="right"/>
      <w:pPr>
        <w:tabs>
          <w:tab w:val="left" w:pos="2991"/>
        </w:tabs>
        <w:ind w:left="2991" w:hanging="420"/>
      </w:pPr>
    </w:lvl>
    <w:lvl w:ilvl="6" w:tentative="0">
      <w:start w:val="1"/>
      <w:numFmt w:val="decimal"/>
      <w:lvlText w:val="%7."/>
      <w:lvlJc w:val="left"/>
      <w:pPr>
        <w:tabs>
          <w:tab w:val="left" w:pos="3411"/>
        </w:tabs>
        <w:ind w:left="3411" w:hanging="420"/>
      </w:pPr>
    </w:lvl>
    <w:lvl w:ilvl="7" w:tentative="0">
      <w:start w:val="1"/>
      <w:numFmt w:val="lowerLetter"/>
      <w:lvlText w:val="%8)"/>
      <w:lvlJc w:val="left"/>
      <w:pPr>
        <w:tabs>
          <w:tab w:val="left" w:pos="3831"/>
        </w:tabs>
        <w:ind w:left="3831" w:hanging="420"/>
      </w:pPr>
    </w:lvl>
    <w:lvl w:ilvl="8" w:tentative="0">
      <w:start w:val="1"/>
      <w:numFmt w:val="lowerRoman"/>
      <w:lvlText w:val="%9."/>
      <w:lvlJc w:val="right"/>
      <w:pPr>
        <w:tabs>
          <w:tab w:val="left" w:pos="4251"/>
        </w:tabs>
        <w:ind w:left="4251" w:hanging="420"/>
      </w:pPr>
    </w:lvl>
  </w:abstractNum>
  <w:abstractNum w:abstractNumId="33">
    <w:nsid w:val="5FB32F12"/>
    <w:multiLevelType w:val="multilevel"/>
    <w:tmpl w:val="5FB32F12"/>
    <w:lvl w:ilvl="0" w:tentative="0">
      <w:start w:val="1"/>
      <w:numFmt w:val="decimal"/>
      <w:pStyle w:val="1971"/>
      <w:lvlText w:val="(%1)"/>
      <w:lvlJc w:val="left"/>
      <w:rPr>
        <w:rFonts w:hint="default" w:ascii="Arial" w:hAnsi="Arial" w:eastAsia="宋体"/>
        <w:b w:val="0"/>
        <w:i w:val="0"/>
        <w:caps w:val="0"/>
        <w:strike w:val="0"/>
        <w:dstrike w:val="0"/>
        <w:vanish w:val="0"/>
        <w:color w:val="auto"/>
        <w:sz w:val="24"/>
        <w:szCs w:val="24"/>
        <w:u w:val="none"/>
        <w:vertAlign w:val="baseline"/>
      </w:rPr>
    </w:lvl>
    <w:lvl w:ilvl="1" w:tentative="0">
      <w:start w:val="1"/>
      <w:numFmt w:val="bullet"/>
      <w:lvlText w:val=""/>
      <w:lvlJc w:val="left"/>
      <w:pPr>
        <w:tabs>
          <w:tab w:val="left" w:pos="1311"/>
        </w:tabs>
        <w:ind w:left="1311" w:hanging="420"/>
      </w:pPr>
      <w:rPr>
        <w:rFonts w:hint="default" w:ascii="Wingdings" w:hAnsi="Wingdings"/>
      </w:rPr>
    </w:lvl>
    <w:lvl w:ilvl="2" w:tentative="0">
      <w:start w:val="1"/>
      <w:numFmt w:val="bullet"/>
      <w:lvlText w:val=""/>
      <w:lvlJc w:val="left"/>
      <w:pPr>
        <w:tabs>
          <w:tab w:val="left" w:pos="1731"/>
        </w:tabs>
        <w:ind w:left="1731" w:hanging="420"/>
      </w:pPr>
      <w:rPr>
        <w:rFonts w:hint="default" w:ascii="Wingdings" w:hAnsi="Wingdings"/>
      </w:rPr>
    </w:lvl>
    <w:lvl w:ilvl="3" w:tentative="0">
      <w:start w:val="1"/>
      <w:numFmt w:val="bullet"/>
      <w:lvlText w:val=""/>
      <w:lvlJc w:val="left"/>
      <w:pPr>
        <w:tabs>
          <w:tab w:val="left" w:pos="2151"/>
        </w:tabs>
        <w:ind w:left="2151" w:hanging="420"/>
      </w:pPr>
      <w:rPr>
        <w:rFonts w:hint="default" w:ascii="Wingdings" w:hAnsi="Wingdings"/>
      </w:rPr>
    </w:lvl>
    <w:lvl w:ilvl="4" w:tentative="0">
      <w:start w:val="1"/>
      <w:numFmt w:val="bullet"/>
      <w:lvlText w:val=""/>
      <w:lvlJc w:val="left"/>
      <w:pPr>
        <w:tabs>
          <w:tab w:val="left" w:pos="2571"/>
        </w:tabs>
        <w:ind w:left="2571" w:hanging="420"/>
      </w:pPr>
      <w:rPr>
        <w:rFonts w:hint="default" w:ascii="Wingdings" w:hAnsi="Wingdings"/>
      </w:rPr>
    </w:lvl>
    <w:lvl w:ilvl="5" w:tentative="0">
      <w:start w:val="1"/>
      <w:numFmt w:val="bullet"/>
      <w:lvlText w:val=""/>
      <w:lvlJc w:val="left"/>
      <w:pPr>
        <w:tabs>
          <w:tab w:val="left" w:pos="2991"/>
        </w:tabs>
        <w:ind w:left="2991" w:hanging="420"/>
      </w:pPr>
      <w:rPr>
        <w:rFonts w:hint="default" w:ascii="Wingdings" w:hAnsi="Wingdings"/>
      </w:rPr>
    </w:lvl>
    <w:lvl w:ilvl="6" w:tentative="0">
      <w:start w:val="1"/>
      <w:numFmt w:val="bullet"/>
      <w:lvlText w:val=""/>
      <w:lvlJc w:val="left"/>
      <w:pPr>
        <w:tabs>
          <w:tab w:val="left" w:pos="3411"/>
        </w:tabs>
        <w:ind w:left="3411" w:hanging="420"/>
      </w:pPr>
      <w:rPr>
        <w:rFonts w:hint="default" w:ascii="Wingdings" w:hAnsi="Wingdings"/>
      </w:rPr>
    </w:lvl>
    <w:lvl w:ilvl="7" w:tentative="0">
      <w:start w:val="1"/>
      <w:numFmt w:val="bullet"/>
      <w:lvlText w:val=""/>
      <w:lvlJc w:val="left"/>
      <w:pPr>
        <w:tabs>
          <w:tab w:val="left" w:pos="3831"/>
        </w:tabs>
        <w:ind w:left="3831" w:hanging="420"/>
      </w:pPr>
      <w:rPr>
        <w:rFonts w:hint="default" w:ascii="Wingdings" w:hAnsi="Wingdings"/>
      </w:rPr>
    </w:lvl>
    <w:lvl w:ilvl="8" w:tentative="0">
      <w:start w:val="1"/>
      <w:numFmt w:val="bullet"/>
      <w:lvlText w:val=""/>
      <w:lvlJc w:val="left"/>
      <w:pPr>
        <w:tabs>
          <w:tab w:val="left" w:pos="4251"/>
        </w:tabs>
        <w:ind w:left="4251" w:hanging="420"/>
      </w:pPr>
      <w:rPr>
        <w:rFonts w:hint="default" w:ascii="Wingdings" w:hAnsi="Wingdings"/>
      </w:rPr>
    </w:lvl>
  </w:abstractNum>
  <w:abstractNum w:abstractNumId="34">
    <w:nsid w:val="61BE7F97"/>
    <w:multiLevelType w:val="multilevel"/>
    <w:tmpl w:val="61BE7F97"/>
    <w:lvl w:ilvl="0" w:tentative="0">
      <w:start w:val="1"/>
      <w:numFmt w:val="decimal"/>
      <w:pStyle w:val="3649"/>
      <w:lvlText w:val="表7-%1  "/>
      <w:lvlJc w:val="center"/>
      <w:pPr>
        <w:ind w:left="420" w:hanging="420"/>
      </w:pPr>
      <w:rPr>
        <w:rFonts w:hint="default" w:ascii="Times New Roman" w:hAnsi="Times New Roman" w:eastAsia="宋体" w:cs="宋体"/>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rPr>
        <w:rFonts w:hint="default" w:ascii="宋体" w:hAnsi="宋体" w:eastAsia="宋体" w:cs="宋体"/>
      </w:r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636C6CBC"/>
    <w:multiLevelType w:val="multilevel"/>
    <w:tmpl w:val="636C6CBC"/>
    <w:lvl w:ilvl="0" w:tentative="0">
      <w:start w:val="1"/>
      <w:numFmt w:val="decimal"/>
      <w:pStyle w:val="3543"/>
      <w:lvlText w:val="%1."/>
      <w:lvlJc w:val="left"/>
      <w:pPr>
        <w:ind w:left="420" w:hanging="420"/>
      </w:pPr>
      <w:rPr>
        <w:rFonts w:hint="eastAsia"/>
        <w:snapToGrid/>
      </w:rPr>
    </w:lvl>
    <w:lvl w:ilvl="1" w:tentative="0">
      <w:start w:val="1"/>
      <w:numFmt w:val="decimal"/>
      <w:lvlText w:val="%2."/>
      <w:lvlJc w:val="left"/>
      <w:pPr>
        <w:ind w:left="840" w:hanging="420"/>
      </w:pPr>
      <w:rPr>
        <w:rFonts w:hint="eastAsia"/>
        <w:snapToGrid/>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646260FA"/>
    <w:multiLevelType w:val="multilevel"/>
    <w:tmpl w:val="646260FA"/>
    <w:lvl w:ilvl="0" w:tentative="0">
      <w:start w:val="1"/>
      <w:numFmt w:val="decimal"/>
      <w:pStyle w:val="2809"/>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8"/>
        </w:tabs>
        <w:ind w:left="1418"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37">
    <w:nsid w:val="664D68B7"/>
    <w:multiLevelType w:val="multilevel"/>
    <w:tmpl w:val="664D68B7"/>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pStyle w:val="3124"/>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38">
    <w:nsid w:val="6D594803"/>
    <w:multiLevelType w:val="multilevel"/>
    <w:tmpl w:val="6D594803"/>
    <w:lvl w:ilvl="0" w:tentative="0">
      <w:start w:val="1"/>
      <w:numFmt w:val="decimal"/>
      <w:pStyle w:val="1431"/>
      <w:lvlText w:val="%1"/>
      <w:lvlJc w:val="left"/>
      <w:pPr>
        <w:tabs>
          <w:tab w:val="left" w:pos="720"/>
        </w:tabs>
        <w:ind w:left="425" w:hanging="425"/>
      </w:pPr>
    </w:lvl>
    <w:lvl w:ilvl="1" w:tentative="0">
      <w:start w:val="1"/>
      <w:numFmt w:val="decimal"/>
      <w:lvlText w:val="%1.%2"/>
      <w:lvlJc w:val="left"/>
      <w:pPr>
        <w:tabs>
          <w:tab w:val="left" w:pos="1865"/>
        </w:tabs>
        <w:ind w:left="992" w:hanging="567"/>
      </w:pPr>
    </w:lvl>
    <w:lvl w:ilvl="2" w:tentative="0">
      <w:start w:val="1"/>
      <w:numFmt w:val="decimal"/>
      <w:lvlText w:val="%1.%2.%3"/>
      <w:lvlJc w:val="left"/>
      <w:pPr>
        <w:tabs>
          <w:tab w:val="left" w:pos="3011"/>
        </w:tabs>
        <w:ind w:left="1418" w:hanging="567"/>
      </w:pPr>
    </w:lvl>
    <w:lvl w:ilvl="3" w:tentative="0">
      <w:start w:val="1"/>
      <w:numFmt w:val="decimal"/>
      <w:lvlText w:val="%1.%2.%3.%4"/>
      <w:lvlJc w:val="left"/>
      <w:pPr>
        <w:tabs>
          <w:tab w:val="left" w:pos="4156"/>
        </w:tabs>
        <w:ind w:left="1984" w:hanging="708"/>
      </w:pPr>
    </w:lvl>
    <w:lvl w:ilvl="4" w:tentative="0">
      <w:start w:val="1"/>
      <w:numFmt w:val="decimal"/>
      <w:lvlText w:val="%1.%2.%3.%4.%5"/>
      <w:lvlJc w:val="left"/>
      <w:pPr>
        <w:tabs>
          <w:tab w:val="left" w:pos="5301"/>
        </w:tabs>
        <w:ind w:left="2551" w:hanging="850"/>
      </w:pPr>
    </w:lvl>
    <w:lvl w:ilvl="5" w:tentative="0">
      <w:start w:val="1"/>
      <w:numFmt w:val="decimal"/>
      <w:lvlText w:val="%1.%2.%3.%4.%5.%6"/>
      <w:lvlJc w:val="left"/>
      <w:pPr>
        <w:tabs>
          <w:tab w:val="left" w:pos="6446"/>
        </w:tabs>
        <w:ind w:left="3260" w:hanging="1134"/>
      </w:pPr>
    </w:lvl>
    <w:lvl w:ilvl="6" w:tentative="0">
      <w:start w:val="1"/>
      <w:numFmt w:val="decimal"/>
      <w:lvlText w:val="%1.%2.%3.%4.%5.%6.%7"/>
      <w:lvlJc w:val="left"/>
      <w:pPr>
        <w:tabs>
          <w:tab w:val="left" w:pos="7591"/>
        </w:tabs>
        <w:ind w:left="3827" w:hanging="1276"/>
      </w:pPr>
    </w:lvl>
    <w:lvl w:ilvl="7" w:tentative="0">
      <w:start w:val="1"/>
      <w:numFmt w:val="decimal"/>
      <w:lvlText w:val="%1.%2.%3.%4.%5.%6.%7.%8"/>
      <w:lvlJc w:val="left"/>
      <w:pPr>
        <w:tabs>
          <w:tab w:val="left" w:pos="8736"/>
        </w:tabs>
        <w:ind w:left="4394" w:hanging="1418"/>
      </w:pPr>
    </w:lvl>
    <w:lvl w:ilvl="8" w:tentative="0">
      <w:start w:val="1"/>
      <w:numFmt w:val="decimal"/>
      <w:lvlText w:val="%1.%2.%3.%4.%5.%6.%7.%8.%9"/>
      <w:lvlJc w:val="left"/>
      <w:pPr>
        <w:tabs>
          <w:tab w:val="left" w:pos="9522"/>
        </w:tabs>
        <w:ind w:left="5102" w:hanging="1700"/>
      </w:pPr>
    </w:lvl>
  </w:abstractNum>
  <w:abstractNum w:abstractNumId="39">
    <w:nsid w:val="6E272AB8"/>
    <w:multiLevelType w:val="multilevel"/>
    <w:tmpl w:val="6E272AB8"/>
    <w:lvl w:ilvl="0" w:tentative="0">
      <w:start w:val="1"/>
      <w:numFmt w:val="chineseCountingThousand"/>
      <w:pStyle w:val="2273"/>
      <w:lvlText w:val="%1、"/>
      <w:lvlJc w:val="left"/>
      <w:pPr>
        <w:tabs>
          <w:tab w:val="left" w:pos="57"/>
        </w:tabs>
        <w:ind w:left="284" w:hanging="284"/>
      </w:pPr>
      <w:rPr>
        <w:rFonts w:hint="eastAsia" w:cs="Times New Roman"/>
      </w:rPr>
    </w:lvl>
    <w:lvl w:ilvl="1" w:tentative="0">
      <w:start w:val="1"/>
      <w:numFmt w:val="lowerLetter"/>
      <w:lvlText w:val="%2)"/>
      <w:lvlJc w:val="left"/>
      <w:pPr>
        <w:tabs>
          <w:tab w:val="left" w:pos="840"/>
        </w:tabs>
        <w:ind w:left="840" w:hanging="420"/>
      </w:pPr>
      <w:rPr>
        <w:rFonts w:cs="Times New Roman"/>
      </w:rPr>
    </w:lvl>
    <w:lvl w:ilvl="2" w:tentative="0">
      <w:start w:val="2"/>
      <w:numFmt w:val="japaneseCounting"/>
      <w:lvlText w:val="%3、"/>
      <w:lvlJc w:val="left"/>
      <w:pPr>
        <w:tabs>
          <w:tab w:val="left" w:pos="1230"/>
        </w:tabs>
        <w:ind w:left="1230" w:hanging="390"/>
      </w:pPr>
      <w:rPr>
        <w:rFonts w:hint="default"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40">
    <w:nsid w:val="6F876624"/>
    <w:multiLevelType w:val="multilevel"/>
    <w:tmpl w:val="6F876624"/>
    <w:lvl w:ilvl="0" w:tentative="0">
      <w:start w:val="1"/>
      <w:numFmt w:val="decimal"/>
      <w:pStyle w:val="2432"/>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1">
    <w:nsid w:val="6F8B09C1"/>
    <w:multiLevelType w:val="singleLevel"/>
    <w:tmpl w:val="6F8B09C1"/>
    <w:lvl w:ilvl="0" w:tentative="0">
      <w:start w:val="1"/>
      <w:numFmt w:val="bullet"/>
      <w:pStyle w:val="784"/>
      <w:lvlText w:val=""/>
      <w:lvlJc w:val="left"/>
      <w:pPr>
        <w:tabs>
          <w:tab w:val="left" w:pos="425"/>
        </w:tabs>
        <w:ind w:left="425" w:hanging="425"/>
      </w:pPr>
      <w:rPr>
        <w:rFonts w:hint="default" w:ascii="Wingdings" w:hAnsi="Wingdings"/>
        <w:sz w:val="24"/>
      </w:rPr>
    </w:lvl>
  </w:abstractNum>
  <w:abstractNum w:abstractNumId="42">
    <w:nsid w:val="704E4344"/>
    <w:multiLevelType w:val="multilevel"/>
    <w:tmpl w:val="704E4344"/>
    <w:lvl w:ilvl="0" w:tentative="0">
      <w:start w:val="1"/>
      <w:numFmt w:val="decimal"/>
      <w:pStyle w:val="3590"/>
      <w:lvlText w:val="表8-%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727E1BF3"/>
    <w:multiLevelType w:val="multilevel"/>
    <w:tmpl w:val="727E1BF3"/>
    <w:lvl w:ilvl="0" w:tentative="0">
      <w:start w:val="1"/>
      <w:numFmt w:val="chineseCounting"/>
      <w:pStyle w:val="3348"/>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73CD5D3F"/>
    <w:multiLevelType w:val="multilevel"/>
    <w:tmpl w:val="73CD5D3F"/>
    <w:lvl w:ilvl="0" w:tentative="0">
      <w:start w:val="1"/>
      <w:numFmt w:val="decimal"/>
      <w:pStyle w:val="3585"/>
      <w:lvlText w:val="表3-%1  "/>
      <w:lvlJc w:val="left"/>
      <w:pPr>
        <w:ind w:left="900" w:hanging="420"/>
      </w:pPr>
      <w:rPr>
        <w:rFonts w:hint="eastAsia"/>
        <w:vertAlign w:val="baseline"/>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5">
    <w:nsid w:val="74E26610"/>
    <w:multiLevelType w:val="multilevel"/>
    <w:tmpl w:val="74E26610"/>
    <w:lvl w:ilvl="0" w:tentative="0">
      <w:start w:val="1"/>
      <w:numFmt w:val="decimal"/>
      <w:pStyle w:val="1969"/>
      <w:lvlText w:val="(%1)"/>
      <w:lvlJc w:val="left"/>
      <w:rPr>
        <w:rFonts w:hint="default" w:ascii="Arial" w:hAnsi="Arial" w:eastAsia="宋体"/>
        <w:b w:val="0"/>
        <w:i w:val="0"/>
        <w:caps w:val="0"/>
        <w:strike w:val="0"/>
        <w:dstrike w:val="0"/>
        <w:vanish w:val="0"/>
        <w:color w:val="auto"/>
        <w:sz w:val="24"/>
        <w:szCs w:val="24"/>
        <w:u w:val="none"/>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6">
    <w:nsid w:val="76933334"/>
    <w:multiLevelType w:val="multilevel"/>
    <w:tmpl w:val="76933334"/>
    <w:lvl w:ilvl="0" w:tentative="0">
      <w:start w:val="1"/>
      <w:numFmt w:val="none"/>
      <w:pStyle w:val="783"/>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7">
    <w:nsid w:val="7BBB0A94"/>
    <w:multiLevelType w:val="multilevel"/>
    <w:tmpl w:val="7BBB0A94"/>
    <w:lvl w:ilvl="0" w:tentative="0">
      <w:start w:val="1"/>
      <w:numFmt w:val="decimal"/>
      <w:pStyle w:val="3352"/>
      <w:lvlText w:val="%1."/>
      <w:lvlJc w:val="left"/>
      <w:pPr>
        <w:ind w:left="420" w:hanging="420"/>
      </w:pPr>
      <w:rPr>
        <w:rFonts w:hint="eastAsia"/>
        <w:snapToGrid/>
      </w:rPr>
    </w:lvl>
    <w:lvl w:ilvl="1" w:tentative="0">
      <w:start w:val="1"/>
      <w:numFmt w:val="lowerLetter"/>
      <w:pStyle w:val="3353"/>
      <w:lvlText w:val="%2)"/>
      <w:lvlJc w:val="left"/>
      <w:pPr>
        <w:ind w:left="840" w:hanging="420"/>
      </w:pPr>
    </w:lvl>
    <w:lvl w:ilvl="2" w:tentative="0">
      <w:start w:val="1"/>
      <w:numFmt w:val="lowerRoman"/>
      <w:pStyle w:val="3351"/>
      <w:lvlText w:val="%3."/>
      <w:lvlJc w:val="right"/>
      <w:pPr>
        <w:ind w:left="1260" w:hanging="420"/>
      </w:pPr>
    </w:lvl>
    <w:lvl w:ilvl="3" w:tentative="0">
      <w:start w:val="1"/>
      <w:numFmt w:val="decimal"/>
      <w:pStyle w:val="3350"/>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7FB65012"/>
    <w:multiLevelType w:val="multilevel"/>
    <w:tmpl w:val="7FB65012"/>
    <w:lvl w:ilvl="0" w:tentative="0">
      <w:start w:val="1"/>
      <w:numFmt w:val="decimal"/>
      <w:pStyle w:val="2287"/>
      <w:lvlText w:val="表2-%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5"/>
  </w:num>
  <w:num w:numId="2">
    <w:abstractNumId w:val="6"/>
  </w:num>
  <w:num w:numId="3">
    <w:abstractNumId w:val="9"/>
  </w:num>
  <w:num w:numId="4">
    <w:abstractNumId w:val="7"/>
  </w:num>
  <w:num w:numId="5">
    <w:abstractNumId w:val="4"/>
  </w:num>
  <w:num w:numId="6">
    <w:abstractNumId w:val="8"/>
  </w:num>
  <w:num w:numId="7">
    <w:abstractNumId w:val="5"/>
  </w:num>
  <w:num w:numId="8">
    <w:abstractNumId w:val="3"/>
  </w:num>
  <w:num w:numId="9">
    <w:abstractNumId w:val="2"/>
  </w:num>
  <w:num w:numId="10">
    <w:abstractNumId w:val="27"/>
  </w:num>
  <w:num w:numId="11">
    <w:abstractNumId w:val="21"/>
  </w:num>
  <w:num w:numId="12">
    <w:abstractNumId w:val="46"/>
  </w:num>
  <w:num w:numId="13">
    <w:abstractNumId w:val="41"/>
  </w:num>
  <w:num w:numId="14">
    <w:abstractNumId w:val="10"/>
  </w:num>
  <w:num w:numId="15">
    <w:abstractNumId w:val="28"/>
  </w:num>
  <w:num w:numId="16">
    <w:abstractNumId w:val="12"/>
  </w:num>
  <w:num w:numId="17">
    <w:abstractNumId w:val="17"/>
    <w:lvlOverride w:ilvl="0">
      <w:lvl w:ilvl="0" w:tentative="1">
        <w:start w:val="1"/>
        <w:numFmt w:val="decimal"/>
        <w:pStyle w:val="936"/>
        <w:lvlText w:val="%1 "/>
        <w:lvlJc w:val="left"/>
        <w:pPr>
          <w:tabs>
            <w:tab w:val="left" w:pos="425"/>
          </w:tabs>
          <w:ind w:left="425" w:hanging="425"/>
        </w:pPr>
        <w:rPr>
          <w:rFonts w:hint="eastAsia" w:eastAsia="宋体"/>
          <w:b/>
          <w:bCs/>
          <w:spacing w:val="-4"/>
          <w:kern w:val="2"/>
          <w:sz w:val="28"/>
        </w:rPr>
      </w:lvl>
    </w:lvlOverride>
    <w:lvlOverride w:ilvl="1">
      <w:lvl w:ilvl="1" w:tentative="1">
        <w:start w:val="1"/>
        <w:numFmt w:val="decimal"/>
        <w:lvlText w:val="%1.%2 "/>
        <w:lvlJc w:val="left"/>
        <w:pPr>
          <w:tabs>
            <w:tab w:val="left" w:pos="567"/>
          </w:tabs>
          <w:ind w:left="567" w:hanging="567"/>
        </w:pPr>
        <w:rPr>
          <w:rFonts w:hint="eastAsia"/>
        </w:rPr>
      </w:lvl>
    </w:lvlOverride>
    <w:lvlOverride w:ilvl="2">
      <w:lvl w:ilvl="2" w:tentative="1">
        <w:start w:val="1"/>
        <w:numFmt w:val="decimal"/>
        <w:lvlText w:val="%1.%2.%3 "/>
        <w:lvlJc w:val="left"/>
        <w:pPr>
          <w:tabs>
            <w:tab w:val="left" w:pos="709"/>
          </w:tabs>
          <w:ind w:left="709" w:hanging="709"/>
        </w:pPr>
        <w:rPr>
          <w:rFonts w:hint="eastAsia"/>
        </w:rPr>
      </w:lvl>
    </w:lvlOverride>
    <w:lvlOverride w:ilvl="3">
      <w:lvl w:ilvl="3" w:tentative="1">
        <w:start w:val="1"/>
        <w:numFmt w:val="decimal"/>
        <w:lvlText w:val="%1.%2.%3.%4"/>
        <w:lvlJc w:val="left"/>
        <w:pPr>
          <w:tabs>
            <w:tab w:val="left" w:pos="851"/>
          </w:tabs>
          <w:ind w:left="851" w:hanging="851"/>
        </w:pPr>
        <w:rPr>
          <w:rFonts w:hint="eastAsia"/>
        </w:rPr>
      </w:lvl>
    </w:lvlOverride>
    <w:lvlOverride w:ilvl="4">
      <w:lvl w:ilvl="4" w:tentative="1">
        <w:start w:val="1"/>
        <w:numFmt w:val="decimal"/>
        <w:lvlText w:val="%1.%2.%3.%4.%5."/>
        <w:lvlJc w:val="left"/>
        <w:pPr>
          <w:tabs>
            <w:tab w:val="left" w:pos="992"/>
          </w:tabs>
          <w:ind w:left="992" w:hanging="992"/>
        </w:pPr>
        <w:rPr>
          <w:rFonts w:hint="eastAsia"/>
        </w:rPr>
      </w:lvl>
    </w:lvlOverride>
    <w:lvlOverride w:ilvl="5">
      <w:lvl w:ilvl="5" w:tentative="1">
        <w:start w:val="1"/>
        <w:numFmt w:val="decimal"/>
        <w:lvlText w:val="%1.%2.%3.%4.%5.%6."/>
        <w:lvlJc w:val="left"/>
        <w:pPr>
          <w:tabs>
            <w:tab w:val="left" w:pos="1134"/>
          </w:tabs>
          <w:ind w:left="1134" w:hanging="1134"/>
        </w:pPr>
        <w:rPr>
          <w:rFonts w:hint="eastAsia"/>
        </w:rPr>
      </w:lvl>
    </w:lvlOverride>
    <w:lvlOverride w:ilvl="6">
      <w:lvl w:ilvl="6" w:tentative="1">
        <w:start w:val="1"/>
        <w:numFmt w:val="decimal"/>
        <w:lvlText w:val="%1.%2.%3.%4.%5.%6.%7."/>
        <w:lvlJc w:val="left"/>
        <w:pPr>
          <w:tabs>
            <w:tab w:val="left" w:pos="1276"/>
          </w:tabs>
          <w:ind w:left="1276" w:hanging="1276"/>
        </w:pPr>
        <w:rPr>
          <w:rFonts w:hint="eastAsia"/>
        </w:rPr>
      </w:lvl>
    </w:lvlOverride>
    <w:lvlOverride w:ilvl="7">
      <w:lvl w:ilvl="7" w:tentative="1">
        <w:start w:val="1"/>
        <w:numFmt w:val="decimal"/>
        <w:lvlText w:val="%1.%2.%3.%4.%5.%6.%7.%8."/>
        <w:lvlJc w:val="left"/>
        <w:pPr>
          <w:tabs>
            <w:tab w:val="left" w:pos="1418"/>
          </w:tabs>
          <w:ind w:left="1418" w:hanging="1418"/>
        </w:pPr>
        <w:rPr>
          <w:rFonts w:hint="eastAsia"/>
        </w:rPr>
      </w:lvl>
    </w:lvlOverride>
    <w:lvlOverride w:ilvl="8">
      <w:lvl w:ilvl="8" w:tentative="1">
        <w:start w:val="1"/>
        <w:numFmt w:val="decimal"/>
        <w:lvlText w:val="%1.%2.%3.%4.%5.%6.%7.%8.%9."/>
        <w:lvlJc w:val="left"/>
        <w:pPr>
          <w:tabs>
            <w:tab w:val="left" w:pos="1559"/>
          </w:tabs>
          <w:ind w:left="1559" w:hanging="1559"/>
        </w:pPr>
        <w:rPr>
          <w:rFonts w:hint="eastAsia"/>
        </w:rPr>
      </w:lvl>
    </w:lvlOverride>
  </w:num>
  <w:num w:numId="18">
    <w:abstractNumId w:val="38"/>
  </w:num>
  <w:num w:numId="19">
    <w:abstractNumId w:val="19"/>
  </w:num>
  <w:num w:numId="20">
    <w:abstractNumId w:val="16"/>
  </w:num>
  <w:num w:numId="21">
    <w:abstractNumId w:val="20"/>
  </w:num>
  <w:num w:numId="22">
    <w:abstractNumId w:val="31"/>
  </w:num>
  <w:num w:numId="23">
    <w:abstractNumId w:val="18"/>
  </w:num>
  <w:num w:numId="24">
    <w:abstractNumId w:val="13"/>
  </w:num>
  <w:num w:numId="25">
    <w:abstractNumId w:val="45"/>
  </w:num>
  <w:num w:numId="26">
    <w:abstractNumId w:val="32"/>
  </w:num>
  <w:num w:numId="27">
    <w:abstractNumId w:val="33"/>
  </w:num>
  <w:num w:numId="28">
    <w:abstractNumId w:val="24"/>
    <w:lvlOverride w:ilvl="0">
      <w:startOverride w:val="1"/>
    </w:lvlOverride>
  </w:num>
  <w:num w:numId="29">
    <w:abstractNumId w:val="39"/>
  </w:num>
  <w:num w:numId="30">
    <w:abstractNumId w:val="48"/>
  </w:num>
  <w:num w:numId="31">
    <w:abstractNumId w:val="40"/>
  </w:num>
  <w:num w:numId="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num>
  <w:num w:numId="37">
    <w:abstractNumId w:val="23"/>
  </w:num>
  <w:num w:numId="38">
    <w:abstractNumId w:val="43"/>
  </w:num>
  <w:num w:numId="39">
    <w:abstractNumId w:val="47"/>
  </w:num>
  <w:num w:numId="40">
    <w:abstractNumId w:val="35"/>
  </w:num>
  <w:num w:numId="41">
    <w:abstractNumId w:val="44"/>
  </w:num>
  <w:num w:numId="42">
    <w:abstractNumId w:val="11"/>
  </w:num>
  <w:num w:numId="43">
    <w:abstractNumId w:val="1"/>
  </w:num>
  <w:num w:numId="44">
    <w:abstractNumId w:val="42"/>
  </w:num>
  <w:num w:numId="45">
    <w:abstractNumId w:val="14"/>
  </w:num>
  <w:num w:numId="46">
    <w:abstractNumId w:val="29"/>
  </w:num>
  <w:num w:numId="47">
    <w:abstractNumId w:val="26"/>
  </w:num>
  <w:num w:numId="48">
    <w:abstractNumId w:val="34"/>
  </w:num>
  <w:num w:numId="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ocumentProtection w:enforcement="0"/>
  <w:defaultTabStop w:val="0"/>
  <w:drawingGridHorizontalSpacing w:val="120"/>
  <w:drawingGridVerticalSpacing w:val="333"/>
  <w:displayHorizontalDrawingGridEvery w:val="0"/>
  <w:characterSpacingControl w:val="doNotCompress"/>
  <w:footnotePr>
    <w:footnote w:id="0"/>
    <w:footnote w:id="1"/>
  </w:footnotePr>
  <w:endnotePr>
    <w:endnote w:id="0"/>
    <w:endnote w:id="1"/>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M2ZGU1OGVmYjVjZDU2ODVjOWExMDg3M2JiNmI0NzYifQ=="/>
  </w:docVars>
  <w:rsids>
    <w:rsidRoot w:val="00172A27"/>
    <w:rsid w:val="000002F5"/>
    <w:rsid w:val="0000036A"/>
    <w:rsid w:val="00000415"/>
    <w:rsid w:val="00000755"/>
    <w:rsid w:val="00000A70"/>
    <w:rsid w:val="00000BCA"/>
    <w:rsid w:val="00000C98"/>
    <w:rsid w:val="00000DAC"/>
    <w:rsid w:val="00000E93"/>
    <w:rsid w:val="000014D1"/>
    <w:rsid w:val="0000152E"/>
    <w:rsid w:val="000015D3"/>
    <w:rsid w:val="0000165B"/>
    <w:rsid w:val="00001712"/>
    <w:rsid w:val="00001735"/>
    <w:rsid w:val="00001CA1"/>
    <w:rsid w:val="0000201A"/>
    <w:rsid w:val="00002128"/>
    <w:rsid w:val="000024DA"/>
    <w:rsid w:val="000026AD"/>
    <w:rsid w:val="000026BD"/>
    <w:rsid w:val="00002818"/>
    <w:rsid w:val="000029CD"/>
    <w:rsid w:val="00002F8C"/>
    <w:rsid w:val="00003132"/>
    <w:rsid w:val="000031BD"/>
    <w:rsid w:val="00003491"/>
    <w:rsid w:val="000036BD"/>
    <w:rsid w:val="000039AA"/>
    <w:rsid w:val="000042AF"/>
    <w:rsid w:val="00004516"/>
    <w:rsid w:val="0000468B"/>
    <w:rsid w:val="000046B0"/>
    <w:rsid w:val="00004A54"/>
    <w:rsid w:val="00004F9C"/>
    <w:rsid w:val="0000500E"/>
    <w:rsid w:val="00005080"/>
    <w:rsid w:val="00005216"/>
    <w:rsid w:val="0000526E"/>
    <w:rsid w:val="00005517"/>
    <w:rsid w:val="00005A4C"/>
    <w:rsid w:val="00005C39"/>
    <w:rsid w:val="00005D0F"/>
    <w:rsid w:val="00005D94"/>
    <w:rsid w:val="000061B6"/>
    <w:rsid w:val="00006B10"/>
    <w:rsid w:val="00006D61"/>
    <w:rsid w:val="00006F45"/>
    <w:rsid w:val="00006FB2"/>
    <w:rsid w:val="0000748A"/>
    <w:rsid w:val="00007619"/>
    <w:rsid w:val="00007638"/>
    <w:rsid w:val="00007654"/>
    <w:rsid w:val="000078FD"/>
    <w:rsid w:val="00007B2D"/>
    <w:rsid w:val="00007ED0"/>
    <w:rsid w:val="0001005C"/>
    <w:rsid w:val="0001040C"/>
    <w:rsid w:val="0001042B"/>
    <w:rsid w:val="00010AA1"/>
    <w:rsid w:val="00010BD1"/>
    <w:rsid w:val="00010D3C"/>
    <w:rsid w:val="00010D8A"/>
    <w:rsid w:val="00010DF0"/>
    <w:rsid w:val="00010E95"/>
    <w:rsid w:val="00010F3F"/>
    <w:rsid w:val="00011001"/>
    <w:rsid w:val="00011129"/>
    <w:rsid w:val="00011467"/>
    <w:rsid w:val="000114DF"/>
    <w:rsid w:val="0001153E"/>
    <w:rsid w:val="000115EE"/>
    <w:rsid w:val="000115F5"/>
    <w:rsid w:val="000119A9"/>
    <w:rsid w:val="00011C6C"/>
    <w:rsid w:val="00011FEB"/>
    <w:rsid w:val="00012044"/>
    <w:rsid w:val="000121B2"/>
    <w:rsid w:val="000122E9"/>
    <w:rsid w:val="00012731"/>
    <w:rsid w:val="00012E0D"/>
    <w:rsid w:val="00013281"/>
    <w:rsid w:val="00013335"/>
    <w:rsid w:val="000135E3"/>
    <w:rsid w:val="000139E8"/>
    <w:rsid w:val="00013AE5"/>
    <w:rsid w:val="00013F77"/>
    <w:rsid w:val="000145E9"/>
    <w:rsid w:val="0001467A"/>
    <w:rsid w:val="000148BB"/>
    <w:rsid w:val="000148DA"/>
    <w:rsid w:val="00014A2A"/>
    <w:rsid w:val="00014DEB"/>
    <w:rsid w:val="0001509E"/>
    <w:rsid w:val="00015291"/>
    <w:rsid w:val="0001557A"/>
    <w:rsid w:val="00015965"/>
    <w:rsid w:val="00015C55"/>
    <w:rsid w:val="00015C74"/>
    <w:rsid w:val="00016183"/>
    <w:rsid w:val="000161FB"/>
    <w:rsid w:val="0001673E"/>
    <w:rsid w:val="0001696F"/>
    <w:rsid w:val="00016BBC"/>
    <w:rsid w:val="00016DB8"/>
    <w:rsid w:val="00016E0A"/>
    <w:rsid w:val="000170F3"/>
    <w:rsid w:val="0001718A"/>
    <w:rsid w:val="0001718C"/>
    <w:rsid w:val="00017459"/>
    <w:rsid w:val="00017696"/>
    <w:rsid w:val="000179F3"/>
    <w:rsid w:val="00020174"/>
    <w:rsid w:val="000202AC"/>
    <w:rsid w:val="000202D0"/>
    <w:rsid w:val="0002048A"/>
    <w:rsid w:val="00020564"/>
    <w:rsid w:val="0002076D"/>
    <w:rsid w:val="0002086F"/>
    <w:rsid w:val="00020884"/>
    <w:rsid w:val="000208D1"/>
    <w:rsid w:val="00020C1C"/>
    <w:rsid w:val="00020D4D"/>
    <w:rsid w:val="00020D99"/>
    <w:rsid w:val="00020DDF"/>
    <w:rsid w:val="000215A9"/>
    <w:rsid w:val="000217BC"/>
    <w:rsid w:val="000217EC"/>
    <w:rsid w:val="0002182F"/>
    <w:rsid w:val="00021B6F"/>
    <w:rsid w:val="00021D20"/>
    <w:rsid w:val="00021EB5"/>
    <w:rsid w:val="000221EA"/>
    <w:rsid w:val="00022A96"/>
    <w:rsid w:val="00023376"/>
    <w:rsid w:val="000234E2"/>
    <w:rsid w:val="0002350F"/>
    <w:rsid w:val="000235E2"/>
    <w:rsid w:val="000237A7"/>
    <w:rsid w:val="000238E5"/>
    <w:rsid w:val="00023AFF"/>
    <w:rsid w:val="00023BD3"/>
    <w:rsid w:val="00023C33"/>
    <w:rsid w:val="00023C97"/>
    <w:rsid w:val="00023EB7"/>
    <w:rsid w:val="000241AB"/>
    <w:rsid w:val="000242EC"/>
    <w:rsid w:val="0002475B"/>
    <w:rsid w:val="00024953"/>
    <w:rsid w:val="000249FE"/>
    <w:rsid w:val="00024C29"/>
    <w:rsid w:val="00024F74"/>
    <w:rsid w:val="0002539E"/>
    <w:rsid w:val="0002561D"/>
    <w:rsid w:val="0002580D"/>
    <w:rsid w:val="00025CB8"/>
    <w:rsid w:val="00025D17"/>
    <w:rsid w:val="0002607B"/>
    <w:rsid w:val="000263C7"/>
    <w:rsid w:val="00026492"/>
    <w:rsid w:val="00026773"/>
    <w:rsid w:val="00026C45"/>
    <w:rsid w:val="00026F39"/>
    <w:rsid w:val="00026F5B"/>
    <w:rsid w:val="00027515"/>
    <w:rsid w:val="0002785F"/>
    <w:rsid w:val="00027945"/>
    <w:rsid w:val="00027ADA"/>
    <w:rsid w:val="00027B17"/>
    <w:rsid w:val="00027F8F"/>
    <w:rsid w:val="00030166"/>
    <w:rsid w:val="00030705"/>
    <w:rsid w:val="000307C7"/>
    <w:rsid w:val="00030870"/>
    <w:rsid w:val="000309E8"/>
    <w:rsid w:val="00030A42"/>
    <w:rsid w:val="00030A9B"/>
    <w:rsid w:val="00030AE3"/>
    <w:rsid w:val="00030BE2"/>
    <w:rsid w:val="0003104E"/>
    <w:rsid w:val="000314D7"/>
    <w:rsid w:val="000317D1"/>
    <w:rsid w:val="000318B4"/>
    <w:rsid w:val="00031941"/>
    <w:rsid w:val="000319D8"/>
    <w:rsid w:val="0003268B"/>
    <w:rsid w:val="000326BA"/>
    <w:rsid w:val="00032B90"/>
    <w:rsid w:val="00032E30"/>
    <w:rsid w:val="000331AC"/>
    <w:rsid w:val="00033291"/>
    <w:rsid w:val="000333B2"/>
    <w:rsid w:val="00033649"/>
    <w:rsid w:val="00033979"/>
    <w:rsid w:val="00033A39"/>
    <w:rsid w:val="00033AD5"/>
    <w:rsid w:val="00033B7A"/>
    <w:rsid w:val="00033D2E"/>
    <w:rsid w:val="000343E7"/>
    <w:rsid w:val="00034837"/>
    <w:rsid w:val="00034998"/>
    <w:rsid w:val="00034AC4"/>
    <w:rsid w:val="00034AEC"/>
    <w:rsid w:val="00034BE0"/>
    <w:rsid w:val="00034F22"/>
    <w:rsid w:val="00035210"/>
    <w:rsid w:val="0003554A"/>
    <w:rsid w:val="0003561F"/>
    <w:rsid w:val="00035779"/>
    <w:rsid w:val="000359E9"/>
    <w:rsid w:val="00035CB2"/>
    <w:rsid w:val="00035CD3"/>
    <w:rsid w:val="00035F95"/>
    <w:rsid w:val="00035F9E"/>
    <w:rsid w:val="00036029"/>
    <w:rsid w:val="00036063"/>
    <w:rsid w:val="00036508"/>
    <w:rsid w:val="00036BD7"/>
    <w:rsid w:val="00036F9E"/>
    <w:rsid w:val="000370C7"/>
    <w:rsid w:val="00037275"/>
    <w:rsid w:val="00037300"/>
    <w:rsid w:val="00037B51"/>
    <w:rsid w:val="00037C6B"/>
    <w:rsid w:val="0004022E"/>
    <w:rsid w:val="000402F0"/>
    <w:rsid w:val="00040616"/>
    <w:rsid w:val="000408D5"/>
    <w:rsid w:val="00040958"/>
    <w:rsid w:val="000409EA"/>
    <w:rsid w:val="00040A2D"/>
    <w:rsid w:val="00040A9C"/>
    <w:rsid w:val="00040B24"/>
    <w:rsid w:val="00040E4F"/>
    <w:rsid w:val="00041031"/>
    <w:rsid w:val="00041377"/>
    <w:rsid w:val="0004170E"/>
    <w:rsid w:val="00041732"/>
    <w:rsid w:val="00041B7B"/>
    <w:rsid w:val="00041F9A"/>
    <w:rsid w:val="00042077"/>
    <w:rsid w:val="000423A6"/>
    <w:rsid w:val="000426A4"/>
    <w:rsid w:val="00042A95"/>
    <w:rsid w:val="00042B58"/>
    <w:rsid w:val="00042B72"/>
    <w:rsid w:val="00042BE2"/>
    <w:rsid w:val="00042C65"/>
    <w:rsid w:val="00042F27"/>
    <w:rsid w:val="00043116"/>
    <w:rsid w:val="00043184"/>
    <w:rsid w:val="00043509"/>
    <w:rsid w:val="0004359F"/>
    <w:rsid w:val="0004368B"/>
    <w:rsid w:val="00043796"/>
    <w:rsid w:val="00043B8A"/>
    <w:rsid w:val="00043D4D"/>
    <w:rsid w:val="00043F63"/>
    <w:rsid w:val="000441F4"/>
    <w:rsid w:val="00044288"/>
    <w:rsid w:val="00044489"/>
    <w:rsid w:val="00044581"/>
    <w:rsid w:val="000449DC"/>
    <w:rsid w:val="00044DEA"/>
    <w:rsid w:val="0004504A"/>
    <w:rsid w:val="0004509E"/>
    <w:rsid w:val="000451B5"/>
    <w:rsid w:val="00045370"/>
    <w:rsid w:val="000457F7"/>
    <w:rsid w:val="00045B5E"/>
    <w:rsid w:val="00045B95"/>
    <w:rsid w:val="00045C05"/>
    <w:rsid w:val="00045C78"/>
    <w:rsid w:val="00045ED7"/>
    <w:rsid w:val="00045F17"/>
    <w:rsid w:val="00045F22"/>
    <w:rsid w:val="00045F47"/>
    <w:rsid w:val="00046069"/>
    <w:rsid w:val="000460EA"/>
    <w:rsid w:val="0004670C"/>
    <w:rsid w:val="0004677B"/>
    <w:rsid w:val="00046CC2"/>
    <w:rsid w:val="00046F06"/>
    <w:rsid w:val="00047303"/>
    <w:rsid w:val="00047374"/>
    <w:rsid w:val="000473F1"/>
    <w:rsid w:val="000478B1"/>
    <w:rsid w:val="00047B02"/>
    <w:rsid w:val="00047C8B"/>
    <w:rsid w:val="00047D30"/>
    <w:rsid w:val="00047EAA"/>
    <w:rsid w:val="000500B6"/>
    <w:rsid w:val="00050342"/>
    <w:rsid w:val="00050971"/>
    <w:rsid w:val="00050B78"/>
    <w:rsid w:val="00050C4C"/>
    <w:rsid w:val="00050D2B"/>
    <w:rsid w:val="00050DCC"/>
    <w:rsid w:val="00050E64"/>
    <w:rsid w:val="000512A2"/>
    <w:rsid w:val="000513EE"/>
    <w:rsid w:val="00051619"/>
    <w:rsid w:val="00051680"/>
    <w:rsid w:val="000516AA"/>
    <w:rsid w:val="000518C3"/>
    <w:rsid w:val="000519AF"/>
    <w:rsid w:val="00051DEA"/>
    <w:rsid w:val="00051E65"/>
    <w:rsid w:val="00051EA7"/>
    <w:rsid w:val="0005234A"/>
    <w:rsid w:val="000523F1"/>
    <w:rsid w:val="00052453"/>
    <w:rsid w:val="00052598"/>
    <w:rsid w:val="000525B9"/>
    <w:rsid w:val="00052A23"/>
    <w:rsid w:val="00052C69"/>
    <w:rsid w:val="00052DB8"/>
    <w:rsid w:val="00052DD5"/>
    <w:rsid w:val="00052F7B"/>
    <w:rsid w:val="00052FAC"/>
    <w:rsid w:val="000536C6"/>
    <w:rsid w:val="000538C6"/>
    <w:rsid w:val="00053DCB"/>
    <w:rsid w:val="0005411A"/>
    <w:rsid w:val="0005429A"/>
    <w:rsid w:val="000542B2"/>
    <w:rsid w:val="00054BE2"/>
    <w:rsid w:val="00054D3E"/>
    <w:rsid w:val="00054DD8"/>
    <w:rsid w:val="00054F73"/>
    <w:rsid w:val="00055182"/>
    <w:rsid w:val="000551CE"/>
    <w:rsid w:val="000552FF"/>
    <w:rsid w:val="00055305"/>
    <w:rsid w:val="00055391"/>
    <w:rsid w:val="0005555D"/>
    <w:rsid w:val="00055600"/>
    <w:rsid w:val="000560F8"/>
    <w:rsid w:val="0005610B"/>
    <w:rsid w:val="00056242"/>
    <w:rsid w:val="000564FE"/>
    <w:rsid w:val="00056615"/>
    <w:rsid w:val="00056649"/>
    <w:rsid w:val="0005677F"/>
    <w:rsid w:val="000568ED"/>
    <w:rsid w:val="00056925"/>
    <w:rsid w:val="000571B2"/>
    <w:rsid w:val="000575F2"/>
    <w:rsid w:val="00057952"/>
    <w:rsid w:val="00057960"/>
    <w:rsid w:val="00057963"/>
    <w:rsid w:val="00057A79"/>
    <w:rsid w:val="00057E1B"/>
    <w:rsid w:val="000600E8"/>
    <w:rsid w:val="000600F9"/>
    <w:rsid w:val="0006023B"/>
    <w:rsid w:val="0006025E"/>
    <w:rsid w:val="00060328"/>
    <w:rsid w:val="000603BE"/>
    <w:rsid w:val="00060419"/>
    <w:rsid w:val="00060669"/>
    <w:rsid w:val="00060769"/>
    <w:rsid w:val="00060B40"/>
    <w:rsid w:val="00060C29"/>
    <w:rsid w:val="00061258"/>
    <w:rsid w:val="0006128C"/>
    <w:rsid w:val="000612B8"/>
    <w:rsid w:val="00061447"/>
    <w:rsid w:val="000616D7"/>
    <w:rsid w:val="00061882"/>
    <w:rsid w:val="00061BC7"/>
    <w:rsid w:val="00061F55"/>
    <w:rsid w:val="0006204C"/>
    <w:rsid w:val="000620AF"/>
    <w:rsid w:val="000621CF"/>
    <w:rsid w:val="000621D6"/>
    <w:rsid w:val="00062952"/>
    <w:rsid w:val="00062A17"/>
    <w:rsid w:val="00062AD3"/>
    <w:rsid w:val="00062CE8"/>
    <w:rsid w:val="00063244"/>
    <w:rsid w:val="00063445"/>
    <w:rsid w:val="0006384F"/>
    <w:rsid w:val="000638AC"/>
    <w:rsid w:val="00063950"/>
    <w:rsid w:val="00063CD8"/>
    <w:rsid w:val="00063E08"/>
    <w:rsid w:val="00063F3C"/>
    <w:rsid w:val="000642E1"/>
    <w:rsid w:val="000643D4"/>
    <w:rsid w:val="00064672"/>
    <w:rsid w:val="0006493A"/>
    <w:rsid w:val="00064E6B"/>
    <w:rsid w:val="00064F61"/>
    <w:rsid w:val="00065175"/>
    <w:rsid w:val="0006531B"/>
    <w:rsid w:val="00065655"/>
    <w:rsid w:val="00065883"/>
    <w:rsid w:val="000659E2"/>
    <w:rsid w:val="00065E9B"/>
    <w:rsid w:val="000660FF"/>
    <w:rsid w:val="00066118"/>
    <w:rsid w:val="000669CA"/>
    <w:rsid w:val="00066C23"/>
    <w:rsid w:val="00066C89"/>
    <w:rsid w:val="00066CF0"/>
    <w:rsid w:val="0006715E"/>
    <w:rsid w:val="0006716F"/>
    <w:rsid w:val="000672F6"/>
    <w:rsid w:val="00067609"/>
    <w:rsid w:val="0006768E"/>
    <w:rsid w:val="000676EF"/>
    <w:rsid w:val="00067919"/>
    <w:rsid w:val="0006791E"/>
    <w:rsid w:val="0006799A"/>
    <w:rsid w:val="00067D50"/>
    <w:rsid w:val="00067D73"/>
    <w:rsid w:val="00067FD6"/>
    <w:rsid w:val="000701CB"/>
    <w:rsid w:val="000703EB"/>
    <w:rsid w:val="00070420"/>
    <w:rsid w:val="0007061E"/>
    <w:rsid w:val="000708B1"/>
    <w:rsid w:val="0007094B"/>
    <w:rsid w:val="00070CBA"/>
    <w:rsid w:val="00070D46"/>
    <w:rsid w:val="000710CD"/>
    <w:rsid w:val="0007114F"/>
    <w:rsid w:val="000711AB"/>
    <w:rsid w:val="00071358"/>
    <w:rsid w:val="0007146D"/>
    <w:rsid w:val="000716DB"/>
    <w:rsid w:val="0007181E"/>
    <w:rsid w:val="00071971"/>
    <w:rsid w:val="00071BAB"/>
    <w:rsid w:val="00071C42"/>
    <w:rsid w:val="00071CC5"/>
    <w:rsid w:val="00071D2C"/>
    <w:rsid w:val="00072293"/>
    <w:rsid w:val="00072834"/>
    <w:rsid w:val="0007295A"/>
    <w:rsid w:val="00072DF2"/>
    <w:rsid w:val="00072FC8"/>
    <w:rsid w:val="00073704"/>
    <w:rsid w:val="00073940"/>
    <w:rsid w:val="00073A1B"/>
    <w:rsid w:val="00073A68"/>
    <w:rsid w:val="00073B54"/>
    <w:rsid w:val="00073BEA"/>
    <w:rsid w:val="00073D06"/>
    <w:rsid w:val="0007460D"/>
    <w:rsid w:val="000747B4"/>
    <w:rsid w:val="000748B4"/>
    <w:rsid w:val="00074E9C"/>
    <w:rsid w:val="00074EE7"/>
    <w:rsid w:val="00075095"/>
    <w:rsid w:val="0007509D"/>
    <w:rsid w:val="00075120"/>
    <w:rsid w:val="00075F15"/>
    <w:rsid w:val="00075F22"/>
    <w:rsid w:val="00075F5B"/>
    <w:rsid w:val="00076000"/>
    <w:rsid w:val="00076139"/>
    <w:rsid w:val="000761B9"/>
    <w:rsid w:val="00076260"/>
    <w:rsid w:val="00076484"/>
    <w:rsid w:val="000767F4"/>
    <w:rsid w:val="0007687C"/>
    <w:rsid w:val="00076F1E"/>
    <w:rsid w:val="00076FC4"/>
    <w:rsid w:val="00077002"/>
    <w:rsid w:val="000771FA"/>
    <w:rsid w:val="000772E4"/>
    <w:rsid w:val="000774A4"/>
    <w:rsid w:val="0007758F"/>
    <w:rsid w:val="00077594"/>
    <w:rsid w:val="0007774D"/>
    <w:rsid w:val="00077973"/>
    <w:rsid w:val="00077D74"/>
    <w:rsid w:val="00080027"/>
    <w:rsid w:val="0008034C"/>
    <w:rsid w:val="00080536"/>
    <w:rsid w:val="0008067E"/>
    <w:rsid w:val="0008070E"/>
    <w:rsid w:val="00080771"/>
    <w:rsid w:val="00080CF6"/>
    <w:rsid w:val="00080EA7"/>
    <w:rsid w:val="00080F29"/>
    <w:rsid w:val="000811F9"/>
    <w:rsid w:val="00081362"/>
    <w:rsid w:val="0008137C"/>
    <w:rsid w:val="0008172A"/>
    <w:rsid w:val="000818E3"/>
    <w:rsid w:val="0008195D"/>
    <w:rsid w:val="0008196B"/>
    <w:rsid w:val="00081B37"/>
    <w:rsid w:val="000822D7"/>
    <w:rsid w:val="0008246D"/>
    <w:rsid w:val="000825DE"/>
    <w:rsid w:val="000826FD"/>
    <w:rsid w:val="0008275E"/>
    <w:rsid w:val="000830B6"/>
    <w:rsid w:val="00083140"/>
    <w:rsid w:val="000832BD"/>
    <w:rsid w:val="00083436"/>
    <w:rsid w:val="00083AAC"/>
    <w:rsid w:val="00083B0D"/>
    <w:rsid w:val="00083D17"/>
    <w:rsid w:val="00083D1F"/>
    <w:rsid w:val="00084102"/>
    <w:rsid w:val="00084340"/>
    <w:rsid w:val="0008451E"/>
    <w:rsid w:val="0008457D"/>
    <w:rsid w:val="0008461E"/>
    <w:rsid w:val="00084762"/>
    <w:rsid w:val="00084DB5"/>
    <w:rsid w:val="00084F43"/>
    <w:rsid w:val="000851DD"/>
    <w:rsid w:val="0008524A"/>
    <w:rsid w:val="0008524B"/>
    <w:rsid w:val="00085329"/>
    <w:rsid w:val="00085588"/>
    <w:rsid w:val="0008596B"/>
    <w:rsid w:val="00085BC4"/>
    <w:rsid w:val="00085CF2"/>
    <w:rsid w:val="00085D56"/>
    <w:rsid w:val="00085ECD"/>
    <w:rsid w:val="00086214"/>
    <w:rsid w:val="00086409"/>
    <w:rsid w:val="000864F4"/>
    <w:rsid w:val="00086541"/>
    <w:rsid w:val="000867DC"/>
    <w:rsid w:val="0008689A"/>
    <w:rsid w:val="00086C82"/>
    <w:rsid w:val="00086ECE"/>
    <w:rsid w:val="00086F21"/>
    <w:rsid w:val="000870B4"/>
    <w:rsid w:val="000870E6"/>
    <w:rsid w:val="0008714A"/>
    <w:rsid w:val="000872C4"/>
    <w:rsid w:val="00087318"/>
    <w:rsid w:val="00087383"/>
    <w:rsid w:val="000873A6"/>
    <w:rsid w:val="00087634"/>
    <w:rsid w:val="0008770B"/>
    <w:rsid w:val="000877A7"/>
    <w:rsid w:val="00087D12"/>
    <w:rsid w:val="000901F5"/>
    <w:rsid w:val="000902B8"/>
    <w:rsid w:val="0009075B"/>
    <w:rsid w:val="000907A5"/>
    <w:rsid w:val="000913C8"/>
    <w:rsid w:val="0009146F"/>
    <w:rsid w:val="000917E8"/>
    <w:rsid w:val="00091A57"/>
    <w:rsid w:val="00091BE5"/>
    <w:rsid w:val="00091C87"/>
    <w:rsid w:val="00091C9B"/>
    <w:rsid w:val="00091CAD"/>
    <w:rsid w:val="00091DB4"/>
    <w:rsid w:val="00091E92"/>
    <w:rsid w:val="000920EB"/>
    <w:rsid w:val="00092606"/>
    <w:rsid w:val="000926FF"/>
    <w:rsid w:val="000929B4"/>
    <w:rsid w:val="00092B90"/>
    <w:rsid w:val="00092D79"/>
    <w:rsid w:val="00092F9A"/>
    <w:rsid w:val="000931CB"/>
    <w:rsid w:val="000931F2"/>
    <w:rsid w:val="00093308"/>
    <w:rsid w:val="0009330F"/>
    <w:rsid w:val="00093556"/>
    <w:rsid w:val="0009374D"/>
    <w:rsid w:val="000939C3"/>
    <w:rsid w:val="000939D3"/>
    <w:rsid w:val="00093E31"/>
    <w:rsid w:val="00093F1E"/>
    <w:rsid w:val="0009402D"/>
    <w:rsid w:val="00094130"/>
    <w:rsid w:val="000947D9"/>
    <w:rsid w:val="00095036"/>
    <w:rsid w:val="000951DD"/>
    <w:rsid w:val="000953A8"/>
    <w:rsid w:val="00095632"/>
    <w:rsid w:val="00095A08"/>
    <w:rsid w:val="00095B53"/>
    <w:rsid w:val="00095D09"/>
    <w:rsid w:val="00095DBB"/>
    <w:rsid w:val="000963AA"/>
    <w:rsid w:val="000963E7"/>
    <w:rsid w:val="0009643E"/>
    <w:rsid w:val="0009663D"/>
    <w:rsid w:val="00096753"/>
    <w:rsid w:val="00096986"/>
    <w:rsid w:val="00096DBF"/>
    <w:rsid w:val="000971EB"/>
    <w:rsid w:val="000974A3"/>
    <w:rsid w:val="000976E1"/>
    <w:rsid w:val="000977D5"/>
    <w:rsid w:val="000978B6"/>
    <w:rsid w:val="00097939"/>
    <w:rsid w:val="000979AF"/>
    <w:rsid w:val="000A00E7"/>
    <w:rsid w:val="000A0519"/>
    <w:rsid w:val="000A05CC"/>
    <w:rsid w:val="000A06E5"/>
    <w:rsid w:val="000A0719"/>
    <w:rsid w:val="000A0730"/>
    <w:rsid w:val="000A08C4"/>
    <w:rsid w:val="000A0FE5"/>
    <w:rsid w:val="000A121A"/>
    <w:rsid w:val="000A141F"/>
    <w:rsid w:val="000A14E6"/>
    <w:rsid w:val="000A15E8"/>
    <w:rsid w:val="000A1648"/>
    <w:rsid w:val="000A1817"/>
    <w:rsid w:val="000A18E6"/>
    <w:rsid w:val="000A1ABC"/>
    <w:rsid w:val="000A1B0C"/>
    <w:rsid w:val="000A2335"/>
    <w:rsid w:val="000A2401"/>
    <w:rsid w:val="000A2502"/>
    <w:rsid w:val="000A2722"/>
    <w:rsid w:val="000A279E"/>
    <w:rsid w:val="000A2D8C"/>
    <w:rsid w:val="000A2EDD"/>
    <w:rsid w:val="000A3100"/>
    <w:rsid w:val="000A3161"/>
    <w:rsid w:val="000A3267"/>
    <w:rsid w:val="000A3534"/>
    <w:rsid w:val="000A35B3"/>
    <w:rsid w:val="000A3768"/>
    <w:rsid w:val="000A37C8"/>
    <w:rsid w:val="000A398B"/>
    <w:rsid w:val="000A3C96"/>
    <w:rsid w:val="000A4072"/>
    <w:rsid w:val="000A407D"/>
    <w:rsid w:val="000A46E1"/>
    <w:rsid w:val="000A46F0"/>
    <w:rsid w:val="000A4A3A"/>
    <w:rsid w:val="000A4B64"/>
    <w:rsid w:val="000A4C10"/>
    <w:rsid w:val="000A4E49"/>
    <w:rsid w:val="000A4EAB"/>
    <w:rsid w:val="000A4FC4"/>
    <w:rsid w:val="000A537A"/>
    <w:rsid w:val="000A5553"/>
    <w:rsid w:val="000A5785"/>
    <w:rsid w:val="000A5821"/>
    <w:rsid w:val="000A5A0B"/>
    <w:rsid w:val="000A5BA2"/>
    <w:rsid w:val="000A5D8F"/>
    <w:rsid w:val="000A607F"/>
    <w:rsid w:val="000A6590"/>
    <w:rsid w:val="000A6799"/>
    <w:rsid w:val="000A684C"/>
    <w:rsid w:val="000A6A12"/>
    <w:rsid w:val="000A6A1F"/>
    <w:rsid w:val="000A6B2C"/>
    <w:rsid w:val="000A6C25"/>
    <w:rsid w:val="000A6C81"/>
    <w:rsid w:val="000A6DB1"/>
    <w:rsid w:val="000A6FA6"/>
    <w:rsid w:val="000A70BF"/>
    <w:rsid w:val="000A7240"/>
    <w:rsid w:val="000A753F"/>
    <w:rsid w:val="000A7B42"/>
    <w:rsid w:val="000A7DA4"/>
    <w:rsid w:val="000A7DD2"/>
    <w:rsid w:val="000A7E12"/>
    <w:rsid w:val="000B0124"/>
    <w:rsid w:val="000B01E5"/>
    <w:rsid w:val="000B03D3"/>
    <w:rsid w:val="000B0557"/>
    <w:rsid w:val="000B0DC1"/>
    <w:rsid w:val="000B0E36"/>
    <w:rsid w:val="000B0FAA"/>
    <w:rsid w:val="000B1499"/>
    <w:rsid w:val="000B1525"/>
    <w:rsid w:val="000B1B90"/>
    <w:rsid w:val="000B1CB9"/>
    <w:rsid w:val="000B1F21"/>
    <w:rsid w:val="000B206D"/>
    <w:rsid w:val="000B21F1"/>
    <w:rsid w:val="000B24A2"/>
    <w:rsid w:val="000B24CE"/>
    <w:rsid w:val="000B2574"/>
    <w:rsid w:val="000B26E8"/>
    <w:rsid w:val="000B2954"/>
    <w:rsid w:val="000B2ED3"/>
    <w:rsid w:val="000B3597"/>
    <w:rsid w:val="000B38DF"/>
    <w:rsid w:val="000B38F5"/>
    <w:rsid w:val="000B3B3A"/>
    <w:rsid w:val="000B3BA1"/>
    <w:rsid w:val="000B3CAE"/>
    <w:rsid w:val="000B3D9E"/>
    <w:rsid w:val="000B414A"/>
    <w:rsid w:val="000B44C4"/>
    <w:rsid w:val="000B44D5"/>
    <w:rsid w:val="000B4517"/>
    <w:rsid w:val="000B49C5"/>
    <w:rsid w:val="000B4D2D"/>
    <w:rsid w:val="000B4D83"/>
    <w:rsid w:val="000B5222"/>
    <w:rsid w:val="000B5228"/>
    <w:rsid w:val="000B5578"/>
    <w:rsid w:val="000B57AA"/>
    <w:rsid w:val="000B5C19"/>
    <w:rsid w:val="000B608E"/>
    <w:rsid w:val="000B60AB"/>
    <w:rsid w:val="000B60DE"/>
    <w:rsid w:val="000B62F4"/>
    <w:rsid w:val="000B6543"/>
    <w:rsid w:val="000B6774"/>
    <w:rsid w:val="000B6876"/>
    <w:rsid w:val="000B6BB8"/>
    <w:rsid w:val="000B6BE2"/>
    <w:rsid w:val="000B6C2E"/>
    <w:rsid w:val="000B7083"/>
    <w:rsid w:val="000B717C"/>
    <w:rsid w:val="000B71F9"/>
    <w:rsid w:val="000B7275"/>
    <w:rsid w:val="000B744C"/>
    <w:rsid w:val="000B76A3"/>
    <w:rsid w:val="000B77DF"/>
    <w:rsid w:val="000B7A28"/>
    <w:rsid w:val="000B7AAD"/>
    <w:rsid w:val="000B7F9F"/>
    <w:rsid w:val="000C025F"/>
    <w:rsid w:val="000C05E7"/>
    <w:rsid w:val="000C0985"/>
    <w:rsid w:val="000C0A16"/>
    <w:rsid w:val="000C0EFE"/>
    <w:rsid w:val="000C10D1"/>
    <w:rsid w:val="000C10E3"/>
    <w:rsid w:val="000C11BD"/>
    <w:rsid w:val="000C1813"/>
    <w:rsid w:val="000C1972"/>
    <w:rsid w:val="000C1CBD"/>
    <w:rsid w:val="000C1DE4"/>
    <w:rsid w:val="000C1F66"/>
    <w:rsid w:val="000C2449"/>
    <w:rsid w:val="000C2453"/>
    <w:rsid w:val="000C26CB"/>
    <w:rsid w:val="000C2A46"/>
    <w:rsid w:val="000C2D6E"/>
    <w:rsid w:val="000C2DA3"/>
    <w:rsid w:val="000C2DA7"/>
    <w:rsid w:val="000C2DD6"/>
    <w:rsid w:val="000C31B3"/>
    <w:rsid w:val="000C340C"/>
    <w:rsid w:val="000C3452"/>
    <w:rsid w:val="000C3560"/>
    <w:rsid w:val="000C382E"/>
    <w:rsid w:val="000C3859"/>
    <w:rsid w:val="000C3864"/>
    <w:rsid w:val="000C388A"/>
    <w:rsid w:val="000C3A62"/>
    <w:rsid w:val="000C4043"/>
    <w:rsid w:val="000C40B2"/>
    <w:rsid w:val="000C4200"/>
    <w:rsid w:val="000C4531"/>
    <w:rsid w:val="000C46B1"/>
    <w:rsid w:val="000C476A"/>
    <w:rsid w:val="000C49A0"/>
    <w:rsid w:val="000C4BE7"/>
    <w:rsid w:val="000C4C8A"/>
    <w:rsid w:val="000C4DAC"/>
    <w:rsid w:val="000C4E8A"/>
    <w:rsid w:val="000C5068"/>
    <w:rsid w:val="000C50FC"/>
    <w:rsid w:val="000C53CA"/>
    <w:rsid w:val="000C5873"/>
    <w:rsid w:val="000C5D02"/>
    <w:rsid w:val="000C5D60"/>
    <w:rsid w:val="000C5E8F"/>
    <w:rsid w:val="000C5F1B"/>
    <w:rsid w:val="000C6073"/>
    <w:rsid w:val="000C621C"/>
    <w:rsid w:val="000C62A8"/>
    <w:rsid w:val="000C6487"/>
    <w:rsid w:val="000C663E"/>
    <w:rsid w:val="000C66E9"/>
    <w:rsid w:val="000C67F8"/>
    <w:rsid w:val="000C6984"/>
    <w:rsid w:val="000C69C4"/>
    <w:rsid w:val="000C69CB"/>
    <w:rsid w:val="000C6B9E"/>
    <w:rsid w:val="000C6C37"/>
    <w:rsid w:val="000C6DF1"/>
    <w:rsid w:val="000C7025"/>
    <w:rsid w:val="000C708C"/>
    <w:rsid w:val="000C7116"/>
    <w:rsid w:val="000C72E4"/>
    <w:rsid w:val="000C759A"/>
    <w:rsid w:val="000C77B1"/>
    <w:rsid w:val="000C7D94"/>
    <w:rsid w:val="000C7EE4"/>
    <w:rsid w:val="000D0097"/>
    <w:rsid w:val="000D0540"/>
    <w:rsid w:val="000D0798"/>
    <w:rsid w:val="000D081D"/>
    <w:rsid w:val="000D0900"/>
    <w:rsid w:val="000D0936"/>
    <w:rsid w:val="000D0CF5"/>
    <w:rsid w:val="000D0FA3"/>
    <w:rsid w:val="000D1155"/>
    <w:rsid w:val="000D1323"/>
    <w:rsid w:val="000D141A"/>
    <w:rsid w:val="000D164A"/>
    <w:rsid w:val="000D1685"/>
    <w:rsid w:val="000D1931"/>
    <w:rsid w:val="000D1C34"/>
    <w:rsid w:val="000D1C95"/>
    <w:rsid w:val="000D22A0"/>
    <w:rsid w:val="000D239D"/>
    <w:rsid w:val="000D2587"/>
    <w:rsid w:val="000D2752"/>
    <w:rsid w:val="000D2B64"/>
    <w:rsid w:val="000D2C33"/>
    <w:rsid w:val="000D2DC6"/>
    <w:rsid w:val="000D2E5D"/>
    <w:rsid w:val="000D36C5"/>
    <w:rsid w:val="000D3ADD"/>
    <w:rsid w:val="000D3C36"/>
    <w:rsid w:val="000D3C7F"/>
    <w:rsid w:val="000D4094"/>
    <w:rsid w:val="000D40FA"/>
    <w:rsid w:val="000D41F1"/>
    <w:rsid w:val="000D46E6"/>
    <w:rsid w:val="000D4756"/>
    <w:rsid w:val="000D480B"/>
    <w:rsid w:val="000D4FEF"/>
    <w:rsid w:val="000D507E"/>
    <w:rsid w:val="000D50C3"/>
    <w:rsid w:val="000D5295"/>
    <w:rsid w:val="000D5383"/>
    <w:rsid w:val="000D5B56"/>
    <w:rsid w:val="000D5BB6"/>
    <w:rsid w:val="000D5CD7"/>
    <w:rsid w:val="000D5D04"/>
    <w:rsid w:val="000D5EAC"/>
    <w:rsid w:val="000D648B"/>
    <w:rsid w:val="000D6558"/>
    <w:rsid w:val="000D6690"/>
    <w:rsid w:val="000D67DC"/>
    <w:rsid w:val="000D69B6"/>
    <w:rsid w:val="000D6B78"/>
    <w:rsid w:val="000D6E0E"/>
    <w:rsid w:val="000D6F8D"/>
    <w:rsid w:val="000D701E"/>
    <w:rsid w:val="000D7303"/>
    <w:rsid w:val="000D74DC"/>
    <w:rsid w:val="000D75BE"/>
    <w:rsid w:val="000D7611"/>
    <w:rsid w:val="000D7A71"/>
    <w:rsid w:val="000D7FB1"/>
    <w:rsid w:val="000E02F0"/>
    <w:rsid w:val="000E0480"/>
    <w:rsid w:val="000E04F7"/>
    <w:rsid w:val="000E07A1"/>
    <w:rsid w:val="000E099D"/>
    <w:rsid w:val="000E09B6"/>
    <w:rsid w:val="000E09C6"/>
    <w:rsid w:val="000E09FE"/>
    <w:rsid w:val="000E0ED9"/>
    <w:rsid w:val="000E0F72"/>
    <w:rsid w:val="000E10EB"/>
    <w:rsid w:val="000E1317"/>
    <w:rsid w:val="000E1993"/>
    <w:rsid w:val="000E19D9"/>
    <w:rsid w:val="000E1C20"/>
    <w:rsid w:val="000E1C8E"/>
    <w:rsid w:val="000E1CE0"/>
    <w:rsid w:val="000E1E7D"/>
    <w:rsid w:val="000E1F53"/>
    <w:rsid w:val="000E204A"/>
    <w:rsid w:val="000E24B5"/>
    <w:rsid w:val="000E2D95"/>
    <w:rsid w:val="000E2DEF"/>
    <w:rsid w:val="000E3059"/>
    <w:rsid w:val="000E31DF"/>
    <w:rsid w:val="000E3316"/>
    <w:rsid w:val="000E33B1"/>
    <w:rsid w:val="000E33B6"/>
    <w:rsid w:val="000E3590"/>
    <w:rsid w:val="000E378F"/>
    <w:rsid w:val="000E39D6"/>
    <w:rsid w:val="000E3AEB"/>
    <w:rsid w:val="000E3B86"/>
    <w:rsid w:val="000E3D90"/>
    <w:rsid w:val="000E3FA2"/>
    <w:rsid w:val="000E3FA3"/>
    <w:rsid w:val="000E44D3"/>
    <w:rsid w:val="000E4669"/>
    <w:rsid w:val="000E4746"/>
    <w:rsid w:val="000E4ACD"/>
    <w:rsid w:val="000E4ADC"/>
    <w:rsid w:val="000E4C2A"/>
    <w:rsid w:val="000E51AE"/>
    <w:rsid w:val="000E553C"/>
    <w:rsid w:val="000E5548"/>
    <w:rsid w:val="000E5870"/>
    <w:rsid w:val="000E5C19"/>
    <w:rsid w:val="000E5C8C"/>
    <w:rsid w:val="000E5F1F"/>
    <w:rsid w:val="000E62C6"/>
    <w:rsid w:val="000E62CA"/>
    <w:rsid w:val="000E63FB"/>
    <w:rsid w:val="000E645F"/>
    <w:rsid w:val="000E663C"/>
    <w:rsid w:val="000E6947"/>
    <w:rsid w:val="000E6986"/>
    <w:rsid w:val="000E6A3A"/>
    <w:rsid w:val="000E6B66"/>
    <w:rsid w:val="000E6BDA"/>
    <w:rsid w:val="000E7131"/>
    <w:rsid w:val="000E716D"/>
    <w:rsid w:val="000E728B"/>
    <w:rsid w:val="000E73D9"/>
    <w:rsid w:val="000E744D"/>
    <w:rsid w:val="000E751E"/>
    <w:rsid w:val="000E7768"/>
    <w:rsid w:val="000E7770"/>
    <w:rsid w:val="000E7779"/>
    <w:rsid w:val="000E7C39"/>
    <w:rsid w:val="000E7C8A"/>
    <w:rsid w:val="000E7F5B"/>
    <w:rsid w:val="000F0100"/>
    <w:rsid w:val="000F0317"/>
    <w:rsid w:val="000F0A17"/>
    <w:rsid w:val="000F0C31"/>
    <w:rsid w:val="000F0C4E"/>
    <w:rsid w:val="000F0DD5"/>
    <w:rsid w:val="000F12ED"/>
    <w:rsid w:val="000F1754"/>
    <w:rsid w:val="000F1A04"/>
    <w:rsid w:val="000F1A73"/>
    <w:rsid w:val="000F1B2A"/>
    <w:rsid w:val="000F1D13"/>
    <w:rsid w:val="000F2236"/>
    <w:rsid w:val="000F224C"/>
    <w:rsid w:val="000F2BD0"/>
    <w:rsid w:val="000F2BDB"/>
    <w:rsid w:val="000F2CAB"/>
    <w:rsid w:val="000F2CBB"/>
    <w:rsid w:val="000F2CFD"/>
    <w:rsid w:val="000F2EB0"/>
    <w:rsid w:val="000F2EE6"/>
    <w:rsid w:val="000F2F2D"/>
    <w:rsid w:val="000F2FE8"/>
    <w:rsid w:val="000F31E2"/>
    <w:rsid w:val="000F395D"/>
    <w:rsid w:val="000F399A"/>
    <w:rsid w:val="000F3B08"/>
    <w:rsid w:val="000F3B94"/>
    <w:rsid w:val="000F3C06"/>
    <w:rsid w:val="000F3FFC"/>
    <w:rsid w:val="000F4036"/>
    <w:rsid w:val="000F4550"/>
    <w:rsid w:val="000F458F"/>
    <w:rsid w:val="000F45A6"/>
    <w:rsid w:val="000F47E8"/>
    <w:rsid w:val="000F48E5"/>
    <w:rsid w:val="000F4E18"/>
    <w:rsid w:val="000F4FAD"/>
    <w:rsid w:val="000F5113"/>
    <w:rsid w:val="000F52C8"/>
    <w:rsid w:val="000F52E9"/>
    <w:rsid w:val="000F580A"/>
    <w:rsid w:val="000F5A2F"/>
    <w:rsid w:val="000F5C88"/>
    <w:rsid w:val="000F60C9"/>
    <w:rsid w:val="000F617F"/>
    <w:rsid w:val="000F61A9"/>
    <w:rsid w:val="000F66CD"/>
    <w:rsid w:val="000F6A07"/>
    <w:rsid w:val="000F6AE9"/>
    <w:rsid w:val="000F6BE0"/>
    <w:rsid w:val="000F6C47"/>
    <w:rsid w:val="000F6E19"/>
    <w:rsid w:val="000F6E80"/>
    <w:rsid w:val="000F6FB7"/>
    <w:rsid w:val="000F6FFA"/>
    <w:rsid w:val="000F715A"/>
    <w:rsid w:val="000F7218"/>
    <w:rsid w:val="000F72C8"/>
    <w:rsid w:val="000F7489"/>
    <w:rsid w:val="000F749B"/>
    <w:rsid w:val="000F7552"/>
    <w:rsid w:val="000F7574"/>
    <w:rsid w:val="000F75B2"/>
    <w:rsid w:val="000F7675"/>
    <w:rsid w:val="000F7685"/>
    <w:rsid w:val="000F799F"/>
    <w:rsid w:val="000F7B81"/>
    <w:rsid w:val="000F7B83"/>
    <w:rsid w:val="00100209"/>
    <w:rsid w:val="0010065E"/>
    <w:rsid w:val="00100873"/>
    <w:rsid w:val="001009E6"/>
    <w:rsid w:val="00100A61"/>
    <w:rsid w:val="00100A88"/>
    <w:rsid w:val="00100BF2"/>
    <w:rsid w:val="00100C11"/>
    <w:rsid w:val="00100CD4"/>
    <w:rsid w:val="00100E3D"/>
    <w:rsid w:val="00100E4A"/>
    <w:rsid w:val="00100ED5"/>
    <w:rsid w:val="00100F06"/>
    <w:rsid w:val="00100F1E"/>
    <w:rsid w:val="00100F4F"/>
    <w:rsid w:val="00100FBB"/>
    <w:rsid w:val="00101027"/>
    <w:rsid w:val="00101200"/>
    <w:rsid w:val="00101243"/>
    <w:rsid w:val="0010178A"/>
    <w:rsid w:val="001019B9"/>
    <w:rsid w:val="001019EC"/>
    <w:rsid w:val="00101CB6"/>
    <w:rsid w:val="001020B3"/>
    <w:rsid w:val="00102197"/>
    <w:rsid w:val="001022BA"/>
    <w:rsid w:val="001022DC"/>
    <w:rsid w:val="00102364"/>
    <w:rsid w:val="0010269C"/>
    <w:rsid w:val="0010270F"/>
    <w:rsid w:val="001027CC"/>
    <w:rsid w:val="00102AEA"/>
    <w:rsid w:val="00102DAA"/>
    <w:rsid w:val="00102F87"/>
    <w:rsid w:val="001030DC"/>
    <w:rsid w:val="00103325"/>
    <w:rsid w:val="00103460"/>
    <w:rsid w:val="0010357F"/>
    <w:rsid w:val="00103597"/>
    <w:rsid w:val="00103DB0"/>
    <w:rsid w:val="00103FFB"/>
    <w:rsid w:val="00104B04"/>
    <w:rsid w:val="00104E24"/>
    <w:rsid w:val="001051BF"/>
    <w:rsid w:val="00105765"/>
    <w:rsid w:val="001057F8"/>
    <w:rsid w:val="001058FE"/>
    <w:rsid w:val="00105986"/>
    <w:rsid w:val="00105E96"/>
    <w:rsid w:val="001061DB"/>
    <w:rsid w:val="001061EF"/>
    <w:rsid w:val="001064E9"/>
    <w:rsid w:val="00106593"/>
    <w:rsid w:val="00106775"/>
    <w:rsid w:val="0010680A"/>
    <w:rsid w:val="00106A3E"/>
    <w:rsid w:val="00106AA1"/>
    <w:rsid w:val="00106EF6"/>
    <w:rsid w:val="001072C1"/>
    <w:rsid w:val="001072E7"/>
    <w:rsid w:val="001075A8"/>
    <w:rsid w:val="001077C0"/>
    <w:rsid w:val="00107A57"/>
    <w:rsid w:val="00107EFB"/>
    <w:rsid w:val="00110392"/>
    <w:rsid w:val="001103EC"/>
    <w:rsid w:val="001103F2"/>
    <w:rsid w:val="00110768"/>
    <w:rsid w:val="00110A0B"/>
    <w:rsid w:val="00110A65"/>
    <w:rsid w:val="00110B84"/>
    <w:rsid w:val="00110E53"/>
    <w:rsid w:val="0011111F"/>
    <w:rsid w:val="00111160"/>
    <w:rsid w:val="001113BC"/>
    <w:rsid w:val="00111698"/>
    <w:rsid w:val="00111704"/>
    <w:rsid w:val="00111A3D"/>
    <w:rsid w:val="00111B07"/>
    <w:rsid w:val="00111BF7"/>
    <w:rsid w:val="00111F4B"/>
    <w:rsid w:val="0011240E"/>
    <w:rsid w:val="001124F8"/>
    <w:rsid w:val="00112841"/>
    <w:rsid w:val="001129F9"/>
    <w:rsid w:val="00112A4A"/>
    <w:rsid w:val="00112DA5"/>
    <w:rsid w:val="00112E53"/>
    <w:rsid w:val="00112E73"/>
    <w:rsid w:val="001130D4"/>
    <w:rsid w:val="00113177"/>
    <w:rsid w:val="001132AF"/>
    <w:rsid w:val="00113585"/>
    <w:rsid w:val="001136EA"/>
    <w:rsid w:val="001136FE"/>
    <w:rsid w:val="00113C56"/>
    <w:rsid w:val="00113E5D"/>
    <w:rsid w:val="00113F49"/>
    <w:rsid w:val="0011454E"/>
    <w:rsid w:val="00114E55"/>
    <w:rsid w:val="001153B2"/>
    <w:rsid w:val="00115842"/>
    <w:rsid w:val="00115994"/>
    <w:rsid w:val="001159DE"/>
    <w:rsid w:val="00115B33"/>
    <w:rsid w:val="00115B8E"/>
    <w:rsid w:val="001160E8"/>
    <w:rsid w:val="001165AD"/>
    <w:rsid w:val="0011669B"/>
    <w:rsid w:val="00116BD3"/>
    <w:rsid w:val="00116C4E"/>
    <w:rsid w:val="00116E87"/>
    <w:rsid w:val="001172F5"/>
    <w:rsid w:val="0011751D"/>
    <w:rsid w:val="00117EF7"/>
    <w:rsid w:val="00120247"/>
    <w:rsid w:val="00120402"/>
    <w:rsid w:val="00120579"/>
    <w:rsid w:val="00120B86"/>
    <w:rsid w:val="00121157"/>
    <w:rsid w:val="00121174"/>
    <w:rsid w:val="001212C5"/>
    <w:rsid w:val="00121571"/>
    <w:rsid w:val="00121833"/>
    <w:rsid w:val="00121A71"/>
    <w:rsid w:val="00121B34"/>
    <w:rsid w:val="00121C31"/>
    <w:rsid w:val="001225F6"/>
    <w:rsid w:val="00122E44"/>
    <w:rsid w:val="00122E4D"/>
    <w:rsid w:val="00122F3C"/>
    <w:rsid w:val="001230B2"/>
    <w:rsid w:val="0012316E"/>
    <w:rsid w:val="00123669"/>
    <w:rsid w:val="001236D7"/>
    <w:rsid w:val="00123C51"/>
    <w:rsid w:val="00123CC3"/>
    <w:rsid w:val="00123EF0"/>
    <w:rsid w:val="0012452A"/>
    <w:rsid w:val="00124733"/>
    <w:rsid w:val="00124748"/>
    <w:rsid w:val="00124962"/>
    <w:rsid w:val="00124C6C"/>
    <w:rsid w:val="00124F00"/>
    <w:rsid w:val="001253FC"/>
    <w:rsid w:val="0012560C"/>
    <w:rsid w:val="00125B7D"/>
    <w:rsid w:val="001266F8"/>
    <w:rsid w:val="0012694A"/>
    <w:rsid w:val="00126FF3"/>
    <w:rsid w:val="001270D7"/>
    <w:rsid w:val="0012718A"/>
    <w:rsid w:val="001278D5"/>
    <w:rsid w:val="00127B36"/>
    <w:rsid w:val="00130222"/>
    <w:rsid w:val="00130357"/>
    <w:rsid w:val="001304EE"/>
    <w:rsid w:val="0013058E"/>
    <w:rsid w:val="001306C2"/>
    <w:rsid w:val="0013087E"/>
    <w:rsid w:val="001308C5"/>
    <w:rsid w:val="001308FC"/>
    <w:rsid w:val="00130960"/>
    <w:rsid w:val="00130974"/>
    <w:rsid w:val="00130989"/>
    <w:rsid w:val="00130AC9"/>
    <w:rsid w:val="00130B95"/>
    <w:rsid w:val="00130B97"/>
    <w:rsid w:val="00130CDD"/>
    <w:rsid w:val="00130D1D"/>
    <w:rsid w:val="00130D3A"/>
    <w:rsid w:val="00130DC3"/>
    <w:rsid w:val="00130E7B"/>
    <w:rsid w:val="00130F96"/>
    <w:rsid w:val="00130FB7"/>
    <w:rsid w:val="0013145A"/>
    <w:rsid w:val="001318CB"/>
    <w:rsid w:val="00131A84"/>
    <w:rsid w:val="00131B1C"/>
    <w:rsid w:val="00131BEF"/>
    <w:rsid w:val="00131C62"/>
    <w:rsid w:val="0013208A"/>
    <w:rsid w:val="001323A5"/>
    <w:rsid w:val="001327DC"/>
    <w:rsid w:val="00132BB1"/>
    <w:rsid w:val="00132BC0"/>
    <w:rsid w:val="00132DFD"/>
    <w:rsid w:val="00132EF2"/>
    <w:rsid w:val="0013326E"/>
    <w:rsid w:val="00133490"/>
    <w:rsid w:val="00133AF1"/>
    <w:rsid w:val="00133BBA"/>
    <w:rsid w:val="00133C77"/>
    <w:rsid w:val="00133D10"/>
    <w:rsid w:val="00133D19"/>
    <w:rsid w:val="00133F50"/>
    <w:rsid w:val="001340CB"/>
    <w:rsid w:val="0013414A"/>
    <w:rsid w:val="001344E1"/>
    <w:rsid w:val="001345DE"/>
    <w:rsid w:val="0013479E"/>
    <w:rsid w:val="001347F7"/>
    <w:rsid w:val="001348F6"/>
    <w:rsid w:val="00134A1D"/>
    <w:rsid w:val="00134C15"/>
    <w:rsid w:val="00134F9D"/>
    <w:rsid w:val="00135030"/>
    <w:rsid w:val="00135096"/>
    <w:rsid w:val="00135287"/>
    <w:rsid w:val="00135695"/>
    <w:rsid w:val="001357E7"/>
    <w:rsid w:val="0013588A"/>
    <w:rsid w:val="0013593C"/>
    <w:rsid w:val="00135B36"/>
    <w:rsid w:val="00135C69"/>
    <w:rsid w:val="00135DC4"/>
    <w:rsid w:val="00135F36"/>
    <w:rsid w:val="00136151"/>
    <w:rsid w:val="0013654F"/>
    <w:rsid w:val="001366DC"/>
    <w:rsid w:val="00136726"/>
    <w:rsid w:val="00136AD3"/>
    <w:rsid w:val="00136C41"/>
    <w:rsid w:val="00136DF8"/>
    <w:rsid w:val="00136E01"/>
    <w:rsid w:val="00136EC3"/>
    <w:rsid w:val="0013708E"/>
    <w:rsid w:val="00137899"/>
    <w:rsid w:val="001379F3"/>
    <w:rsid w:val="00137A14"/>
    <w:rsid w:val="00137A60"/>
    <w:rsid w:val="00137ADC"/>
    <w:rsid w:val="00137BE6"/>
    <w:rsid w:val="00137D6A"/>
    <w:rsid w:val="00137DBE"/>
    <w:rsid w:val="00137F83"/>
    <w:rsid w:val="0014010C"/>
    <w:rsid w:val="001402AD"/>
    <w:rsid w:val="00140398"/>
    <w:rsid w:val="001408A2"/>
    <w:rsid w:val="00140976"/>
    <w:rsid w:val="00140C59"/>
    <w:rsid w:val="00140D20"/>
    <w:rsid w:val="00140E74"/>
    <w:rsid w:val="00140FC9"/>
    <w:rsid w:val="001412A5"/>
    <w:rsid w:val="0014166A"/>
    <w:rsid w:val="0014181B"/>
    <w:rsid w:val="00141A6E"/>
    <w:rsid w:val="00141AF3"/>
    <w:rsid w:val="00141CA5"/>
    <w:rsid w:val="001426CA"/>
    <w:rsid w:val="00142762"/>
    <w:rsid w:val="00142927"/>
    <w:rsid w:val="00143115"/>
    <w:rsid w:val="0014380E"/>
    <w:rsid w:val="00143B81"/>
    <w:rsid w:val="00143CA1"/>
    <w:rsid w:val="00143CB9"/>
    <w:rsid w:val="00143D66"/>
    <w:rsid w:val="0014427F"/>
    <w:rsid w:val="001444FC"/>
    <w:rsid w:val="001445F3"/>
    <w:rsid w:val="001446F9"/>
    <w:rsid w:val="00144779"/>
    <w:rsid w:val="0014482A"/>
    <w:rsid w:val="00144920"/>
    <w:rsid w:val="00144989"/>
    <w:rsid w:val="001449C2"/>
    <w:rsid w:val="00144AC2"/>
    <w:rsid w:val="00144B7F"/>
    <w:rsid w:val="00144C28"/>
    <w:rsid w:val="00144F5E"/>
    <w:rsid w:val="00144FDE"/>
    <w:rsid w:val="001452E6"/>
    <w:rsid w:val="001453B3"/>
    <w:rsid w:val="001454BD"/>
    <w:rsid w:val="00145560"/>
    <w:rsid w:val="0014564C"/>
    <w:rsid w:val="00145735"/>
    <w:rsid w:val="00145B5C"/>
    <w:rsid w:val="00145E5F"/>
    <w:rsid w:val="001466D9"/>
    <w:rsid w:val="001466F2"/>
    <w:rsid w:val="0014672C"/>
    <w:rsid w:val="00146DEE"/>
    <w:rsid w:val="00146EB1"/>
    <w:rsid w:val="00146ECE"/>
    <w:rsid w:val="00146EE1"/>
    <w:rsid w:val="001470B7"/>
    <w:rsid w:val="001472E6"/>
    <w:rsid w:val="00147440"/>
    <w:rsid w:val="001476B5"/>
    <w:rsid w:val="001476C3"/>
    <w:rsid w:val="0014783E"/>
    <w:rsid w:val="00147861"/>
    <w:rsid w:val="001479F9"/>
    <w:rsid w:val="00147CE6"/>
    <w:rsid w:val="00147D2F"/>
    <w:rsid w:val="001500F2"/>
    <w:rsid w:val="001500F4"/>
    <w:rsid w:val="00150409"/>
    <w:rsid w:val="00150DB8"/>
    <w:rsid w:val="00150ED5"/>
    <w:rsid w:val="00150FA4"/>
    <w:rsid w:val="0015148C"/>
    <w:rsid w:val="00151527"/>
    <w:rsid w:val="00151E4D"/>
    <w:rsid w:val="00151E89"/>
    <w:rsid w:val="001520F8"/>
    <w:rsid w:val="001522F5"/>
    <w:rsid w:val="0015249D"/>
    <w:rsid w:val="00152510"/>
    <w:rsid w:val="00152645"/>
    <w:rsid w:val="0015274A"/>
    <w:rsid w:val="00152DC3"/>
    <w:rsid w:val="00153081"/>
    <w:rsid w:val="00153411"/>
    <w:rsid w:val="00153A0F"/>
    <w:rsid w:val="00153B1B"/>
    <w:rsid w:val="00153EEE"/>
    <w:rsid w:val="001541AF"/>
    <w:rsid w:val="00154377"/>
    <w:rsid w:val="001548E9"/>
    <w:rsid w:val="001549CD"/>
    <w:rsid w:val="00154A05"/>
    <w:rsid w:val="00154BA0"/>
    <w:rsid w:val="00154C71"/>
    <w:rsid w:val="00154CBB"/>
    <w:rsid w:val="00154EB8"/>
    <w:rsid w:val="00154EF3"/>
    <w:rsid w:val="00154F78"/>
    <w:rsid w:val="00154FA3"/>
    <w:rsid w:val="0015509B"/>
    <w:rsid w:val="00155195"/>
    <w:rsid w:val="001558EF"/>
    <w:rsid w:val="001559F5"/>
    <w:rsid w:val="00155A12"/>
    <w:rsid w:val="00155C90"/>
    <w:rsid w:val="00155D15"/>
    <w:rsid w:val="00155E7E"/>
    <w:rsid w:val="00155EC3"/>
    <w:rsid w:val="00155FC0"/>
    <w:rsid w:val="00156315"/>
    <w:rsid w:val="00156373"/>
    <w:rsid w:val="001563D6"/>
    <w:rsid w:val="0015680F"/>
    <w:rsid w:val="00156E0E"/>
    <w:rsid w:val="00156E89"/>
    <w:rsid w:val="00156EF0"/>
    <w:rsid w:val="00156F25"/>
    <w:rsid w:val="00156FE3"/>
    <w:rsid w:val="00157059"/>
    <w:rsid w:val="0015718B"/>
    <w:rsid w:val="001571E5"/>
    <w:rsid w:val="001576FC"/>
    <w:rsid w:val="00157A10"/>
    <w:rsid w:val="00157B15"/>
    <w:rsid w:val="00157E72"/>
    <w:rsid w:val="00157E7B"/>
    <w:rsid w:val="001601D8"/>
    <w:rsid w:val="00160339"/>
    <w:rsid w:val="001604E3"/>
    <w:rsid w:val="00160532"/>
    <w:rsid w:val="0016065A"/>
    <w:rsid w:val="00160751"/>
    <w:rsid w:val="00160962"/>
    <w:rsid w:val="001612F3"/>
    <w:rsid w:val="00161427"/>
    <w:rsid w:val="0016167E"/>
    <w:rsid w:val="00161776"/>
    <w:rsid w:val="00161C70"/>
    <w:rsid w:val="001620D4"/>
    <w:rsid w:val="00162172"/>
    <w:rsid w:val="00162824"/>
    <w:rsid w:val="00162B5D"/>
    <w:rsid w:val="00162C73"/>
    <w:rsid w:val="00162E2F"/>
    <w:rsid w:val="00163061"/>
    <w:rsid w:val="00163128"/>
    <w:rsid w:val="001636C3"/>
    <w:rsid w:val="0016382B"/>
    <w:rsid w:val="00163BC9"/>
    <w:rsid w:val="00163C4B"/>
    <w:rsid w:val="00163FC3"/>
    <w:rsid w:val="001640D9"/>
    <w:rsid w:val="001645E4"/>
    <w:rsid w:val="001649AB"/>
    <w:rsid w:val="001649BE"/>
    <w:rsid w:val="00164A67"/>
    <w:rsid w:val="00164C65"/>
    <w:rsid w:val="00164CC8"/>
    <w:rsid w:val="00164CD5"/>
    <w:rsid w:val="00164DA4"/>
    <w:rsid w:val="0016506E"/>
    <w:rsid w:val="0016596C"/>
    <w:rsid w:val="001659F7"/>
    <w:rsid w:val="00165AAA"/>
    <w:rsid w:val="0016611E"/>
    <w:rsid w:val="00166130"/>
    <w:rsid w:val="001662DA"/>
    <w:rsid w:val="00166606"/>
    <w:rsid w:val="00166C6C"/>
    <w:rsid w:val="00166FB9"/>
    <w:rsid w:val="001671CA"/>
    <w:rsid w:val="001673AB"/>
    <w:rsid w:val="001673AE"/>
    <w:rsid w:val="0016792A"/>
    <w:rsid w:val="001679F0"/>
    <w:rsid w:val="00167A37"/>
    <w:rsid w:val="00167FAE"/>
    <w:rsid w:val="001705D1"/>
    <w:rsid w:val="001706C2"/>
    <w:rsid w:val="0017071E"/>
    <w:rsid w:val="00170955"/>
    <w:rsid w:val="00170A57"/>
    <w:rsid w:val="00170B1C"/>
    <w:rsid w:val="00170B2F"/>
    <w:rsid w:val="00170D07"/>
    <w:rsid w:val="00170EFD"/>
    <w:rsid w:val="00170FA5"/>
    <w:rsid w:val="001711EF"/>
    <w:rsid w:val="00171281"/>
    <w:rsid w:val="001713D1"/>
    <w:rsid w:val="001715B5"/>
    <w:rsid w:val="0017173F"/>
    <w:rsid w:val="00171777"/>
    <w:rsid w:val="001717F3"/>
    <w:rsid w:val="00171BB3"/>
    <w:rsid w:val="00171C21"/>
    <w:rsid w:val="00171DE8"/>
    <w:rsid w:val="00171E19"/>
    <w:rsid w:val="001724ED"/>
    <w:rsid w:val="00172595"/>
    <w:rsid w:val="001727C1"/>
    <w:rsid w:val="00172844"/>
    <w:rsid w:val="00172975"/>
    <w:rsid w:val="00172A27"/>
    <w:rsid w:val="00172BE6"/>
    <w:rsid w:val="00172D29"/>
    <w:rsid w:val="00172EB3"/>
    <w:rsid w:val="00172F42"/>
    <w:rsid w:val="00173127"/>
    <w:rsid w:val="00173281"/>
    <w:rsid w:val="0017360F"/>
    <w:rsid w:val="00173AF4"/>
    <w:rsid w:val="00173FC7"/>
    <w:rsid w:val="00174031"/>
    <w:rsid w:val="00174116"/>
    <w:rsid w:val="001741E5"/>
    <w:rsid w:val="00174529"/>
    <w:rsid w:val="0017459E"/>
    <w:rsid w:val="00174644"/>
    <w:rsid w:val="00174679"/>
    <w:rsid w:val="001747C7"/>
    <w:rsid w:val="00174A73"/>
    <w:rsid w:val="00174A77"/>
    <w:rsid w:val="00174B64"/>
    <w:rsid w:val="00174BCD"/>
    <w:rsid w:val="00174D8C"/>
    <w:rsid w:val="00174FE0"/>
    <w:rsid w:val="00175215"/>
    <w:rsid w:val="001754AA"/>
    <w:rsid w:val="00175898"/>
    <w:rsid w:val="0017591B"/>
    <w:rsid w:val="0017596E"/>
    <w:rsid w:val="00175A4A"/>
    <w:rsid w:val="00175DE8"/>
    <w:rsid w:val="00175F53"/>
    <w:rsid w:val="0017610A"/>
    <w:rsid w:val="0017636B"/>
    <w:rsid w:val="00176455"/>
    <w:rsid w:val="00176A4A"/>
    <w:rsid w:val="00176DAB"/>
    <w:rsid w:val="00176EE7"/>
    <w:rsid w:val="001771B4"/>
    <w:rsid w:val="001774A2"/>
    <w:rsid w:val="001774D5"/>
    <w:rsid w:val="001775B4"/>
    <w:rsid w:val="00177C3A"/>
    <w:rsid w:val="00177F90"/>
    <w:rsid w:val="001804C1"/>
    <w:rsid w:val="0018050B"/>
    <w:rsid w:val="00180542"/>
    <w:rsid w:val="001808FA"/>
    <w:rsid w:val="00180BB2"/>
    <w:rsid w:val="00180BB8"/>
    <w:rsid w:val="001810D3"/>
    <w:rsid w:val="001812F8"/>
    <w:rsid w:val="00181328"/>
    <w:rsid w:val="001815A9"/>
    <w:rsid w:val="00181719"/>
    <w:rsid w:val="001817A2"/>
    <w:rsid w:val="001818FA"/>
    <w:rsid w:val="001819EF"/>
    <w:rsid w:val="00181A5C"/>
    <w:rsid w:val="00181B1F"/>
    <w:rsid w:val="00181CB2"/>
    <w:rsid w:val="00181D1A"/>
    <w:rsid w:val="0018200E"/>
    <w:rsid w:val="001825FE"/>
    <w:rsid w:val="0018265C"/>
    <w:rsid w:val="00182B56"/>
    <w:rsid w:val="00182B89"/>
    <w:rsid w:val="00182BCA"/>
    <w:rsid w:val="00182DD7"/>
    <w:rsid w:val="00182F64"/>
    <w:rsid w:val="00182FD3"/>
    <w:rsid w:val="00183174"/>
    <w:rsid w:val="00183504"/>
    <w:rsid w:val="0018350D"/>
    <w:rsid w:val="001836E8"/>
    <w:rsid w:val="001837B4"/>
    <w:rsid w:val="00183E58"/>
    <w:rsid w:val="00183EFF"/>
    <w:rsid w:val="0018450D"/>
    <w:rsid w:val="00184558"/>
    <w:rsid w:val="00184BE5"/>
    <w:rsid w:val="00184C9D"/>
    <w:rsid w:val="00184F55"/>
    <w:rsid w:val="00184F9E"/>
    <w:rsid w:val="00184FCD"/>
    <w:rsid w:val="00185312"/>
    <w:rsid w:val="001853FD"/>
    <w:rsid w:val="00185753"/>
    <w:rsid w:val="0018582D"/>
    <w:rsid w:val="001861E1"/>
    <w:rsid w:val="00186225"/>
    <w:rsid w:val="0018673C"/>
    <w:rsid w:val="001868CE"/>
    <w:rsid w:val="00186987"/>
    <w:rsid w:val="00186A61"/>
    <w:rsid w:val="00186F84"/>
    <w:rsid w:val="0018713D"/>
    <w:rsid w:val="00187674"/>
    <w:rsid w:val="001877EA"/>
    <w:rsid w:val="00187864"/>
    <w:rsid w:val="00187B89"/>
    <w:rsid w:val="00190823"/>
    <w:rsid w:val="0019087E"/>
    <w:rsid w:val="00190B9D"/>
    <w:rsid w:val="00190DAE"/>
    <w:rsid w:val="00190E08"/>
    <w:rsid w:val="00190FF1"/>
    <w:rsid w:val="00191162"/>
    <w:rsid w:val="0019123E"/>
    <w:rsid w:val="0019172B"/>
    <w:rsid w:val="00191795"/>
    <w:rsid w:val="0019187C"/>
    <w:rsid w:val="00191A36"/>
    <w:rsid w:val="00191C3D"/>
    <w:rsid w:val="00191F1B"/>
    <w:rsid w:val="00192537"/>
    <w:rsid w:val="00192568"/>
    <w:rsid w:val="001928B2"/>
    <w:rsid w:val="001928BF"/>
    <w:rsid w:val="00192947"/>
    <w:rsid w:val="00192D68"/>
    <w:rsid w:val="00192EDD"/>
    <w:rsid w:val="00192F37"/>
    <w:rsid w:val="00192FA4"/>
    <w:rsid w:val="001932AE"/>
    <w:rsid w:val="00193A03"/>
    <w:rsid w:val="00193BCE"/>
    <w:rsid w:val="00193D25"/>
    <w:rsid w:val="00193E47"/>
    <w:rsid w:val="00193E51"/>
    <w:rsid w:val="00193EA7"/>
    <w:rsid w:val="001942FB"/>
    <w:rsid w:val="00194322"/>
    <w:rsid w:val="00194350"/>
    <w:rsid w:val="00194688"/>
    <w:rsid w:val="00194746"/>
    <w:rsid w:val="00194BBD"/>
    <w:rsid w:val="00194E69"/>
    <w:rsid w:val="00194F53"/>
    <w:rsid w:val="00195BF5"/>
    <w:rsid w:val="00195F0B"/>
    <w:rsid w:val="00195F4D"/>
    <w:rsid w:val="00196015"/>
    <w:rsid w:val="00196218"/>
    <w:rsid w:val="00196327"/>
    <w:rsid w:val="001963DC"/>
    <w:rsid w:val="00196799"/>
    <w:rsid w:val="001967DD"/>
    <w:rsid w:val="0019693D"/>
    <w:rsid w:val="00196947"/>
    <w:rsid w:val="00196968"/>
    <w:rsid w:val="001969AC"/>
    <w:rsid w:val="00196AE9"/>
    <w:rsid w:val="00196BB2"/>
    <w:rsid w:val="00197110"/>
    <w:rsid w:val="0019712B"/>
    <w:rsid w:val="00197522"/>
    <w:rsid w:val="00197604"/>
    <w:rsid w:val="00197928"/>
    <w:rsid w:val="00197B00"/>
    <w:rsid w:val="001A0133"/>
    <w:rsid w:val="001A0198"/>
    <w:rsid w:val="001A040A"/>
    <w:rsid w:val="001A0529"/>
    <w:rsid w:val="001A070D"/>
    <w:rsid w:val="001A07F1"/>
    <w:rsid w:val="001A084A"/>
    <w:rsid w:val="001A08AD"/>
    <w:rsid w:val="001A0DE1"/>
    <w:rsid w:val="001A101D"/>
    <w:rsid w:val="001A104A"/>
    <w:rsid w:val="001A10CA"/>
    <w:rsid w:val="001A132A"/>
    <w:rsid w:val="001A1547"/>
    <w:rsid w:val="001A1692"/>
    <w:rsid w:val="001A20BE"/>
    <w:rsid w:val="001A24B5"/>
    <w:rsid w:val="001A2765"/>
    <w:rsid w:val="001A2830"/>
    <w:rsid w:val="001A2881"/>
    <w:rsid w:val="001A28C3"/>
    <w:rsid w:val="001A2983"/>
    <w:rsid w:val="001A2997"/>
    <w:rsid w:val="001A29BE"/>
    <w:rsid w:val="001A2A5F"/>
    <w:rsid w:val="001A2CC2"/>
    <w:rsid w:val="001A36B1"/>
    <w:rsid w:val="001A36BC"/>
    <w:rsid w:val="001A3707"/>
    <w:rsid w:val="001A38F0"/>
    <w:rsid w:val="001A3979"/>
    <w:rsid w:val="001A3A86"/>
    <w:rsid w:val="001A3AFF"/>
    <w:rsid w:val="001A3CA8"/>
    <w:rsid w:val="001A3CD5"/>
    <w:rsid w:val="001A42B4"/>
    <w:rsid w:val="001A4315"/>
    <w:rsid w:val="001A44FF"/>
    <w:rsid w:val="001A45E1"/>
    <w:rsid w:val="001A47F9"/>
    <w:rsid w:val="001A48F4"/>
    <w:rsid w:val="001A4D93"/>
    <w:rsid w:val="001A4E71"/>
    <w:rsid w:val="001A4E73"/>
    <w:rsid w:val="001A4EE5"/>
    <w:rsid w:val="001A5031"/>
    <w:rsid w:val="001A54D0"/>
    <w:rsid w:val="001A5754"/>
    <w:rsid w:val="001A5B54"/>
    <w:rsid w:val="001A5C29"/>
    <w:rsid w:val="001A5C40"/>
    <w:rsid w:val="001A5E53"/>
    <w:rsid w:val="001A5F55"/>
    <w:rsid w:val="001A6026"/>
    <w:rsid w:val="001A6292"/>
    <w:rsid w:val="001A6358"/>
    <w:rsid w:val="001A64E0"/>
    <w:rsid w:val="001A6901"/>
    <w:rsid w:val="001A69BE"/>
    <w:rsid w:val="001A6B1D"/>
    <w:rsid w:val="001A6BBD"/>
    <w:rsid w:val="001A6BD3"/>
    <w:rsid w:val="001A6CE6"/>
    <w:rsid w:val="001A700F"/>
    <w:rsid w:val="001A72D8"/>
    <w:rsid w:val="001A7618"/>
    <w:rsid w:val="001A7624"/>
    <w:rsid w:val="001A79B8"/>
    <w:rsid w:val="001A7D03"/>
    <w:rsid w:val="001B0129"/>
    <w:rsid w:val="001B01E7"/>
    <w:rsid w:val="001B037A"/>
    <w:rsid w:val="001B0560"/>
    <w:rsid w:val="001B0753"/>
    <w:rsid w:val="001B0A40"/>
    <w:rsid w:val="001B0A48"/>
    <w:rsid w:val="001B0B45"/>
    <w:rsid w:val="001B0F55"/>
    <w:rsid w:val="001B0F8B"/>
    <w:rsid w:val="001B0FDF"/>
    <w:rsid w:val="001B16DE"/>
    <w:rsid w:val="001B190D"/>
    <w:rsid w:val="001B1D7E"/>
    <w:rsid w:val="001B1F41"/>
    <w:rsid w:val="001B1FD5"/>
    <w:rsid w:val="001B1FF0"/>
    <w:rsid w:val="001B21F4"/>
    <w:rsid w:val="001B23CA"/>
    <w:rsid w:val="001B24FD"/>
    <w:rsid w:val="001B2583"/>
    <w:rsid w:val="001B2668"/>
    <w:rsid w:val="001B284C"/>
    <w:rsid w:val="001B31AE"/>
    <w:rsid w:val="001B34CF"/>
    <w:rsid w:val="001B3856"/>
    <w:rsid w:val="001B393E"/>
    <w:rsid w:val="001B3968"/>
    <w:rsid w:val="001B3AE8"/>
    <w:rsid w:val="001B3AED"/>
    <w:rsid w:val="001B3C7C"/>
    <w:rsid w:val="001B3C93"/>
    <w:rsid w:val="001B3D2C"/>
    <w:rsid w:val="001B3F0A"/>
    <w:rsid w:val="001B407B"/>
    <w:rsid w:val="001B4109"/>
    <w:rsid w:val="001B42D6"/>
    <w:rsid w:val="001B4599"/>
    <w:rsid w:val="001B4885"/>
    <w:rsid w:val="001B49CB"/>
    <w:rsid w:val="001B4F56"/>
    <w:rsid w:val="001B5439"/>
    <w:rsid w:val="001B5492"/>
    <w:rsid w:val="001B550F"/>
    <w:rsid w:val="001B55AF"/>
    <w:rsid w:val="001B5799"/>
    <w:rsid w:val="001B5928"/>
    <w:rsid w:val="001B5AFD"/>
    <w:rsid w:val="001B5C4C"/>
    <w:rsid w:val="001B5DC0"/>
    <w:rsid w:val="001B5F74"/>
    <w:rsid w:val="001B65D1"/>
    <w:rsid w:val="001B6921"/>
    <w:rsid w:val="001B6B38"/>
    <w:rsid w:val="001B6DE1"/>
    <w:rsid w:val="001B6E6C"/>
    <w:rsid w:val="001B70E1"/>
    <w:rsid w:val="001B71FF"/>
    <w:rsid w:val="001B7244"/>
    <w:rsid w:val="001B7392"/>
    <w:rsid w:val="001B7764"/>
    <w:rsid w:val="001B776D"/>
    <w:rsid w:val="001B782D"/>
    <w:rsid w:val="001B795F"/>
    <w:rsid w:val="001B7CD4"/>
    <w:rsid w:val="001C04CA"/>
    <w:rsid w:val="001C06AE"/>
    <w:rsid w:val="001C094A"/>
    <w:rsid w:val="001C0978"/>
    <w:rsid w:val="001C1161"/>
    <w:rsid w:val="001C11F5"/>
    <w:rsid w:val="001C1416"/>
    <w:rsid w:val="001C14BC"/>
    <w:rsid w:val="001C1595"/>
    <w:rsid w:val="001C16B3"/>
    <w:rsid w:val="001C1AE4"/>
    <w:rsid w:val="001C1B58"/>
    <w:rsid w:val="001C21A8"/>
    <w:rsid w:val="001C2352"/>
    <w:rsid w:val="001C25B1"/>
    <w:rsid w:val="001C25F3"/>
    <w:rsid w:val="001C2894"/>
    <w:rsid w:val="001C2901"/>
    <w:rsid w:val="001C292E"/>
    <w:rsid w:val="001C2CAD"/>
    <w:rsid w:val="001C2F9A"/>
    <w:rsid w:val="001C30A4"/>
    <w:rsid w:val="001C378A"/>
    <w:rsid w:val="001C378D"/>
    <w:rsid w:val="001C37B4"/>
    <w:rsid w:val="001C38A0"/>
    <w:rsid w:val="001C3B54"/>
    <w:rsid w:val="001C3BBC"/>
    <w:rsid w:val="001C401D"/>
    <w:rsid w:val="001C43B8"/>
    <w:rsid w:val="001C44EA"/>
    <w:rsid w:val="001C4561"/>
    <w:rsid w:val="001C4A1B"/>
    <w:rsid w:val="001C4B8F"/>
    <w:rsid w:val="001C4EAD"/>
    <w:rsid w:val="001C4F0C"/>
    <w:rsid w:val="001C50A4"/>
    <w:rsid w:val="001C540C"/>
    <w:rsid w:val="001C57F6"/>
    <w:rsid w:val="001C5AF4"/>
    <w:rsid w:val="001C5CF7"/>
    <w:rsid w:val="001C6047"/>
    <w:rsid w:val="001C6260"/>
    <w:rsid w:val="001C631A"/>
    <w:rsid w:val="001C6413"/>
    <w:rsid w:val="001C665F"/>
    <w:rsid w:val="001C6815"/>
    <w:rsid w:val="001C6A75"/>
    <w:rsid w:val="001C6B3A"/>
    <w:rsid w:val="001C6EAC"/>
    <w:rsid w:val="001C7151"/>
    <w:rsid w:val="001C729F"/>
    <w:rsid w:val="001C7543"/>
    <w:rsid w:val="001C757C"/>
    <w:rsid w:val="001C75E5"/>
    <w:rsid w:val="001C7691"/>
    <w:rsid w:val="001C775B"/>
    <w:rsid w:val="001D0067"/>
    <w:rsid w:val="001D00E2"/>
    <w:rsid w:val="001D01E9"/>
    <w:rsid w:val="001D0267"/>
    <w:rsid w:val="001D02B3"/>
    <w:rsid w:val="001D049A"/>
    <w:rsid w:val="001D0527"/>
    <w:rsid w:val="001D06BD"/>
    <w:rsid w:val="001D08ED"/>
    <w:rsid w:val="001D08EF"/>
    <w:rsid w:val="001D0943"/>
    <w:rsid w:val="001D0A6F"/>
    <w:rsid w:val="001D0C2F"/>
    <w:rsid w:val="001D0D1E"/>
    <w:rsid w:val="001D0DD6"/>
    <w:rsid w:val="001D1832"/>
    <w:rsid w:val="001D1CDB"/>
    <w:rsid w:val="001D2273"/>
    <w:rsid w:val="001D26EC"/>
    <w:rsid w:val="001D2AFD"/>
    <w:rsid w:val="001D3257"/>
    <w:rsid w:val="001D361C"/>
    <w:rsid w:val="001D3904"/>
    <w:rsid w:val="001D3D3B"/>
    <w:rsid w:val="001D41ED"/>
    <w:rsid w:val="001D4632"/>
    <w:rsid w:val="001D4890"/>
    <w:rsid w:val="001D4898"/>
    <w:rsid w:val="001D48AD"/>
    <w:rsid w:val="001D49C6"/>
    <w:rsid w:val="001D4A63"/>
    <w:rsid w:val="001D4BFB"/>
    <w:rsid w:val="001D4C1A"/>
    <w:rsid w:val="001D4D45"/>
    <w:rsid w:val="001D4D92"/>
    <w:rsid w:val="001D4E5D"/>
    <w:rsid w:val="001D575F"/>
    <w:rsid w:val="001D5890"/>
    <w:rsid w:val="001D5ADD"/>
    <w:rsid w:val="001D5C05"/>
    <w:rsid w:val="001D5FE8"/>
    <w:rsid w:val="001D607C"/>
    <w:rsid w:val="001D63ED"/>
    <w:rsid w:val="001D6434"/>
    <w:rsid w:val="001D668E"/>
    <w:rsid w:val="001D6714"/>
    <w:rsid w:val="001D6749"/>
    <w:rsid w:val="001D6838"/>
    <w:rsid w:val="001D68BD"/>
    <w:rsid w:val="001D6927"/>
    <w:rsid w:val="001D698F"/>
    <w:rsid w:val="001D6A42"/>
    <w:rsid w:val="001D6C40"/>
    <w:rsid w:val="001D6C75"/>
    <w:rsid w:val="001D7129"/>
    <w:rsid w:val="001D765C"/>
    <w:rsid w:val="001D7814"/>
    <w:rsid w:val="001D7932"/>
    <w:rsid w:val="001D7A90"/>
    <w:rsid w:val="001D7B4C"/>
    <w:rsid w:val="001D7BF0"/>
    <w:rsid w:val="001D7E9A"/>
    <w:rsid w:val="001E0008"/>
    <w:rsid w:val="001E00C6"/>
    <w:rsid w:val="001E0447"/>
    <w:rsid w:val="001E06BF"/>
    <w:rsid w:val="001E07E6"/>
    <w:rsid w:val="001E08E8"/>
    <w:rsid w:val="001E0DDC"/>
    <w:rsid w:val="001E10E1"/>
    <w:rsid w:val="001E1256"/>
    <w:rsid w:val="001E14F8"/>
    <w:rsid w:val="001E1721"/>
    <w:rsid w:val="001E18DC"/>
    <w:rsid w:val="001E1993"/>
    <w:rsid w:val="001E1D80"/>
    <w:rsid w:val="001E1F07"/>
    <w:rsid w:val="001E1FE3"/>
    <w:rsid w:val="001E2064"/>
    <w:rsid w:val="001E2476"/>
    <w:rsid w:val="001E27AA"/>
    <w:rsid w:val="001E27B5"/>
    <w:rsid w:val="001E2819"/>
    <w:rsid w:val="001E28E7"/>
    <w:rsid w:val="001E2AC1"/>
    <w:rsid w:val="001E2CC4"/>
    <w:rsid w:val="001E2D64"/>
    <w:rsid w:val="001E2DFB"/>
    <w:rsid w:val="001E2E4C"/>
    <w:rsid w:val="001E34F8"/>
    <w:rsid w:val="001E368D"/>
    <w:rsid w:val="001E385B"/>
    <w:rsid w:val="001E3A75"/>
    <w:rsid w:val="001E3B12"/>
    <w:rsid w:val="001E3CF7"/>
    <w:rsid w:val="001E43AC"/>
    <w:rsid w:val="001E43D7"/>
    <w:rsid w:val="001E450F"/>
    <w:rsid w:val="001E46F2"/>
    <w:rsid w:val="001E4B76"/>
    <w:rsid w:val="001E4D0E"/>
    <w:rsid w:val="001E4E16"/>
    <w:rsid w:val="001E4F92"/>
    <w:rsid w:val="001E5185"/>
    <w:rsid w:val="001E54DD"/>
    <w:rsid w:val="001E5527"/>
    <w:rsid w:val="001E55EE"/>
    <w:rsid w:val="001E5605"/>
    <w:rsid w:val="001E560D"/>
    <w:rsid w:val="001E5917"/>
    <w:rsid w:val="001E59A6"/>
    <w:rsid w:val="001E5EF1"/>
    <w:rsid w:val="001E5F3A"/>
    <w:rsid w:val="001E5FAB"/>
    <w:rsid w:val="001E60B3"/>
    <w:rsid w:val="001E62E5"/>
    <w:rsid w:val="001E6552"/>
    <w:rsid w:val="001E6777"/>
    <w:rsid w:val="001E6816"/>
    <w:rsid w:val="001E6822"/>
    <w:rsid w:val="001E68F3"/>
    <w:rsid w:val="001E6B01"/>
    <w:rsid w:val="001E6B3D"/>
    <w:rsid w:val="001E6F4F"/>
    <w:rsid w:val="001E7203"/>
    <w:rsid w:val="001E72EF"/>
    <w:rsid w:val="001E7392"/>
    <w:rsid w:val="001E74CF"/>
    <w:rsid w:val="001E787F"/>
    <w:rsid w:val="001E7989"/>
    <w:rsid w:val="001E7E47"/>
    <w:rsid w:val="001F0089"/>
    <w:rsid w:val="001F00E3"/>
    <w:rsid w:val="001F018C"/>
    <w:rsid w:val="001F07DD"/>
    <w:rsid w:val="001F0893"/>
    <w:rsid w:val="001F0980"/>
    <w:rsid w:val="001F09BD"/>
    <w:rsid w:val="001F0A8C"/>
    <w:rsid w:val="001F0F4A"/>
    <w:rsid w:val="001F134E"/>
    <w:rsid w:val="001F13C8"/>
    <w:rsid w:val="001F151C"/>
    <w:rsid w:val="001F156C"/>
    <w:rsid w:val="001F1620"/>
    <w:rsid w:val="001F17CC"/>
    <w:rsid w:val="001F18D1"/>
    <w:rsid w:val="001F1B59"/>
    <w:rsid w:val="001F1D18"/>
    <w:rsid w:val="001F1D7C"/>
    <w:rsid w:val="001F21F0"/>
    <w:rsid w:val="001F261F"/>
    <w:rsid w:val="001F2B95"/>
    <w:rsid w:val="001F2EB6"/>
    <w:rsid w:val="001F2EF8"/>
    <w:rsid w:val="001F31E1"/>
    <w:rsid w:val="001F32D6"/>
    <w:rsid w:val="001F3335"/>
    <w:rsid w:val="001F335B"/>
    <w:rsid w:val="001F34D2"/>
    <w:rsid w:val="001F3A5E"/>
    <w:rsid w:val="001F3A88"/>
    <w:rsid w:val="001F3B3F"/>
    <w:rsid w:val="001F3BFE"/>
    <w:rsid w:val="001F3C3A"/>
    <w:rsid w:val="001F3E9D"/>
    <w:rsid w:val="001F4257"/>
    <w:rsid w:val="001F4618"/>
    <w:rsid w:val="001F47C8"/>
    <w:rsid w:val="001F47CD"/>
    <w:rsid w:val="001F48E9"/>
    <w:rsid w:val="001F49C2"/>
    <w:rsid w:val="001F49DC"/>
    <w:rsid w:val="001F4A6F"/>
    <w:rsid w:val="001F4ACD"/>
    <w:rsid w:val="001F4BD0"/>
    <w:rsid w:val="001F4C04"/>
    <w:rsid w:val="001F4E8E"/>
    <w:rsid w:val="001F503E"/>
    <w:rsid w:val="001F52DA"/>
    <w:rsid w:val="001F5527"/>
    <w:rsid w:val="001F5810"/>
    <w:rsid w:val="001F5865"/>
    <w:rsid w:val="001F586D"/>
    <w:rsid w:val="001F5A4D"/>
    <w:rsid w:val="001F5D87"/>
    <w:rsid w:val="001F5FF0"/>
    <w:rsid w:val="001F6024"/>
    <w:rsid w:val="001F6473"/>
    <w:rsid w:val="001F65A0"/>
    <w:rsid w:val="001F65AD"/>
    <w:rsid w:val="001F68C8"/>
    <w:rsid w:val="001F68CA"/>
    <w:rsid w:val="001F69F4"/>
    <w:rsid w:val="001F6B41"/>
    <w:rsid w:val="001F6D25"/>
    <w:rsid w:val="001F6DF2"/>
    <w:rsid w:val="001F6F64"/>
    <w:rsid w:val="001F7301"/>
    <w:rsid w:val="001F7523"/>
    <w:rsid w:val="001F757B"/>
    <w:rsid w:val="001F7636"/>
    <w:rsid w:val="001F798E"/>
    <w:rsid w:val="001F7EC8"/>
    <w:rsid w:val="00200268"/>
    <w:rsid w:val="002003A5"/>
    <w:rsid w:val="00200465"/>
    <w:rsid w:val="00200529"/>
    <w:rsid w:val="002007E4"/>
    <w:rsid w:val="0020090E"/>
    <w:rsid w:val="00200EA3"/>
    <w:rsid w:val="00200F28"/>
    <w:rsid w:val="00201161"/>
    <w:rsid w:val="00201409"/>
    <w:rsid w:val="002014BF"/>
    <w:rsid w:val="00201584"/>
    <w:rsid w:val="00201837"/>
    <w:rsid w:val="00201D27"/>
    <w:rsid w:val="00201EA6"/>
    <w:rsid w:val="00202123"/>
    <w:rsid w:val="00202462"/>
    <w:rsid w:val="00202511"/>
    <w:rsid w:val="002025B6"/>
    <w:rsid w:val="00202773"/>
    <w:rsid w:val="00202914"/>
    <w:rsid w:val="00202B22"/>
    <w:rsid w:val="00203374"/>
    <w:rsid w:val="002034D0"/>
    <w:rsid w:val="00203502"/>
    <w:rsid w:val="00203612"/>
    <w:rsid w:val="0020386D"/>
    <w:rsid w:val="002040C9"/>
    <w:rsid w:val="00204AE5"/>
    <w:rsid w:val="00204CDE"/>
    <w:rsid w:val="00204DDB"/>
    <w:rsid w:val="00204F7E"/>
    <w:rsid w:val="00205075"/>
    <w:rsid w:val="002055CB"/>
    <w:rsid w:val="002055CC"/>
    <w:rsid w:val="0020566D"/>
    <w:rsid w:val="00205857"/>
    <w:rsid w:val="00205C1E"/>
    <w:rsid w:val="00205DD0"/>
    <w:rsid w:val="00205E10"/>
    <w:rsid w:val="00205E91"/>
    <w:rsid w:val="00205F2A"/>
    <w:rsid w:val="00206264"/>
    <w:rsid w:val="00206308"/>
    <w:rsid w:val="0020638B"/>
    <w:rsid w:val="00206474"/>
    <w:rsid w:val="002065B8"/>
    <w:rsid w:val="00206704"/>
    <w:rsid w:val="00206712"/>
    <w:rsid w:val="00206764"/>
    <w:rsid w:val="00206971"/>
    <w:rsid w:val="00207113"/>
    <w:rsid w:val="0020737E"/>
    <w:rsid w:val="002077A0"/>
    <w:rsid w:val="002079B7"/>
    <w:rsid w:val="00207A86"/>
    <w:rsid w:val="00207B75"/>
    <w:rsid w:val="00207C9E"/>
    <w:rsid w:val="00207CC3"/>
    <w:rsid w:val="00207ED8"/>
    <w:rsid w:val="00207F29"/>
    <w:rsid w:val="00210181"/>
    <w:rsid w:val="00210372"/>
    <w:rsid w:val="0021045C"/>
    <w:rsid w:val="00210470"/>
    <w:rsid w:val="00210481"/>
    <w:rsid w:val="002104C9"/>
    <w:rsid w:val="002106EE"/>
    <w:rsid w:val="0021089F"/>
    <w:rsid w:val="0021090A"/>
    <w:rsid w:val="0021096E"/>
    <w:rsid w:val="00210A70"/>
    <w:rsid w:val="00210B11"/>
    <w:rsid w:val="00210B48"/>
    <w:rsid w:val="00210BD5"/>
    <w:rsid w:val="00210DCF"/>
    <w:rsid w:val="0021113C"/>
    <w:rsid w:val="002112BF"/>
    <w:rsid w:val="002113E0"/>
    <w:rsid w:val="00211A15"/>
    <w:rsid w:val="00211CA7"/>
    <w:rsid w:val="00211F5D"/>
    <w:rsid w:val="002120C1"/>
    <w:rsid w:val="002121F3"/>
    <w:rsid w:val="002123C3"/>
    <w:rsid w:val="00212715"/>
    <w:rsid w:val="002128C8"/>
    <w:rsid w:val="00212BDD"/>
    <w:rsid w:val="0021300D"/>
    <w:rsid w:val="002133FF"/>
    <w:rsid w:val="0021346F"/>
    <w:rsid w:val="00213636"/>
    <w:rsid w:val="00213AB4"/>
    <w:rsid w:val="00213AFA"/>
    <w:rsid w:val="00213F80"/>
    <w:rsid w:val="00214326"/>
    <w:rsid w:val="002143E1"/>
    <w:rsid w:val="002146B0"/>
    <w:rsid w:val="00214721"/>
    <w:rsid w:val="00214D1F"/>
    <w:rsid w:val="00214DC3"/>
    <w:rsid w:val="00214DE7"/>
    <w:rsid w:val="00214F27"/>
    <w:rsid w:val="0021500E"/>
    <w:rsid w:val="00215113"/>
    <w:rsid w:val="00215327"/>
    <w:rsid w:val="00215600"/>
    <w:rsid w:val="002159BC"/>
    <w:rsid w:val="00215FBD"/>
    <w:rsid w:val="002160AA"/>
    <w:rsid w:val="002161EB"/>
    <w:rsid w:val="00216235"/>
    <w:rsid w:val="0021633D"/>
    <w:rsid w:val="00216388"/>
    <w:rsid w:val="002163A0"/>
    <w:rsid w:val="0021642F"/>
    <w:rsid w:val="002164F3"/>
    <w:rsid w:val="0021661E"/>
    <w:rsid w:val="00216E0F"/>
    <w:rsid w:val="00216EC4"/>
    <w:rsid w:val="0021707E"/>
    <w:rsid w:val="00217340"/>
    <w:rsid w:val="002174D2"/>
    <w:rsid w:val="00217751"/>
    <w:rsid w:val="00217C56"/>
    <w:rsid w:val="00217E36"/>
    <w:rsid w:val="00220451"/>
    <w:rsid w:val="00220599"/>
    <w:rsid w:val="0022072E"/>
    <w:rsid w:val="002207C3"/>
    <w:rsid w:val="00220814"/>
    <w:rsid w:val="00220928"/>
    <w:rsid w:val="00220F3B"/>
    <w:rsid w:val="00221401"/>
    <w:rsid w:val="00221653"/>
    <w:rsid w:val="0022182F"/>
    <w:rsid w:val="00221933"/>
    <w:rsid w:val="00221AC3"/>
    <w:rsid w:val="00221BDD"/>
    <w:rsid w:val="00221D39"/>
    <w:rsid w:val="0022215A"/>
    <w:rsid w:val="002222C5"/>
    <w:rsid w:val="00222525"/>
    <w:rsid w:val="00222594"/>
    <w:rsid w:val="0022261C"/>
    <w:rsid w:val="00222A50"/>
    <w:rsid w:val="00222A66"/>
    <w:rsid w:val="00222BBE"/>
    <w:rsid w:val="00222C3B"/>
    <w:rsid w:val="00222E5E"/>
    <w:rsid w:val="0022314B"/>
    <w:rsid w:val="00223199"/>
    <w:rsid w:val="002231E6"/>
    <w:rsid w:val="002234BF"/>
    <w:rsid w:val="002237EA"/>
    <w:rsid w:val="002239DB"/>
    <w:rsid w:val="00223D28"/>
    <w:rsid w:val="00223E69"/>
    <w:rsid w:val="0022401B"/>
    <w:rsid w:val="00224226"/>
    <w:rsid w:val="0022426C"/>
    <w:rsid w:val="00224290"/>
    <w:rsid w:val="0022474B"/>
    <w:rsid w:val="0022475C"/>
    <w:rsid w:val="0022490F"/>
    <w:rsid w:val="002249BC"/>
    <w:rsid w:val="00224B50"/>
    <w:rsid w:val="00224DE8"/>
    <w:rsid w:val="00225165"/>
    <w:rsid w:val="002251D7"/>
    <w:rsid w:val="0022530D"/>
    <w:rsid w:val="002253B2"/>
    <w:rsid w:val="00225571"/>
    <w:rsid w:val="00225961"/>
    <w:rsid w:val="002259A7"/>
    <w:rsid w:val="002259D2"/>
    <w:rsid w:val="00225B32"/>
    <w:rsid w:val="00225D8A"/>
    <w:rsid w:val="00225F91"/>
    <w:rsid w:val="00226291"/>
    <w:rsid w:val="0022631A"/>
    <w:rsid w:val="0022642B"/>
    <w:rsid w:val="002264C2"/>
    <w:rsid w:val="00226730"/>
    <w:rsid w:val="002268A4"/>
    <w:rsid w:val="002268F9"/>
    <w:rsid w:val="002270CB"/>
    <w:rsid w:val="00227892"/>
    <w:rsid w:val="002278F3"/>
    <w:rsid w:val="00227AAA"/>
    <w:rsid w:val="00227DC8"/>
    <w:rsid w:val="00230136"/>
    <w:rsid w:val="00230180"/>
    <w:rsid w:val="0023021F"/>
    <w:rsid w:val="002302A8"/>
    <w:rsid w:val="00230319"/>
    <w:rsid w:val="002305E2"/>
    <w:rsid w:val="00230608"/>
    <w:rsid w:val="00230618"/>
    <w:rsid w:val="00230AB8"/>
    <w:rsid w:val="00230E26"/>
    <w:rsid w:val="00230E4E"/>
    <w:rsid w:val="00230FFC"/>
    <w:rsid w:val="002310DB"/>
    <w:rsid w:val="0023116C"/>
    <w:rsid w:val="002311DC"/>
    <w:rsid w:val="0023120F"/>
    <w:rsid w:val="002312AC"/>
    <w:rsid w:val="00231502"/>
    <w:rsid w:val="00231739"/>
    <w:rsid w:val="00231A7E"/>
    <w:rsid w:val="00231F0F"/>
    <w:rsid w:val="002321C6"/>
    <w:rsid w:val="002323CB"/>
    <w:rsid w:val="0023278F"/>
    <w:rsid w:val="00232976"/>
    <w:rsid w:val="0023298E"/>
    <w:rsid w:val="00232A6C"/>
    <w:rsid w:val="00232AD8"/>
    <w:rsid w:val="00232DAE"/>
    <w:rsid w:val="00232FDD"/>
    <w:rsid w:val="00233328"/>
    <w:rsid w:val="002333B0"/>
    <w:rsid w:val="00233468"/>
    <w:rsid w:val="00233894"/>
    <w:rsid w:val="00233A3B"/>
    <w:rsid w:val="002340FE"/>
    <w:rsid w:val="002341D1"/>
    <w:rsid w:val="002341E2"/>
    <w:rsid w:val="0023461D"/>
    <w:rsid w:val="00234713"/>
    <w:rsid w:val="00234803"/>
    <w:rsid w:val="00234826"/>
    <w:rsid w:val="00234C6A"/>
    <w:rsid w:val="00234C81"/>
    <w:rsid w:val="00234DE1"/>
    <w:rsid w:val="00234E89"/>
    <w:rsid w:val="00234F7A"/>
    <w:rsid w:val="0023518D"/>
    <w:rsid w:val="00235548"/>
    <w:rsid w:val="0023560F"/>
    <w:rsid w:val="00235B2E"/>
    <w:rsid w:val="00235C65"/>
    <w:rsid w:val="00235FD7"/>
    <w:rsid w:val="00235FE2"/>
    <w:rsid w:val="00236011"/>
    <w:rsid w:val="002363A8"/>
    <w:rsid w:val="002363F1"/>
    <w:rsid w:val="002366F3"/>
    <w:rsid w:val="0023687A"/>
    <w:rsid w:val="00236957"/>
    <w:rsid w:val="0023699E"/>
    <w:rsid w:val="00236B81"/>
    <w:rsid w:val="002371A1"/>
    <w:rsid w:val="00237220"/>
    <w:rsid w:val="00237285"/>
    <w:rsid w:val="0023742C"/>
    <w:rsid w:val="00237691"/>
    <w:rsid w:val="00237A3B"/>
    <w:rsid w:val="00237C5B"/>
    <w:rsid w:val="00237E5E"/>
    <w:rsid w:val="00237F74"/>
    <w:rsid w:val="00240003"/>
    <w:rsid w:val="002400F8"/>
    <w:rsid w:val="00240121"/>
    <w:rsid w:val="00240EAA"/>
    <w:rsid w:val="00241129"/>
    <w:rsid w:val="0024148A"/>
    <w:rsid w:val="002417A6"/>
    <w:rsid w:val="00241985"/>
    <w:rsid w:val="002419D1"/>
    <w:rsid w:val="002419D9"/>
    <w:rsid w:val="00241ABD"/>
    <w:rsid w:val="00241B62"/>
    <w:rsid w:val="00241C0C"/>
    <w:rsid w:val="00241C71"/>
    <w:rsid w:val="00241CE0"/>
    <w:rsid w:val="00241E49"/>
    <w:rsid w:val="00241F1C"/>
    <w:rsid w:val="00241F74"/>
    <w:rsid w:val="00242061"/>
    <w:rsid w:val="002423CB"/>
    <w:rsid w:val="002426B7"/>
    <w:rsid w:val="002429F8"/>
    <w:rsid w:val="00242A7F"/>
    <w:rsid w:val="00242EAF"/>
    <w:rsid w:val="0024385D"/>
    <w:rsid w:val="00243884"/>
    <w:rsid w:val="00243A4F"/>
    <w:rsid w:val="00243C61"/>
    <w:rsid w:val="00243CBA"/>
    <w:rsid w:val="00243CD8"/>
    <w:rsid w:val="00243E49"/>
    <w:rsid w:val="00243E50"/>
    <w:rsid w:val="00243FC8"/>
    <w:rsid w:val="002442FF"/>
    <w:rsid w:val="002445C3"/>
    <w:rsid w:val="00244766"/>
    <w:rsid w:val="002448DE"/>
    <w:rsid w:val="002448FD"/>
    <w:rsid w:val="00244A01"/>
    <w:rsid w:val="00244A3A"/>
    <w:rsid w:val="00244B7A"/>
    <w:rsid w:val="00244C20"/>
    <w:rsid w:val="00244D2F"/>
    <w:rsid w:val="00244DF7"/>
    <w:rsid w:val="00244E13"/>
    <w:rsid w:val="00244E6D"/>
    <w:rsid w:val="002450EF"/>
    <w:rsid w:val="0024511A"/>
    <w:rsid w:val="002452E4"/>
    <w:rsid w:val="00245648"/>
    <w:rsid w:val="00245A94"/>
    <w:rsid w:val="00245ADE"/>
    <w:rsid w:val="00245DE8"/>
    <w:rsid w:val="002460C0"/>
    <w:rsid w:val="0024642F"/>
    <w:rsid w:val="00246B72"/>
    <w:rsid w:val="00246C0B"/>
    <w:rsid w:val="00246C6F"/>
    <w:rsid w:val="00246CC0"/>
    <w:rsid w:val="00246CE6"/>
    <w:rsid w:val="00246FB2"/>
    <w:rsid w:val="002470F0"/>
    <w:rsid w:val="00247179"/>
    <w:rsid w:val="0024732F"/>
    <w:rsid w:val="0024733A"/>
    <w:rsid w:val="002473D8"/>
    <w:rsid w:val="00247618"/>
    <w:rsid w:val="00247739"/>
    <w:rsid w:val="00247748"/>
    <w:rsid w:val="0024793A"/>
    <w:rsid w:val="00247A52"/>
    <w:rsid w:val="00247B21"/>
    <w:rsid w:val="00247FAA"/>
    <w:rsid w:val="00250088"/>
    <w:rsid w:val="00250162"/>
    <w:rsid w:val="002504EA"/>
    <w:rsid w:val="00250739"/>
    <w:rsid w:val="00250759"/>
    <w:rsid w:val="00250E30"/>
    <w:rsid w:val="0025103D"/>
    <w:rsid w:val="00251742"/>
    <w:rsid w:val="0025180D"/>
    <w:rsid w:val="00252053"/>
    <w:rsid w:val="0025210B"/>
    <w:rsid w:val="00252A6B"/>
    <w:rsid w:val="00252A76"/>
    <w:rsid w:val="00252B50"/>
    <w:rsid w:val="00252B6D"/>
    <w:rsid w:val="00252B8B"/>
    <w:rsid w:val="00252C60"/>
    <w:rsid w:val="00252D8C"/>
    <w:rsid w:val="00252D8E"/>
    <w:rsid w:val="00253025"/>
    <w:rsid w:val="0025336D"/>
    <w:rsid w:val="002536DC"/>
    <w:rsid w:val="00253ABA"/>
    <w:rsid w:val="00253ACE"/>
    <w:rsid w:val="00253D7D"/>
    <w:rsid w:val="00253DFA"/>
    <w:rsid w:val="00253F5D"/>
    <w:rsid w:val="00254029"/>
    <w:rsid w:val="002542D4"/>
    <w:rsid w:val="002542DF"/>
    <w:rsid w:val="002546B3"/>
    <w:rsid w:val="00254948"/>
    <w:rsid w:val="00254B1B"/>
    <w:rsid w:val="00254B5B"/>
    <w:rsid w:val="00254BC4"/>
    <w:rsid w:val="00254E8B"/>
    <w:rsid w:val="00254F27"/>
    <w:rsid w:val="00255209"/>
    <w:rsid w:val="002552AB"/>
    <w:rsid w:val="00255829"/>
    <w:rsid w:val="0025583B"/>
    <w:rsid w:val="00255868"/>
    <w:rsid w:val="0025589C"/>
    <w:rsid w:val="00255C5B"/>
    <w:rsid w:val="00255DB4"/>
    <w:rsid w:val="00255DF6"/>
    <w:rsid w:val="002561BC"/>
    <w:rsid w:val="002566BC"/>
    <w:rsid w:val="002567C3"/>
    <w:rsid w:val="00256AE8"/>
    <w:rsid w:val="00256B02"/>
    <w:rsid w:val="002572B4"/>
    <w:rsid w:val="002572B5"/>
    <w:rsid w:val="00257426"/>
    <w:rsid w:val="002574E8"/>
    <w:rsid w:val="002577E5"/>
    <w:rsid w:val="00257AC3"/>
    <w:rsid w:val="00257BA3"/>
    <w:rsid w:val="00260063"/>
    <w:rsid w:val="00260097"/>
    <w:rsid w:val="0026017F"/>
    <w:rsid w:val="002604AB"/>
    <w:rsid w:val="00260513"/>
    <w:rsid w:val="0026057C"/>
    <w:rsid w:val="0026074C"/>
    <w:rsid w:val="00260779"/>
    <w:rsid w:val="002608B9"/>
    <w:rsid w:val="00260C36"/>
    <w:rsid w:val="00260FD0"/>
    <w:rsid w:val="0026104C"/>
    <w:rsid w:val="002615BE"/>
    <w:rsid w:val="00261716"/>
    <w:rsid w:val="0026190F"/>
    <w:rsid w:val="00261BFD"/>
    <w:rsid w:val="00261C37"/>
    <w:rsid w:val="002620E3"/>
    <w:rsid w:val="00262176"/>
    <w:rsid w:val="0026254B"/>
    <w:rsid w:val="0026286E"/>
    <w:rsid w:val="002628C9"/>
    <w:rsid w:val="00262C28"/>
    <w:rsid w:val="00262CBA"/>
    <w:rsid w:val="00263086"/>
    <w:rsid w:val="00263178"/>
    <w:rsid w:val="0026317E"/>
    <w:rsid w:val="002631E8"/>
    <w:rsid w:val="00263218"/>
    <w:rsid w:val="002634DA"/>
    <w:rsid w:val="00263527"/>
    <w:rsid w:val="0026359A"/>
    <w:rsid w:val="00263763"/>
    <w:rsid w:val="00263AE5"/>
    <w:rsid w:val="00263C2F"/>
    <w:rsid w:val="00263C7C"/>
    <w:rsid w:val="002640A7"/>
    <w:rsid w:val="002640D7"/>
    <w:rsid w:val="00264281"/>
    <w:rsid w:val="0026444C"/>
    <w:rsid w:val="0026456D"/>
    <w:rsid w:val="002646D8"/>
    <w:rsid w:val="002647A9"/>
    <w:rsid w:val="00264A39"/>
    <w:rsid w:val="00264A6E"/>
    <w:rsid w:val="00264B63"/>
    <w:rsid w:val="00264BCA"/>
    <w:rsid w:val="00264EFB"/>
    <w:rsid w:val="00265011"/>
    <w:rsid w:val="002650D9"/>
    <w:rsid w:val="002650FB"/>
    <w:rsid w:val="002651C7"/>
    <w:rsid w:val="002651CE"/>
    <w:rsid w:val="002655F1"/>
    <w:rsid w:val="002655FD"/>
    <w:rsid w:val="002657FA"/>
    <w:rsid w:val="00265917"/>
    <w:rsid w:val="00265B48"/>
    <w:rsid w:val="00265CA6"/>
    <w:rsid w:val="00265CED"/>
    <w:rsid w:val="00265D66"/>
    <w:rsid w:val="00265E0F"/>
    <w:rsid w:val="00265EF0"/>
    <w:rsid w:val="002661BE"/>
    <w:rsid w:val="002667F4"/>
    <w:rsid w:val="00266892"/>
    <w:rsid w:val="002668C5"/>
    <w:rsid w:val="0026697B"/>
    <w:rsid w:val="002669D3"/>
    <w:rsid w:val="00266A1C"/>
    <w:rsid w:val="00266A46"/>
    <w:rsid w:val="00266C28"/>
    <w:rsid w:val="00266F30"/>
    <w:rsid w:val="002675BC"/>
    <w:rsid w:val="002675C7"/>
    <w:rsid w:val="0026777E"/>
    <w:rsid w:val="00267A2B"/>
    <w:rsid w:val="00267B08"/>
    <w:rsid w:val="00267BE3"/>
    <w:rsid w:val="00267DA2"/>
    <w:rsid w:val="00267E85"/>
    <w:rsid w:val="00267EFB"/>
    <w:rsid w:val="00270148"/>
    <w:rsid w:val="002701BE"/>
    <w:rsid w:val="00270259"/>
    <w:rsid w:val="00270450"/>
    <w:rsid w:val="0027048A"/>
    <w:rsid w:val="002706AB"/>
    <w:rsid w:val="00270814"/>
    <w:rsid w:val="002709E9"/>
    <w:rsid w:val="00270AF0"/>
    <w:rsid w:val="00271012"/>
    <w:rsid w:val="0027101E"/>
    <w:rsid w:val="00271134"/>
    <w:rsid w:val="002712F4"/>
    <w:rsid w:val="00271446"/>
    <w:rsid w:val="002715C6"/>
    <w:rsid w:val="002716EE"/>
    <w:rsid w:val="00271893"/>
    <w:rsid w:val="00271A3A"/>
    <w:rsid w:val="00271B72"/>
    <w:rsid w:val="00271BB5"/>
    <w:rsid w:val="00271E04"/>
    <w:rsid w:val="002721AF"/>
    <w:rsid w:val="002722C9"/>
    <w:rsid w:val="002722E9"/>
    <w:rsid w:val="00272853"/>
    <w:rsid w:val="0027293D"/>
    <w:rsid w:val="00272A1C"/>
    <w:rsid w:val="00272B50"/>
    <w:rsid w:val="00272D67"/>
    <w:rsid w:val="0027324D"/>
    <w:rsid w:val="00273507"/>
    <w:rsid w:val="00273714"/>
    <w:rsid w:val="00273800"/>
    <w:rsid w:val="00273860"/>
    <w:rsid w:val="0027392F"/>
    <w:rsid w:val="00273A7E"/>
    <w:rsid w:val="00273B23"/>
    <w:rsid w:val="00273B53"/>
    <w:rsid w:val="00273D18"/>
    <w:rsid w:val="0027478E"/>
    <w:rsid w:val="00274AC3"/>
    <w:rsid w:val="00274B0D"/>
    <w:rsid w:val="00274FDD"/>
    <w:rsid w:val="002750E5"/>
    <w:rsid w:val="002752D6"/>
    <w:rsid w:val="00275535"/>
    <w:rsid w:val="0027553A"/>
    <w:rsid w:val="00275588"/>
    <w:rsid w:val="00275682"/>
    <w:rsid w:val="00275A0C"/>
    <w:rsid w:val="00275BD0"/>
    <w:rsid w:val="00275D10"/>
    <w:rsid w:val="00275D67"/>
    <w:rsid w:val="002760E6"/>
    <w:rsid w:val="00276445"/>
    <w:rsid w:val="002764E2"/>
    <w:rsid w:val="002767BA"/>
    <w:rsid w:val="00276D9F"/>
    <w:rsid w:val="00276EF8"/>
    <w:rsid w:val="00277300"/>
    <w:rsid w:val="00277732"/>
    <w:rsid w:val="002779BC"/>
    <w:rsid w:val="002779D8"/>
    <w:rsid w:val="00277C21"/>
    <w:rsid w:val="00277C78"/>
    <w:rsid w:val="00277E24"/>
    <w:rsid w:val="00277EEB"/>
    <w:rsid w:val="0028003C"/>
    <w:rsid w:val="002801B7"/>
    <w:rsid w:val="002803BC"/>
    <w:rsid w:val="00280738"/>
    <w:rsid w:val="0028079E"/>
    <w:rsid w:val="00280843"/>
    <w:rsid w:val="00280888"/>
    <w:rsid w:val="002808A2"/>
    <w:rsid w:val="00280921"/>
    <w:rsid w:val="0028103C"/>
    <w:rsid w:val="0028110B"/>
    <w:rsid w:val="0028118C"/>
    <w:rsid w:val="002813B2"/>
    <w:rsid w:val="0028171E"/>
    <w:rsid w:val="002818F6"/>
    <w:rsid w:val="00281F9E"/>
    <w:rsid w:val="00282311"/>
    <w:rsid w:val="002824F7"/>
    <w:rsid w:val="0028271F"/>
    <w:rsid w:val="00282ACF"/>
    <w:rsid w:val="00282B42"/>
    <w:rsid w:val="00282BBF"/>
    <w:rsid w:val="00282C96"/>
    <w:rsid w:val="00282D73"/>
    <w:rsid w:val="00282DCA"/>
    <w:rsid w:val="00282DD3"/>
    <w:rsid w:val="00282E8C"/>
    <w:rsid w:val="00282F48"/>
    <w:rsid w:val="00283314"/>
    <w:rsid w:val="002836CA"/>
    <w:rsid w:val="00283758"/>
    <w:rsid w:val="00283BC6"/>
    <w:rsid w:val="00283C8B"/>
    <w:rsid w:val="00283CFA"/>
    <w:rsid w:val="00283F70"/>
    <w:rsid w:val="002840C1"/>
    <w:rsid w:val="002845A3"/>
    <w:rsid w:val="00284630"/>
    <w:rsid w:val="00284979"/>
    <w:rsid w:val="00284AB0"/>
    <w:rsid w:val="00284E0C"/>
    <w:rsid w:val="00284E80"/>
    <w:rsid w:val="00285162"/>
    <w:rsid w:val="002851EF"/>
    <w:rsid w:val="00285240"/>
    <w:rsid w:val="00285461"/>
    <w:rsid w:val="00285464"/>
    <w:rsid w:val="0028556E"/>
    <w:rsid w:val="0028556F"/>
    <w:rsid w:val="00285595"/>
    <w:rsid w:val="002858D7"/>
    <w:rsid w:val="0028610D"/>
    <w:rsid w:val="0028632E"/>
    <w:rsid w:val="00286470"/>
    <w:rsid w:val="00286474"/>
    <w:rsid w:val="0028675F"/>
    <w:rsid w:val="0028685F"/>
    <w:rsid w:val="00286A30"/>
    <w:rsid w:val="00286AB8"/>
    <w:rsid w:val="00286B1C"/>
    <w:rsid w:val="00286E9F"/>
    <w:rsid w:val="00286FE2"/>
    <w:rsid w:val="0028704E"/>
    <w:rsid w:val="002874A5"/>
    <w:rsid w:val="002878D5"/>
    <w:rsid w:val="00290015"/>
    <w:rsid w:val="002900AF"/>
    <w:rsid w:val="00290C09"/>
    <w:rsid w:val="00290FAC"/>
    <w:rsid w:val="00291511"/>
    <w:rsid w:val="002918A3"/>
    <w:rsid w:val="00291AA1"/>
    <w:rsid w:val="00291D9D"/>
    <w:rsid w:val="00291E92"/>
    <w:rsid w:val="00291EA5"/>
    <w:rsid w:val="00291F26"/>
    <w:rsid w:val="00291FDB"/>
    <w:rsid w:val="0029209F"/>
    <w:rsid w:val="0029221C"/>
    <w:rsid w:val="002924C0"/>
    <w:rsid w:val="00292571"/>
    <w:rsid w:val="0029264F"/>
    <w:rsid w:val="0029298A"/>
    <w:rsid w:val="00292A22"/>
    <w:rsid w:val="00292D16"/>
    <w:rsid w:val="00292DFE"/>
    <w:rsid w:val="00292F03"/>
    <w:rsid w:val="00293285"/>
    <w:rsid w:val="0029335C"/>
    <w:rsid w:val="00293740"/>
    <w:rsid w:val="002938D8"/>
    <w:rsid w:val="00293C49"/>
    <w:rsid w:val="00293ED0"/>
    <w:rsid w:val="00293FCF"/>
    <w:rsid w:val="00294215"/>
    <w:rsid w:val="002949C8"/>
    <w:rsid w:val="00294AAC"/>
    <w:rsid w:val="00294BF6"/>
    <w:rsid w:val="00294C14"/>
    <w:rsid w:val="00294F91"/>
    <w:rsid w:val="00294FB9"/>
    <w:rsid w:val="0029583D"/>
    <w:rsid w:val="0029591E"/>
    <w:rsid w:val="00295BAA"/>
    <w:rsid w:val="00295FC5"/>
    <w:rsid w:val="0029607E"/>
    <w:rsid w:val="00296144"/>
    <w:rsid w:val="002961C4"/>
    <w:rsid w:val="002963CE"/>
    <w:rsid w:val="00296599"/>
    <w:rsid w:val="002966B8"/>
    <w:rsid w:val="002966E1"/>
    <w:rsid w:val="00296A5D"/>
    <w:rsid w:val="00296D44"/>
    <w:rsid w:val="00296E37"/>
    <w:rsid w:val="00296E3A"/>
    <w:rsid w:val="00296E50"/>
    <w:rsid w:val="00297105"/>
    <w:rsid w:val="0029720B"/>
    <w:rsid w:val="0029739D"/>
    <w:rsid w:val="0029747E"/>
    <w:rsid w:val="0029752E"/>
    <w:rsid w:val="002976FE"/>
    <w:rsid w:val="0029786F"/>
    <w:rsid w:val="00297A64"/>
    <w:rsid w:val="00297F12"/>
    <w:rsid w:val="002A011A"/>
    <w:rsid w:val="002A0630"/>
    <w:rsid w:val="002A069F"/>
    <w:rsid w:val="002A0C1D"/>
    <w:rsid w:val="002A0E61"/>
    <w:rsid w:val="002A0F17"/>
    <w:rsid w:val="002A0FA6"/>
    <w:rsid w:val="002A10A1"/>
    <w:rsid w:val="002A1581"/>
    <w:rsid w:val="002A1593"/>
    <w:rsid w:val="002A18E4"/>
    <w:rsid w:val="002A1942"/>
    <w:rsid w:val="002A1C76"/>
    <w:rsid w:val="002A1FD3"/>
    <w:rsid w:val="002A20FA"/>
    <w:rsid w:val="002A25A6"/>
    <w:rsid w:val="002A2684"/>
    <w:rsid w:val="002A2C07"/>
    <w:rsid w:val="002A3002"/>
    <w:rsid w:val="002A30A0"/>
    <w:rsid w:val="002A30DE"/>
    <w:rsid w:val="002A3192"/>
    <w:rsid w:val="002A323C"/>
    <w:rsid w:val="002A334C"/>
    <w:rsid w:val="002A33C0"/>
    <w:rsid w:val="002A3415"/>
    <w:rsid w:val="002A3513"/>
    <w:rsid w:val="002A3552"/>
    <w:rsid w:val="002A3567"/>
    <w:rsid w:val="002A3762"/>
    <w:rsid w:val="002A38B3"/>
    <w:rsid w:val="002A3971"/>
    <w:rsid w:val="002A3AFA"/>
    <w:rsid w:val="002A3D96"/>
    <w:rsid w:val="002A4148"/>
    <w:rsid w:val="002A44A8"/>
    <w:rsid w:val="002A45A0"/>
    <w:rsid w:val="002A4695"/>
    <w:rsid w:val="002A4721"/>
    <w:rsid w:val="002A4797"/>
    <w:rsid w:val="002A48AA"/>
    <w:rsid w:val="002A4966"/>
    <w:rsid w:val="002A4F6C"/>
    <w:rsid w:val="002A502B"/>
    <w:rsid w:val="002A50C4"/>
    <w:rsid w:val="002A51B3"/>
    <w:rsid w:val="002A545E"/>
    <w:rsid w:val="002A5488"/>
    <w:rsid w:val="002A54E1"/>
    <w:rsid w:val="002A54E9"/>
    <w:rsid w:val="002A5556"/>
    <w:rsid w:val="002A557F"/>
    <w:rsid w:val="002A5918"/>
    <w:rsid w:val="002A5D84"/>
    <w:rsid w:val="002A5EE0"/>
    <w:rsid w:val="002A5FBB"/>
    <w:rsid w:val="002A5FEC"/>
    <w:rsid w:val="002A698C"/>
    <w:rsid w:val="002A6DA1"/>
    <w:rsid w:val="002A6F91"/>
    <w:rsid w:val="002A7164"/>
    <w:rsid w:val="002A721D"/>
    <w:rsid w:val="002A753A"/>
    <w:rsid w:val="002A753D"/>
    <w:rsid w:val="002A7909"/>
    <w:rsid w:val="002A7971"/>
    <w:rsid w:val="002A7AEA"/>
    <w:rsid w:val="002A7AF4"/>
    <w:rsid w:val="002A7C85"/>
    <w:rsid w:val="002A7CB9"/>
    <w:rsid w:val="002A7CC5"/>
    <w:rsid w:val="002A7CD8"/>
    <w:rsid w:val="002A7E91"/>
    <w:rsid w:val="002A7F66"/>
    <w:rsid w:val="002B0172"/>
    <w:rsid w:val="002B0204"/>
    <w:rsid w:val="002B027E"/>
    <w:rsid w:val="002B0344"/>
    <w:rsid w:val="002B04E8"/>
    <w:rsid w:val="002B06BB"/>
    <w:rsid w:val="002B06D1"/>
    <w:rsid w:val="002B08A6"/>
    <w:rsid w:val="002B0A93"/>
    <w:rsid w:val="002B0E12"/>
    <w:rsid w:val="002B13CE"/>
    <w:rsid w:val="002B168E"/>
    <w:rsid w:val="002B1775"/>
    <w:rsid w:val="002B1FCB"/>
    <w:rsid w:val="002B21F8"/>
    <w:rsid w:val="002B241A"/>
    <w:rsid w:val="002B248C"/>
    <w:rsid w:val="002B2BA3"/>
    <w:rsid w:val="002B2BA5"/>
    <w:rsid w:val="002B2C0F"/>
    <w:rsid w:val="002B2CAA"/>
    <w:rsid w:val="002B2D2E"/>
    <w:rsid w:val="002B2DAC"/>
    <w:rsid w:val="002B31C7"/>
    <w:rsid w:val="002B3533"/>
    <w:rsid w:val="002B3557"/>
    <w:rsid w:val="002B3646"/>
    <w:rsid w:val="002B3CD3"/>
    <w:rsid w:val="002B3E94"/>
    <w:rsid w:val="002B3FD6"/>
    <w:rsid w:val="002B43DF"/>
    <w:rsid w:val="002B453B"/>
    <w:rsid w:val="002B48BF"/>
    <w:rsid w:val="002B4A6B"/>
    <w:rsid w:val="002B4A6E"/>
    <w:rsid w:val="002B4B72"/>
    <w:rsid w:val="002B4BC7"/>
    <w:rsid w:val="002B4C9F"/>
    <w:rsid w:val="002B4DC7"/>
    <w:rsid w:val="002B4E30"/>
    <w:rsid w:val="002B4EB3"/>
    <w:rsid w:val="002B501C"/>
    <w:rsid w:val="002B5326"/>
    <w:rsid w:val="002B54BF"/>
    <w:rsid w:val="002B550C"/>
    <w:rsid w:val="002B5855"/>
    <w:rsid w:val="002B5990"/>
    <w:rsid w:val="002B5E8A"/>
    <w:rsid w:val="002B6019"/>
    <w:rsid w:val="002B614F"/>
    <w:rsid w:val="002B64A4"/>
    <w:rsid w:val="002B6556"/>
    <w:rsid w:val="002B6C49"/>
    <w:rsid w:val="002B6C65"/>
    <w:rsid w:val="002B6EEF"/>
    <w:rsid w:val="002B72C3"/>
    <w:rsid w:val="002B738F"/>
    <w:rsid w:val="002B7501"/>
    <w:rsid w:val="002B7508"/>
    <w:rsid w:val="002B75BF"/>
    <w:rsid w:val="002B7792"/>
    <w:rsid w:val="002B7910"/>
    <w:rsid w:val="002B7970"/>
    <w:rsid w:val="002B7A0A"/>
    <w:rsid w:val="002B7A58"/>
    <w:rsid w:val="002B7D00"/>
    <w:rsid w:val="002C04F0"/>
    <w:rsid w:val="002C0653"/>
    <w:rsid w:val="002C0A34"/>
    <w:rsid w:val="002C0B69"/>
    <w:rsid w:val="002C0CA1"/>
    <w:rsid w:val="002C0E62"/>
    <w:rsid w:val="002C0FF3"/>
    <w:rsid w:val="002C1050"/>
    <w:rsid w:val="002C1785"/>
    <w:rsid w:val="002C17AB"/>
    <w:rsid w:val="002C17AE"/>
    <w:rsid w:val="002C187D"/>
    <w:rsid w:val="002C210F"/>
    <w:rsid w:val="002C225F"/>
    <w:rsid w:val="002C2312"/>
    <w:rsid w:val="002C242E"/>
    <w:rsid w:val="002C2A8F"/>
    <w:rsid w:val="002C2AE0"/>
    <w:rsid w:val="002C2CF2"/>
    <w:rsid w:val="002C3592"/>
    <w:rsid w:val="002C3694"/>
    <w:rsid w:val="002C372D"/>
    <w:rsid w:val="002C3EC1"/>
    <w:rsid w:val="002C3F3E"/>
    <w:rsid w:val="002C3FA0"/>
    <w:rsid w:val="002C408B"/>
    <w:rsid w:val="002C42F1"/>
    <w:rsid w:val="002C461E"/>
    <w:rsid w:val="002C4A6F"/>
    <w:rsid w:val="002C4A97"/>
    <w:rsid w:val="002C4CDE"/>
    <w:rsid w:val="002C4ED6"/>
    <w:rsid w:val="002C5176"/>
    <w:rsid w:val="002C5550"/>
    <w:rsid w:val="002C566C"/>
    <w:rsid w:val="002C5AE4"/>
    <w:rsid w:val="002C5B5C"/>
    <w:rsid w:val="002C5D7C"/>
    <w:rsid w:val="002C5D8D"/>
    <w:rsid w:val="002C5EC0"/>
    <w:rsid w:val="002C6130"/>
    <w:rsid w:val="002C64CB"/>
    <w:rsid w:val="002C686A"/>
    <w:rsid w:val="002C6E0F"/>
    <w:rsid w:val="002C74C3"/>
    <w:rsid w:val="002C7644"/>
    <w:rsid w:val="002C76E4"/>
    <w:rsid w:val="002C7771"/>
    <w:rsid w:val="002C783E"/>
    <w:rsid w:val="002C78C1"/>
    <w:rsid w:val="002C7AC9"/>
    <w:rsid w:val="002C7CCC"/>
    <w:rsid w:val="002C7E10"/>
    <w:rsid w:val="002C7E9C"/>
    <w:rsid w:val="002D0720"/>
    <w:rsid w:val="002D08F7"/>
    <w:rsid w:val="002D0C10"/>
    <w:rsid w:val="002D0C6E"/>
    <w:rsid w:val="002D1012"/>
    <w:rsid w:val="002D1322"/>
    <w:rsid w:val="002D155A"/>
    <w:rsid w:val="002D18CD"/>
    <w:rsid w:val="002D1CD9"/>
    <w:rsid w:val="002D1DCE"/>
    <w:rsid w:val="002D1E46"/>
    <w:rsid w:val="002D1ECE"/>
    <w:rsid w:val="002D1FA5"/>
    <w:rsid w:val="002D2009"/>
    <w:rsid w:val="002D207F"/>
    <w:rsid w:val="002D2647"/>
    <w:rsid w:val="002D28C6"/>
    <w:rsid w:val="002D2B81"/>
    <w:rsid w:val="002D2B9C"/>
    <w:rsid w:val="002D2EA8"/>
    <w:rsid w:val="002D33B5"/>
    <w:rsid w:val="002D361A"/>
    <w:rsid w:val="002D39FB"/>
    <w:rsid w:val="002D3DFB"/>
    <w:rsid w:val="002D4063"/>
    <w:rsid w:val="002D448F"/>
    <w:rsid w:val="002D4587"/>
    <w:rsid w:val="002D4669"/>
    <w:rsid w:val="002D4CE8"/>
    <w:rsid w:val="002D4CED"/>
    <w:rsid w:val="002D4E52"/>
    <w:rsid w:val="002D4F54"/>
    <w:rsid w:val="002D54CD"/>
    <w:rsid w:val="002D5513"/>
    <w:rsid w:val="002D563C"/>
    <w:rsid w:val="002D57A6"/>
    <w:rsid w:val="002D57F8"/>
    <w:rsid w:val="002D5848"/>
    <w:rsid w:val="002D6001"/>
    <w:rsid w:val="002D623C"/>
    <w:rsid w:val="002D647B"/>
    <w:rsid w:val="002D6606"/>
    <w:rsid w:val="002D693C"/>
    <w:rsid w:val="002D6B71"/>
    <w:rsid w:val="002D7228"/>
    <w:rsid w:val="002D7268"/>
    <w:rsid w:val="002D746E"/>
    <w:rsid w:val="002D7530"/>
    <w:rsid w:val="002D75AD"/>
    <w:rsid w:val="002D76B8"/>
    <w:rsid w:val="002D7E6F"/>
    <w:rsid w:val="002D7FF1"/>
    <w:rsid w:val="002E00F5"/>
    <w:rsid w:val="002E03A1"/>
    <w:rsid w:val="002E03D1"/>
    <w:rsid w:val="002E03F9"/>
    <w:rsid w:val="002E055D"/>
    <w:rsid w:val="002E06CA"/>
    <w:rsid w:val="002E1F5D"/>
    <w:rsid w:val="002E1F6F"/>
    <w:rsid w:val="002E2118"/>
    <w:rsid w:val="002E2729"/>
    <w:rsid w:val="002E27D9"/>
    <w:rsid w:val="002E28CB"/>
    <w:rsid w:val="002E2934"/>
    <w:rsid w:val="002E2A9D"/>
    <w:rsid w:val="002E3205"/>
    <w:rsid w:val="002E3478"/>
    <w:rsid w:val="002E353D"/>
    <w:rsid w:val="002E3575"/>
    <w:rsid w:val="002E3EB2"/>
    <w:rsid w:val="002E3F7A"/>
    <w:rsid w:val="002E42A5"/>
    <w:rsid w:val="002E4427"/>
    <w:rsid w:val="002E449A"/>
    <w:rsid w:val="002E4659"/>
    <w:rsid w:val="002E4696"/>
    <w:rsid w:val="002E4BC8"/>
    <w:rsid w:val="002E505B"/>
    <w:rsid w:val="002E517B"/>
    <w:rsid w:val="002E52A2"/>
    <w:rsid w:val="002E52B5"/>
    <w:rsid w:val="002E54A7"/>
    <w:rsid w:val="002E57FD"/>
    <w:rsid w:val="002E5806"/>
    <w:rsid w:val="002E5A00"/>
    <w:rsid w:val="002E5A0A"/>
    <w:rsid w:val="002E5C62"/>
    <w:rsid w:val="002E5DDB"/>
    <w:rsid w:val="002E5E62"/>
    <w:rsid w:val="002E5EDE"/>
    <w:rsid w:val="002E6288"/>
    <w:rsid w:val="002E62CF"/>
    <w:rsid w:val="002E6362"/>
    <w:rsid w:val="002E6711"/>
    <w:rsid w:val="002E69F1"/>
    <w:rsid w:val="002E6AD4"/>
    <w:rsid w:val="002E6BBD"/>
    <w:rsid w:val="002E6BC5"/>
    <w:rsid w:val="002E6BFC"/>
    <w:rsid w:val="002E72DF"/>
    <w:rsid w:val="002E747F"/>
    <w:rsid w:val="002E78C6"/>
    <w:rsid w:val="002E7BB9"/>
    <w:rsid w:val="002E7C3F"/>
    <w:rsid w:val="002E7C71"/>
    <w:rsid w:val="002E7D1F"/>
    <w:rsid w:val="002E7D49"/>
    <w:rsid w:val="002E7E7D"/>
    <w:rsid w:val="002E7EFD"/>
    <w:rsid w:val="002F0D25"/>
    <w:rsid w:val="002F112B"/>
    <w:rsid w:val="002F11CE"/>
    <w:rsid w:val="002F127A"/>
    <w:rsid w:val="002F1511"/>
    <w:rsid w:val="002F1AC6"/>
    <w:rsid w:val="002F1DD2"/>
    <w:rsid w:val="002F1DDB"/>
    <w:rsid w:val="002F227C"/>
    <w:rsid w:val="002F26BF"/>
    <w:rsid w:val="002F28D5"/>
    <w:rsid w:val="002F2A0F"/>
    <w:rsid w:val="002F2CD5"/>
    <w:rsid w:val="002F2CFE"/>
    <w:rsid w:val="002F30FC"/>
    <w:rsid w:val="002F321C"/>
    <w:rsid w:val="002F3260"/>
    <w:rsid w:val="002F340B"/>
    <w:rsid w:val="002F34B3"/>
    <w:rsid w:val="002F37D4"/>
    <w:rsid w:val="002F38D2"/>
    <w:rsid w:val="002F3A54"/>
    <w:rsid w:val="002F3CAE"/>
    <w:rsid w:val="002F3D94"/>
    <w:rsid w:val="002F3DB9"/>
    <w:rsid w:val="002F40A0"/>
    <w:rsid w:val="002F4111"/>
    <w:rsid w:val="002F4131"/>
    <w:rsid w:val="002F4307"/>
    <w:rsid w:val="002F44D0"/>
    <w:rsid w:val="002F46D8"/>
    <w:rsid w:val="002F4EC9"/>
    <w:rsid w:val="002F4F22"/>
    <w:rsid w:val="002F4FA5"/>
    <w:rsid w:val="002F51C7"/>
    <w:rsid w:val="002F5217"/>
    <w:rsid w:val="002F55AB"/>
    <w:rsid w:val="002F59AF"/>
    <w:rsid w:val="002F5E0F"/>
    <w:rsid w:val="002F5E7C"/>
    <w:rsid w:val="002F63C9"/>
    <w:rsid w:val="002F6473"/>
    <w:rsid w:val="002F6575"/>
    <w:rsid w:val="002F6B44"/>
    <w:rsid w:val="002F6C00"/>
    <w:rsid w:val="002F6FDB"/>
    <w:rsid w:val="002F722F"/>
    <w:rsid w:val="002F7299"/>
    <w:rsid w:val="002F7365"/>
    <w:rsid w:val="002F757D"/>
    <w:rsid w:val="002F779C"/>
    <w:rsid w:val="002F77D3"/>
    <w:rsid w:val="002F7883"/>
    <w:rsid w:val="002F7A10"/>
    <w:rsid w:val="002F7A9B"/>
    <w:rsid w:val="002F7B29"/>
    <w:rsid w:val="002F7CBF"/>
    <w:rsid w:val="002F7CC2"/>
    <w:rsid w:val="002F7D30"/>
    <w:rsid w:val="002F7F56"/>
    <w:rsid w:val="003000C8"/>
    <w:rsid w:val="00300879"/>
    <w:rsid w:val="00300BDC"/>
    <w:rsid w:val="00300CE8"/>
    <w:rsid w:val="00300E10"/>
    <w:rsid w:val="00300E29"/>
    <w:rsid w:val="00300F8D"/>
    <w:rsid w:val="0030114A"/>
    <w:rsid w:val="003011F0"/>
    <w:rsid w:val="003011F5"/>
    <w:rsid w:val="0030121E"/>
    <w:rsid w:val="0030142F"/>
    <w:rsid w:val="00301568"/>
    <w:rsid w:val="003019B2"/>
    <w:rsid w:val="00301AB3"/>
    <w:rsid w:val="00301C50"/>
    <w:rsid w:val="00301D8C"/>
    <w:rsid w:val="00301DB6"/>
    <w:rsid w:val="00301F12"/>
    <w:rsid w:val="00302004"/>
    <w:rsid w:val="00302151"/>
    <w:rsid w:val="003021E9"/>
    <w:rsid w:val="0030255F"/>
    <w:rsid w:val="00302662"/>
    <w:rsid w:val="00302693"/>
    <w:rsid w:val="003028DF"/>
    <w:rsid w:val="00302954"/>
    <w:rsid w:val="00302A58"/>
    <w:rsid w:val="00302AEA"/>
    <w:rsid w:val="00302B67"/>
    <w:rsid w:val="00302D43"/>
    <w:rsid w:val="00302DE9"/>
    <w:rsid w:val="00302EF7"/>
    <w:rsid w:val="0030308F"/>
    <w:rsid w:val="00303141"/>
    <w:rsid w:val="003037FB"/>
    <w:rsid w:val="00303859"/>
    <w:rsid w:val="00303A95"/>
    <w:rsid w:val="00303B3E"/>
    <w:rsid w:val="00303F65"/>
    <w:rsid w:val="003043CF"/>
    <w:rsid w:val="003048D6"/>
    <w:rsid w:val="00304930"/>
    <w:rsid w:val="00304B16"/>
    <w:rsid w:val="00304B34"/>
    <w:rsid w:val="00304B4F"/>
    <w:rsid w:val="003050BE"/>
    <w:rsid w:val="003050E3"/>
    <w:rsid w:val="003052D9"/>
    <w:rsid w:val="003053AA"/>
    <w:rsid w:val="00305BAE"/>
    <w:rsid w:val="00305C23"/>
    <w:rsid w:val="00305CE3"/>
    <w:rsid w:val="00305D7A"/>
    <w:rsid w:val="00305DF8"/>
    <w:rsid w:val="00305E20"/>
    <w:rsid w:val="00305E90"/>
    <w:rsid w:val="00306112"/>
    <w:rsid w:val="0030612E"/>
    <w:rsid w:val="003063C3"/>
    <w:rsid w:val="00306542"/>
    <w:rsid w:val="0030655B"/>
    <w:rsid w:val="0030655E"/>
    <w:rsid w:val="00306780"/>
    <w:rsid w:val="003068BB"/>
    <w:rsid w:val="00306907"/>
    <w:rsid w:val="00306A4F"/>
    <w:rsid w:val="00306B19"/>
    <w:rsid w:val="0030703D"/>
    <w:rsid w:val="00307201"/>
    <w:rsid w:val="00307285"/>
    <w:rsid w:val="0030732A"/>
    <w:rsid w:val="003075C8"/>
    <w:rsid w:val="003077CD"/>
    <w:rsid w:val="0030788F"/>
    <w:rsid w:val="00307980"/>
    <w:rsid w:val="00307C5A"/>
    <w:rsid w:val="00307CDD"/>
    <w:rsid w:val="00307DB1"/>
    <w:rsid w:val="00307DC2"/>
    <w:rsid w:val="00307E93"/>
    <w:rsid w:val="00310173"/>
    <w:rsid w:val="0031021F"/>
    <w:rsid w:val="003103DA"/>
    <w:rsid w:val="003103E4"/>
    <w:rsid w:val="00310886"/>
    <w:rsid w:val="003109E2"/>
    <w:rsid w:val="00310E8C"/>
    <w:rsid w:val="00310F0A"/>
    <w:rsid w:val="00311048"/>
    <w:rsid w:val="003112F1"/>
    <w:rsid w:val="003114B5"/>
    <w:rsid w:val="00311A5B"/>
    <w:rsid w:val="00311A6F"/>
    <w:rsid w:val="00311B1F"/>
    <w:rsid w:val="00312354"/>
    <w:rsid w:val="003123FD"/>
    <w:rsid w:val="00312682"/>
    <w:rsid w:val="00312901"/>
    <w:rsid w:val="003129F4"/>
    <w:rsid w:val="00312D8C"/>
    <w:rsid w:val="00312E12"/>
    <w:rsid w:val="00312FE8"/>
    <w:rsid w:val="0031314E"/>
    <w:rsid w:val="0031351C"/>
    <w:rsid w:val="00313604"/>
    <w:rsid w:val="0031372B"/>
    <w:rsid w:val="00313905"/>
    <w:rsid w:val="00313E6D"/>
    <w:rsid w:val="00313ED3"/>
    <w:rsid w:val="00313EEE"/>
    <w:rsid w:val="00313F32"/>
    <w:rsid w:val="00313F8C"/>
    <w:rsid w:val="0031418C"/>
    <w:rsid w:val="00314511"/>
    <w:rsid w:val="0031492C"/>
    <w:rsid w:val="0031498B"/>
    <w:rsid w:val="00314CF4"/>
    <w:rsid w:val="00314E33"/>
    <w:rsid w:val="00315308"/>
    <w:rsid w:val="00315386"/>
    <w:rsid w:val="0031538B"/>
    <w:rsid w:val="0031568E"/>
    <w:rsid w:val="00315B9A"/>
    <w:rsid w:val="00315E7B"/>
    <w:rsid w:val="00315F50"/>
    <w:rsid w:val="00315FFC"/>
    <w:rsid w:val="00316338"/>
    <w:rsid w:val="0031659A"/>
    <w:rsid w:val="00316628"/>
    <w:rsid w:val="003166F8"/>
    <w:rsid w:val="00316794"/>
    <w:rsid w:val="00316D04"/>
    <w:rsid w:val="00316FF0"/>
    <w:rsid w:val="0031726D"/>
    <w:rsid w:val="003173CA"/>
    <w:rsid w:val="003174B6"/>
    <w:rsid w:val="003174D5"/>
    <w:rsid w:val="003175AB"/>
    <w:rsid w:val="0031774B"/>
    <w:rsid w:val="00317BB7"/>
    <w:rsid w:val="00317DFA"/>
    <w:rsid w:val="003204DA"/>
    <w:rsid w:val="0032067C"/>
    <w:rsid w:val="00320818"/>
    <w:rsid w:val="00320CA7"/>
    <w:rsid w:val="00320D7B"/>
    <w:rsid w:val="00320EE2"/>
    <w:rsid w:val="0032103D"/>
    <w:rsid w:val="00321100"/>
    <w:rsid w:val="00321103"/>
    <w:rsid w:val="0032133E"/>
    <w:rsid w:val="0032177E"/>
    <w:rsid w:val="00321869"/>
    <w:rsid w:val="0032192E"/>
    <w:rsid w:val="003219FB"/>
    <w:rsid w:val="00321F17"/>
    <w:rsid w:val="003220F7"/>
    <w:rsid w:val="00322477"/>
    <w:rsid w:val="00322696"/>
    <w:rsid w:val="0032278F"/>
    <w:rsid w:val="00322878"/>
    <w:rsid w:val="00322E0F"/>
    <w:rsid w:val="003232F5"/>
    <w:rsid w:val="003233D5"/>
    <w:rsid w:val="00323476"/>
    <w:rsid w:val="00323980"/>
    <w:rsid w:val="003239DA"/>
    <w:rsid w:val="00323A70"/>
    <w:rsid w:val="00323C01"/>
    <w:rsid w:val="003242EA"/>
    <w:rsid w:val="00324864"/>
    <w:rsid w:val="00324A85"/>
    <w:rsid w:val="00324A98"/>
    <w:rsid w:val="00324B16"/>
    <w:rsid w:val="00324C6C"/>
    <w:rsid w:val="00324CA8"/>
    <w:rsid w:val="00325106"/>
    <w:rsid w:val="0032543E"/>
    <w:rsid w:val="003257C2"/>
    <w:rsid w:val="003258B5"/>
    <w:rsid w:val="00325ADB"/>
    <w:rsid w:val="00325B80"/>
    <w:rsid w:val="00325C87"/>
    <w:rsid w:val="00325CAD"/>
    <w:rsid w:val="00325F3E"/>
    <w:rsid w:val="00325FEB"/>
    <w:rsid w:val="00326125"/>
    <w:rsid w:val="0032612A"/>
    <w:rsid w:val="0032618D"/>
    <w:rsid w:val="0032637A"/>
    <w:rsid w:val="003266C7"/>
    <w:rsid w:val="003267EE"/>
    <w:rsid w:val="00326954"/>
    <w:rsid w:val="00326FC2"/>
    <w:rsid w:val="00327070"/>
    <w:rsid w:val="003271FB"/>
    <w:rsid w:val="0032726F"/>
    <w:rsid w:val="003275A7"/>
    <w:rsid w:val="0032792C"/>
    <w:rsid w:val="00327A11"/>
    <w:rsid w:val="00327B6C"/>
    <w:rsid w:val="00327D5C"/>
    <w:rsid w:val="00327F2A"/>
    <w:rsid w:val="00330079"/>
    <w:rsid w:val="0033043D"/>
    <w:rsid w:val="0033054B"/>
    <w:rsid w:val="00330571"/>
    <w:rsid w:val="00330793"/>
    <w:rsid w:val="00330BC9"/>
    <w:rsid w:val="00330DE8"/>
    <w:rsid w:val="00330FA8"/>
    <w:rsid w:val="003310C7"/>
    <w:rsid w:val="0033145F"/>
    <w:rsid w:val="00331511"/>
    <w:rsid w:val="00331530"/>
    <w:rsid w:val="00331666"/>
    <w:rsid w:val="00331879"/>
    <w:rsid w:val="00331AE3"/>
    <w:rsid w:val="00331E7E"/>
    <w:rsid w:val="003321A5"/>
    <w:rsid w:val="00332228"/>
    <w:rsid w:val="00332319"/>
    <w:rsid w:val="003323E8"/>
    <w:rsid w:val="0033242D"/>
    <w:rsid w:val="00332444"/>
    <w:rsid w:val="0033256F"/>
    <w:rsid w:val="003325AF"/>
    <w:rsid w:val="003326E2"/>
    <w:rsid w:val="00332777"/>
    <w:rsid w:val="00332AD1"/>
    <w:rsid w:val="00332DE2"/>
    <w:rsid w:val="00332FCF"/>
    <w:rsid w:val="003332DF"/>
    <w:rsid w:val="0033346E"/>
    <w:rsid w:val="00334180"/>
    <w:rsid w:val="003342B6"/>
    <w:rsid w:val="00334656"/>
    <w:rsid w:val="0033486A"/>
    <w:rsid w:val="0033497B"/>
    <w:rsid w:val="00334AA4"/>
    <w:rsid w:val="00334C0B"/>
    <w:rsid w:val="00334C31"/>
    <w:rsid w:val="00334C7E"/>
    <w:rsid w:val="00334D79"/>
    <w:rsid w:val="00334DAF"/>
    <w:rsid w:val="00334FA6"/>
    <w:rsid w:val="00335301"/>
    <w:rsid w:val="0033570F"/>
    <w:rsid w:val="003358CA"/>
    <w:rsid w:val="00335CE7"/>
    <w:rsid w:val="003364C6"/>
    <w:rsid w:val="00336540"/>
    <w:rsid w:val="00336860"/>
    <w:rsid w:val="00336A1B"/>
    <w:rsid w:val="00336B87"/>
    <w:rsid w:val="00336C08"/>
    <w:rsid w:val="00336DBB"/>
    <w:rsid w:val="00336E59"/>
    <w:rsid w:val="0033705E"/>
    <w:rsid w:val="0033741E"/>
    <w:rsid w:val="00337944"/>
    <w:rsid w:val="0033797E"/>
    <w:rsid w:val="00337B5D"/>
    <w:rsid w:val="00337D95"/>
    <w:rsid w:val="00337F58"/>
    <w:rsid w:val="0034033E"/>
    <w:rsid w:val="003403DF"/>
    <w:rsid w:val="00340508"/>
    <w:rsid w:val="0034057A"/>
    <w:rsid w:val="003406FE"/>
    <w:rsid w:val="00340988"/>
    <w:rsid w:val="0034099E"/>
    <w:rsid w:val="00340B45"/>
    <w:rsid w:val="00340BAF"/>
    <w:rsid w:val="00340C70"/>
    <w:rsid w:val="00340FD0"/>
    <w:rsid w:val="003410D8"/>
    <w:rsid w:val="00341959"/>
    <w:rsid w:val="00341AB1"/>
    <w:rsid w:val="00341D35"/>
    <w:rsid w:val="00341EB3"/>
    <w:rsid w:val="00341F7C"/>
    <w:rsid w:val="00341FB6"/>
    <w:rsid w:val="003421EB"/>
    <w:rsid w:val="003427DC"/>
    <w:rsid w:val="00342AB7"/>
    <w:rsid w:val="00342B6D"/>
    <w:rsid w:val="00342B95"/>
    <w:rsid w:val="00342CAA"/>
    <w:rsid w:val="00342FB6"/>
    <w:rsid w:val="003432B9"/>
    <w:rsid w:val="003436DE"/>
    <w:rsid w:val="003438C4"/>
    <w:rsid w:val="0034391D"/>
    <w:rsid w:val="00343940"/>
    <w:rsid w:val="00343A95"/>
    <w:rsid w:val="00343DB0"/>
    <w:rsid w:val="0034426D"/>
    <w:rsid w:val="003446E9"/>
    <w:rsid w:val="00344AE6"/>
    <w:rsid w:val="00344C12"/>
    <w:rsid w:val="00344C1D"/>
    <w:rsid w:val="00344C6A"/>
    <w:rsid w:val="00344CBA"/>
    <w:rsid w:val="00344ECC"/>
    <w:rsid w:val="00344F69"/>
    <w:rsid w:val="0034507B"/>
    <w:rsid w:val="003453FC"/>
    <w:rsid w:val="00345458"/>
    <w:rsid w:val="003454B5"/>
    <w:rsid w:val="00345613"/>
    <w:rsid w:val="003458DC"/>
    <w:rsid w:val="00345977"/>
    <w:rsid w:val="00345BFD"/>
    <w:rsid w:val="00345D3F"/>
    <w:rsid w:val="00345DD7"/>
    <w:rsid w:val="00345E25"/>
    <w:rsid w:val="00345EF6"/>
    <w:rsid w:val="0034617B"/>
    <w:rsid w:val="00346533"/>
    <w:rsid w:val="003466E1"/>
    <w:rsid w:val="0034674D"/>
    <w:rsid w:val="00346989"/>
    <w:rsid w:val="00346995"/>
    <w:rsid w:val="00346A4F"/>
    <w:rsid w:val="00346CAB"/>
    <w:rsid w:val="00346CD7"/>
    <w:rsid w:val="00346DDA"/>
    <w:rsid w:val="00346DF8"/>
    <w:rsid w:val="00346E23"/>
    <w:rsid w:val="00346F52"/>
    <w:rsid w:val="003473EC"/>
    <w:rsid w:val="00347441"/>
    <w:rsid w:val="00347448"/>
    <w:rsid w:val="0034748D"/>
    <w:rsid w:val="003475E1"/>
    <w:rsid w:val="00347658"/>
    <w:rsid w:val="003476FC"/>
    <w:rsid w:val="00347F48"/>
    <w:rsid w:val="003501EC"/>
    <w:rsid w:val="00350BFC"/>
    <w:rsid w:val="00350DCB"/>
    <w:rsid w:val="00350F5C"/>
    <w:rsid w:val="00350FCB"/>
    <w:rsid w:val="00351022"/>
    <w:rsid w:val="003511A6"/>
    <w:rsid w:val="00351583"/>
    <w:rsid w:val="00351AC3"/>
    <w:rsid w:val="00351B83"/>
    <w:rsid w:val="00351C48"/>
    <w:rsid w:val="00351C86"/>
    <w:rsid w:val="00351E43"/>
    <w:rsid w:val="00351FCA"/>
    <w:rsid w:val="0035260A"/>
    <w:rsid w:val="00352B7E"/>
    <w:rsid w:val="00352C3F"/>
    <w:rsid w:val="00352C5C"/>
    <w:rsid w:val="00353328"/>
    <w:rsid w:val="00353344"/>
    <w:rsid w:val="00353A94"/>
    <w:rsid w:val="00353BB4"/>
    <w:rsid w:val="00353ED5"/>
    <w:rsid w:val="003540C7"/>
    <w:rsid w:val="003542D1"/>
    <w:rsid w:val="00354365"/>
    <w:rsid w:val="00354462"/>
    <w:rsid w:val="003544C2"/>
    <w:rsid w:val="00354558"/>
    <w:rsid w:val="00354605"/>
    <w:rsid w:val="00354690"/>
    <w:rsid w:val="00354BDD"/>
    <w:rsid w:val="00354C17"/>
    <w:rsid w:val="00354C5A"/>
    <w:rsid w:val="00355645"/>
    <w:rsid w:val="003556A9"/>
    <w:rsid w:val="003558F3"/>
    <w:rsid w:val="00355F01"/>
    <w:rsid w:val="003563C2"/>
    <w:rsid w:val="0035641F"/>
    <w:rsid w:val="00356939"/>
    <w:rsid w:val="00356A26"/>
    <w:rsid w:val="00356B90"/>
    <w:rsid w:val="00356CFF"/>
    <w:rsid w:val="0035701B"/>
    <w:rsid w:val="0035715F"/>
    <w:rsid w:val="003571B6"/>
    <w:rsid w:val="003574BF"/>
    <w:rsid w:val="00357523"/>
    <w:rsid w:val="00357813"/>
    <w:rsid w:val="003578D1"/>
    <w:rsid w:val="003579EF"/>
    <w:rsid w:val="00357A55"/>
    <w:rsid w:val="00357C68"/>
    <w:rsid w:val="00357C69"/>
    <w:rsid w:val="0036005A"/>
    <w:rsid w:val="00360177"/>
    <w:rsid w:val="00360570"/>
    <w:rsid w:val="003606E6"/>
    <w:rsid w:val="0036076A"/>
    <w:rsid w:val="00360911"/>
    <w:rsid w:val="00360C7F"/>
    <w:rsid w:val="00360CF2"/>
    <w:rsid w:val="00360D2A"/>
    <w:rsid w:val="00360E56"/>
    <w:rsid w:val="00360F36"/>
    <w:rsid w:val="00360F56"/>
    <w:rsid w:val="003611AD"/>
    <w:rsid w:val="003613DD"/>
    <w:rsid w:val="00361662"/>
    <w:rsid w:val="00361694"/>
    <w:rsid w:val="0036190C"/>
    <w:rsid w:val="00361C53"/>
    <w:rsid w:val="003624FB"/>
    <w:rsid w:val="00362616"/>
    <w:rsid w:val="003626E3"/>
    <w:rsid w:val="00362750"/>
    <w:rsid w:val="003628F0"/>
    <w:rsid w:val="003629C6"/>
    <w:rsid w:val="00362A75"/>
    <w:rsid w:val="00362D3D"/>
    <w:rsid w:val="00362DBC"/>
    <w:rsid w:val="00362EC5"/>
    <w:rsid w:val="00362EE2"/>
    <w:rsid w:val="00362F21"/>
    <w:rsid w:val="00362F2F"/>
    <w:rsid w:val="003631B0"/>
    <w:rsid w:val="003631B8"/>
    <w:rsid w:val="0036334E"/>
    <w:rsid w:val="00363A84"/>
    <w:rsid w:val="00363EFE"/>
    <w:rsid w:val="00363F90"/>
    <w:rsid w:val="003640F9"/>
    <w:rsid w:val="0036438B"/>
    <w:rsid w:val="0036474F"/>
    <w:rsid w:val="00364893"/>
    <w:rsid w:val="00364B20"/>
    <w:rsid w:val="00364CF9"/>
    <w:rsid w:val="003653A3"/>
    <w:rsid w:val="0036548E"/>
    <w:rsid w:val="003655D3"/>
    <w:rsid w:val="0036562E"/>
    <w:rsid w:val="003657E5"/>
    <w:rsid w:val="00365ACD"/>
    <w:rsid w:val="00365DFA"/>
    <w:rsid w:val="00365F9F"/>
    <w:rsid w:val="00366167"/>
    <w:rsid w:val="0036618F"/>
    <w:rsid w:val="003663C1"/>
    <w:rsid w:val="003664ED"/>
    <w:rsid w:val="00366687"/>
    <w:rsid w:val="0036671C"/>
    <w:rsid w:val="003667F1"/>
    <w:rsid w:val="00366F51"/>
    <w:rsid w:val="003673B8"/>
    <w:rsid w:val="003675E6"/>
    <w:rsid w:val="00367921"/>
    <w:rsid w:val="0037005F"/>
    <w:rsid w:val="003701B8"/>
    <w:rsid w:val="003702C6"/>
    <w:rsid w:val="0037037C"/>
    <w:rsid w:val="00370413"/>
    <w:rsid w:val="003705C1"/>
    <w:rsid w:val="00370652"/>
    <w:rsid w:val="00370AF1"/>
    <w:rsid w:val="00370B7D"/>
    <w:rsid w:val="00370FFE"/>
    <w:rsid w:val="00371340"/>
    <w:rsid w:val="00371452"/>
    <w:rsid w:val="00371B1F"/>
    <w:rsid w:val="00371B53"/>
    <w:rsid w:val="00371EDC"/>
    <w:rsid w:val="00371EF3"/>
    <w:rsid w:val="0037213D"/>
    <w:rsid w:val="0037267E"/>
    <w:rsid w:val="00372890"/>
    <w:rsid w:val="0037295C"/>
    <w:rsid w:val="00372EC3"/>
    <w:rsid w:val="00372FF9"/>
    <w:rsid w:val="00373006"/>
    <w:rsid w:val="00373022"/>
    <w:rsid w:val="0037307D"/>
    <w:rsid w:val="0037337E"/>
    <w:rsid w:val="00373390"/>
    <w:rsid w:val="0037375F"/>
    <w:rsid w:val="003737E1"/>
    <w:rsid w:val="003737F3"/>
    <w:rsid w:val="003738CF"/>
    <w:rsid w:val="00373A43"/>
    <w:rsid w:val="00373BD9"/>
    <w:rsid w:val="00373C90"/>
    <w:rsid w:val="00373CFE"/>
    <w:rsid w:val="00373DB7"/>
    <w:rsid w:val="00374140"/>
    <w:rsid w:val="0037417A"/>
    <w:rsid w:val="00374521"/>
    <w:rsid w:val="00374875"/>
    <w:rsid w:val="00374B36"/>
    <w:rsid w:val="00374EFD"/>
    <w:rsid w:val="00375397"/>
    <w:rsid w:val="0037539E"/>
    <w:rsid w:val="00375752"/>
    <w:rsid w:val="003757FF"/>
    <w:rsid w:val="00375878"/>
    <w:rsid w:val="00375AF7"/>
    <w:rsid w:val="00375BB2"/>
    <w:rsid w:val="00375D63"/>
    <w:rsid w:val="00375E66"/>
    <w:rsid w:val="003762B1"/>
    <w:rsid w:val="003762D5"/>
    <w:rsid w:val="00376474"/>
    <w:rsid w:val="00376494"/>
    <w:rsid w:val="003764AB"/>
    <w:rsid w:val="0037676D"/>
    <w:rsid w:val="003767D9"/>
    <w:rsid w:val="00376A20"/>
    <w:rsid w:val="00376FE8"/>
    <w:rsid w:val="003774CE"/>
    <w:rsid w:val="0037753C"/>
    <w:rsid w:val="003775CA"/>
    <w:rsid w:val="0037795A"/>
    <w:rsid w:val="00377F0E"/>
    <w:rsid w:val="00380380"/>
    <w:rsid w:val="003807CB"/>
    <w:rsid w:val="00380971"/>
    <w:rsid w:val="00380AE0"/>
    <w:rsid w:val="00380AEB"/>
    <w:rsid w:val="003811CA"/>
    <w:rsid w:val="0038129B"/>
    <w:rsid w:val="00381522"/>
    <w:rsid w:val="003815AF"/>
    <w:rsid w:val="003815F0"/>
    <w:rsid w:val="003816E8"/>
    <w:rsid w:val="00381B43"/>
    <w:rsid w:val="00381BDF"/>
    <w:rsid w:val="00381C96"/>
    <w:rsid w:val="00381D0C"/>
    <w:rsid w:val="00381EFC"/>
    <w:rsid w:val="00381F9B"/>
    <w:rsid w:val="003822DE"/>
    <w:rsid w:val="003824CA"/>
    <w:rsid w:val="00382919"/>
    <w:rsid w:val="00382A91"/>
    <w:rsid w:val="00382DE6"/>
    <w:rsid w:val="00382EFF"/>
    <w:rsid w:val="0038300A"/>
    <w:rsid w:val="003830CE"/>
    <w:rsid w:val="003830D8"/>
    <w:rsid w:val="003831EF"/>
    <w:rsid w:val="00383268"/>
    <w:rsid w:val="00383734"/>
    <w:rsid w:val="00383932"/>
    <w:rsid w:val="003839E1"/>
    <w:rsid w:val="00383ABA"/>
    <w:rsid w:val="00383D91"/>
    <w:rsid w:val="00383F06"/>
    <w:rsid w:val="003842C6"/>
    <w:rsid w:val="00384430"/>
    <w:rsid w:val="0038450A"/>
    <w:rsid w:val="00384A46"/>
    <w:rsid w:val="00384F37"/>
    <w:rsid w:val="00385294"/>
    <w:rsid w:val="0038537F"/>
    <w:rsid w:val="003856CB"/>
    <w:rsid w:val="00385A07"/>
    <w:rsid w:val="00385FEF"/>
    <w:rsid w:val="0038646F"/>
    <w:rsid w:val="00386560"/>
    <w:rsid w:val="003866C0"/>
    <w:rsid w:val="00386826"/>
    <w:rsid w:val="003868F8"/>
    <w:rsid w:val="00386A52"/>
    <w:rsid w:val="00386A8E"/>
    <w:rsid w:val="00386B9B"/>
    <w:rsid w:val="00386DB1"/>
    <w:rsid w:val="00386F65"/>
    <w:rsid w:val="0038708A"/>
    <w:rsid w:val="0038748C"/>
    <w:rsid w:val="0038753D"/>
    <w:rsid w:val="0038778A"/>
    <w:rsid w:val="00387959"/>
    <w:rsid w:val="00387AC1"/>
    <w:rsid w:val="00387D6C"/>
    <w:rsid w:val="003900C7"/>
    <w:rsid w:val="00390348"/>
    <w:rsid w:val="003904B0"/>
    <w:rsid w:val="00390688"/>
    <w:rsid w:val="0039073C"/>
    <w:rsid w:val="0039078A"/>
    <w:rsid w:val="00390A3A"/>
    <w:rsid w:val="00390BB0"/>
    <w:rsid w:val="00390D72"/>
    <w:rsid w:val="003910D3"/>
    <w:rsid w:val="003918CF"/>
    <w:rsid w:val="00391A97"/>
    <w:rsid w:val="00391CCD"/>
    <w:rsid w:val="00391E59"/>
    <w:rsid w:val="00391F73"/>
    <w:rsid w:val="00391FCB"/>
    <w:rsid w:val="0039230A"/>
    <w:rsid w:val="003923BC"/>
    <w:rsid w:val="003923F0"/>
    <w:rsid w:val="00392765"/>
    <w:rsid w:val="003927BC"/>
    <w:rsid w:val="003928F5"/>
    <w:rsid w:val="003929A8"/>
    <w:rsid w:val="00392ABF"/>
    <w:rsid w:val="00392BC9"/>
    <w:rsid w:val="00392C94"/>
    <w:rsid w:val="00392CF8"/>
    <w:rsid w:val="00392FB4"/>
    <w:rsid w:val="0039318B"/>
    <w:rsid w:val="0039330A"/>
    <w:rsid w:val="00393698"/>
    <w:rsid w:val="00393A4E"/>
    <w:rsid w:val="00393FE8"/>
    <w:rsid w:val="00394236"/>
    <w:rsid w:val="0039447F"/>
    <w:rsid w:val="003947B9"/>
    <w:rsid w:val="00394B35"/>
    <w:rsid w:val="00394B94"/>
    <w:rsid w:val="00394D7A"/>
    <w:rsid w:val="00394E8B"/>
    <w:rsid w:val="00394FAC"/>
    <w:rsid w:val="003954E4"/>
    <w:rsid w:val="00395AF7"/>
    <w:rsid w:val="00395D17"/>
    <w:rsid w:val="003962F3"/>
    <w:rsid w:val="0039653B"/>
    <w:rsid w:val="003965D5"/>
    <w:rsid w:val="00396626"/>
    <w:rsid w:val="003967CB"/>
    <w:rsid w:val="00396840"/>
    <w:rsid w:val="00396AC9"/>
    <w:rsid w:val="00396C0E"/>
    <w:rsid w:val="00396D28"/>
    <w:rsid w:val="00396D73"/>
    <w:rsid w:val="00396DD6"/>
    <w:rsid w:val="00396FD6"/>
    <w:rsid w:val="003974CD"/>
    <w:rsid w:val="00397610"/>
    <w:rsid w:val="003978B7"/>
    <w:rsid w:val="003979A2"/>
    <w:rsid w:val="00397ACE"/>
    <w:rsid w:val="00397CEE"/>
    <w:rsid w:val="003A03ED"/>
    <w:rsid w:val="003A0C62"/>
    <w:rsid w:val="003A0CBB"/>
    <w:rsid w:val="003A1163"/>
    <w:rsid w:val="003A146A"/>
    <w:rsid w:val="003A1964"/>
    <w:rsid w:val="003A1AAB"/>
    <w:rsid w:val="003A1B19"/>
    <w:rsid w:val="003A1DA3"/>
    <w:rsid w:val="003A1DFD"/>
    <w:rsid w:val="003A1F60"/>
    <w:rsid w:val="003A2168"/>
    <w:rsid w:val="003A22CD"/>
    <w:rsid w:val="003A23E5"/>
    <w:rsid w:val="003A24AD"/>
    <w:rsid w:val="003A27DF"/>
    <w:rsid w:val="003A28BF"/>
    <w:rsid w:val="003A2AA3"/>
    <w:rsid w:val="003A2CA4"/>
    <w:rsid w:val="003A2DC6"/>
    <w:rsid w:val="003A2E0D"/>
    <w:rsid w:val="003A31E6"/>
    <w:rsid w:val="003A35C3"/>
    <w:rsid w:val="003A374C"/>
    <w:rsid w:val="003A37DF"/>
    <w:rsid w:val="003A3EB2"/>
    <w:rsid w:val="003A400E"/>
    <w:rsid w:val="003A400F"/>
    <w:rsid w:val="003A401F"/>
    <w:rsid w:val="003A4262"/>
    <w:rsid w:val="003A42A2"/>
    <w:rsid w:val="003A44BF"/>
    <w:rsid w:val="003A45A6"/>
    <w:rsid w:val="003A45BC"/>
    <w:rsid w:val="003A45D8"/>
    <w:rsid w:val="003A4801"/>
    <w:rsid w:val="003A48A6"/>
    <w:rsid w:val="003A490A"/>
    <w:rsid w:val="003A4959"/>
    <w:rsid w:val="003A497A"/>
    <w:rsid w:val="003A4989"/>
    <w:rsid w:val="003A49CF"/>
    <w:rsid w:val="003A4B14"/>
    <w:rsid w:val="003A4C1D"/>
    <w:rsid w:val="003A50C6"/>
    <w:rsid w:val="003A513A"/>
    <w:rsid w:val="003A5307"/>
    <w:rsid w:val="003A5317"/>
    <w:rsid w:val="003A53EF"/>
    <w:rsid w:val="003A5400"/>
    <w:rsid w:val="003A5554"/>
    <w:rsid w:val="003A55B0"/>
    <w:rsid w:val="003A5792"/>
    <w:rsid w:val="003A582C"/>
    <w:rsid w:val="003A5911"/>
    <w:rsid w:val="003A5AE3"/>
    <w:rsid w:val="003A5B92"/>
    <w:rsid w:val="003A5BC6"/>
    <w:rsid w:val="003A5BFB"/>
    <w:rsid w:val="003A611A"/>
    <w:rsid w:val="003A630E"/>
    <w:rsid w:val="003A6385"/>
    <w:rsid w:val="003A66E4"/>
    <w:rsid w:val="003A678B"/>
    <w:rsid w:val="003A6894"/>
    <w:rsid w:val="003A68CD"/>
    <w:rsid w:val="003A6A1E"/>
    <w:rsid w:val="003A6EA3"/>
    <w:rsid w:val="003A7135"/>
    <w:rsid w:val="003A71A8"/>
    <w:rsid w:val="003A7647"/>
    <w:rsid w:val="003A770E"/>
    <w:rsid w:val="003A7AF8"/>
    <w:rsid w:val="003A7D75"/>
    <w:rsid w:val="003A7FAC"/>
    <w:rsid w:val="003B0085"/>
    <w:rsid w:val="003B01A3"/>
    <w:rsid w:val="003B01D0"/>
    <w:rsid w:val="003B035A"/>
    <w:rsid w:val="003B038E"/>
    <w:rsid w:val="003B03AA"/>
    <w:rsid w:val="003B03D8"/>
    <w:rsid w:val="003B061C"/>
    <w:rsid w:val="003B0724"/>
    <w:rsid w:val="003B0B28"/>
    <w:rsid w:val="003B0C40"/>
    <w:rsid w:val="003B0E53"/>
    <w:rsid w:val="003B0E73"/>
    <w:rsid w:val="003B1439"/>
    <w:rsid w:val="003B18AD"/>
    <w:rsid w:val="003B1AA4"/>
    <w:rsid w:val="003B1B62"/>
    <w:rsid w:val="003B1B72"/>
    <w:rsid w:val="003B1EC9"/>
    <w:rsid w:val="003B1F82"/>
    <w:rsid w:val="003B209E"/>
    <w:rsid w:val="003B219C"/>
    <w:rsid w:val="003B2363"/>
    <w:rsid w:val="003B2533"/>
    <w:rsid w:val="003B2596"/>
    <w:rsid w:val="003B2675"/>
    <w:rsid w:val="003B29D6"/>
    <w:rsid w:val="003B2BD9"/>
    <w:rsid w:val="003B2DA4"/>
    <w:rsid w:val="003B2DBC"/>
    <w:rsid w:val="003B2ED7"/>
    <w:rsid w:val="003B3044"/>
    <w:rsid w:val="003B34D8"/>
    <w:rsid w:val="003B35A3"/>
    <w:rsid w:val="003B3623"/>
    <w:rsid w:val="003B3E2F"/>
    <w:rsid w:val="003B3E4A"/>
    <w:rsid w:val="003B3F3E"/>
    <w:rsid w:val="003B3F5C"/>
    <w:rsid w:val="003B3F8B"/>
    <w:rsid w:val="003B4062"/>
    <w:rsid w:val="003B40EB"/>
    <w:rsid w:val="003B41E7"/>
    <w:rsid w:val="003B4264"/>
    <w:rsid w:val="003B4335"/>
    <w:rsid w:val="003B43D2"/>
    <w:rsid w:val="003B4ADE"/>
    <w:rsid w:val="003B4C05"/>
    <w:rsid w:val="003B4DCF"/>
    <w:rsid w:val="003B4E4C"/>
    <w:rsid w:val="003B4F6B"/>
    <w:rsid w:val="003B4F83"/>
    <w:rsid w:val="003B5098"/>
    <w:rsid w:val="003B516A"/>
    <w:rsid w:val="003B52B3"/>
    <w:rsid w:val="003B52FD"/>
    <w:rsid w:val="003B609C"/>
    <w:rsid w:val="003B60BC"/>
    <w:rsid w:val="003B6264"/>
    <w:rsid w:val="003B66BA"/>
    <w:rsid w:val="003B67C5"/>
    <w:rsid w:val="003B680A"/>
    <w:rsid w:val="003B6E79"/>
    <w:rsid w:val="003B6FF4"/>
    <w:rsid w:val="003B72FB"/>
    <w:rsid w:val="003B74F6"/>
    <w:rsid w:val="003B7709"/>
    <w:rsid w:val="003B784B"/>
    <w:rsid w:val="003B7868"/>
    <w:rsid w:val="003B79E2"/>
    <w:rsid w:val="003B7A36"/>
    <w:rsid w:val="003C009E"/>
    <w:rsid w:val="003C04D0"/>
    <w:rsid w:val="003C0781"/>
    <w:rsid w:val="003C0961"/>
    <w:rsid w:val="003C0AB2"/>
    <w:rsid w:val="003C0B1F"/>
    <w:rsid w:val="003C0B6A"/>
    <w:rsid w:val="003C0ED2"/>
    <w:rsid w:val="003C0F63"/>
    <w:rsid w:val="003C11C4"/>
    <w:rsid w:val="003C14D6"/>
    <w:rsid w:val="003C1874"/>
    <w:rsid w:val="003C1B4C"/>
    <w:rsid w:val="003C1B8A"/>
    <w:rsid w:val="003C1B93"/>
    <w:rsid w:val="003C1EA5"/>
    <w:rsid w:val="003C23CE"/>
    <w:rsid w:val="003C27EE"/>
    <w:rsid w:val="003C2AE8"/>
    <w:rsid w:val="003C2D18"/>
    <w:rsid w:val="003C3239"/>
    <w:rsid w:val="003C372A"/>
    <w:rsid w:val="003C38B1"/>
    <w:rsid w:val="003C3DA3"/>
    <w:rsid w:val="003C3DB8"/>
    <w:rsid w:val="003C4037"/>
    <w:rsid w:val="003C4494"/>
    <w:rsid w:val="003C4654"/>
    <w:rsid w:val="003C4876"/>
    <w:rsid w:val="003C4C2D"/>
    <w:rsid w:val="003C4C63"/>
    <w:rsid w:val="003C5012"/>
    <w:rsid w:val="003C5042"/>
    <w:rsid w:val="003C51A7"/>
    <w:rsid w:val="003C521E"/>
    <w:rsid w:val="003C52F2"/>
    <w:rsid w:val="003C5384"/>
    <w:rsid w:val="003C5404"/>
    <w:rsid w:val="003C59D8"/>
    <w:rsid w:val="003C5B01"/>
    <w:rsid w:val="003C5B56"/>
    <w:rsid w:val="003C5D70"/>
    <w:rsid w:val="003C5F5D"/>
    <w:rsid w:val="003C610F"/>
    <w:rsid w:val="003C6138"/>
    <w:rsid w:val="003C6216"/>
    <w:rsid w:val="003C634A"/>
    <w:rsid w:val="003C67BF"/>
    <w:rsid w:val="003C681B"/>
    <w:rsid w:val="003C6BED"/>
    <w:rsid w:val="003C6E91"/>
    <w:rsid w:val="003C71E1"/>
    <w:rsid w:val="003C7217"/>
    <w:rsid w:val="003C7469"/>
    <w:rsid w:val="003C7545"/>
    <w:rsid w:val="003C7715"/>
    <w:rsid w:val="003C7AED"/>
    <w:rsid w:val="003C7B39"/>
    <w:rsid w:val="003C7BAC"/>
    <w:rsid w:val="003C7BCA"/>
    <w:rsid w:val="003C7C9E"/>
    <w:rsid w:val="003C7D52"/>
    <w:rsid w:val="003C7D97"/>
    <w:rsid w:val="003C7E9B"/>
    <w:rsid w:val="003C7EA4"/>
    <w:rsid w:val="003C7F68"/>
    <w:rsid w:val="003D01FC"/>
    <w:rsid w:val="003D0236"/>
    <w:rsid w:val="003D049F"/>
    <w:rsid w:val="003D0751"/>
    <w:rsid w:val="003D0DC3"/>
    <w:rsid w:val="003D1158"/>
    <w:rsid w:val="003D136B"/>
    <w:rsid w:val="003D14ED"/>
    <w:rsid w:val="003D1674"/>
    <w:rsid w:val="003D1D01"/>
    <w:rsid w:val="003D1ED0"/>
    <w:rsid w:val="003D1F2D"/>
    <w:rsid w:val="003D2310"/>
    <w:rsid w:val="003D23BD"/>
    <w:rsid w:val="003D23D7"/>
    <w:rsid w:val="003D27E2"/>
    <w:rsid w:val="003D2857"/>
    <w:rsid w:val="003D2873"/>
    <w:rsid w:val="003D298B"/>
    <w:rsid w:val="003D2B59"/>
    <w:rsid w:val="003D2B7C"/>
    <w:rsid w:val="003D2EBF"/>
    <w:rsid w:val="003D31B2"/>
    <w:rsid w:val="003D343E"/>
    <w:rsid w:val="003D3673"/>
    <w:rsid w:val="003D3917"/>
    <w:rsid w:val="003D39EF"/>
    <w:rsid w:val="003D3A31"/>
    <w:rsid w:val="003D3C4A"/>
    <w:rsid w:val="003D403E"/>
    <w:rsid w:val="003D429A"/>
    <w:rsid w:val="003D43D5"/>
    <w:rsid w:val="003D4418"/>
    <w:rsid w:val="003D46A3"/>
    <w:rsid w:val="003D472B"/>
    <w:rsid w:val="003D4B9A"/>
    <w:rsid w:val="003D4CCE"/>
    <w:rsid w:val="003D53DB"/>
    <w:rsid w:val="003D567E"/>
    <w:rsid w:val="003D57B3"/>
    <w:rsid w:val="003D58DD"/>
    <w:rsid w:val="003D5C88"/>
    <w:rsid w:val="003D5DB9"/>
    <w:rsid w:val="003D5DF9"/>
    <w:rsid w:val="003D5E6A"/>
    <w:rsid w:val="003D5F32"/>
    <w:rsid w:val="003D6094"/>
    <w:rsid w:val="003D6468"/>
    <w:rsid w:val="003D65A3"/>
    <w:rsid w:val="003D67FD"/>
    <w:rsid w:val="003D6971"/>
    <w:rsid w:val="003D69E8"/>
    <w:rsid w:val="003D6BEB"/>
    <w:rsid w:val="003D6E15"/>
    <w:rsid w:val="003D6EC3"/>
    <w:rsid w:val="003D7167"/>
    <w:rsid w:val="003D725C"/>
    <w:rsid w:val="003D756A"/>
    <w:rsid w:val="003D75AE"/>
    <w:rsid w:val="003D766A"/>
    <w:rsid w:val="003D768C"/>
    <w:rsid w:val="003D7744"/>
    <w:rsid w:val="003D7A9B"/>
    <w:rsid w:val="003E0005"/>
    <w:rsid w:val="003E00F0"/>
    <w:rsid w:val="003E0129"/>
    <w:rsid w:val="003E0149"/>
    <w:rsid w:val="003E048D"/>
    <w:rsid w:val="003E054B"/>
    <w:rsid w:val="003E05BC"/>
    <w:rsid w:val="003E06D4"/>
    <w:rsid w:val="003E0AF4"/>
    <w:rsid w:val="003E0F03"/>
    <w:rsid w:val="003E1499"/>
    <w:rsid w:val="003E14E0"/>
    <w:rsid w:val="003E16A6"/>
    <w:rsid w:val="003E1718"/>
    <w:rsid w:val="003E1875"/>
    <w:rsid w:val="003E1A0C"/>
    <w:rsid w:val="003E1CCB"/>
    <w:rsid w:val="003E21D9"/>
    <w:rsid w:val="003E235D"/>
    <w:rsid w:val="003E2375"/>
    <w:rsid w:val="003E25BE"/>
    <w:rsid w:val="003E2A3A"/>
    <w:rsid w:val="003E2B86"/>
    <w:rsid w:val="003E2BBC"/>
    <w:rsid w:val="003E2D05"/>
    <w:rsid w:val="003E2F60"/>
    <w:rsid w:val="003E3103"/>
    <w:rsid w:val="003E32F3"/>
    <w:rsid w:val="003E3597"/>
    <w:rsid w:val="003E3978"/>
    <w:rsid w:val="003E409A"/>
    <w:rsid w:val="003E40A7"/>
    <w:rsid w:val="003E41A5"/>
    <w:rsid w:val="003E4760"/>
    <w:rsid w:val="003E48A8"/>
    <w:rsid w:val="003E4A3C"/>
    <w:rsid w:val="003E4AF4"/>
    <w:rsid w:val="003E4C13"/>
    <w:rsid w:val="003E5111"/>
    <w:rsid w:val="003E532A"/>
    <w:rsid w:val="003E5364"/>
    <w:rsid w:val="003E53E1"/>
    <w:rsid w:val="003E5850"/>
    <w:rsid w:val="003E5B4B"/>
    <w:rsid w:val="003E5B70"/>
    <w:rsid w:val="003E5F75"/>
    <w:rsid w:val="003E61E7"/>
    <w:rsid w:val="003E63A8"/>
    <w:rsid w:val="003E660B"/>
    <w:rsid w:val="003E6A59"/>
    <w:rsid w:val="003E6C6A"/>
    <w:rsid w:val="003E6D8C"/>
    <w:rsid w:val="003E6DEA"/>
    <w:rsid w:val="003E7718"/>
    <w:rsid w:val="003E7A70"/>
    <w:rsid w:val="003E7A71"/>
    <w:rsid w:val="003E7BFC"/>
    <w:rsid w:val="003E7C69"/>
    <w:rsid w:val="003E7C88"/>
    <w:rsid w:val="003E7CE0"/>
    <w:rsid w:val="003E7E27"/>
    <w:rsid w:val="003E7E7A"/>
    <w:rsid w:val="003E7E8C"/>
    <w:rsid w:val="003F01D4"/>
    <w:rsid w:val="003F031B"/>
    <w:rsid w:val="003F03FF"/>
    <w:rsid w:val="003F082F"/>
    <w:rsid w:val="003F0871"/>
    <w:rsid w:val="003F0980"/>
    <w:rsid w:val="003F0993"/>
    <w:rsid w:val="003F0D90"/>
    <w:rsid w:val="003F10EC"/>
    <w:rsid w:val="003F1117"/>
    <w:rsid w:val="003F11ED"/>
    <w:rsid w:val="003F13B7"/>
    <w:rsid w:val="003F155B"/>
    <w:rsid w:val="003F1718"/>
    <w:rsid w:val="003F1DEE"/>
    <w:rsid w:val="003F2051"/>
    <w:rsid w:val="003F2285"/>
    <w:rsid w:val="003F2421"/>
    <w:rsid w:val="003F2E19"/>
    <w:rsid w:val="003F2FFD"/>
    <w:rsid w:val="003F31FB"/>
    <w:rsid w:val="003F348A"/>
    <w:rsid w:val="003F38E1"/>
    <w:rsid w:val="003F393A"/>
    <w:rsid w:val="003F3A7D"/>
    <w:rsid w:val="003F3B63"/>
    <w:rsid w:val="003F3FB5"/>
    <w:rsid w:val="003F449E"/>
    <w:rsid w:val="003F4963"/>
    <w:rsid w:val="003F4C8F"/>
    <w:rsid w:val="003F4C97"/>
    <w:rsid w:val="003F4E88"/>
    <w:rsid w:val="003F4FCA"/>
    <w:rsid w:val="003F5467"/>
    <w:rsid w:val="003F5484"/>
    <w:rsid w:val="003F5592"/>
    <w:rsid w:val="003F56EF"/>
    <w:rsid w:val="003F57D1"/>
    <w:rsid w:val="003F58E5"/>
    <w:rsid w:val="003F5DBF"/>
    <w:rsid w:val="003F5FC3"/>
    <w:rsid w:val="003F60B4"/>
    <w:rsid w:val="003F6436"/>
    <w:rsid w:val="003F645A"/>
    <w:rsid w:val="003F651B"/>
    <w:rsid w:val="003F655A"/>
    <w:rsid w:val="003F66A5"/>
    <w:rsid w:val="003F6A69"/>
    <w:rsid w:val="003F6AA7"/>
    <w:rsid w:val="003F6D28"/>
    <w:rsid w:val="003F6F9B"/>
    <w:rsid w:val="003F7095"/>
    <w:rsid w:val="003F7196"/>
    <w:rsid w:val="003F7380"/>
    <w:rsid w:val="003F7428"/>
    <w:rsid w:val="003F7EB3"/>
    <w:rsid w:val="003F7F03"/>
    <w:rsid w:val="00400064"/>
    <w:rsid w:val="00400211"/>
    <w:rsid w:val="004002B1"/>
    <w:rsid w:val="00400527"/>
    <w:rsid w:val="0040061E"/>
    <w:rsid w:val="00400696"/>
    <w:rsid w:val="00400809"/>
    <w:rsid w:val="00400863"/>
    <w:rsid w:val="00400920"/>
    <w:rsid w:val="00400925"/>
    <w:rsid w:val="00400A41"/>
    <w:rsid w:val="00400C41"/>
    <w:rsid w:val="00400DB2"/>
    <w:rsid w:val="00400F09"/>
    <w:rsid w:val="004011B1"/>
    <w:rsid w:val="00401206"/>
    <w:rsid w:val="00401253"/>
    <w:rsid w:val="004014B1"/>
    <w:rsid w:val="0040153F"/>
    <w:rsid w:val="0040164E"/>
    <w:rsid w:val="004017BC"/>
    <w:rsid w:val="004019EC"/>
    <w:rsid w:val="00401AE3"/>
    <w:rsid w:val="00401B25"/>
    <w:rsid w:val="00401BB3"/>
    <w:rsid w:val="00402142"/>
    <w:rsid w:val="00402353"/>
    <w:rsid w:val="004025B7"/>
    <w:rsid w:val="00402874"/>
    <w:rsid w:val="00402A0C"/>
    <w:rsid w:val="00402A28"/>
    <w:rsid w:val="004030A8"/>
    <w:rsid w:val="00403108"/>
    <w:rsid w:val="00403339"/>
    <w:rsid w:val="004035CB"/>
    <w:rsid w:val="00403AED"/>
    <w:rsid w:val="00403B0A"/>
    <w:rsid w:val="00403FEE"/>
    <w:rsid w:val="00404162"/>
    <w:rsid w:val="00404469"/>
    <w:rsid w:val="00404715"/>
    <w:rsid w:val="00404829"/>
    <w:rsid w:val="00404A97"/>
    <w:rsid w:val="00404FA5"/>
    <w:rsid w:val="0040503B"/>
    <w:rsid w:val="0040520E"/>
    <w:rsid w:val="004054D2"/>
    <w:rsid w:val="004054F9"/>
    <w:rsid w:val="00405573"/>
    <w:rsid w:val="004058E0"/>
    <w:rsid w:val="00405D61"/>
    <w:rsid w:val="00406160"/>
    <w:rsid w:val="004064D7"/>
    <w:rsid w:val="004068A4"/>
    <w:rsid w:val="004069D1"/>
    <w:rsid w:val="00406BFA"/>
    <w:rsid w:val="00406C19"/>
    <w:rsid w:val="00406F20"/>
    <w:rsid w:val="0040719E"/>
    <w:rsid w:val="00407706"/>
    <w:rsid w:val="004077A0"/>
    <w:rsid w:val="004078FD"/>
    <w:rsid w:val="00407C45"/>
    <w:rsid w:val="00407D57"/>
    <w:rsid w:val="00407D5C"/>
    <w:rsid w:val="00407F0C"/>
    <w:rsid w:val="00407FE1"/>
    <w:rsid w:val="0041035C"/>
    <w:rsid w:val="0041061B"/>
    <w:rsid w:val="00410814"/>
    <w:rsid w:val="0041098B"/>
    <w:rsid w:val="00410A24"/>
    <w:rsid w:val="00410E9B"/>
    <w:rsid w:val="0041104A"/>
    <w:rsid w:val="00411739"/>
    <w:rsid w:val="00411787"/>
    <w:rsid w:val="004118E3"/>
    <w:rsid w:val="00411977"/>
    <w:rsid w:val="00411988"/>
    <w:rsid w:val="00411C7B"/>
    <w:rsid w:val="004122B1"/>
    <w:rsid w:val="0041250A"/>
    <w:rsid w:val="00412858"/>
    <w:rsid w:val="004129D9"/>
    <w:rsid w:val="00412C41"/>
    <w:rsid w:val="004131D3"/>
    <w:rsid w:val="0041353B"/>
    <w:rsid w:val="004138B8"/>
    <w:rsid w:val="00413A4B"/>
    <w:rsid w:val="00413E2D"/>
    <w:rsid w:val="00413F19"/>
    <w:rsid w:val="004141D8"/>
    <w:rsid w:val="0041467E"/>
    <w:rsid w:val="00414818"/>
    <w:rsid w:val="00414A5A"/>
    <w:rsid w:val="00414ED6"/>
    <w:rsid w:val="0041525C"/>
    <w:rsid w:val="004153D4"/>
    <w:rsid w:val="004156B8"/>
    <w:rsid w:val="00415803"/>
    <w:rsid w:val="004158B2"/>
    <w:rsid w:val="004158E1"/>
    <w:rsid w:val="00415BA8"/>
    <w:rsid w:val="00415D14"/>
    <w:rsid w:val="00415E71"/>
    <w:rsid w:val="00415F16"/>
    <w:rsid w:val="00415F67"/>
    <w:rsid w:val="00416113"/>
    <w:rsid w:val="0041621C"/>
    <w:rsid w:val="0041639A"/>
    <w:rsid w:val="00416923"/>
    <w:rsid w:val="00416997"/>
    <w:rsid w:val="00416AD6"/>
    <w:rsid w:val="00416EC6"/>
    <w:rsid w:val="004172BA"/>
    <w:rsid w:val="00417536"/>
    <w:rsid w:val="0041753B"/>
    <w:rsid w:val="00417699"/>
    <w:rsid w:val="0041787F"/>
    <w:rsid w:val="004179DB"/>
    <w:rsid w:val="00417DD4"/>
    <w:rsid w:val="004201BD"/>
    <w:rsid w:val="0042079A"/>
    <w:rsid w:val="00420C30"/>
    <w:rsid w:val="00420C45"/>
    <w:rsid w:val="00420C5E"/>
    <w:rsid w:val="00420D81"/>
    <w:rsid w:val="004210CD"/>
    <w:rsid w:val="0042120B"/>
    <w:rsid w:val="0042144B"/>
    <w:rsid w:val="00421580"/>
    <w:rsid w:val="00421605"/>
    <w:rsid w:val="0042199E"/>
    <w:rsid w:val="00421F40"/>
    <w:rsid w:val="00421FCA"/>
    <w:rsid w:val="00421FE9"/>
    <w:rsid w:val="00422165"/>
    <w:rsid w:val="0042248B"/>
    <w:rsid w:val="004226F6"/>
    <w:rsid w:val="00422BBE"/>
    <w:rsid w:val="00422DD6"/>
    <w:rsid w:val="00422E5A"/>
    <w:rsid w:val="00422EBD"/>
    <w:rsid w:val="0042302A"/>
    <w:rsid w:val="0042319B"/>
    <w:rsid w:val="0042336D"/>
    <w:rsid w:val="0042365C"/>
    <w:rsid w:val="00423779"/>
    <w:rsid w:val="00423841"/>
    <w:rsid w:val="004238F2"/>
    <w:rsid w:val="004240DE"/>
    <w:rsid w:val="004240EF"/>
    <w:rsid w:val="004241E7"/>
    <w:rsid w:val="0042422E"/>
    <w:rsid w:val="00424303"/>
    <w:rsid w:val="00424306"/>
    <w:rsid w:val="004246D5"/>
    <w:rsid w:val="00424851"/>
    <w:rsid w:val="004248C7"/>
    <w:rsid w:val="00424F10"/>
    <w:rsid w:val="00425154"/>
    <w:rsid w:val="004251CA"/>
    <w:rsid w:val="004253B7"/>
    <w:rsid w:val="004253BB"/>
    <w:rsid w:val="00425487"/>
    <w:rsid w:val="004255E9"/>
    <w:rsid w:val="00425643"/>
    <w:rsid w:val="00425A3E"/>
    <w:rsid w:val="00425C48"/>
    <w:rsid w:val="00426107"/>
    <w:rsid w:val="004261BB"/>
    <w:rsid w:val="00426336"/>
    <w:rsid w:val="004263E7"/>
    <w:rsid w:val="00426499"/>
    <w:rsid w:val="004266E4"/>
    <w:rsid w:val="00426BAA"/>
    <w:rsid w:val="004271AB"/>
    <w:rsid w:val="00427283"/>
    <w:rsid w:val="004272A3"/>
    <w:rsid w:val="004272E7"/>
    <w:rsid w:val="0042731C"/>
    <w:rsid w:val="00427679"/>
    <w:rsid w:val="0042768E"/>
    <w:rsid w:val="00427B2D"/>
    <w:rsid w:val="00427BF8"/>
    <w:rsid w:val="00427DBD"/>
    <w:rsid w:val="00427E67"/>
    <w:rsid w:val="00427F9F"/>
    <w:rsid w:val="0043004C"/>
    <w:rsid w:val="00430090"/>
    <w:rsid w:val="00430B6E"/>
    <w:rsid w:val="00430CB6"/>
    <w:rsid w:val="00431000"/>
    <w:rsid w:val="004310CF"/>
    <w:rsid w:val="004311F1"/>
    <w:rsid w:val="0043145A"/>
    <w:rsid w:val="0043164D"/>
    <w:rsid w:val="004319A5"/>
    <w:rsid w:val="00431AD3"/>
    <w:rsid w:val="00431F42"/>
    <w:rsid w:val="004320AC"/>
    <w:rsid w:val="00432348"/>
    <w:rsid w:val="0043260A"/>
    <w:rsid w:val="0043276F"/>
    <w:rsid w:val="004327DD"/>
    <w:rsid w:val="00432BA7"/>
    <w:rsid w:val="00432CF0"/>
    <w:rsid w:val="00432FAF"/>
    <w:rsid w:val="0043307F"/>
    <w:rsid w:val="004331DE"/>
    <w:rsid w:val="0043320E"/>
    <w:rsid w:val="0043397E"/>
    <w:rsid w:val="00433AEC"/>
    <w:rsid w:val="00433B8A"/>
    <w:rsid w:val="00433D50"/>
    <w:rsid w:val="00433D97"/>
    <w:rsid w:val="00433E5A"/>
    <w:rsid w:val="00433F27"/>
    <w:rsid w:val="004343B2"/>
    <w:rsid w:val="00434494"/>
    <w:rsid w:val="00434735"/>
    <w:rsid w:val="00434A52"/>
    <w:rsid w:val="00434AF1"/>
    <w:rsid w:val="00434C9A"/>
    <w:rsid w:val="00435353"/>
    <w:rsid w:val="0043539B"/>
    <w:rsid w:val="0043552A"/>
    <w:rsid w:val="004356A9"/>
    <w:rsid w:val="00435A0A"/>
    <w:rsid w:val="00435CDC"/>
    <w:rsid w:val="00435E5D"/>
    <w:rsid w:val="00435E71"/>
    <w:rsid w:val="00436070"/>
    <w:rsid w:val="0043648F"/>
    <w:rsid w:val="004364BC"/>
    <w:rsid w:val="004370BA"/>
    <w:rsid w:val="0043726E"/>
    <w:rsid w:val="0043757B"/>
    <w:rsid w:val="004379DD"/>
    <w:rsid w:val="00437A95"/>
    <w:rsid w:val="00437CD3"/>
    <w:rsid w:val="00437E40"/>
    <w:rsid w:val="00437E53"/>
    <w:rsid w:val="00437E6D"/>
    <w:rsid w:val="00437EB5"/>
    <w:rsid w:val="00437FE1"/>
    <w:rsid w:val="00440221"/>
    <w:rsid w:val="0044061B"/>
    <w:rsid w:val="0044090C"/>
    <w:rsid w:val="00440986"/>
    <w:rsid w:val="00440C3F"/>
    <w:rsid w:val="00440CD2"/>
    <w:rsid w:val="00440D4E"/>
    <w:rsid w:val="00440E0D"/>
    <w:rsid w:val="0044102B"/>
    <w:rsid w:val="004411A7"/>
    <w:rsid w:val="00441289"/>
    <w:rsid w:val="0044145C"/>
    <w:rsid w:val="00441707"/>
    <w:rsid w:val="00441B11"/>
    <w:rsid w:val="00441FFC"/>
    <w:rsid w:val="004424F3"/>
    <w:rsid w:val="00442524"/>
    <w:rsid w:val="00442A1F"/>
    <w:rsid w:val="00442CC3"/>
    <w:rsid w:val="00442E66"/>
    <w:rsid w:val="00442FE5"/>
    <w:rsid w:val="00443168"/>
    <w:rsid w:val="0044349C"/>
    <w:rsid w:val="0044368F"/>
    <w:rsid w:val="004437CD"/>
    <w:rsid w:val="004439EC"/>
    <w:rsid w:val="00443D7A"/>
    <w:rsid w:val="00443E83"/>
    <w:rsid w:val="00443F7B"/>
    <w:rsid w:val="004440F3"/>
    <w:rsid w:val="004441AF"/>
    <w:rsid w:val="004445E4"/>
    <w:rsid w:val="00444AE7"/>
    <w:rsid w:val="00444CCE"/>
    <w:rsid w:val="00444F6F"/>
    <w:rsid w:val="00444F84"/>
    <w:rsid w:val="004450CC"/>
    <w:rsid w:val="004456F1"/>
    <w:rsid w:val="00445748"/>
    <w:rsid w:val="004457FC"/>
    <w:rsid w:val="0044580F"/>
    <w:rsid w:val="004459E6"/>
    <w:rsid w:val="00445A98"/>
    <w:rsid w:val="00446079"/>
    <w:rsid w:val="0044647D"/>
    <w:rsid w:val="004465F3"/>
    <w:rsid w:val="004469C7"/>
    <w:rsid w:val="00446AB9"/>
    <w:rsid w:val="00446CE5"/>
    <w:rsid w:val="00446EC3"/>
    <w:rsid w:val="0044712F"/>
    <w:rsid w:val="00447521"/>
    <w:rsid w:val="0044764B"/>
    <w:rsid w:val="004476BA"/>
    <w:rsid w:val="00447ACE"/>
    <w:rsid w:val="00447BEB"/>
    <w:rsid w:val="00447DD3"/>
    <w:rsid w:val="00447E5F"/>
    <w:rsid w:val="00447F7F"/>
    <w:rsid w:val="0045031E"/>
    <w:rsid w:val="0045075D"/>
    <w:rsid w:val="0045099B"/>
    <w:rsid w:val="004509DC"/>
    <w:rsid w:val="00450ACD"/>
    <w:rsid w:val="00450C4B"/>
    <w:rsid w:val="00450CA3"/>
    <w:rsid w:val="00451115"/>
    <w:rsid w:val="00451122"/>
    <w:rsid w:val="00451216"/>
    <w:rsid w:val="00451302"/>
    <w:rsid w:val="0045145C"/>
    <w:rsid w:val="0045178D"/>
    <w:rsid w:val="00451ADB"/>
    <w:rsid w:val="00451B81"/>
    <w:rsid w:val="00451EF1"/>
    <w:rsid w:val="00451F2C"/>
    <w:rsid w:val="004520F8"/>
    <w:rsid w:val="0045219B"/>
    <w:rsid w:val="004527F3"/>
    <w:rsid w:val="00452B9A"/>
    <w:rsid w:val="00452CBB"/>
    <w:rsid w:val="00452CD8"/>
    <w:rsid w:val="00452E41"/>
    <w:rsid w:val="00453252"/>
    <w:rsid w:val="0045325B"/>
    <w:rsid w:val="004538A7"/>
    <w:rsid w:val="004539C6"/>
    <w:rsid w:val="00453E58"/>
    <w:rsid w:val="00453E92"/>
    <w:rsid w:val="00453F32"/>
    <w:rsid w:val="00453FA5"/>
    <w:rsid w:val="004543E6"/>
    <w:rsid w:val="00454466"/>
    <w:rsid w:val="004544FD"/>
    <w:rsid w:val="00454583"/>
    <w:rsid w:val="0045458C"/>
    <w:rsid w:val="0045555C"/>
    <w:rsid w:val="00455575"/>
    <w:rsid w:val="00455722"/>
    <w:rsid w:val="00455F57"/>
    <w:rsid w:val="004560DC"/>
    <w:rsid w:val="004560E2"/>
    <w:rsid w:val="004562E3"/>
    <w:rsid w:val="00456482"/>
    <w:rsid w:val="00456734"/>
    <w:rsid w:val="00456747"/>
    <w:rsid w:val="00456785"/>
    <w:rsid w:val="00456A34"/>
    <w:rsid w:val="00456B1A"/>
    <w:rsid w:val="00456B49"/>
    <w:rsid w:val="00456E36"/>
    <w:rsid w:val="00456F3B"/>
    <w:rsid w:val="004572C7"/>
    <w:rsid w:val="004573B1"/>
    <w:rsid w:val="00457432"/>
    <w:rsid w:val="004578FC"/>
    <w:rsid w:val="00457CD2"/>
    <w:rsid w:val="00457ED9"/>
    <w:rsid w:val="00460087"/>
    <w:rsid w:val="004600B0"/>
    <w:rsid w:val="0046020A"/>
    <w:rsid w:val="0046031C"/>
    <w:rsid w:val="0046072D"/>
    <w:rsid w:val="00460E94"/>
    <w:rsid w:val="00460F31"/>
    <w:rsid w:val="00461288"/>
    <w:rsid w:val="00461589"/>
    <w:rsid w:val="00461868"/>
    <w:rsid w:val="004618E3"/>
    <w:rsid w:val="00461F84"/>
    <w:rsid w:val="00462275"/>
    <w:rsid w:val="004624A9"/>
    <w:rsid w:val="004624B6"/>
    <w:rsid w:val="0046288C"/>
    <w:rsid w:val="004628EB"/>
    <w:rsid w:val="00462DAC"/>
    <w:rsid w:val="00463319"/>
    <w:rsid w:val="004637F0"/>
    <w:rsid w:val="00463C14"/>
    <w:rsid w:val="00463D58"/>
    <w:rsid w:val="00463F14"/>
    <w:rsid w:val="004641C8"/>
    <w:rsid w:val="004641F8"/>
    <w:rsid w:val="0046462D"/>
    <w:rsid w:val="0046490A"/>
    <w:rsid w:val="00464BC7"/>
    <w:rsid w:val="004653E2"/>
    <w:rsid w:val="00465422"/>
    <w:rsid w:val="00465889"/>
    <w:rsid w:val="0046606C"/>
    <w:rsid w:val="004660B8"/>
    <w:rsid w:val="004666AD"/>
    <w:rsid w:val="0046672A"/>
    <w:rsid w:val="004667CC"/>
    <w:rsid w:val="004669C6"/>
    <w:rsid w:val="00466A04"/>
    <w:rsid w:val="00466AA5"/>
    <w:rsid w:val="00466B31"/>
    <w:rsid w:val="00466E8F"/>
    <w:rsid w:val="00467308"/>
    <w:rsid w:val="004673D7"/>
    <w:rsid w:val="0046779B"/>
    <w:rsid w:val="00467BDB"/>
    <w:rsid w:val="00467C59"/>
    <w:rsid w:val="00467ED6"/>
    <w:rsid w:val="0047012C"/>
    <w:rsid w:val="0047038C"/>
    <w:rsid w:val="004708B9"/>
    <w:rsid w:val="004709A4"/>
    <w:rsid w:val="004709AE"/>
    <w:rsid w:val="00470B3C"/>
    <w:rsid w:val="00470F00"/>
    <w:rsid w:val="00470F10"/>
    <w:rsid w:val="00470F64"/>
    <w:rsid w:val="004716AA"/>
    <w:rsid w:val="00471728"/>
    <w:rsid w:val="00471817"/>
    <w:rsid w:val="0047191D"/>
    <w:rsid w:val="00471A3D"/>
    <w:rsid w:val="00471A45"/>
    <w:rsid w:val="00471E1A"/>
    <w:rsid w:val="00471E52"/>
    <w:rsid w:val="00472038"/>
    <w:rsid w:val="00472463"/>
    <w:rsid w:val="0047251B"/>
    <w:rsid w:val="00472708"/>
    <w:rsid w:val="004727BE"/>
    <w:rsid w:val="004727F3"/>
    <w:rsid w:val="00472887"/>
    <w:rsid w:val="00472BAF"/>
    <w:rsid w:val="00472CD2"/>
    <w:rsid w:val="00472E5D"/>
    <w:rsid w:val="0047319E"/>
    <w:rsid w:val="00473475"/>
    <w:rsid w:val="0047347F"/>
    <w:rsid w:val="0047355C"/>
    <w:rsid w:val="0047359A"/>
    <w:rsid w:val="0047366F"/>
    <w:rsid w:val="00473961"/>
    <w:rsid w:val="004739B0"/>
    <w:rsid w:val="00473AD9"/>
    <w:rsid w:val="00473B7D"/>
    <w:rsid w:val="00473E70"/>
    <w:rsid w:val="004740EC"/>
    <w:rsid w:val="00474126"/>
    <w:rsid w:val="00474292"/>
    <w:rsid w:val="0047429F"/>
    <w:rsid w:val="00474775"/>
    <w:rsid w:val="0047478E"/>
    <w:rsid w:val="004753E0"/>
    <w:rsid w:val="0047557E"/>
    <w:rsid w:val="00475616"/>
    <w:rsid w:val="00475690"/>
    <w:rsid w:val="004757BE"/>
    <w:rsid w:val="0047584B"/>
    <w:rsid w:val="00475890"/>
    <w:rsid w:val="004758F2"/>
    <w:rsid w:val="00475978"/>
    <w:rsid w:val="004759DC"/>
    <w:rsid w:val="00475A09"/>
    <w:rsid w:val="00475C64"/>
    <w:rsid w:val="004760D3"/>
    <w:rsid w:val="004761F1"/>
    <w:rsid w:val="00476237"/>
    <w:rsid w:val="00476293"/>
    <w:rsid w:val="00476445"/>
    <w:rsid w:val="00476470"/>
    <w:rsid w:val="0047655B"/>
    <w:rsid w:val="004765E6"/>
    <w:rsid w:val="00476614"/>
    <w:rsid w:val="004769BE"/>
    <w:rsid w:val="00477158"/>
    <w:rsid w:val="0047729F"/>
    <w:rsid w:val="00477325"/>
    <w:rsid w:val="00477634"/>
    <w:rsid w:val="0047786D"/>
    <w:rsid w:val="00477934"/>
    <w:rsid w:val="00477AFE"/>
    <w:rsid w:val="00477BF9"/>
    <w:rsid w:val="00477C7B"/>
    <w:rsid w:val="004801E5"/>
    <w:rsid w:val="004806A6"/>
    <w:rsid w:val="00480795"/>
    <w:rsid w:val="00480A1C"/>
    <w:rsid w:val="00480A48"/>
    <w:rsid w:val="004811EE"/>
    <w:rsid w:val="004814EB"/>
    <w:rsid w:val="00481646"/>
    <w:rsid w:val="00481771"/>
    <w:rsid w:val="00481992"/>
    <w:rsid w:val="00481B03"/>
    <w:rsid w:val="00481F9C"/>
    <w:rsid w:val="00482476"/>
    <w:rsid w:val="0048281D"/>
    <w:rsid w:val="00482BF3"/>
    <w:rsid w:val="0048319D"/>
    <w:rsid w:val="004833CD"/>
    <w:rsid w:val="0048382D"/>
    <w:rsid w:val="00483926"/>
    <w:rsid w:val="00483E14"/>
    <w:rsid w:val="00484000"/>
    <w:rsid w:val="004840FE"/>
    <w:rsid w:val="00484105"/>
    <w:rsid w:val="004844B0"/>
    <w:rsid w:val="004844CD"/>
    <w:rsid w:val="004844E1"/>
    <w:rsid w:val="00484768"/>
    <w:rsid w:val="004847C0"/>
    <w:rsid w:val="00484B13"/>
    <w:rsid w:val="00484B9F"/>
    <w:rsid w:val="00484CCE"/>
    <w:rsid w:val="00484CF6"/>
    <w:rsid w:val="00484D13"/>
    <w:rsid w:val="004853A8"/>
    <w:rsid w:val="00485504"/>
    <w:rsid w:val="004856E2"/>
    <w:rsid w:val="00485AB9"/>
    <w:rsid w:val="00485BD9"/>
    <w:rsid w:val="00485C22"/>
    <w:rsid w:val="00485CAC"/>
    <w:rsid w:val="00485F84"/>
    <w:rsid w:val="0048613D"/>
    <w:rsid w:val="0048622D"/>
    <w:rsid w:val="004862C7"/>
    <w:rsid w:val="0048667A"/>
    <w:rsid w:val="004868B0"/>
    <w:rsid w:val="00486A49"/>
    <w:rsid w:val="00486C77"/>
    <w:rsid w:val="00486CC0"/>
    <w:rsid w:val="00486DE2"/>
    <w:rsid w:val="00486EAB"/>
    <w:rsid w:val="00486ED5"/>
    <w:rsid w:val="00487041"/>
    <w:rsid w:val="0048750A"/>
    <w:rsid w:val="00487688"/>
    <w:rsid w:val="0048792D"/>
    <w:rsid w:val="00487A7B"/>
    <w:rsid w:val="00487DD4"/>
    <w:rsid w:val="00487EB6"/>
    <w:rsid w:val="004901C7"/>
    <w:rsid w:val="00490225"/>
    <w:rsid w:val="00490362"/>
    <w:rsid w:val="0049036D"/>
    <w:rsid w:val="0049040C"/>
    <w:rsid w:val="004904A0"/>
    <w:rsid w:val="004904DC"/>
    <w:rsid w:val="0049071B"/>
    <w:rsid w:val="004907F4"/>
    <w:rsid w:val="00490891"/>
    <w:rsid w:val="00490B55"/>
    <w:rsid w:val="00490BF4"/>
    <w:rsid w:val="00490C6C"/>
    <w:rsid w:val="00490EC7"/>
    <w:rsid w:val="00491069"/>
    <w:rsid w:val="0049123C"/>
    <w:rsid w:val="0049124A"/>
    <w:rsid w:val="004913E7"/>
    <w:rsid w:val="004914B6"/>
    <w:rsid w:val="00491599"/>
    <w:rsid w:val="0049198D"/>
    <w:rsid w:val="00491A82"/>
    <w:rsid w:val="00491EC7"/>
    <w:rsid w:val="00491FBD"/>
    <w:rsid w:val="0049241F"/>
    <w:rsid w:val="00492445"/>
    <w:rsid w:val="0049254B"/>
    <w:rsid w:val="00492706"/>
    <w:rsid w:val="00492733"/>
    <w:rsid w:val="00492844"/>
    <w:rsid w:val="00492884"/>
    <w:rsid w:val="00492B9F"/>
    <w:rsid w:val="00492E25"/>
    <w:rsid w:val="00492F33"/>
    <w:rsid w:val="0049331F"/>
    <w:rsid w:val="004935B4"/>
    <w:rsid w:val="004936B1"/>
    <w:rsid w:val="00493942"/>
    <w:rsid w:val="00493A69"/>
    <w:rsid w:val="00493B50"/>
    <w:rsid w:val="00493BC9"/>
    <w:rsid w:val="00493EBD"/>
    <w:rsid w:val="00494269"/>
    <w:rsid w:val="00494BD8"/>
    <w:rsid w:val="00495022"/>
    <w:rsid w:val="0049570B"/>
    <w:rsid w:val="004957CB"/>
    <w:rsid w:val="00495804"/>
    <w:rsid w:val="004958BD"/>
    <w:rsid w:val="00495AF9"/>
    <w:rsid w:val="00495B33"/>
    <w:rsid w:val="00495D6D"/>
    <w:rsid w:val="00495EA4"/>
    <w:rsid w:val="00495F78"/>
    <w:rsid w:val="004961A8"/>
    <w:rsid w:val="0049638D"/>
    <w:rsid w:val="004963E7"/>
    <w:rsid w:val="00496692"/>
    <w:rsid w:val="004967F2"/>
    <w:rsid w:val="00496891"/>
    <w:rsid w:val="004969F8"/>
    <w:rsid w:val="00496B77"/>
    <w:rsid w:val="00496D56"/>
    <w:rsid w:val="004970AE"/>
    <w:rsid w:val="004970E8"/>
    <w:rsid w:val="00497150"/>
    <w:rsid w:val="004972B7"/>
    <w:rsid w:val="004972B8"/>
    <w:rsid w:val="00497AB8"/>
    <w:rsid w:val="00497BA7"/>
    <w:rsid w:val="00497E39"/>
    <w:rsid w:val="00497E4D"/>
    <w:rsid w:val="004A0803"/>
    <w:rsid w:val="004A0C08"/>
    <w:rsid w:val="004A0C8A"/>
    <w:rsid w:val="004A1021"/>
    <w:rsid w:val="004A1388"/>
    <w:rsid w:val="004A13FE"/>
    <w:rsid w:val="004A1555"/>
    <w:rsid w:val="004A1632"/>
    <w:rsid w:val="004A16E0"/>
    <w:rsid w:val="004A18FD"/>
    <w:rsid w:val="004A1921"/>
    <w:rsid w:val="004A1A4B"/>
    <w:rsid w:val="004A1A99"/>
    <w:rsid w:val="004A1C2A"/>
    <w:rsid w:val="004A1DF6"/>
    <w:rsid w:val="004A1E89"/>
    <w:rsid w:val="004A217A"/>
    <w:rsid w:val="004A2217"/>
    <w:rsid w:val="004A248C"/>
    <w:rsid w:val="004A25AE"/>
    <w:rsid w:val="004A2634"/>
    <w:rsid w:val="004A287B"/>
    <w:rsid w:val="004A2901"/>
    <w:rsid w:val="004A292D"/>
    <w:rsid w:val="004A29C7"/>
    <w:rsid w:val="004A2A45"/>
    <w:rsid w:val="004A2A7C"/>
    <w:rsid w:val="004A2ACD"/>
    <w:rsid w:val="004A2CF8"/>
    <w:rsid w:val="004A3861"/>
    <w:rsid w:val="004A3AF0"/>
    <w:rsid w:val="004A3D46"/>
    <w:rsid w:val="004A3FB7"/>
    <w:rsid w:val="004A420F"/>
    <w:rsid w:val="004A42E7"/>
    <w:rsid w:val="004A4387"/>
    <w:rsid w:val="004A48DB"/>
    <w:rsid w:val="004A494A"/>
    <w:rsid w:val="004A4B05"/>
    <w:rsid w:val="004A4B26"/>
    <w:rsid w:val="004A4B9C"/>
    <w:rsid w:val="004A4C1C"/>
    <w:rsid w:val="004A4E0C"/>
    <w:rsid w:val="004A53FA"/>
    <w:rsid w:val="004A54F9"/>
    <w:rsid w:val="004A5619"/>
    <w:rsid w:val="004A568C"/>
    <w:rsid w:val="004A5810"/>
    <w:rsid w:val="004A584F"/>
    <w:rsid w:val="004A585E"/>
    <w:rsid w:val="004A5AA3"/>
    <w:rsid w:val="004A5C1D"/>
    <w:rsid w:val="004A5C3C"/>
    <w:rsid w:val="004A5D42"/>
    <w:rsid w:val="004A5F52"/>
    <w:rsid w:val="004A6407"/>
    <w:rsid w:val="004A672A"/>
    <w:rsid w:val="004A69E2"/>
    <w:rsid w:val="004A69FD"/>
    <w:rsid w:val="004A6CC3"/>
    <w:rsid w:val="004A6E02"/>
    <w:rsid w:val="004A70C2"/>
    <w:rsid w:val="004A724D"/>
    <w:rsid w:val="004A753C"/>
    <w:rsid w:val="004A7925"/>
    <w:rsid w:val="004A79E9"/>
    <w:rsid w:val="004A7A88"/>
    <w:rsid w:val="004A7AD1"/>
    <w:rsid w:val="004A7C14"/>
    <w:rsid w:val="004B0014"/>
    <w:rsid w:val="004B00E3"/>
    <w:rsid w:val="004B0574"/>
    <w:rsid w:val="004B0A2F"/>
    <w:rsid w:val="004B0BBD"/>
    <w:rsid w:val="004B0BEC"/>
    <w:rsid w:val="004B0CDA"/>
    <w:rsid w:val="004B0E40"/>
    <w:rsid w:val="004B119D"/>
    <w:rsid w:val="004B13B9"/>
    <w:rsid w:val="004B1624"/>
    <w:rsid w:val="004B1839"/>
    <w:rsid w:val="004B18ED"/>
    <w:rsid w:val="004B1B4E"/>
    <w:rsid w:val="004B1DB8"/>
    <w:rsid w:val="004B2373"/>
    <w:rsid w:val="004B2814"/>
    <w:rsid w:val="004B2960"/>
    <w:rsid w:val="004B2BF9"/>
    <w:rsid w:val="004B2D4F"/>
    <w:rsid w:val="004B2F40"/>
    <w:rsid w:val="004B3392"/>
    <w:rsid w:val="004B343F"/>
    <w:rsid w:val="004B37DA"/>
    <w:rsid w:val="004B3B5A"/>
    <w:rsid w:val="004B3C67"/>
    <w:rsid w:val="004B3F12"/>
    <w:rsid w:val="004B424C"/>
    <w:rsid w:val="004B4289"/>
    <w:rsid w:val="004B498E"/>
    <w:rsid w:val="004B4BB9"/>
    <w:rsid w:val="004B5397"/>
    <w:rsid w:val="004B54DA"/>
    <w:rsid w:val="004B5539"/>
    <w:rsid w:val="004B55CB"/>
    <w:rsid w:val="004B5937"/>
    <w:rsid w:val="004B5990"/>
    <w:rsid w:val="004B5BB0"/>
    <w:rsid w:val="004B5DA9"/>
    <w:rsid w:val="004B60C0"/>
    <w:rsid w:val="004B63E6"/>
    <w:rsid w:val="004B649C"/>
    <w:rsid w:val="004B6578"/>
    <w:rsid w:val="004B6772"/>
    <w:rsid w:val="004B6850"/>
    <w:rsid w:val="004B6971"/>
    <w:rsid w:val="004B6C21"/>
    <w:rsid w:val="004B6D7F"/>
    <w:rsid w:val="004B6E4A"/>
    <w:rsid w:val="004B6E93"/>
    <w:rsid w:val="004B6EE2"/>
    <w:rsid w:val="004B6F3C"/>
    <w:rsid w:val="004B6FCC"/>
    <w:rsid w:val="004B7146"/>
    <w:rsid w:val="004B730E"/>
    <w:rsid w:val="004B7387"/>
    <w:rsid w:val="004B73D2"/>
    <w:rsid w:val="004B76AD"/>
    <w:rsid w:val="004B76EA"/>
    <w:rsid w:val="004B76F4"/>
    <w:rsid w:val="004B77A6"/>
    <w:rsid w:val="004B7AE5"/>
    <w:rsid w:val="004B7AFE"/>
    <w:rsid w:val="004B7BFC"/>
    <w:rsid w:val="004C003F"/>
    <w:rsid w:val="004C01AF"/>
    <w:rsid w:val="004C072A"/>
    <w:rsid w:val="004C0784"/>
    <w:rsid w:val="004C09A4"/>
    <w:rsid w:val="004C0A59"/>
    <w:rsid w:val="004C0ABC"/>
    <w:rsid w:val="004C0AFE"/>
    <w:rsid w:val="004C0B52"/>
    <w:rsid w:val="004C0CDC"/>
    <w:rsid w:val="004C0CE9"/>
    <w:rsid w:val="004C0CFF"/>
    <w:rsid w:val="004C0FF0"/>
    <w:rsid w:val="004C135F"/>
    <w:rsid w:val="004C1419"/>
    <w:rsid w:val="004C141D"/>
    <w:rsid w:val="004C143D"/>
    <w:rsid w:val="004C15FE"/>
    <w:rsid w:val="004C183B"/>
    <w:rsid w:val="004C1BE9"/>
    <w:rsid w:val="004C1CE8"/>
    <w:rsid w:val="004C1E50"/>
    <w:rsid w:val="004C2032"/>
    <w:rsid w:val="004C2220"/>
    <w:rsid w:val="004C2437"/>
    <w:rsid w:val="004C2795"/>
    <w:rsid w:val="004C2BCA"/>
    <w:rsid w:val="004C2FC5"/>
    <w:rsid w:val="004C3004"/>
    <w:rsid w:val="004C3264"/>
    <w:rsid w:val="004C3318"/>
    <w:rsid w:val="004C33FE"/>
    <w:rsid w:val="004C3B11"/>
    <w:rsid w:val="004C3C7F"/>
    <w:rsid w:val="004C42AE"/>
    <w:rsid w:val="004C44C4"/>
    <w:rsid w:val="004C44E6"/>
    <w:rsid w:val="004C454B"/>
    <w:rsid w:val="004C470C"/>
    <w:rsid w:val="004C475A"/>
    <w:rsid w:val="004C4E5D"/>
    <w:rsid w:val="004C508D"/>
    <w:rsid w:val="004C522A"/>
    <w:rsid w:val="004C5245"/>
    <w:rsid w:val="004C55B9"/>
    <w:rsid w:val="004C59EF"/>
    <w:rsid w:val="004C5ADA"/>
    <w:rsid w:val="004C6078"/>
    <w:rsid w:val="004C63FE"/>
    <w:rsid w:val="004C646E"/>
    <w:rsid w:val="004C6568"/>
    <w:rsid w:val="004C65FA"/>
    <w:rsid w:val="004C69EA"/>
    <w:rsid w:val="004C6BEC"/>
    <w:rsid w:val="004C6D6B"/>
    <w:rsid w:val="004C6FB0"/>
    <w:rsid w:val="004C730F"/>
    <w:rsid w:val="004C7371"/>
    <w:rsid w:val="004C73C9"/>
    <w:rsid w:val="004C744F"/>
    <w:rsid w:val="004C7A5D"/>
    <w:rsid w:val="004C7D2B"/>
    <w:rsid w:val="004C7E19"/>
    <w:rsid w:val="004D07B8"/>
    <w:rsid w:val="004D0AB7"/>
    <w:rsid w:val="004D0ACB"/>
    <w:rsid w:val="004D0CC2"/>
    <w:rsid w:val="004D121D"/>
    <w:rsid w:val="004D1239"/>
    <w:rsid w:val="004D1646"/>
    <w:rsid w:val="004D171F"/>
    <w:rsid w:val="004D17C3"/>
    <w:rsid w:val="004D1867"/>
    <w:rsid w:val="004D1A9A"/>
    <w:rsid w:val="004D1B41"/>
    <w:rsid w:val="004D2460"/>
    <w:rsid w:val="004D2700"/>
    <w:rsid w:val="004D2AC3"/>
    <w:rsid w:val="004D2D62"/>
    <w:rsid w:val="004D2D84"/>
    <w:rsid w:val="004D2EDC"/>
    <w:rsid w:val="004D3277"/>
    <w:rsid w:val="004D34A5"/>
    <w:rsid w:val="004D35F0"/>
    <w:rsid w:val="004D36F9"/>
    <w:rsid w:val="004D3957"/>
    <w:rsid w:val="004D3A3D"/>
    <w:rsid w:val="004D3BC0"/>
    <w:rsid w:val="004D3C91"/>
    <w:rsid w:val="004D3FA3"/>
    <w:rsid w:val="004D40E1"/>
    <w:rsid w:val="004D42C3"/>
    <w:rsid w:val="004D42E8"/>
    <w:rsid w:val="004D43F9"/>
    <w:rsid w:val="004D4422"/>
    <w:rsid w:val="004D4468"/>
    <w:rsid w:val="004D461F"/>
    <w:rsid w:val="004D4692"/>
    <w:rsid w:val="004D479C"/>
    <w:rsid w:val="004D48DE"/>
    <w:rsid w:val="004D4ACB"/>
    <w:rsid w:val="004D4BE0"/>
    <w:rsid w:val="004D4D7E"/>
    <w:rsid w:val="004D4E0D"/>
    <w:rsid w:val="004D5372"/>
    <w:rsid w:val="004D5511"/>
    <w:rsid w:val="004D56F6"/>
    <w:rsid w:val="004D639C"/>
    <w:rsid w:val="004D6694"/>
    <w:rsid w:val="004D68D0"/>
    <w:rsid w:val="004D6961"/>
    <w:rsid w:val="004D6BF7"/>
    <w:rsid w:val="004D6CAF"/>
    <w:rsid w:val="004D6F95"/>
    <w:rsid w:val="004D70EB"/>
    <w:rsid w:val="004D7478"/>
    <w:rsid w:val="004D75A9"/>
    <w:rsid w:val="004D770B"/>
    <w:rsid w:val="004D776E"/>
    <w:rsid w:val="004D77A8"/>
    <w:rsid w:val="004D78C1"/>
    <w:rsid w:val="004D7F22"/>
    <w:rsid w:val="004E0082"/>
    <w:rsid w:val="004E0977"/>
    <w:rsid w:val="004E09E8"/>
    <w:rsid w:val="004E0AAC"/>
    <w:rsid w:val="004E0ACE"/>
    <w:rsid w:val="004E0B29"/>
    <w:rsid w:val="004E0B39"/>
    <w:rsid w:val="004E0E83"/>
    <w:rsid w:val="004E1014"/>
    <w:rsid w:val="004E10D6"/>
    <w:rsid w:val="004E112C"/>
    <w:rsid w:val="004E1333"/>
    <w:rsid w:val="004E134F"/>
    <w:rsid w:val="004E1881"/>
    <w:rsid w:val="004E1964"/>
    <w:rsid w:val="004E1A58"/>
    <w:rsid w:val="004E1C1D"/>
    <w:rsid w:val="004E1C4E"/>
    <w:rsid w:val="004E1D3D"/>
    <w:rsid w:val="004E1E59"/>
    <w:rsid w:val="004E1E8A"/>
    <w:rsid w:val="004E202B"/>
    <w:rsid w:val="004E2243"/>
    <w:rsid w:val="004E23E5"/>
    <w:rsid w:val="004E244F"/>
    <w:rsid w:val="004E28DE"/>
    <w:rsid w:val="004E2998"/>
    <w:rsid w:val="004E2C63"/>
    <w:rsid w:val="004E3108"/>
    <w:rsid w:val="004E315A"/>
    <w:rsid w:val="004E31D5"/>
    <w:rsid w:val="004E3561"/>
    <w:rsid w:val="004E3742"/>
    <w:rsid w:val="004E3A3E"/>
    <w:rsid w:val="004E40B0"/>
    <w:rsid w:val="004E4261"/>
    <w:rsid w:val="004E4318"/>
    <w:rsid w:val="004E43C6"/>
    <w:rsid w:val="004E4655"/>
    <w:rsid w:val="004E4872"/>
    <w:rsid w:val="004E4CB3"/>
    <w:rsid w:val="004E4CF9"/>
    <w:rsid w:val="004E4EC7"/>
    <w:rsid w:val="004E4F21"/>
    <w:rsid w:val="004E50D3"/>
    <w:rsid w:val="004E5104"/>
    <w:rsid w:val="004E5409"/>
    <w:rsid w:val="004E5531"/>
    <w:rsid w:val="004E55DF"/>
    <w:rsid w:val="004E5739"/>
    <w:rsid w:val="004E5D95"/>
    <w:rsid w:val="004E5DC7"/>
    <w:rsid w:val="004E5E53"/>
    <w:rsid w:val="004E6024"/>
    <w:rsid w:val="004E625A"/>
    <w:rsid w:val="004E63E4"/>
    <w:rsid w:val="004E63E5"/>
    <w:rsid w:val="004E64EE"/>
    <w:rsid w:val="004E677A"/>
    <w:rsid w:val="004E6838"/>
    <w:rsid w:val="004E6BBB"/>
    <w:rsid w:val="004E6C89"/>
    <w:rsid w:val="004E6D8A"/>
    <w:rsid w:val="004E6FA4"/>
    <w:rsid w:val="004E70E0"/>
    <w:rsid w:val="004E7105"/>
    <w:rsid w:val="004E712C"/>
    <w:rsid w:val="004E7190"/>
    <w:rsid w:val="004E73A4"/>
    <w:rsid w:val="004E73D3"/>
    <w:rsid w:val="004E7574"/>
    <w:rsid w:val="004E7692"/>
    <w:rsid w:val="004E78B8"/>
    <w:rsid w:val="004E7909"/>
    <w:rsid w:val="004E7EDF"/>
    <w:rsid w:val="004F021E"/>
    <w:rsid w:val="004F0256"/>
    <w:rsid w:val="004F04D8"/>
    <w:rsid w:val="004F05A1"/>
    <w:rsid w:val="004F09B2"/>
    <w:rsid w:val="004F1499"/>
    <w:rsid w:val="004F1862"/>
    <w:rsid w:val="004F1952"/>
    <w:rsid w:val="004F1A3E"/>
    <w:rsid w:val="004F1DA5"/>
    <w:rsid w:val="004F1DAC"/>
    <w:rsid w:val="004F2041"/>
    <w:rsid w:val="004F21C5"/>
    <w:rsid w:val="004F227A"/>
    <w:rsid w:val="004F22AD"/>
    <w:rsid w:val="004F2309"/>
    <w:rsid w:val="004F2318"/>
    <w:rsid w:val="004F2334"/>
    <w:rsid w:val="004F2510"/>
    <w:rsid w:val="004F282A"/>
    <w:rsid w:val="004F28C9"/>
    <w:rsid w:val="004F2CAA"/>
    <w:rsid w:val="004F2F21"/>
    <w:rsid w:val="004F2F82"/>
    <w:rsid w:val="004F36A2"/>
    <w:rsid w:val="004F3885"/>
    <w:rsid w:val="004F38D1"/>
    <w:rsid w:val="004F3903"/>
    <w:rsid w:val="004F390E"/>
    <w:rsid w:val="004F3952"/>
    <w:rsid w:val="004F39B2"/>
    <w:rsid w:val="004F3CD4"/>
    <w:rsid w:val="004F3DFB"/>
    <w:rsid w:val="004F3E8F"/>
    <w:rsid w:val="004F4424"/>
    <w:rsid w:val="004F45F4"/>
    <w:rsid w:val="004F46FE"/>
    <w:rsid w:val="004F4921"/>
    <w:rsid w:val="004F497C"/>
    <w:rsid w:val="004F4ACA"/>
    <w:rsid w:val="004F4EF4"/>
    <w:rsid w:val="004F4F7E"/>
    <w:rsid w:val="004F536F"/>
    <w:rsid w:val="004F5383"/>
    <w:rsid w:val="004F546A"/>
    <w:rsid w:val="004F552D"/>
    <w:rsid w:val="004F6203"/>
    <w:rsid w:val="004F6229"/>
    <w:rsid w:val="004F68F2"/>
    <w:rsid w:val="004F6A08"/>
    <w:rsid w:val="004F6A45"/>
    <w:rsid w:val="004F6AA3"/>
    <w:rsid w:val="004F6B35"/>
    <w:rsid w:val="004F6D45"/>
    <w:rsid w:val="004F6F32"/>
    <w:rsid w:val="004F7277"/>
    <w:rsid w:val="004F72E7"/>
    <w:rsid w:val="004F77F6"/>
    <w:rsid w:val="004F79BD"/>
    <w:rsid w:val="004F7B80"/>
    <w:rsid w:val="004F7CEB"/>
    <w:rsid w:val="00500080"/>
    <w:rsid w:val="00500154"/>
    <w:rsid w:val="0050025E"/>
    <w:rsid w:val="005002C4"/>
    <w:rsid w:val="005004B1"/>
    <w:rsid w:val="005007BD"/>
    <w:rsid w:val="005007E3"/>
    <w:rsid w:val="0050092E"/>
    <w:rsid w:val="00500A93"/>
    <w:rsid w:val="00500D39"/>
    <w:rsid w:val="00500FBE"/>
    <w:rsid w:val="005011DC"/>
    <w:rsid w:val="005013E8"/>
    <w:rsid w:val="00501415"/>
    <w:rsid w:val="005014E2"/>
    <w:rsid w:val="00501C3A"/>
    <w:rsid w:val="00501E07"/>
    <w:rsid w:val="00501E7E"/>
    <w:rsid w:val="00501F3B"/>
    <w:rsid w:val="00501FC0"/>
    <w:rsid w:val="005020B3"/>
    <w:rsid w:val="00502281"/>
    <w:rsid w:val="00502348"/>
    <w:rsid w:val="0050237E"/>
    <w:rsid w:val="005023F7"/>
    <w:rsid w:val="00502506"/>
    <w:rsid w:val="005025AF"/>
    <w:rsid w:val="0050261D"/>
    <w:rsid w:val="0050297F"/>
    <w:rsid w:val="00502C22"/>
    <w:rsid w:val="00502D80"/>
    <w:rsid w:val="00502F72"/>
    <w:rsid w:val="00502F74"/>
    <w:rsid w:val="00503004"/>
    <w:rsid w:val="00503130"/>
    <w:rsid w:val="00503197"/>
    <w:rsid w:val="00503862"/>
    <w:rsid w:val="005039DB"/>
    <w:rsid w:val="00503A84"/>
    <w:rsid w:val="00503F8D"/>
    <w:rsid w:val="00503FF9"/>
    <w:rsid w:val="00504062"/>
    <w:rsid w:val="005041DA"/>
    <w:rsid w:val="00504680"/>
    <w:rsid w:val="005046ED"/>
    <w:rsid w:val="0050480C"/>
    <w:rsid w:val="00504E80"/>
    <w:rsid w:val="00504E93"/>
    <w:rsid w:val="00504EFD"/>
    <w:rsid w:val="00504F87"/>
    <w:rsid w:val="00505037"/>
    <w:rsid w:val="005051DD"/>
    <w:rsid w:val="00505233"/>
    <w:rsid w:val="00505347"/>
    <w:rsid w:val="0050541E"/>
    <w:rsid w:val="0050559D"/>
    <w:rsid w:val="005055CD"/>
    <w:rsid w:val="00505A2C"/>
    <w:rsid w:val="00505CD0"/>
    <w:rsid w:val="00505DE4"/>
    <w:rsid w:val="00505E78"/>
    <w:rsid w:val="005061CA"/>
    <w:rsid w:val="005062E4"/>
    <w:rsid w:val="0050630A"/>
    <w:rsid w:val="0050638B"/>
    <w:rsid w:val="005067E5"/>
    <w:rsid w:val="005069A0"/>
    <w:rsid w:val="00506B93"/>
    <w:rsid w:val="00506B98"/>
    <w:rsid w:val="00506BF5"/>
    <w:rsid w:val="00506E16"/>
    <w:rsid w:val="00506E6A"/>
    <w:rsid w:val="00506F0F"/>
    <w:rsid w:val="00506FC9"/>
    <w:rsid w:val="00507211"/>
    <w:rsid w:val="005072DD"/>
    <w:rsid w:val="0050732B"/>
    <w:rsid w:val="00507506"/>
    <w:rsid w:val="005076AD"/>
    <w:rsid w:val="005079CD"/>
    <w:rsid w:val="00507D41"/>
    <w:rsid w:val="00507F0B"/>
    <w:rsid w:val="00510090"/>
    <w:rsid w:val="005100FD"/>
    <w:rsid w:val="00510486"/>
    <w:rsid w:val="00510897"/>
    <w:rsid w:val="0051099D"/>
    <w:rsid w:val="00510A1F"/>
    <w:rsid w:val="00511044"/>
    <w:rsid w:val="0051127B"/>
    <w:rsid w:val="0051137F"/>
    <w:rsid w:val="005115AF"/>
    <w:rsid w:val="00511A72"/>
    <w:rsid w:val="00511BD9"/>
    <w:rsid w:val="00511C90"/>
    <w:rsid w:val="00512049"/>
    <w:rsid w:val="005124C3"/>
    <w:rsid w:val="005125B8"/>
    <w:rsid w:val="00512618"/>
    <w:rsid w:val="00512992"/>
    <w:rsid w:val="00512B49"/>
    <w:rsid w:val="00512C0E"/>
    <w:rsid w:val="0051308A"/>
    <w:rsid w:val="005135E7"/>
    <w:rsid w:val="005138FA"/>
    <w:rsid w:val="005139C9"/>
    <w:rsid w:val="00513BA4"/>
    <w:rsid w:val="0051430A"/>
    <w:rsid w:val="005147F4"/>
    <w:rsid w:val="00514834"/>
    <w:rsid w:val="005149B0"/>
    <w:rsid w:val="00514C9B"/>
    <w:rsid w:val="00514C9C"/>
    <w:rsid w:val="00514D0E"/>
    <w:rsid w:val="00514ECE"/>
    <w:rsid w:val="00515198"/>
    <w:rsid w:val="00515230"/>
    <w:rsid w:val="0051568C"/>
    <w:rsid w:val="0051571C"/>
    <w:rsid w:val="00515793"/>
    <w:rsid w:val="005159B9"/>
    <w:rsid w:val="00515EF0"/>
    <w:rsid w:val="00515F83"/>
    <w:rsid w:val="0051625E"/>
    <w:rsid w:val="005164C0"/>
    <w:rsid w:val="005167D5"/>
    <w:rsid w:val="00516998"/>
    <w:rsid w:val="00516C90"/>
    <w:rsid w:val="00516ED8"/>
    <w:rsid w:val="00517106"/>
    <w:rsid w:val="00517156"/>
    <w:rsid w:val="00517253"/>
    <w:rsid w:val="005172DA"/>
    <w:rsid w:val="0051735B"/>
    <w:rsid w:val="005173A4"/>
    <w:rsid w:val="0051751A"/>
    <w:rsid w:val="00517606"/>
    <w:rsid w:val="005176AF"/>
    <w:rsid w:val="00517930"/>
    <w:rsid w:val="00517C7B"/>
    <w:rsid w:val="005203E5"/>
    <w:rsid w:val="00520512"/>
    <w:rsid w:val="00520557"/>
    <w:rsid w:val="00520731"/>
    <w:rsid w:val="00520991"/>
    <w:rsid w:val="0052139B"/>
    <w:rsid w:val="0052148F"/>
    <w:rsid w:val="00521723"/>
    <w:rsid w:val="005220C1"/>
    <w:rsid w:val="00522102"/>
    <w:rsid w:val="00522284"/>
    <w:rsid w:val="005222C6"/>
    <w:rsid w:val="00522B56"/>
    <w:rsid w:val="00522D9F"/>
    <w:rsid w:val="00522ED1"/>
    <w:rsid w:val="00522FBB"/>
    <w:rsid w:val="00522FDE"/>
    <w:rsid w:val="00523031"/>
    <w:rsid w:val="0052309C"/>
    <w:rsid w:val="0052309D"/>
    <w:rsid w:val="00523323"/>
    <w:rsid w:val="005238E2"/>
    <w:rsid w:val="00523A3D"/>
    <w:rsid w:val="00523B28"/>
    <w:rsid w:val="0052404D"/>
    <w:rsid w:val="005240F4"/>
    <w:rsid w:val="00524251"/>
    <w:rsid w:val="00524760"/>
    <w:rsid w:val="0052482B"/>
    <w:rsid w:val="00524BD5"/>
    <w:rsid w:val="00524DD9"/>
    <w:rsid w:val="0052514E"/>
    <w:rsid w:val="00525736"/>
    <w:rsid w:val="00525944"/>
    <w:rsid w:val="00525CD3"/>
    <w:rsid w:val="00525EF1"/>
    <w:rsid w:val="00526079"/>
    <w:rsid w:val="0052678E"/>
    <w:rsid w:val="00526BD1"/>
    <w:rsid w:val="00526C25"/>
    <w:rsid w:val="00526D6A"/>
    <w:rsid w:val="00526FA1"/>
    <w:rsid w:val="005270FE"/>
    <w:rsid w:val="0052732B"/>
    <w:rsid w:val="0052745A"/>
    <w:rsid w:val="0052749A"/>
    <w:rsid w:val="0052773E"/>
    <w:rsid w:val="00527A99"/>
    <w:rsid w:val="00527BC0"/>
    <w:rsid w:val="00527CCB"/>
    <w:rsid w:val="00527F5C"/>
    <w:rsid w:val="0053036C"/>
    <w:rsid w:val="00530729"/>
    <w:rsid w:val="00530A14"/>
    <w:rsid w:val="00530B0D"/>
    <w:rsid w:val="00530B45"/>
    <w:rsid w:val="00530B92"/>
    <w:rsid w:val="00530E24"/>
    <w:rsid w:val="00531145"/>
    <w:rsid w:val="005315AF"/>
    <w:rsid w:val="00531657"/>
    <w:rsid w:val="0053178E"/>
    <w:rsid w:val="0053185C"/>
    <w:rsid w:val="005318A4"/>
    <w:rsid w:val="0053193C"/>
    <w:rsid w:val="00531ACE"/>
    <w:rsid w:val="00531C3C"/>
    <w:rsid w:val="00531CD8"/>
    <w:rsid w:val="00531F0D"/>
    <w:rsid w:val="00532521"/>
    <w:rsid w:val="00532660"/>
    <w:rsid w:val="0053271A"/>
    <w:rsid w:val="0053288C"/>
    <w:rsid w:val="00532898"/>
    <w:rsid w:val="00532905"/>
    <w:rsid w:val="00532C42"/>
    <w:rsid w:val="00532CC1"/>
    <w:rsid w:val="00532E02"/>
    <w:rsid w:val="00532E07"/>
    <w:rsid w:val="005330FD"/>
    <w:rsid w:val="00533722"/>
    <w:rsid w:val="00533737"/>
    <w:rsid w:val="00533F1A"/>
    <w:rsid w:val="005341E2"/>
    <w:rsid w:val="005342BA"/>
    <w:rsid w:val="005347D8"/>
    <w:rsid w:val="005349B3"/>
    <w:rsid w:val="005355BA"/>
    <w:rsid w:val="0053561C"/>
    <w:rsid w:val="00535786"/>
    <w:rsid w:val="005357ED"/>
    <w:rsid w:val="00535919"/>
    <w:rsid w:val="0053598A"/>
    <w:rsid w:val="00535A15"/>
    <w:rsid w:val="00535CD2"/>
    <w:rsid w:val="00535FC4"/>
    <w:rsid w:val="0053609C"/>
    <w:rsid w:val="0053622E"/>
    <w:rsid w:val="0053625C"/>
    <w:rsid w:val="00536499"/>
    <w:rsid w:val="0053652A"/>
    <w:rsid w:val="00536713"/>
    <w:rsid w:val="00537067"/>
    <w:rsid w:val="00537490"/>
    <w:rsid w:val="005376AE"/>
    <w:rsid w:val="00537749"/>
    <w:rsid w:val="00540079"/>
    <w:rsid w:val="00540154"/>
    <w:rsid w:val="0054020E"/>
    <w:rsid w:val="00540566"/>
    <w:rsid w:val="00540797"/>
    <w:rsid w:val="005408BF"/>
    <w:rsid w:val="00540910"/>
    <w:rsid w:val="00540936"/>
    <w:rsid w:val="00540C4F"/>
    <w:rsid w:val="00540D8F"/>
    <w:rsid w:val="00540E38"/>
    <w:rsid w:val="005410C3"/>
    <w:rsid w:val="005410F7"/>
    <w:rsid w:val="00541233"/>
    <w:rsid w:val="00541438"/>
    <w:rsid w:val="0054153A"/>
    <w:rsid w:val="005417B3"/>
    <w:rsid w:val="0054192E"/>
    <w:rsid w:val="00541C4C"/>
    <w:rsid w:val="00541C52"/>
    <w:rsid w:val="00541CE8"/>
    <w:rsid w:val="00541CFC"/>
    <w:rsid w:val="00541F4E"/>
    <w:rsid w:val="00541F71"/>
    <w:rsid w:val="005421C7"/>
    <w:rsid w:val="0054244E"/>
    <w:rsid w:val="005424D1"/>
    <w:rsid w:val="00542D08"/>
    <w:rsid w:val="005430D5"/>
    <w:rsid w:val="0054342B"/>
    <w:rsid w:val="0054353A"/>
    <w:rsid w:val="005436C8"/>
    <w:rsid w:val="0054377E"/>
    <w:rsid w:val="00543C73"/>
    <w:rsid w:val="00543D99"/>
    <w:rsid w:val="00543FF1"/>
    <w:rsid w:val="0054435C"/>
    <w:rsid w:val="00544414"/>
    <w:rsid w:val="00544490"/>
    <w:rsid w:val="005447FA"/>
    <w:rsid w:val="005448DB"/>
    <w:rsid w:val="00544976"/>
    <w:rsid w:val="00544C29"/>
    <w:rsid w:val="00544D39"/>
    <w:rsid w:val="00544FC8"/>
    <w:rsid w:val="0054515E"/>
    <w:rsid w:val="005453B8"/>
    <w:rsid w:val="00545546"/>
    <w:rsid w:val="0054555C"/>
    <w:rsid w:val="00545704"/>
    <w:rsid w:val="0054573A"/>
    <w:rsid w:val="00545AE6"/>
    <w:rsid w:val="00545C61"/>
    <w:rsid w:val="00545C65"/>
    <w:rsid w:val="00546026"/>
    <w:rsid w:val="00546028"/>
    <w:rsid w:val="0054605B"/>
    <w:rsid w:val="005460E3"/>
    <w:rsid w:val="00546578"/>
    <w:rsid w:val="00547066"/>
    <w:rsid w:val="00547603"/>
    <w:rsid w:val="00547758"/>
    <w:rsid w:val="00547CE0"/>
    <w:rsid w:val="00550094"/>
    <w:rsid w:val="00550112"/>
    <w:rsid w:val="005501A5"/>
    <w:rsid w:val="005501F1"/>
    <w:rsid w:val="005502BB"/>
    <w:rsid w:val="005505B8"/>
    <w:rsid w:val="00550847"/>
    <w:rsid w:val="00550A57"/>
    <w:rsid w:val="00550BBD"/>
    <w:rsid w:val="00550BD5"/>
    <w:rsid w:val="00550CB1"/>
    <w:rsid w:val="00550DDB"/>
    <w:rsid w:val="00550EAB"/>
    <w:rsid w:val="00551003"/>
    <w:rsid w:val="00551172"/>
    <w:rsid w:val="005511A8"/>
    <w:rsid w:val="005516CE"/>
    <w:rsid w:val="00551786"/>
    <w:rsid w:val="00551A5E"/>
    <w:rsid w:val="00551A8C"/>
    <w:rsid w:val="00551DF9"/>
    <w:rsid w:val="0055204A"/>
    <w:rsid w:val="005520F1"/>
    <w:rsid w:val="00552385"/>
    <w:rsid w:val="005525D7"/>
    <w:rsid w:val="005526E6"/>
    <w:rsid w:val="00552771"/>
    <w:rsid w:val="0055299A"/>
    <w:rsid w:val="00552B09"/>
    <w:rsid w:val="00552E25"/>
    <w:rsid w:val="00552F28"/>
    <w:rsid w:val="005531C9"/>
    <w:rsid w:val="0055328C"/>
    <w:rsid w:val="0055348D"/>
    <w:rsid w:val="00553663"/>
    <w:rsid w:val="005536D0"/>
    <w:rsid w:val="005537C0"/>
    <w:rsid w:val="00553B01"/>
    <w:rsid w:val="00553C55"/>
    <w:rsid w:val="00553CA8"/>
    <w:rsid w:val="00553FAB"/>
    <w:rsid w:val="00554168"/>
    <w:rsid w:val="0055455F"/>
    <w:rsid w:val="00554783"/>
    <w:rsid w:val="00554B2C"/>
    <w:rsid w:val="00554EBB"/>
    <w:rsid w:val="005556E7"/>
    <w:rsid w:val="00555A0D"/>
    <w:rsid w:val="00555AAD"/>
    <w:rsid w:val="00555E4E"/>
    <w:rsid w:val="0055625B"/>
    <w:rsid w:val="005562E9"/>
    <w:rsid w:val="005562EE"/>
    <w:rsid w:val="0055646F"/>
    <w:rsid w:val="00556580"/>
    <w:rsid w:val="005565AD"/>
    <w:rsid w:val="00556828"/>
    <w:rsid w:val="00556899"/>
    <w:rsid w:val="00556DC6"/>
    <w:rsid w:val="00556EB8"/>
    <w:rsid w:val="00557268"/>
    <w:rsid w:val="00557401"/>
    <w:rsid w:val="005576AD"/>
    <w:rsid w:val="0055778F"/>
    <w:rsid w:val="00557814"/>
    <w:rsid w:val="005579EC"/>
    <w:rsid w:val="00557E55"/>
    <w:rsid w:val="00557E58"/>
    <w:rsid w:val="00557F1A"/>
    <w:rsid w:val="00557F4E"/>
    <w:rsid w:val="0056030F"/>
    <w:rsid w:val="0056062E"/>
    <w:rsid w:val="00560752"/>
    <w:rsid w:val="005607E7"/>
    <w:rsid w:val="00560A96"/>
    <w:rsid w:val="00560AE8"/>
    <w:rsid w:val="00560B68"/>
    <w:rsid w:val="00560E38"/>
    <w:rsid w:val="00560E52"/>
    <w:rsid w:val="00560F75"/>
    <w:rsid w:val="00560F79"/>
    <w:rsid w:val="00561057"/>
    <w:rsid w:val="0056112F"/>
    <w:rsid w:val="005618F9"/>
    <w:rsid w:val="00561963"/>
    <w:rsid w:val="005619F1"/>
    <w:rsid w:val="00561BDD"/>
    <w:rsid w:val="00561D70"/>
    <w:rsid w:val="00561E50"/>
    <w:rsid w:val="005626AF"/>
    <w:rsid w:val="00562A64"/>
    <w:rsid w:val="00562B48"/>
    <w:rsid w:val="00562BD3"/>
    <w:rsid w:val="00562BE2"/>
    <w:rsid w:val="00562E38"/>
    <w:rsid w:val="005631BB"/>
    <w:rsid w:val="0056325E"/>
    <w:rsid w:val="00563335"/>
    <w:rsid w:val="0056385E"/>
    <w:rsid w:val="00563885"/>
    <w:rsid w:val="00563CAE"/>
    <w:rsid w:val="0056419E"/>
    <w:rsid w:val="005642E0"/>
    <w:rsid w:val="00564405"/>
    <w:rsid w:val="005644C2"/>
    <w:rsid w:val="0056489F"/>
    <w:rsid w:val="00564A73"/>
    <w:rsid w:val="00564BA9"/>
    <w:rsid w:val="00564FB6"/>
    <w:rsid w:val="0056504A"/>
    <w:rsid w:val="00565258"/>
    <w:rsid w:val="005657AA"/>
    <w:rsid w:val="005657BC"/>
    <w:rsid w:val="00565861"/>
    <w:rsid w:val="00565A8C"/>
    <w:rsid w:val="00565CC1"/>
    <w:rsid w:val="00565D12"/>
    <w:rsid w:val="00565E05"/>
    <w:rsid w:val="00565E2A"/>
    <w:rsid w:val="00565EB5"/>
    <w:rsid w:val="00565EBA"/>
    <w:rsid w:val="005660D4"/>
    <w:rsid w:val="005661E7"/>
    <w:rsid w:val="005663FD"/>
    <w:rsid w:val="00566AAA"/>
    <w:rsid w:val="00566CE4"/>
    <w:rsid w:val="0056727A"/>
    <w:rsid w:val="00567428"/>
    <w:rsid w:val="00567708"/>
    <w:rsid w:val="0056779B"/>
    <w:rsid w:val="005677C9"/>
    <w:rsid w:val="00567BB6"/>
    <w:rsid w:val="00567BFF"/>
    <w:rsid w:val="00567CAD"/>
    <w:rsid w:val="00567E1F"/>
    <w:rsid w:val="00567E8F"/>
    <w:rsid w:val="00567F31"/>
    <w:rsid w:val="00567F83"/>
    <w:rsid w:val="0057002C"/>
    <w:rsid w:val="005714C6"/>
    <w:rsid w:val="00571A43"/>
    <w:rsid w:val="00571B25"/>
    <w:rsid w:val="00571C04"/>
    <w:rsid w:val="00572003"/>
    <w:rsid w:val="00572479"/>
    <w:rsid w:val="005724F8"/>
    <w:rsid w:val="00572605"/>
    <w:rsid w:val="005726B6"/>
    <w:rsid w:val="00572808"/>
    <w:rsid w:val="005728D7"/>
    <w:rsid w:val="00572D7B"/>
    <w:rsid w:val="00572EA8"/>
    <w:rsid w:val="00572EFB"/>
    <w:rsid w:val="005730D0"/>
    <w:rsid w:val="00573555"/>
    <w:rsid w:val="00573B9F"/>
    <w:rsid w:val="00573C8A"/>
    <w:rsid w:val="00573C8C"/>
    <w:rsid w:val="00573E5C"/>
    <w:rsid w:val="00574127"/>
    <w:rsid w:val="005742D1"/>
    <w:rsid w:val="005742ED"/>
    <w:rsid w:val="00574516"/>
    <w:rsid w:val="00574663"/>
    <w:rsid w:val="005746DD"/>
    <w:rsid w:val="00574788"/>
    <w:rsid w:val="005748DC"/>
    <w:rsid w:val="00574E81"/>
    <w:rsid w:val="00574FF2"/>
    <w:rsid w:val="005752BC"/>
    <w:rsid w:val="0057562F"/>
    <w:rsid w:val="00575778"/>
    <w:rsid w:val="005758A0"/>
    <w:rsid w:val="00575A17"/>
    <w:rsid w:val="00575B76"/>
    <w:rsid w:val="00575C7D"/>
    <w:rsid w:val="00575CD8"/>
    <w:rsid w:val="00575D0B"/>
    <w:rsid w:val="00575D8E"/>
    <w:rsid w:val="00575DC1"/>
    <w:rsid w:val="00575E0D"/>
    <w:rsid w:val="00575F7C"/>
    <w:rsid w:val="00575FED"/>
    <w:rsid w:val="0057600B"/>
    <w:rsid w:val="0057617F"/>
    <w:rsid w:val="00576407"/>
    <w:rsid w:val="00576701"/>
    <w:rsid w:val="00576991"/>
    <w:rsid w:val="00576FE9"/>
    <w:rsid w:val="005771B1"/>
    <w:rsid w:val="005771D8"/>
    <w:rsid w:val="00577377"/>
    <w:rsid w:val="0057755B"/>
    <w:rsid w:val="00577B2F"/>
    <w:rsid w:val="00577EEA"/>
    <w:rsid w:val="00577EF8"/>
    <w:rsid w:val="00577F4C"/>
    <w:rsid w:val="005800AF"/>
    <w:rsid w:val="00580285"/>
    <w:rsid w:val="00580291"/>
    <w:rsid w:val="005805B7"/>
    <w:rsid w:val="005805E3"/>
    <w:rsid w:val="00580694"/>
    <w:rsid w:val="00581318"/>
    <w:rsid w:val="0058135B"/>
    <w:rsid w:val="00581433"/>
    <w:rsid w:val="0058169B"/>
    <w:rsid w:val="005816B7"/>
    <w:rsid w:val="00581C32"/>
    <w:rsid w:val="00581CA7"/>
    <w:rsid w:val="00581CA8"/>
    <w:rsid w:val="00582261"/>
    <w:rsid w:val="00582364"/>
    <w:rsid w:val="005825A2"/>
    <w:rsid w:val="00582A8E"/>
    <w:rsid w:val="00582FF9"/>
    <w:rsid w:val="00583071"/>
    <w:rsid w:val="00583110"/>
    <w:rsid w:val="005831C9"/>
    <w:rsid w:val="0058322D"/>
    <w:rsid w:val="00583490"/>
    <w:rsid w:val="00583B69"/>
    <w:rsid w:val="00583C6C"/>
    <w:rsid w:val="00583EFA"/>
    <w:rsid w:val="00584188"/>
    <w:rsid w:val="005841D1"/>
    <w:rsid w:val="00584526"/>
    <w:rsid w:val="00584D45"/>
    <w:rsid w:val="00584DD6"/>
    <w:rsid w:val="00584E5B"/>
    <w:rsid w:val="00585655"/>
    <w:rsid w:val="00585770"/>
    <w:rsid w:val="005858F3"/>
    <w:rsid w:val="00585933"/>
    <w:rsid w:val="00585D5F"/>
    <w:rsid w:val="00585FDF"/>
    <w:rsid w:val="0058612C"/>
    <w:rsid w:val="0058659F"/>
    <w:rsid w:val="00586791"/>
    <w:rsid w:val="0058699A"/>
    <w:rsid w:val="0058699D"/>
    <w:rsid w:val="00586A8B"/>
    <w:rsid w:val="00586B2E"/>
    <w:rsid w:val="00586CBD"/>
    <w:rsid w:val="00586DB6"/>
    <w:rsid w:val="00586F32"/>
    <w:rsid w:val="00586F79"/>
    <w:rsid w:val="00586FD2"/>
    <w:rsid w:val="005872BC"/>
    <w:rsid w:val="0058732A"/>
    <w:rsid w:val="005873C6"/>
    <w:rsid w:val="00587457"/>
    <w:rsid w:val="0058766E"/>
    <w:rsid w:val="00587A45"/>
    <w:rsid w:val="00587E31"/>
    <w:rsid w:val="00587F46"/>
    <w:rsid w:val="00590063"/>
    <w:rsid w:val="005901BC"/>
    <w:rsid w:val="00590259"/>
    <w:rsid w:val="0059038C"/>
    <w:rsid w:val="0059091B"/>
    <w:rsid w:val="00590A12"/>
    <w:rsid w:val="00590A51"/>
    <w:rsid w:val="00590C3E"/>
    <w:rsid w:val="00590CC2"/>
    <w:rsid w:val="00590CE2"/>
    <w:rsid w:val="00591024"/>
    <w:rsid w:val="005912F5"/>
    <w:rsid w:val="0059153E"/>
    <w:rsid w:val="00591604"/>
    <w:rsid w:val="00591C0B"/>
    <w:rsid w:val="00591E2B"/>
    <w:rsid w:val="00591F6B"/>
    <w:rsid w:val="00592359"/>
    <w:rsid w:val="0059237C"/>
    <w:rsid w:val="005929BC"/>
    <w:rsid w:val="00592C7F"/>
    <w:rsid w:val="00593095"/>
    <w:rsid w:val="00593436"/>
    <w:rsid w:val="00593581"/>
    <w:rsid w:val="005935DF"/>
    <w:rsid w:val="00593717"/>
    <w:rsid w:val="00593866"/>
    <w:rsid w:val="0059392B"/>
    <w:rsid w:val="00593963"/>
    <w:rsid w:val="00593A5B"/>
    <w:rsid w:val="00593BD5"/>
    <w:rsid w:val="00594482"/>
    <w:rsid w:val="0059488B"/>
    <w:rsid w:val="005949EC"/>
    <w:rsid w:val="00594DE1"/>
    <w:rsid w:val="005952E5"/>
    <w:rsid w:val="00595760"/>
    <w:rsid w:val="0059586A"/>
    <w:rsid w:val="00595984"/>
    <w:rsid w:val="005959B3"/>
    <w:rsid w:val="00595E3B"/>
    <w:rsid w:val="005961DE"/>
    <w:rsid w:val="0059650D"/>
    <w:rsid w:val="005965A7"/>
    <w:rsid w:val="005967EF"/>
    <w:rsid w:val="00596A97"/>
    <w:rsid w:val="00596BBC"/>
    <w:rsid w:val="00596E57"/>
    <w:rsid w:val="005973E0"/>
    <w:rsid w:val="005975A2"/>
    <w:rsid w:val="00597684"/>
    <w:rsid w:val="00597853"/>
    <w:rsid w:val="00597B1A"/>
    <w:rsid w:val="00597C0D"/>
    <w:rsid w:val="00597C45"/>
    <w:rsid w:val="00597D04"/>
    <w:rsid w:val="005A0129"/>
    <w:rsid w:val="005A015A"/>
    <w:rsid w:val="005A01CC"/>
    <w:rsid w:val="005A0234"/>
    <w:rsid w:val="005A03C5"/>
    <w:rsid w:val="005A08BF"/>
    <w:rsid w:val="005A0B20"/>
    <w:rsid w:val="005A0DF6"/>
    <w:rsid w:val="005A0F02"/>
    <w:rsid w:val="005A0FBD"/>
    <w:rsid w:val="005A1236"/>
    <w:rsid w:val="005A144E"/>
    <w:rsid w:val="005A169C"/>
    <w:rsid w:val="005A1B72"/>
    <w:rsid w:val="005A1DCE"/>
    <w:rsid w:val="005A1F66"/>
    <w:rsid w:val="005A20A0"/>
    <w:rsid w:val="005A218B"/>
    <w:rsid w:val="005A21F8"/>
    <w:rsid w:val="005A223C"/>
    <w:rsid w:val="005A253F"/>
    <w:rsid w:val="005A27C4"/>
    <w:rsid w:val="005A28A7"/>
    <w:rsid w:val="005A2907"/>
    <w:rsid w:val="005A292F"/>
    <w:rsid w:val="005A2954"/>
    <w:rsid w:val="005A2991"/>
    <w:rsid w:val="005A299B"/>
    <w:rsid w:val="005A2D11"/>
    <w:rsid w:val="005A3026"/>
    <w:rsid w:val="005A3085"/>
    <w:rsid w:val="005A34C8"/>
    <w:rsid w:val="005A36CE"/>
    <w:rsid w:val="005A41F4"/>
    <w:rsid w:val="005A42E9"/>
    <w:rsid w:val="005A4564"/>
    <w:rsid w:val="005A45DC"/>
    <w:rsid w:val="005A4FA1"/>
    <w:rsid w:val="005A50E9"/>
    <w:rsid w:val="005A534E"/>
    <w:rsid w:val="005A540E"/>
    <w:rsid w:val="005A5469"/>
    <w:rsid w:val="005A5556"/>
    <w:rsid w:val="005A564C"/>
    <w:rsid w:val="005A5712"/>
    <w:rsid w:val="005A580C"/>
    <w:rsid w:val="005A5919"/>
    <w:rsid w:val="005A5951"/>
    <w:rsid w:val="005A59C5"/>
    <w:rsid w:val="005A5B2D"/>
    <w:rsid w:val="005A5DC2"/>
    <w:rsid w:val="005A6435"/>
    <w:rsid w:val="005A656C"/>
    <w:rsid w:val="005A6E51"/>
    <w:rsid w:val="005A6F82"/>
    <w:rsid w:val="005A70B4"/>
    <w:rsid w:val="005A7346"/>
    <w:rsid w:val="005A7438"/>
    <w:rsid w:val="005A755A"/>
    <w:rsid w:val="005A7563"/>
    <w:rsid w:val="005A758C"/>
    <w:rsid w:val="005A7819"/>
    <w:rsid w:val="005A7AD7"/>
    <w:rsid w:val="005A7C6A"/>
    <w:rsid w:val="005A7D86"/>
    <w:rsid w:val="005A7E9A"/>
    <w:rsid w:val="005A7ECA"/>
    <w:rsid w:val="005A7ED0"/>
    <w:rsid w:val="005A7F26"/>
    <w:rsid w:val="005B003F"/>
    <w:rsid w:val="005B0578"/>
    <w:rsid w:val="005B059F"/>
    <w:rsid w:val="005B09B7"/>
    <w:rsid w:val="005B0A17"/>
    <w:rsid w:val="005B0CD9"/>
    <w:rsid w:val="005B0D4F"/>
    <w:rsid w:val="005B0E41"/>
    <w:rsid w:val="005B0FCA"/>
    <w:rsid w:val="005B0FF6"/>
    <w:rsid w:val="005B1310"/>
    <w:rsid w:val="005B1358"/>
    <w:rsid w:val="005B1368"/>
    <w:rsid w:val="005B1540"/>
    <w:rsid w:val="005B1797"/>
    <w:rsid w:val="005B17F8"/>
    <w:rsid w:val="005B1A45"/>
    <w:rsid w:val="005B1B74"/>
    <w:rsid w:val="005B1C81"/>
    <w:rsid w:val="005B1D38"/>
    <w:rsid w:val="005B201D"/>
    <w:rsid w:val="005B2049"/>
    <w:rsid w:val="005B20AE"/>
    <w:rsid w:val="005B2217"/>
    <w:rsid w:val="005B22E3"/>
    <w:rsid w:val="005B2424"/>
    <w:rsid w:val="005B2491"/>
    <w:rsid w:val="005B25A9"/>
    <w:rsid w:val="005B296B"/>
    <w:rsid w:val="005B2B24"/>
    <w:rsid w:val="005B2CA2"/>
    <w:rsid w:val="005B2E4A"/>
    <w:rsid w:val="005B328E"/>
    <w:rsid w:val="005B3293"/>
    <w:rsid w:val="005B3730"/>
    <w:rsid w:val="005B3770"/>
    <w:rsid w:val="005B3BC5"/>
    <w:rsid w:val="005B4143"/>
    <w:rsid w:val="005B4169"/>
    <w:rsid w:val="005B42AD"/>
    <w:rsid w:val="005B439C"/>
    <w:rsid w:val="005B43FE"/>
    <w:rsid w:val="005B4553"/>
    <w:rsid w:val="005B4B27"/>
    <w:rsid w:val="005B4D87"/>
    <w:rsid w:val="005B507A"/>
    <w:rsid w:val="005B5385"/>
    <w:rsid w:val="005B5867"/>
    <w:rsid w:val="005B59E2"/>
    <w:rsid w:val="005B5BBF"/>
    <w:rsid w:val="005B5D63"/>
    <w:rsid w:val="005B5D76"/>
    <w:rsid w:val="005B605A"/>
    <w:rsid w:val="005B60DE"/>
    <w:rsid w:val="005B6603"/>
    <w:rsid w:val="005B6A24"/>
    <w:rsid w:val="005B6A91"/>
    <w:rsid w:val="005B6B73"/>
    <w:rsid w:val="005B6CAA"/>
    <w:rsid w:val="005B6F50"/>
    <w:rsid w:val="005B6FE4"/>
    <w:rsid w:val="005B709C"/>
    <w:rsid w:val="005B7121"/>
    <w:rsid w:val="005B73E6"/>
    <w:rsid w:val="005B7816"/>
    <w:rsid w:val="005B7839"/>
    <w:rsid w:val="005B78E0"/>
    <w:rsid w:val="005B794C"/>
    <w:rsid w:val="005B79DD"/>
    <w:rsid w:val="005B79DE"/>
    <w:rsid w:val="005B7C1F"/>
    <w:rsid w:val="005B7F08"/>
    <w:rsid w:val="005C0051"/>
    <w:rsid w:val="005C0265"/>
    <w:rsid w:val="005C04E2"/>
    <w:rsid w:val="005C0620"/>
    <w:rsid w:val="005C06C5"/>
    <w:rsid w:val="005C0708"/>
    <w:rsid w:val="005C077E"/>
    <w:rsid w:val="005C09E9"/>
    <w:rsid w:val="005C0DAB"/>
    <w:rsid w:val="005C10C9"/>
    <w:rsid w:val="005C115E"/>
    <w:rsid w:val="005C1311"/>
    <w:rsid w:val="005C144E"/>
    <w:rsid w:val="005C14BA"/>
    <w:rsid w:val="005C1BC1"/>
    <w:rsid w:val="005C1BD2"/>
    <w:rsid w:val="005C1E39"/>
    <w:rsid w:val="005C2236"/>
    <w:rsid w:val="005C234E"/>
    <w:rsid w:val="005C2752"/>
    <w:rsid w:val="005C2AC1"/>
    <w:rsid w:val="005C2AEA"/>
    <w:rsid w:val="005C2ECB"/>
    <w:rsid w:val="005C34A1"/>
    <w:rsid w:val="005C35A0"/>
    <w:rsid w:val="005C373E"/>
    <w:rsid w:val="005C3C06"/>
    <w:rsid w:val="005C3E10"/>
    <w:rsid w:val="005C3EB9"/>
    <w:rsid w:val="005C4202"/>
    <w:rsid w:val="005C4C8C"/>
    <w:rsid w:val="005C4CAC"/>
    <w:rsid w:val="005C4D2E"/>
    <w:rsid w:val="005C4D8E"/>
    <w:rsid w:val="005C521D"/>
    <w:rsid w:val="005C531D"/>
    <w:rsid w:val="005C5426"/>
    <w:rsid w:val="005C55B2"/>
    <w:rsid w:val="005C5720"/>
    <w:rsid w:val="005C5B1B"/>
    <w:rsid w:val="005C5CB3"/>
    <w:rsid w:val="005C62B7"/>
    <w:rsid w:val="005C6445"/>
    <w:rsid w:val="005C645E"/>
    <w:rsid w:val="005C6720"/>
    <w:rsid w:val="005C688C"/>
    <w:rsid w:val="005C6EB4"/>
    <w:rsid w:val="005C70F7"/>
    <w:rsid w:val="005C7620"/>
    <w:rsid w:val="005C76E8"/>
    <w:rsid w:val="005C7997"/>
    <w:rsid w:val="005C79CE"/>
    <w:rsid w:val="005C7A6C"/>
    <w:rsid w:val="005C7B69"/>
    <w:rsid w:val="005C7B89"/>
    <w:rsid w:val="005C7E3C"/>
    <w:rsid w:val="005C7F44"/>
    <w:rsid w:val="005D0167"/>
    <w:rsid w:val="005D05E4"/>
    <w:rsid w:val="005D08BC"/>
    <w:rsid w:val="005D0A1B"/>
    <w:rsid w:val="005D0D66"/>
    <w:rsid w:val="005D0EBF"/>
    <w:rsid w:val="005D0F8C"/>
    <w:rsid w:val="005D120B"/>
    <w:rsid w:val="005D1634"/>
    <w:rsid w:val="005D1904"/>
    <w:rsid w:val="005D1972"/>
    <w:rsid w:val="005D1A19"/>
    <w:rsid w:val="005D1BB7"/>
    <w:rsid w:val="005D1F1C"/>
    <w:rsid w:val="005D2019"/>
    <w:rsid w:val="005D21EB"/>
    <w:rsid w:val="005D24B9"/>
    <w:rsid w:val="005D2610"/>
    <w:rsid w:val="005D2680"/>
    <w:rsid w:val="005D277F"/>
    <w:rsid w:val="005D2819"/>
    <w:rsid w:val="005D2F53"/>
    <w:rsid w:val="005D3217"/>
    <w:rsid w:val="005D326F"/>
    <w:rsid w:val="005D3271"/>
    <w:rsid w:val="005D3320"/>
    <w:rsid w:val="005D3514"/>
    <w:rsid w:val="005D3C6C"/>
    <w:rsid w:val="005D3DC8"/>
    <w:rsid w:val="005D3E03"/>
    <w:rsid w:val="005D416C"/>
    <w:rsid w:val="005D425E"/>
    <w:rsid w:val="005D4647"/>
    <w:rsid w:val="005D494D"/>
    <w:rsid w:val="005D49AE"/>
    <w:rsid w:val="005D4A57"/>
    <w:rsid w:val="005D4A9B"/>
    <w:rsid w:val="005D4B92"/>
    <w:rsid w:val="005D4C03"/>
    <w:rsid w:val="005D4CED"/>
    <w:rsid w:val="005D4D3C"/>
    <w:rsid w:val="005D4DE5"/>
    <w:rsid w:val="005D4E11"/>
    <w:rsid w:val="005D4F39"/>
    <w:rsid w:val="005D50E3"/>
    <w:rsid w:val="005D5266"/>
    <w:rsid w:val="005D55D0"/>
    <w:rsid w:val="005D55DD"/>
    <w:rsid w:val="005D59C1"/>
    <w:rsid w:val="005D5A4F"/>
    <w:rsid w:val="005D5B52"/>
    <w:rsid w:val="005D5B77"/>
    <w:rsid w:val="005D5B7F"/>
    <w:rsid w:val="005D5C78"/>
    <w:rsid w:val="005D5D48"/>
    <w:rsid w:val="005D5DC6"/>
    <w:rsid w:val="005D5E36"/>
    <w:rsid w:val="005D5E62"/>
    <w:rsid w:val="005D6094"/>
    <w:rsid w:val="005D60CF"/>
    <w:rsid w:val="005D636A"/>
    <w:rsid w:val="005D6555"/>
    <w:rsid w:val="005D65A4"/>
    <w:rsid w:val="005D662A"/>
    <w:rsid w:val="005D69C4"/>
    <w:rsid w:val="005D69CE"/>
    <w:rsid w:val="005D6A3B"/>
    <w:rsid w:val="005D6C07"/>
    <w:rsid w:val="005D6F2E"/>
    <w:rsid w:val="005D6FBC"/>
    <w:rsid w:val="005D71F4"/>
    <w:rsid w:val="005D734E"/>
    <w:rsid w:val="005D7357"/>
    <w:rsid w:val="005D749B"/>
    <w:rsid w:val="005E0294"/>
    <w:rsid w:val="005E0AA6"/>
    <w:rsid w:val="005E0FB8"/>
    <w:rsid w:val="005E0FEA"/>
    <w:rsid w:val="005E1033"/>
    <w:rsid w:val="005E11E1"/>
    <w:rsid w:val="005E153A"/>
    <w:rsid w:val="005E15B8"/>
    <w:rsid w:val="005E162B"/>
    <w:rsid w:val="005E1B24"/>
    <w:rsid w:val="005E1DBD"/>
    <w:rsid w:val="005E2024"/>
    <w:rsid w:val="005E2697"/>
    <w:rsid w:val="005E2879"/>
    <w:rsid w:val="005E29D9"/>
    <w:rsid w:val="005E2B01"/>
    <w:rsid w:val="005E2C72"/>
    <w:rsid w:val="005E2C89"/>
    <w:rsid w:val="005E2DED"/>
    <w:rsid w:val="005E2EAA"/>
    <w:rsid w:val="005E327A"/>
    <w:rsid w:val="005E3309"/>
    <w:rsid w:val="005E3597"/>
    <w:rsid w:val="005E36DD"/>
    <w:rsid w:val="005E3A19"/>
    <w:rsid w:val="005E3B81"/>
    <w:rsid w:val="005E3D13"/>
    <w:rsid w:val="005E3D47"/>
    <w:rsid w:val="005E4069"/>
    <w:rsid w:val="005E414D"/>
    <w:rsid w:val="005E423D"/>
    <w:rsid w:val="005E493D"/>
    <w:rsid w:val="005E4AF2"/>
    <w:rsid w:val="005E4B1F"/>
    <w:rsid w:val="005E5099"/>
    <w:rsid w:val="005E5565"/>
    <w:rsid w:val="005E58BF"/>
    <w:rsid w:val="005E5945"/>
    <w:rsid w:val="005E5BB6"/>
    <w:rsid w:val="005E612D"/>
    <w:rsid w:val="005E62BA"/>
    <w:rsid w:val="005E633B"/>
    <w:rsid w:val="005E6573"/>
    <w:rsid w:val="005E663A"/>
    <w:rsid w:val="005E6650"/>
    <w:rsid w:val="005E68AF"/>
    <w:rsid w:val="005E6B00"/>
    <w:rsid w:val="005E6B2C"/>
    <w:rsid w:val="005E6CF6"/>
    <w:rsid w:val="005E6EBF"/>
    <w:rsid w:val="005E6EF1"/>
    <w:rsid w:val="005E6F51"/>
    <w:rsid w:val="005E7776"/>
    <w:rsid w:val="005E7C4F"/>
    <w:rsid w:val="005E7CB4"/>
    <w:rsid w:val="005E7F8A"/>
    <w:rsid w:val="005F0134"/>
    <w:rsid w:val="005F04A9"/>
    <w:rsid w:val="005F04F8"/>
    <w:rsid w:val="005F0589"/>
    <w:rsid w:val="005F06DE"/>
    <w:rsid w:val="005F07B6"/>
    <w:rsid w:val="005F0DA7"/>
    <w:rsid w:val="005F0E05"/>
    <w:rsid w:val="005F0EEF"/>
    <w:rsid w:val="005F0F37"/>
    <w:rsid w:val="005F0FAF"/>
    <w:rsid w:val="005F0FD6"/>
    <w:rsid w:val="005F11B1"/>
    <w:rsid w:val="005F13E6"/>
    <w:rsid w:val="005F1514"/>
    <w:rsid w:val="005F1552"/>
    <w:rsid w:val="005F1A6F"/>
    <w:rsid w:val="005F1B63"/>
    <w:rsid w:val="005F1E2A"/>
    <w:rsid w:val="005F1F2E"/>
    <w:rsid w:val="005F23CA"/>
    <w:rsid w:val="005F26E6"/>
    <w:rsid w:val="005F27E8"/>
    <w:rsid w:val="005F2847"/>
    <w:rsid w:val="005F28C3"/>
    <w:rsid w:val="005F2C00"/>
    <w:rsid w:val="005F3222"/>
    <w:rsid w:val="005F32DF"/>
    <w:rsid w:val="005F3581"/>
    <w:rsid w:val="005F3AB9"/>
    <w:rsid w:val="005F5170"/>
    <w:rsid w:val="005F53A2"/>
    <w:rsid w:val="005F5471"/>
    <w:rsid w:val="005F5919"/>
    <w:rsid w:val="005F5C41"/>
    <w:rsid w:val="005F5C4E"/>
    <w:rsid w:val="005F627F"/>
    <w:rsid w:val="005F6419"/>
    <w:rsid w:val="005F6919"/>
    <w:rsid w:val="005F6ABC"/>
    <w:rsid w:val="005F6AF4"/>
    <w:rsid w:val="005F7385"/>
    <w:rsid w:val="005F743E"/>
    <w:rsid w:val="005F74C5"/>
    <w:rsid w:val="005F7648"/>
    <w:rsid w:val="005F77D0"/>
    <w:rsid w:val="005F7AC1"/>
    <w:rsid w:val="005F7AEE"/>
    <w:rsid w:val="005F7CE5"/>
    <w:rsid w:val="006000A0"/>
    <w:rsid w:val="006000E2"/>
    <w:rsid w:val="00600247"/>
    <w:rsid w:val="006002A1"/>
    <w:rsid w:val="006006E1"/>
    <w:rsid w:val="0060087A"/>
    <w:rsid w:val="006008BF"/>
    <w:rsid w:val="0060097A"/>
    <w:rsid w:val="00600BDD"/>
    <w:rsid w:val="00600C17"/>
    <w:rsid w:val="00600CF8"/>
    <w:rsid w:val="00600CFE"/>
    <w:rsid w:val="00600E18"/>
    <w:rsid w:val="00600E7B"/>
    <w:rsid w:val="006017C0"/>
    <w:rsid w:val="0060186E"/>
    <w:rsid w:val="00601D51"/>
    <w:rsid w:val="0060201F"/>
    <w:rsid w:val="0060233C"/>
    <w:rsid w:val="00602672"/>
    <w:rsid w:val="00602713"/>
    <w:rsid w:val="00602A31"/>
    <w:rsid w:val="00602AD3"/>
    <w:rsid w:val="00602B9D"/>
    <w:rsid w:val="00602CDF"/>
    <w:rsid w:val="00602D85"/>
    <w:rsid w:val="00602F05"/>
    <w:rsid w:val="006031B8"/>
    <w:rsid w:val="00603409"/>
    <w:rsid w:val="006037BB"/>
    <w:rsid w:val="00603B00"/>
    <w:rsid w:val="00603D0D"/>
    <w:rsid w:val="00603E15"/>
    <w:rsid w:val="006049A6"/>
    <w:rsid w:val="00604E44"/>
    <w:rsid w:val="00604E81"/>
    <w:rsid w:val="006050BA"/>
    <w:rsid w:val="00605744"/>
    <w:rsid w:val="00605C82"/>
    <w:rsid w:val="0060677E"/>
    <w:rsid w:val="00606900"/>
    <w:rsid w:val="00606B88"/>
    <w:rsid w:val="00606C1C"/>
    <w:rsid w:val="00606E4F"/>
    <w:rsid w:val="006072DC"/>
    <w:rsid w:val="006075D4"/>
    <w:rsid w:val="0060786A"/>
    <w:rsid w:val="00607929"/>
    <w:rsid w:val="00607947"/>
    <w:rsid w:val="00607A52"/>
    <w:rsid w:val="00607AD9"/>
    <w:rsid w:val="00607AFD"/>
    <w:rsid w:val="00607C76"/>
    <w:rsid w:val="00607E39"/>
    <w:rsid w:val="00607EE9"/>
    <w:rsid w:val="0061083B"/>
    <w:rsid w:val="00610D92"/>
    <w:rsid w:val="00610EA5"/>
    <w:rsid w:val="00611135"/>
    <w:rsid w:val="006113C2"/>
    <w:rsid w:val="0061175C"/>
    <w:rsid w:val="00611787"/>
    <w:rsid w:val="00611EDB"/>
    <w:rsid w:val="00612651"/>
    <w:rsid w:val="00612B53"/>
    <w:rsid w:val="00612BAC"/>
    <w:rsid w:val="00612E3F"/>
    <w:rsid w:val="0061300A"/>
    <w:rsid w:val="00613129"/>
    <w:rsid w:val="0061314A"/>
    <w:rsid w:val="006132D6"/>
    <w:rsid w:val="00613375"/>
    <w:rsid w:val="006134B7"/>
    <w:rsid w:val="00613655"/>
    <w:rsid w:val="0061366C"/>
    <w:rsid w:val="006139A5"/>
    <w:rsid w:val="00613B6C"/>
    <w:rsid w:val="00613BCF"/>
    <w:rsid w:val="00613F03"/>
    <w:rsid w:val="006141C1"/>
    <w:rsid w:val="00614570"/>
    <w:rsid w:val="0061460A"/>
    <w:rsid w:val="00614771"/>
    <w:rsid w:val="0061488D"/>
    <w:rsid w:val="00614A9A"/>
    <w:rsid w:val="00614BD0"/>
    <w:rsid w:val="00614D6A"/>
    <w:rsid w:val="00614F28"/>
    <w:rsid w:val="0061509B"/>
    <w:rsid w:val="006151B7"/>
    <w:rsid w:val="0061570A"/>
    <w:rsid w:val="00615AE2"/>
    <w:rsid w:val="00615C33"/>
    <w:rsid w:val="00615CDF"/>
    <w:rsid w:val="00615DAD"/>
    <w:rsid w:val="00615E04"/>
    <w:rsid w:val="006162C5"/>
    <w:rsid w:val="0061633A"/>
    <w:rsid w:val="0061656F"/>
    <w:rsid w:val="0061675D"/>
    <w:rsid w:val="00616A04"/>
    <w:rsid w:val="00616DC3"/>
    <w:rsid w:val="00616E2B"/>
    <w:rsid w:val="00617143"/>
    <w:rsid w:val="006171CF"/>
    <w:rsid w:val="006179F2"/>
    <w:rsid w:val="0062031B"/>
    <w:rsid w:val="006206C1"/>
    <w:rsid w:val="006208E4"/>
    <w:rsid w:val="00620DFD"/>
    <w:rsid w:val="0062106C"/>
    <w:rsid w:val="00621268"/>
    <w:rsid w:val="006212AF"/>
    <w:rsid w:val="0062179A"/>
    <w:rsid w:val="00621809"/>
    <w:rsid w:val="0062181D"/>
    <w:rsid w:val="006219CF"/>
    <w:rsid w:val="00621EF3"/>
    <w:rsid w:val="00622115"/>
    <w:rsid w:val="00622150"/>
    <w:rsid w:val="0062223A"/>
    <w:rsid w:val="006222A3"/>
    <w:rsid w:val="00622352"/>
    <w:rsid w:val="006225C7"/>
    <w:rsid w:val="0062271D"/>
    <w:rsid w:val="00622B42"/>
    <w:rsid w:val="006230E2"/>
    <w:rsid w:val="00623391"/>
    <w:rsid w:val="00623457"/>
    <w:rsid w:val="0062365A"/>
    <w:rsid w:val="006237ED"/>
    <w:rsid w:val="0062386C"/>
    <w:rsid w:val="0062388C"/>
    <w:rsid w:val="006239FE"/>
    <w:rsid w:val="00623AC3"/>
    <w:rsid w:val="00623C21"/>
    <w:rsid w:val="00623C30"/>
    <w:rsid w:val="00623D56"/>
    <w:rsid w:val="006241DD"/>
    <w:rsid w:val="00624240"/>
    <w:rsid w:val="0062426D"/>
    <w:rsid w:val="00624507"/>
    <w:rsid w:val="006245A1"/>
    <w:rsid w:val="00624784"/>
    <w:rsid w:val="006248FE"/>
    <w:rsid w:val="006249E0"/>
    <w:rsid w:val="00624A21"/>
    <w:rsid w:val="00624DCE"/>
    <w:rsid w:val="00624EDA"/>
    <w:rsid w:val="00624FE4"/>
    <w:rsid w:val="006250C3"/>
    <w:rsid w:val="006253C1"/>
    <w:rsid w:val="0062560E"/>
    <w:rsid w:val="00625948"/>
    <w:rsid w:val="00625A11"/>
    <w:rsid w:val="00625B11"/>
    <w:rsid w:val="00625CA3"/>
    <w:rsid w:val="006263ED"/>
    <w:rsid w:val="00626444"/>
    <w:rsid w:val="006266AA"/>
    <w:rsid w:val="00626B8D"/>
    <w:rsid w:val="006270FD"/>
    <w:rsid w:val="00627345"/>
    <w:rsid w:val="006276CA"/>
    <w:rsid w:val="00627D7A"/>
    <w:rsid w:val="00627DDC"/>
    <w:rsid w:val="00627ED7"/>
    <w:rsid w:val="00627FB4"/>
    <w:rsid w:val="0063043B"/>
    <w:rsid w:val="006304AF"/>
    <w:rsid w:val="006304E9"/>
    <w:rsid w:val="00630776"/>
    <w:rsid w:val="006308FB"/>
    <w:rsid w:val="00630EE0"/>
    <w:rsid w:val="006312B8"/>
    <w:rsid w:val="00631305"/>
    <w:rsid w:val="0063140A"/>
    <w:rsid w:val="00631521"/>
    <w:rsid w:val="00631797"/>
    <w:rsid w:val="006317B6"/>
    <w:rsid w:val="00632110"/>
    <w:rsid w:val="00632168"/>
    <w:rsid w:val="006321C0"/>
    <w:rsid w:val="006325C1"/>
    <w:rsid w:val="00632642"/>
    <w:rsid w:val="006326BE"/>
    <w:rsid w:val="00632C89"/>
    <w:rsid w:val="00632CD9"/>
    <w:rsid w:val="00632F00"/>
    <w:rsid w:val="00633321"/>
    <w:rsid w:val="0063346E"/>
    <w:rsid w:val="0063368A"/>
    <w:rsid w:val="006336D3"/>
    <w:rsid w:val="006336EB"/>
    <w:rsid w:val="00633CF4"/>
    <w:rsid w:val="00633E30"/>
    <w:rsid w:val="00634086"/>
    <w:rsid w:val="0063414B"/>
    <w:rsid w:val="00634166"/>
    <w:rsid w:val="00634536"/>
    <w:rsid w:val="00634A74"/>
    <w:rsid w:val="00634DD7"/>
    <w:rsid w:val="00634F4E"/>
    <w:rsid w:val="006350F6"/>
    <w:rsid w:val="006351EA"/>
    <w:rsid w:val="0063523B"/>
    <w:rsid w:val="006352A4"/>
    <w:rsid w:val="006354B1"/>
    <w:rsid w:val="0063560A"/>
    <w:rsid w:val="006357A4"/>
    <w:rsid w:val="006357B5"/>
    <w:rsid w:val="00635939"/>
    <w:rsid w:val="00635AA7"/>
    <w:rsid w:val="00635BAF"/>
    <w:rsid w:val="00635CB0"/>
    <w:rsid w:val="00635EE3"/>
    <w:rsid w:val="00636415"/>
    <w:rsid w:val="00636604"/>
    <w:rsid w:val="006367A6"/>
    <w:rsid w:val="0063695B"/>
    <w:rsid w:val="00636A27"/>
    <w:rsid w:val="00636CF1"/>
    <w:rsid w:val="00636DB9"/>
    <w:rsid w:val="00636F95"/>
    <w:rsid w:val="00637008"/>
    <w:rsid w:val="006372C3"/>
    <w:rsid w:val="00637359"/>
    <w:rsid w:val="00637680"/>
    <w:rsid w:val="006376F3"/>
    <w:rsid w:val="006377A7"/>
    <w:rsid w:val="00637BD3"/>
    <w:rsid w:val="00637CEC"/>
    <w:rsid w:val="00637EA5"/>
    <w:rsid w:val="00637F4E"/>
    <w:rsid w:val="00637FD3"/>
    <w:rsid w:val="006400C8"/>
    <w:rsid w:val="00640464"/>
    <w:rsid w:val="0064053F"/>
    <w:rsid w:val="0064082D"/>
    <w:rsid w:val="006409D9"/>
    <w:rsid w:val="00640F23"/>
    <w:rsid w:val="006411B4"/>
    <w:rsid w:val="00641557"/>
    <w:rsid w:val="00641B98"/>
    <w:rsid w:val="00641BE6"/>
    <w:rsid w:val="00641BF8"/>
    <w:rsid w:val="00641C2D"/>
    <w:rsid w:val="00641F70"/>
    <w:rsid w:val="006420DD"/>
    <w:rsid w:val="00642350"/>
    <w:rsid w:val="006424DA"/>
    <w:rsid w:val="006427AF"/>
    <w:rsid w:val="00642819"/>
    <w:rsid w:val="0064296B"/>
    <w:rsid w:val="006429A6"/>
    <w:rsid w:val="006429D0"/>
    <w:rsid w:val="00642B22"/>
    <w:rsid w:val="00642C78"/>
    <w:rsid w:val="00642DEE"/>
    <w:rsid w:val="00642EAD"/>
    <w:rsid w:val="00643113"/>
    <w:rsid w:val="0064314B"/>
    <w:rsid w:val="00643198"/>
    <w:rsid w:val="006435CB"/>
    <w:rsid w:val="00643659"/>
    <w:rsid w:val="006436E1"/>
    <w:rsid w:val="00643C06"/>
    <w:rsid w:val="00643ED7"/>
    <w:rsid w:val="0064408F"/>
    <w:rsid w:val="00644530"/>
    <w:rsid w:val="0064494A"/>
    <w:rsid w:val="00644D98"/>
    <w:rsid w:val="00645093"/>
    <w:rsid w:val="00645294"/>
    <w:rsid w:val="006454AD"/>
    <w:rsid w:val="00645605"/>
    <w:rsid w:val="006457AE"/>
    <w:rsid w:val="00645B6D"/>
    <w:rsid w:val="00645C1C"/>
    <w:rsid w:val="00645DA0"/>
    <w:rsid w:val="00645EB7"/>
    <w:rsid w:val="00646085"/>
    <w:rsid w:val="00646142"/>
    <w:rsid w:val="006462BE"/>
    <w:rsid w:val="00646413"/>
    <w:rsid w:val="0064662F"/>
    <w:rsid w:val="00646667"/>
    <w:rsid w:val="00646B2D"/>
    <w:rsid w:val="00646B77"/>
    <w:rsid w:val="00646BA2"/>
    <w:rsid w:val="00646D15"/>
    <w:rsid w:val="0064702D"/>
    <w:rsid w:val="0064712C"/>
    <w:rsid w:val="0064738B"/>
    <w:rsid w:val="00647764"/>
    <w:rsid w:val="00647832"/>
    <w:rsid w:val="00650019"/>
    <w:rsid w:val="0065001B"/>
    <w:rsid w:val="0065009A"/>
    <w:rsid w:val="0065032C"/>
    <w:rsid w:val="006503AA"/>
    <w:rsid w:val="0065052E"/>
    <w:rsid w:val="006507F0"/>
    <w:rsid w:val="0065087A"/>
    <w:rsid w:val="0065091B"/>
    <w:rsid w:val="006509C1"/>
    <w:rsid w:val="00650A17"/>
    <w:rsid w:val="00650CE4"/>
    <w:rsid w:val="00650FD7"/>
    <w:rsid w:val="00651503"/>
    <w:rsid w:val="00651983"/>
    <w:rsid w:val="006519D0"/>
    <w:rsid w:val="006519FD"/>
    <w:rsid w:val="00651A78"/>
    <w:rsid w:val="00651A7F"/>
    <w:rsid w:val="00651B02"/>
    <w:rsid w:val="00651BA4"/>
    <w:rsid w:val="00651DF9"/>
    <w:rsid w:val="00651E4A"/>
    <w:rsid w:val="00651F43"/>
    <w:rsid w:val="00651F4F"/>
    <w:rsid w:val="00651FC9"/>
    <w:rsid w:val="006528BE"/>
    <w:rsid w:val="00652E07"/>
    <w:rsid w:val="0065306A"/>
    <w:rsid w:val="00653141"/>
    <w:rsid w:val="00653158"/>
    <w:rsid w:val="0065324B"/>
    <w:rsid w:val="00653483"/>
    <w:rsid w:val="0065359A"/>
    <w:rsid w:val="00653807"/>
    <w:rsid w:val="006538AF"/>
    <w:rsid w:val="00653A16"/>
    <w:rsid w:val="00653B96"/>
    <w:rsid w:val="00653C76"/>
    <w:rsid w:val="00654010"/>
    <w:rsid w:val="00654073"/>
    <w:rsid w:val="006540CB"/>
    <w:rsid w:val="0065438D"/>
    <w:rsid w:val="0065454F"/>
    <w:rsid w:val="0065490C"/>
    <w:rsid w:val="00654A8D"/>
    <w:rsid w:val="00654A9F"/>
    <w:rsid w:val="00654EC5"/>
    <w:rsid w:val="00655102"/>
    <w:rsid w:val="00655194"/>
    <w:rsid w:val="00655472"/>
    <w:rsid w:val="00655600"/>
    <w:rsid w:val="00655852"/>
    <w:rsid w:val="00655886"/>
    <w:rsid w:val="00655A21"/>
    <w:rsid w:val="00655BA8"/>
    <w:rsid w:val="00655CA1"/>
    <w:rsid w:val="00655F3C"/>
    <w:rsid w:val="00656038"/>
    <w:rsid w:val="00656174"/>
    <w:rsid w:val="0065629B"/>
    <w:rsid w:val="006562EB"/>
    <w:rsid w:val="0065645B"/>
    <w:rsid w:val="006568AA"/>
    <w:rsid w:val="00656939"/>
    <w:rsid w:val="00656AB8"/>
    <w:rsid w:val="00656B94"/>
    <w:rsid w:val="00656C91"/>
    <w:rsid w:val="00657172"/>
    <w:rsid w:val="0065725F"/>
    <w:rsid w:val="006572D6"/>
    <w:rsid w:val="0065756F"/>
    <w:rsid w:val="00657853"/>
    <w:rsid w:val="0065789F"/>
    <w:rsid w:val="00657992"/>
    <w:rsid w:val="00657E9B"/>
    <w:rsid w:val="00657F0D"/>
    <w:rsid w:val="00660349"/>
    <w:rsid w:val="006606D2"/>
    <w:rsid w:val="0066071A"/>
    <w:rsid w:val="0066093F"/>
    <w:rsid w:val="00660987"/>
    <w:rsid w:val="00660996"/>
    <w:rsid w:val="00660A11"/>
    <w:rsid w:val="00660C30"/>
    <w:rsid w:val="00660D87"/>
    <w:rsid w:val="0066126E"/>
    <w:rsid w:val="006612CB"/>
    <w:rsid w:val="0066133A"/>
    <w:rsid w:val="0066162E"/>
    <w:rsid w:val="00661AC1"/>
    <w:rsid w:val="00661B54"/>
    <w:rsid w:val="00661CF6"/>
    <w:rsid w:val="00661D14"/>
    <w:rsid w:val="00661F6B"/>
    <w:rsid w:val="00661FA8"/>
    <w:rsid w:val="00662111"/>
    <w:rsid w:val="0066217A"/>
    <w:rsid w:val="00662ADA"/>
    <w:rsid w:val="00662DEC"/>
    <w:rsid w:val="00663203"/>
    <w:rsid w:val="00663241"/>
    <w:rsid w:val="00663402"/>
    <w:rsid w:val="00663549"/>
    <w:rsid w:val="006636AD"/>
    <w:rsid w:val="006636CB"/>
    <w:rsid w:val="006636FA"/>
    <w:rsid w:val="00663ADB"/>
    <w:rsid w:val="00663B71"/>
    <w:rsid w:val="00663C95"/>
    <w:rsid w:val="00663E7B"/>
    <w:rsid w:val="00663EE1"/>
    <w:rsid w:val="006640AE"/>
    <w:rsid w:val="00664172"/>
    <w:rsid w:val="006641A0"/>
    <w:rsid w:val="00664633"/>
    <w:rsid w:val="0066479C"/>
    <w:rsid w:val="00664867"/>
    <w:rsid w:val="0066494A"/>
    <w:rsid w:val="00664B60"/>
    <w:rsid w:val="00664C79"/>
    <w:rsid w:val="00664CE4"/>
    <w:rsid w:val="00664D80"/>
    <w:rsid w:val="00664F50"/>
    <w:rsid w:val="00665044"/>
    <w:rsid w:val="006651E1"/>
    <w:rsid w:val="0066530C"/>
    <w:rsid w:val="0066543A"/>
    <w:rsid w:val="006654D1"/>
    <w:rsid w:val="00665904"/>
    <w:rsid w:val="006659C7"/>
    <w:rsid w:val="00665A2C"/>
    <w:rsid w:val="00665C5C"/>
    <w:rsid w:val="00665E85"/>
    <w:rsid w:val="00665EEA"/>
    <w:rsid w:val="0066625C"/>
    <w:rsid w:val="00666513"/>
    <w:rsid w:val="006665D1"/>
    <w:rsid w:val="00666CAC"/>
    <w:rsid w:val="00666CE2"/>
    <w:rsid w:val="006675AF"/>
    <w:rsid w:val="00667734"/>
    <w:rsid w:val="00667956"/>
    <w:rsid w:val="00667C1A"/>
    <w:rsid w:val="00667C5E"/>
    <w:rsid w:val="00670143"/>
    <w:rsid w:val="00670551"/>
    <w:rsid w:val="00670606"/>
    <w:rsid w:val="006707CB"/>
    <w:rsid w:val="006709FD"/>
    <w:rsid w:val="00670A6A"/>
    <w:rsid w:val="00670B07"/>
    <w:rsid w:val="00670B32"/>
    <w:rsid w:val="00670C1F"/>
    <w:rsid w:val="00670D28"/>
    <w:rsid w:val="00670E6F"/>
    <w:rsid w:val="00671039"/>
    <w:rsid w:val="00671056"/>
    <w:rsid w:val="006714BD"/>
    <w:rsid w:val="006716C5"/>
    <w:rsid w:val="006716E3"/>
    <w:rsid w:val="00671A56"/>
    <w:rsid w:val="00671B31"/>
    <w:rsid w:val="00671E67"/>
    <w:rsid w:val="00672077"/>
    <w:rsid w:val="006720CE"/>
    <w:rsid w:val="006721E6"/>
    <w:rsid w:val="006724A2"/>
    <w:rsid w:val="0067252D"/>
    <w:rsid w:val="006725CB"/>
    <w:rsid w:val="0067295F"/>
    <w:rsid w:val="00672A70"/>
    <w:rsid w:val="00672AF7"/>
    <w:rsid w:val="00672C3A"/>
    <w:rsid w:val="00672C3E"/>
    <w:rsid w:val="00672DD1"/>
    <w:rsid w:val="00672DD4"/>
    <w:rsid w:val="00672ED7"/>
    <w:rsid w:val="00672F39"/>
    <w:rsid w:val="006730E1"/>
    <w:rsid w:val="00673197"/>
    <w:rsid w:val="006731A4"/>
    <w:rsid w:val="0067354F"/>
    <w:rsid w:val="00673A3C"/>
    <w:rsid w:val="00673B50"/>
    <w:rsid w:val="00673BE9"/>
    <w:rsid w:val="00674672"/>
    <w:rsid w:val="00674685"/>
    <w:rsid w:val="00674B08"/>
    <w:rsid w:val="006751D9"/>
    <w:rsid w:val="00675543"/>
    <w:rsid w:val="006755AD"/>
    <w:rsid w:val="00675727"/>
    <w:rsid w:val="00675734"/>
    <w:rsid w:val="0067580B"/>
    <w:rsid w:val="00675893"/>
    <w:rsid w:val="00675915"/>
    <w:rsid w:val="00675B87"/>
    <w:rsid w:val="00675C16"/>
    <w:rsid w:val="00675E5B"/>
    <w:rsid w:val="00675FA3"/>
    <w:rsid w:val="006760A8"/>
    <w:rsid w:val="006763CF"/>
    <w:rsid w:val="00676425"/>
    <w:rsid w:val="0067653B"/>
    <w:rsid w:val="006765B5"/>
    <w:rsid w:val="006766B5"/>
    <w:rsid w:val="00676759"/>
    <w:rsid w:val="006767DA"/>
    <w:rsid w:val="00676ADC"/>
    <w:rsid w:val="00676D2E"/>
    <w:rsid w:val="00676E24"/>
    <w:rsid w:val="00676EDF"/>
    <w:rsid w:val="00676F27"/>
    <w:rsid w:val="006770D3"/>
    <w:rsid w:val="0067727C"/>
    <w:rsid w:val="006774DD"/>
    <w:rsid w:val="0067782A"/>
    <w:rsid w:val="006778AC"/>
    <w:rsid w:val="00677BF6"/>
    <w:rsid w:val="00677C68"/>
    <w:rsid w:val="00677D99"/>
    <w:rsid w:val="00677E53"/>
    <w:rsid w:val="00680303"/>
    <w:rsid w:val="00680599"/>
    <w:rsid w:val="006807F0"/>
    <w:rsid w:val="00680A0B"/>
    <w:rsid w:val="00680B10"/>
    <w:rsid w:val="00680B9F"/>
    <w:rsid w:val="00680CF6"/>
    <w:rsid w:val="00680D95"/>
    <w:rsid w:val="00680E79"/>
    <w:rsid w:val="00680FB7"/>
    <w:rsid w:val="006810EF"/>
    <w:rsid w:val="00681103"/>
    <w:rsid w:val="006811F8"/>
    <w:rsid w:val="0068145A"/>
    <w:rsid w:val="0068163D"/>
    <w:rsid w:val="00681652"/>
    <w:rsid w:val="00681951"/>
    <w:rsid w:val="00681A3D"/>
    <w:rsid w:val="00681D29"/>
    <w:rsid w:val="00681EE6"/>
    <w:rsid w:val="00682487"/>
    <w:rsid w:val="00682576"/>
    <w:rsid w:val="00682ACA"/>
    <w:rsid w:val="00682BC5"/>
    <w:rsid w:val="00682C46"/>
    <w:rsid w:val="00682E93"/>
    <w:rsid w:val="006830E2"/>
    <w:rsid w:val="00683713"/>
    <w:rsid w:val="00683731"/>
    <w:rsid w:val="006837B3"/>
    <w:rsid w:val="006838D3"/>
    <w:rsid w:val="00683B71"/>
    <w:rsid w:val="00683BCC"/>
    <w:rsid w:val="00683D73"/>
    <w:rsid w:val="00683FA6"/>
    <w:rsid w:val="00684076"/>
    <w:rsid w:val="0068445C"/>
    <w:rsid w:val="0068489F"/>
    <w:rsid w:val="00685109"/>
    <w:rsid w:val="0068523C"/>
    <w:rsid w:val="0068526A"/>
    <w:rsid w:val="006852E0"/>
    <w:rsid w:val="0068556A"/>
    <w:rsid w:val="0068563F"/>
    <w:rsid w:val="00685830"/>
    <w:rsid w:val="00685945"/>
    <w:rsid w:val="00685B0E"/>
    <w:rsid w:val="00685C5C"/>
    <w:rsid w:val="00685DDE"/>
    <w:rsid w:val="006860BA"/>
    <w:rsid w:val="006863A8"/>
    <w:rsid w:val="0068652C"/>
    <w:rsid w:val="006869CE"/>
    <w:rsid w:val="00686E57"/>
    <w:rsid w:val="00686F2B"/>
    <w:rsid w:val="00686F77"/>
    <w:rsid w:val="006875D6"/>
    <w:rsid w:val="00687628"/>
    <w:rsid w:val="00687642"/>
    <w:rsid w:val="00687A4D"/>
    <w:rsid w:val="00687B81"/>
    <w:rsid w:val="00687CA7"/>
    <w:rsid w:val="00687D70"/>
    <w:rsid w:val="00687EA4"/>
    <w:rsid w:val="00687EBE"/>
    <w:rsid w:val="00687F23"/>
    <w:rsid w:val="006900AB"/>
    <w:rsid w:val="006901AE"/>
    <w:rsid w:val="006901C8"/>
    <w:rsid w:val="0069079D"/>
    <w:rsid w:val="006907A5"/>
    <w:rsid w:val="00690A19"/>
    <w:rsid w:val="00690CE3"/>
    <w:rsid w:val="00690E6C"/>
    <w:rsid w:val="00690EF4"/>
    <w:rsid w:val="0069104C"/>
    <w:rsid w:val="00691059"/>
    <w:rsid w:val="006910CE"/>
    <w:rsid w:val="00691146"/>
    <w:rsid w:val="0069129E"/>
    <w:rsid w:val="0069144D"/>
    <w:rsid w:val="0069145E"/>
    <w:rsid w:val="00691551"/>
    <w:rsid w:val="006917A7"/>
    <w:rsid w:val="00691846"/>
    <w:rsid w:val="00691CF8"/>
    <w:rsid w:val="00691D3A"/>
    <w:rsid w:val="00691DC5"/>
    <w:rsid w:val="006921A2"/>
    <w:rsid w:val="006921FF"/>
    <w:rsid w:val="0069221D"/>
    <w:rsid w:val="0069231D"/>
    <w:rsid w:val="0069234C"/>
    <w:rsid w:val="0069241A"/>
    <w:rsid w:val="00692583"/>
    <w:rsid w:val="006925E9"/>
    <w:rsid w:val="006926AD"/>
    <w:rsid w:val="0069299A"/>
    <w:rsid w:val="00692A32"/>
    <w:rsid w:val="00692C54"/>
    <w:rsid w:val="00693124"/>
    <w:rsid w:val="006931F3"/>
    <w:rsid w:val="0069326D"/>
    <w:rsid w:val="00693456"/>
    <w:rsid w:val="00693A21"/>
    <w:rsid w:val="00693ACD"/>
    <w:rsid w:val="00693C9D"/>
    <w:rsid w:val="00693D08"/>
    <w:rsid w:val="00693DE6"/>
    <w:rsid w:val="00694159"/>
    <w:rsid w:val="00694454"/>
    <w:rsid w:val="006946E2"/>
    <w:rsid w:val="006947C8"/>
    <w:rsid w:val="00694D6F"/>
    <w:rsid w:val="00694E11"/>
    <w:rsid w:val="006950D2"/>
    <w:rsid w:val="006952E4"/>
    <w:rsid w:val="00695529"/>
    <w:rsid w:val="00695558"/>
    <w:rsid w:val="006959B6"/>
    <w:rsid w:val="00695FB7"/>
    <w:rsid w:val="00696036"/>
    <w:rsid w:val="00696114"/>
    <w:rsid w:val="006966B1"/>
    <w:rsid w:val="006967F9"/>
    <w:rsid w:val="00696969"/>
    <w:rsid w:val="00696AF1"/>
    <w:rsid w:val="006970CC"/>
    <w:rsid w:val="006971C3"/>
    <w:rsid w:val="00697751"/>
    <w:rsid w:val="00697C1A"/>
    <w:rsid w:val="00697CD5"/>
    <w:rsid w:val="00697D68"/>
    <w:rsid w:val="00697EF5"/>
    <w:rsid w:val="006A0017"/>
    <w:rsid w:val="006A043D"/>
    <w:rsid w:val="006A04BE"/>
    <w:rsid w:val="006A073C"/>
    <w:rsid w:val="006A079D"/>
    <w:rsid w:val="006A07C6"/>
    <w:rsid w:val="006A0A18"/>
    <w:rsid w:val="006A0AE7"/>
    <w:rsid w:val="006A0FB0"/>
    <w:rsid w:val="006A1057"/>
    <w:rsid w:val="006A1073"/>
    <w:rsid w:val="006A122C"/>
    <w:rsid w:val="006A144F"/>
    <w:rsid w:val="006A157D"/>
    <w:rsid w:val="006A1BE4"/>
    <w:rsid w:val="006A1C1D"/>
    <w:rsid w:val="006A1FFF"/>
    <w:rsid w:val="006A2117"/>
    <w:rsid w:val="006A2159"/>
    <w:rsid w:val="006A22C2"/>
    <w:rsid w:val="006A2437"/>
    <w:rsid w:val="006A249D"/>
    <w:rsid w:val="006A254C"/>
    <w:rsid w:val="006A2721"/>
    <w:rsid w:val="006A281D"/>
    <w:rsid w:val="006A285B"/>
    <w:rsid w:val="006A300D"/>
    <w:rsid w:val="006A31DB"/>
    <w:rsid w:val="006A3615"/>
    <w:rsid w:val="006A3AB0"/>
    <w:rsid w:val="006A3C8F"/>
    <w:rsid w:val="006A3E0F"/>
    <w:rsid w:val="006A3F45"/>
    <w:rsid w:val="006A3F7D"/>
    <w:rsid w:val="006A40C3"/>
    <w:rsid w:val="006A4294"/>
    <w:rsid w:val="006A4443"/>
    <w:rsid w:val="006A454F"/>
    <w:rsid w:val="006A45F2"/>
    <w:rsid w:val="006A4943"/>
    <w:rsid w:val="006A4BBD"/>
    <w:rsid w:val="006A4F38"/>
    <w:rsid w:val="006A521A"/>
    <w:rsid w:val="006A52CB"/>
    <w:rsid w:val="006A5341"/>
    <w:rsid w:val="006A5646"/>
    <w:rsid w:val="006A5734"/>
    <w:rsid w:val="006A57A9"/>
    <w:rsid w:val="006A6388"/>
    <w:rsid w:val="006A6E8F"/>
    <w:rsid w:val="006A707F"/>
    <w:rsid w:val="006A70EA"/>
    <w:rsid w:val="006A737C"/>
    <w:rsid w:val="006A7462"/>
    <w:rsid w:val="006A753B"/>
    <w:rsid w:val="006A7598"/>
    <w:rsid w:val="006A7648"/>
    <w:rsid w:val="006A7A25"/>
    <w:rsid w:val="006A7C86"/>
    <w:rsid w:val="006A7D5E"/>
    <w:rsid w:val="006B036B"/>
    <w:rsid w:val="006B0708"/>
    <w:rsid w:val="006B09DC"/>
    <w:rsid w:val="006B0AED"/>
    <w:rsid w:val="006B0C46"/>
    <w:rsid w:val="006B12D1"/>
    <w:rsid w:val="006B1479"/>
    <w:rsid w:val="006B1584"/>
    <w:rsid w:val="006B1591"/>
    <w:rsid w:val="006B16EA"/>
    <w:rsid w:val="006B1755"/>
    <w:rsid w:val="006B186A"/>
    <w:rsid w:val="006B18BC"/>
    <w:rsid w:val="006B1935"/>
    <w:rsid w:val="006B1A64"/>
    <w:rsid w:val="006B1A7E"/>
    <w:rsid w:val="006B1DAC"/>
    <w:rsid w:val="006B2049"/>
    <w:rsid w:val="006B2209"/>
    <w:rsid w:val="006B2766"/>
    <w:rsid w:val="006B27C3"/>
    <w:rsid w:val="006B292B"/>
    <w:rsid w:val="006B29D6"/>
    <w:rsid w:val="006B29FB"/>
    <w:rsid w:val="006B3091"/>
    <w:rsid w:val="006B3226"/>
    <w:rsid w:val="006B33CC"/>
    <w:rsid w:val="006B3590"/>
    <w:rsid w:val="006B379C"/>
    <w:rsid w:val="006B3847"/>
    <w:rsid w:val="006B38D4"/>
    <w:rsid w:val="006B395C"/>
    <w:rsid w:val="006B3A5C"/>
    <w:rsid w:val="006B3BEB"/>
    <w:rsid w:val="006B3D35"/>
    <w:rsid w:val="006B3E91"/>
    <w:rsid w:val="006B41E4"/>
    <w:rsid w:val="006B4308"/>
    <w:rsid w:val="006B4AB6"/>
    <w:rsid w:val="006B4CA5"/>
    <w:rsid w:val="006B4EC6"/>
    <w:rsid w:val="006B4FCA"/>
    <w:rsid w:val="006B50A6"/>
    <w:rsid w:val="006B52A3"/>
    <w:rsid w:val="006B52C3"/>
    <w:rsid w:val="006B5667"/>
    <w:rsid w:val="006B566C"/>
    <w:rsid w:val="006B56DB"/>
    <w:rsid w:val="006B5D84"/>
    <w:rsid w:val="006B6115"/>
    <w:rsid w:val="006B62EC"/>
    <w:rsid w:val="006B63E9"/>
    <w:rsid w:val="006B644E"/>
    <w:rsid w:val="006B66B1"/>
    <w:rsid w:val="006B66FE"/>
    <w:rsid w:val="006B69A3"/>
    <w:rsid w:val="006B69FA"/>
    <w:rsid w:val="006B70DA"/>
    <w:rsid w:val="006B710A"/>
    <w:rsid w:val="006B74FF"/>
    <w:rsid w:val="006B754E"/>
    <w:rsid w:val="006B772D"/>
    <w:rsid w:val="006B77C9"/>
    <w:rsid w:val="006B7995"/>
    <w:rsid w:val="006B7D5D"/>
    <w:rsid w:val="006B7E6B"/>
    <w:rsid w:val="006B7F21"/>
    <w:rsid w:val="006C00C0"/>
    <w:rsid w:val="006C05EF"/>
    <w:rsid w:val="006C0784"/>
    <w:rsid w:val="006C0A9F"/>
    <w:rsid w:val="006C0CC6"/>
    <w:rsid w:val="006C0DE0"/>
    <w:rsid w:val="006C0E80"/>
    <w:rsid w:val="006C0EBB"/>
    <w:rsid w:val="006C0FE6"/>
    <w:rsid w:val="006C1058"/>
    <w:rsid w:val="006C1620"/>
    <w:rsid w:val="006C16D6"/>
    <w:rsid w:val="006C18AE"/>
    <w:rsid w:val="006C1C03"/>
    <w:rsid w:val="006C1F03"/>
    <w:rsid w:val="006C2022"/>
    <w:rsid w:val="006C2300"/>
    <w:rsid w:val="006C231F"/>
    <w:rsid w:val="006C266B"/>
    <w:rsid w:val="006C26EC"/>
    <w:rsid w:val="006C2AFE"/>
    <w:rsid w:val="006C334E"/>
    <w:rsid w:val="006C34FD"/>
    <w:rsid w:val="006C35DC"/>
    <w:rsid w:val="006C3798"/>
    <w:rsid w:val="006C3937"/>
    <w:rsid w:val="006C3ACC"/>
    <w:rsid w:val="006C3F2D"/>
    <w:rsid w:val="006C40CF"/>
    <w:rsid w:val="006C4272"/>
    <w:rsid w:val="006C44A9"/>
    <w:rsid w:val="006C44FF"/>
    <w:rsid w:val="006C4633"/>
    <w:rsid w:val="006C47E3"/>
    <w:rsid w:val="006C4D8F"/>
    <w:rsid w:val="006C5016"/>
    <w:rsid w:val="006C5274"/>
    <w:rsid w:val="006C54B4"/>
    <w:rsid w:val="006C562B"/>
    <w:rsid w:val="006C570A"/>
    <w:rsid w:val="006C5A26"/>
    <w:rsid w:val="006C5FBB"/>
    <w:rsid w:val="006C61FD"/>
    <w:rsid w:val="006C646C"/>
    <w:rsid w:val="006C6563"/>
    <w:rsid w:val="006C6571"/>
    <w:rsid w:val="006C681C"/>
    <w:rsid w:val="006C682D"/>
    <w:rsid w:val="006C68FE"/>
    <w:rsid w:val="006C6D6D"/>
    <w:rsid w:val="006C7015"/>
    <w:rsid w:val="006C7086"/>
    <w:rsid w:val="006C7176"/>
    <w:rsid w:val="006C7450"/>
    <w:rsid w:val="006C7455"/>
    <w:rsid w:val="006C746C"/>
    <w:rsid w:val="006C79BA"/>
    <w:rsid w:val="006C7AC9"/>
    <w:rsid w:val="006C7B42"/>
    <w:rsid w:val="006C7B8A"/>
    <w:rsid w:val="006C7C27"/>
    <w:rsid w:val="006C7C54"/>
    <w:rsid w:val="006C7F0B"/>
    <w:rsid w:val="006D007E"/>
    <w:rsid w:val="006D0186"/>
    <w:rsid w:val="006D03C5"/>
    <w:rsid w:val="006D048A"/>
    <w:rsid w:val="006D0912"/>
    <w:rsid w:val="006D092D"/>
    <w:rsid w:val="006D0A36"/>
    <w:rsid w:val="006D0A45"/>
    <w:rsid w:val="006D0AD2"/>
    <w:rsid w:val="006D0BBD"/>
    <w:rsid w:val="006D0C5C"/>
    <w:rsid w:val="006D0C80"/>
    <w:rsid w:val="006D1289"/>
    <w:rsid w:val="006D14FC"/>
    <w:rsid w:val="006D18A5"/>
    <w:rsid w:val="006D1CF1"/>
    <w:rsid w:val="006D2039"/>
    <w:rsid w:val="006D220E"/>
    <w:rsid w:val="006D2221"/>
    <w:rsid w:val="006D225E"/>
    <w:rsid w:val="006D22BD"/>
    <w:rsid w:val="006D242F"/>
    <w:rsid w:val="006D2636"/>
    <w:rsid w:val="006D277C"/>
    <w:rsid w:val="006D2847"/>
    <w:rsid w:val="006D292F"/>
    <w:rsid w:val="006D2939"/>
    <w:rsid w:val="006D2A99"/>
    <w:rsid w:val="006D2BB3"/>
    <w:rsid w:val="006D2D8C"/>
    <w:rsid w:val="006D31C8"/>
    <w:rsid w:val="006D33FE"/>
    <w:rsid w:val="006D340D"/>
    <w:rsid w:val="006D3453"/>
    <w:rsid w:val="006D3871"/>
    <w:rsid w:val="006D39C6"/>
    <w:rsid w:val="006D3A76"/>
    <w:rsid w:val="006D3AB4"/>
    <w:rsid w:val="006D3ACA"/>
    <w:rsid w:val="006D3B55"/>
    <w:rsid w:val="006D3B97"/>
    <w:rsid w:val="006D3E28"/>
    <w:rsid w:val="006D3EA3"/>
    <w:rsid w:val="006D4125"/>
    <w:rsid w:val="006D4401"/>
    <w:rsid w:val="006D451C"/>
    <w:rsid w:val="006D4807"/>
    <w:rsid w:val="006D4A36"/>
    <w:rsid w:val="006D4B9C"/>
    <w:rsid w:val="006D5104"/>
    <w:rsid w:val="006D5430"/>
    <w:rsid w:val="006D54DB"/>
    <w:rsid w:val="006D55F5"/>
    <w:rsid w:val="006D59D7"/>
    <w:rsid w:val="006D5A6C"/>
    <w:rsid w:val="006D6AFB"/>
    <w:rsid w:val="006D6CDE"/>
    <w:rsid w:val="006D6D04"/>
    <w:rsid w:val="006D6F45"/>
    <w:rsid w:val="006D7663"/>
    <w:rsid w:val="006D7B21"/>
    <w:rsid w:val="006D7C6F"/>
    <w:rsid w:val="006D7E3B"/>
    <w:rsid w:val="006D7EEE"/>
    <w:rsid w:val="006E02D1"/>
    <w:rsid w:val="006E0323"/>
    <w:rsid w:val="006E0384"/>
    <w:rsid w:val="006E03A0"/>
    <w:rsid w:val="006E043E"/>
    <w:rsid w:val="006E0609"/>
    <w:rsid w:val="006E0785"/>
    <w:rsid w:val="006E0B7C"/>
    <w:rsid w:val="006E0BF3"/>
    <w:rsid w:val="006E0F9E"/>
    <w:rsid w:val="006E107A"/>
    <w:rsid w:val="006E114F"/>
    <w:rsid w:val="006E123A"/>
    <w:rsid w:val="006E12A5"/>
    <w:rsid w:val="006E15C3"/>
    <w:rsid w:val="006E1938"/>
    <w:rsid w:val="006E1BCF"/>
    <w:rsid w:val="006E1C0F"/>
    <w:rsid w:val="006E1F8C"/>
    <w:rsid w:val="006E2075"/>
    <w:rsid w:val="006E216C"/>
    <w:rsid w:val="006E22D0"/>
    <w:rsid w:val="006E23F2"/>
    <w:rsid w:val="006E24B2"/>
    <w:rsid w:val="006E26C2"/>
    <w:rsid w:val="006E29E8"/>
    <w:rsid w:val="006E2F33"/>
    <w:rsid w:val="006E2FF0"/>
    <w:rsid w:val="006E3122"/>
    <w:rsid w:val="006E3549"/>
    <w:rsid w:val="006E35FD"/>
    <w:rsid w:val="006E3661"/>
    <w:rsid w:val="006E387B"/>
    <w:rsid w:val="006E3980"/>
    <w:rsid w:val="006E3A44"/>
    <w:rsid w:val="006E3BCE"/>
    <w:rsid w:val="006E3CFF"/>
    <w:rsid w:val="006E3DF5"/>
    <w:rsid w:val="006E3F15"/>
    <w:rsid w:val="006E453A"/>
    <w:rsid w:val="006E48AB"/>
    <w:rsid w:val="006E49C8"/>
    <w:rsid w:val="006E49FD"/>
    <w:rsid w:val="006E4B61"/>
    <w:rsid w:val="006E4CC9"/>
    <w:rsid w:val="006E4D0E"/>
    <w:rsid w:val="006E4D2A"/>
    <w:rsid w:val="006E53E9"/>
    <w:rsid w:val="006E54C0"/>
    <w:rsid w:val="006E5982"/>
    <w:rsid w:val="006E5BD0"/>
    <w:rsid w:val="006E5BF0"/>
    <w:rsid w:val="006E5F00"/>
    <w:rsid w:val="006E653E"/>
    <w:rsid w:val="006E6774"/>
    <w:rsid w:val="006E6B04"/>
    <w:rsid w:val="006E6BC6"/>
    <w:rsid w:val="006E716C"/>
    <w:rsid w:val="006E7449"/>
    <w:rsid w:val="006E75C7"/>
    <w:rsid w:val="006E767A"/>
    <w:rsid w:val="006E78DC"/>
    <w:rsid w:val="006E794A"/>
    <w:rsid w:val="006E7ACB"/>
    <w:rsid w:val="006E7C91"/>
    <w:rsid w:val="006F00DE"/>
    <w:rsid w:val="006F03AB"/>
    <w:rsid w:val="006F055B"/>
    <w:rsid w:val="006F0653"/>
    <w:rsid w:val="006F0713"/>
    <w:rsid w:val="006F0821"/>
    <w:rsid w:val="006F0BFD"/>
    <w:rsid w:val="006F0C18"/>
    <w:rsid w:val="006F0D1B"/>
    <w:rsid w:val="006F0D3A"/>
    <w:rsid w:val="006F0E78"/>
    <w:rsid w:val="006F0FA3"/>
    <w:rsid w:val="006F1277"/>
    <w:rsid w:val="006F1965"/>
    <w:rsid w:val="006F1E5E"/>
    <w:rsid w:val="006F208C"/>
    <w:rsid w:val="006F25A7"/>
    <w:rsid w:val="006F2657"/>
    <w:rsid w:val="006F2928"/>
    <w:rsid w:val="006F2AB0"/>
    <w:rsid w:val="006F2BC0"/>
    <w:rsid w:val="006F2C15"/>
    <w:rsid w:val="006F2F20"/>
    <w:rsid w:val="006F2F7C"/>
    <w:rsid w:val="006F2FB4"/>
    <w:rsid w:val="006F3373"/>
    <w:rsid w:val="006F34E1"/>
    <w:rsid w:val="006F36AD"/>
    <w:rsid w:val="006F3704"/>
    <w:rsid w:val="006F38A6"/>
    <w:rsid w:val="006F3A83"/>
    <w:rsid w:val="006F3F39"/>
    <w:rsid w:val="006F40C1"/>
    <w:rsid w:val="006F41AF"/>
    <w:rsid w:val="006F4451"/>
    <w:rsid w:val="006F4605"/>
    <w:rsid w:val="006F4610"/>
    <w:rsid w:val="006F47F3"/>
    <w:rsid w:val="006F490B"/>
    <w:rsid w:val="006F4B57"/>
    <w:rsid w:val="006F4C6C"/>
    <w:rsid w:val="006F4D27"/>
    <w:rsid w:val="006F5065"/>
    <w:rsid w:val="006F51F7"/>
    <w:rsid w:val="006F5448"/>
    <w:rsid w:val="006F5494"/>
    <w:rsid w:val="006F54B9"/>
    <w:rsid w:val="006F54BB"/>
    <w:rsid w:val="006F54F4"/>
    <w:rsid w:val="006F55AB"/>
    <w:rsid w:val="006F58C1"/>
    <w:rsid w:val="006F5A24"/>
    <w:rsid w:val="006F5ACD"/>
    <w:rsid w:val="006F5CBA"/>
    <w:rsid w:val="006F5F30"/>
    <w:rsid w:val="006F6074"/>
    <w:rsid w:val="006F614B"/>
    <w:rsid w:val="006F6322"/>
    <w:rsid w:val="006F6629"/>
    <w:rsid w:val="006F67F8"/>
    <w:rsid w:val="006F6910"/>
    <w:rsid w:val="006F6B01"/>
    <w:rsid w:val="006F6B52"/>
    <w:rsid w:val="006F6F22"/>
    <w:rsid w:val="006F6FDC"/>
    <w:rsid w:val="006F70EA"/>
    <w:rsid w:val="006F7384"/>
    <w:rsid w:val="006F7991"/>
    <w:rsid w:val="006F7B3B"/>
    <w:rsid w:val="006F7B5C"/>
    <w:rsid w:val="006F7D7F"/>
    <w:rsid w:val="006F7D92"/>
    <w:rsid w:val="006F7DE7"/>
    <w:rsid w:val="006F7F2A"/>
    <w:rsid w:val="00700059"/>
    <w:rsid w:val="007000E0"/>
    <w:rsid w:val="00700175"/>
    <w:rsid w:val="0070063E"/>
    <w:rsid w:val="00700C35"/>
    <w:rsid w:val="00700D55"/>
    <w:rsid w:val="00700DE9"/>
    <w:rsid w:val="0070107E"/>
    <w:rsid w:val="00701186"/>
    <w:rsid w:val="007011D4"/>
    <w:rsid w:val="00701352"/>
    <w:rsid w:val="007013F1"/>
    <w:rsid w:val="007017DF"/>
    <w:rsid w:val="0070194F"/>
    <w:rsid w:val="007019A3"/>
    <w:rsid w:val="00701C53"/>
    <w:rsid w:val="00701DA7"/>
    <w:rsid w:val="00701DB0"/>
    <w:rsid w:val="00701E25"/>
    <w:rsid w:val="00702030"/>
    <w:rsid w:val="00702236"/>
    <w:rsid w:val="0070270A"/>
    <w:rsid w:val="00702B0C"/>
    <w:rsid w:val="00702CC3"/>
    <w:rsid w:val="00702D01"/>
    <w:rsid w:val="00702D8D"/>
    <w:rsid w:val="00702DC3"/>
    <w:rsid w:val="00702FC4"/>
    <w:rsid w:val="00703262"/>
    <w:rsid w:val="007033FD"/>
    <w:rsid w:val="007037A6"/>
    <w:rsid w:val="00703877"/>
    <w:rsid w:val="00703967"/>
    <w:rsid w:val="007039AE"/>
    <w:rsid w:val="00703A58"/>
    <w:rsid w:val="0070417F"/>
    <w:rsid w:val="0070427E"/>
    <w:rsid w:val="00704358"/>
    <w:rsid w:val="0070474D"/>
    <w:rsid w:val="00704840"/>
    <w:rsid w:val="0070485D"/>
    <w:rsid w:val="00704BEB"/>
    <w:rsid w:val="00704BEF"/>
    <w:rsid w:val="00704D80"/>
    <w:rsid w:val="00704E97"/>
    <w:rsid w:val="00705260"/>
    <w:rsid w:val="007053EB"/>
    <w:rsid w:val="0070547E"/>
    <w:rsid w:val="00705785"/>
    <w:rsid w:val="00705968"/>
    <w:rsid w:val="0070598B"/>
    <w:rsid w:val="007059DE"/>
    <w:rsid w:val="00705A6D"/>
    <w:rsid w:val="00705E6B"/>
    <w:rsid w:val="00706136"/>
    <w:rsid w:val="0070646E"/>
    <w:rsid w:val="0070669C"/>
    <w:rsid w:val="0070686A"/>
    <w:rsid w:val="007068E0"/>
    <w:rsid w:val="00706A7D"/>
    <w:rsid w:val="00706C26"/>
    <w:rsid w:val="00706DAE"/>
    <w:rsid w:val="00706FF0"/>
    <w:rsid w:val="007070EF"/>
    <w:rsid w:val="0070721B"/>
    <w:rsid w:val="00707276"/>
    <w:rsid w:val="007074F7"/>
    <w:rsid w:val="00707895"/>
    <w:rsid w:val="00707999"/>
    <w:rsid w:val="00707D69"/>
    <w:rsid w:val="00707F70"/>
    <w:rsid w:val="007100E1"/>
    <w:rsid w:val="00710151"/>
    <w:rsid w:val="007103DF"/>
    <w:rsid w:val="00710750"/>
    <w:rsid w:val="007109A6"/>
    <w:rsid w:val="00710A04"/>
    <w:rsid w:val="00710A9D"/>
    <w:rsid w:val="00710B05"/>
    <w:rsid w:val="00710BE6"/>
    <w:rsid w:val="00710E2A"/>
    <w:rsid w:val="00710EC1"/>
    <w:rsid w:val="00710F09"/>
    <w:rsid w:val="007110DA"/>
    <w:rsid w:val="00711576"/>
    <w:rsid w:val="00711FE9"/>
    <w:rsid w:val="0071229D"/>
    <w:rsid w:val="00712377"/>
    <w:rsid w:val="0071258C"/>
    <w:rsid w:val="007125A0"/>
    <w:rsid w:val="00712807"/>
    <w:rsid w:val="00712828"/>
    <w:rsid w:val="007128F3"/>
    <w:rsid w:val="00712908"/>
    <w:rsid w:val="00712A25"/>
    <w:rsid w:val="00712BB0"/>
    <w:rsid w:val="00712F49"/>
    <w:rsid w:val="00712F54"/>
    <w:rsid w:val="007131ED"/>
    <w:rsid w:val="00713311"/>
    <w:rsid w:val="007134D2"/>
    <w:rsid w:val="00713593"/>
    <w:rsid w:val="007136E2"/>
    <w:rsid w:val="00713797"/>
    <w:rsid w:val="00713E00"/>
    <w:rsid w:val="00713E6D"/>
    <w:rsid w:val="00714087"/>
    <w:rsid w:val="00714223"/>
    <w:rsid w:val="00714999"/>
    <w:rsid w:val="00714FB4"/>
    <w:rsid w:val="00715054"/>
    <w:rsid w:val="00715194"/>
    <w:rsid w:val="00715256"/>
    <w:rsid w:val="007153D0"/>
    <w:rsid w:val="00715785"/>
    <w:rsid w:val="00715928"/>
    <w:rsid w:val="00715CF0"/>
    <w:rsid w:val="00715E5C"/>
    <w:rsid w:val="00716246"/>
    <w:rsid w:val="007162D2"/>
    <w:rsid w:val="007162E2"/>
    <w:rsid w:val="0071662C"/>
    <w:rsid w:val="007166C3"/>
    <w:rsid w:val="00716C21"/>
    <w:rsid w:val="00716C90"/>
    <w:rsid w:val="00716F56"/>
    <w:rsid w:val="00716F9D"/>
    <w:rsid w:val="0071707E"/>
    <w:rsid w:val="007170C4"/>
    <w:rsid w:val="00717686"/>
    <w:rsid w:val="007177F5"/>
    <w:rsid w:val="0071793F"/>
    <w:rsid w:val="00717A82"/>
    <w:rsid w:val="00717BAE"/>
    <w:rsid w:val="00717D2B"/>
    <w:rsid w:val="00717D83"/>
    <w:rsid w:val="00717F78"/>
    <w:rsid w:val="00717FA1"/>
    <w:rsid w:val="0072014B"/>
    <w:rsid w:val="00720495"/>
    <w:rsid w:val="007204DA"/>
    <w:rsid w:val="00720626"/>
    <w:rsid w:val="0072065D"/>
    <w:rsid w:val="0072089B"/>
    <w:rsid w:val="0072095C"/>
    <w:rsid w:val="00720BC3"/>
    <w:rsid w:val="00720C71"/>
    <w:rsid w:val="00720CFD"/>
    <w:rsid w:val="00720DE1"/>
    <w:rsid w:val="00720E35"/>
    <w:rsid w:val="00720F2C"/>
    <w:rsid w:val="00721005"/>
    <w:rsid w:val="00721391"/>
    <w:rsid w:val="00721583"/>
    <w:rsid w:val="00721590"/>
    <w:rsid w:val="00721775"/>
    <w:rsid w:val="00721938"/>
    <w:rsid w:val="0072195B"/>
    <w:rsid w:val="00721A3B"/>
    <w:rsid w:val="00721B11"/>
    <w:rsid w:val="00721C7E"/>
    <w:rsid w:val="00721D36"/>
    <w:rsid w:val="00721E10"/>
    <w:rsid w:val="00721E6E"/>
    <w:rsid w:val="00721E6F"/>
    <w:rsid w:val="00721F05"/>
    <w:rsid w:val="00722056"/>
    <w:rsid w:val="007222A9"/>
    <w:rsid w:val="00722911"/>
    <w:rsid w:val="007229F1"/>
    <w:rsid w:val="00722C2F"/>
    <w:rsid w:val="00722E17"/>
    <w:rsid w:val="00722E4E"/>
    <w:rsid w:val="00722F6B"/>
    <w:rsid w:val="0072311F"/>
    <w:rsid w:val="0072318E"/>
    <w:rsid w:val="00723199"/>
    <w:rsid w:val="00723356"/>
    <w:rsid w:val="00723590"/>
    <w:rsid w:val="0072374D"/>
    <w:rsid w:val="00723974"/>
    <w:rsid w:val="007239CF"/>
    <w:rsid w:val="00723AD6"/>
    <w:rsid w:val="00723CC4"/>
    <w:rsid w:val="00723CE5"/>
    <w:rsid w:val="00723DF6"/>
    <w:rsid w:val="00723ED6"/>
    <w:rsid w:val="00723EE6"/>
    <w:rsid w:val="0072413D"/>
    <w:rsid w:val="00724232"/>
    <w:rsid w:val="00724275"/>
    <w:rsid w:val="007245E0"/>
    <w:rsid w:val="00724997"/>
    <w:rsid w:val="00724B49"/>
    <w:rsid w:val="00724E4D"/>
    <w:rsid w:val="0072526E"/>
    <w:rsid w:val="007252C8"/>
    <w:rsid w:val="0072591F"/>
    <w:rsid w:val="007260E5"/>
    <w:rsid w:val="007262CC"/>
    <w:rsid w:val="007263EE"/>
    <w:rsid w:val="007265AE"/>
    <w:rsid w:val="00726752"/>
    <w:rsid w:val="00726871"/>
    <w:rsid w:val="00726AB4"/>
    <w:rsid w:val="00726F67"/>
    <w:rsid w:val="00727163"/>
    <w:rsid w:val="007272A4"/>
    <w:rsid w:val="007275EC"/>
    <w:rsid w:val="007277F3"/>
    <w:rsid w:val="007278CA"/>
    <w:rsid w:val="007279A0"/>
    <w:rsid w:val="00727C5F"/>
    <w:rsid w:val="00727CE9"/>
    <w:rsid w:val="00727CF2"/>
    <w:rsid w:val="0073008B"/>
    <w:rsid w:val="007303B6"/>
    <w:rsid w:val="007303FF"/>
    <w:rsid w:val="00730576"/>
    <w:rsid w:val="007306FD"/>
    <w:rsid w:val="007307D3"/>
    <w:rsid w:val="00730D49"/>
    <w:rsid w:val="00730D8A"/>
    <w:rsid w:val="00730F05"/>
    <w:rsid w:val="00731040"/>
    <w:rsid w:val="00731066"/>
    <w:rsid w:val="007316FF"/>
    <w:rsid w:val="00731B4F"/>
    <w:rsid w:val="00731DAC"/>
    <w:rsid w:val="00731F40"/>
    <w:rsid w:val="007321CA"/>
    <w:rsid w:val="00732322"/>
    <w:rsid w:val="007324DC"/>
    <w:rsid w:val="00732618"/>
    <w:rsid w:val="00732834"/>
    <w:rsid w:val="00732944"/>
    <w:rsid w:val="00732D10"/>
    <w:rsid w:val="00732DF9"/>
    <w:rsid w:val="00732F28"/>
    <w:rsid w:val="00732FF1"/>
    <w:rsid w:val="00733012"/>
    <w:rsid w:val="007331D3"/>
    <w:rsid w:val="007331EB"/>
    <w:rsid w:val="00733399"/>
    <w:rsid w:val="007336C1"/>
    <w:rsid w:val="007336F9"/>
    <w:rsid w:val="00733A58"/>
    <w:rsid w:val="00733D87"/>
    <w:rsid w:val="007340F3"/>
    <w:rsid w:val="00734102"/>
    <w:rsid w:val="0073459A"/>
    <w:rsid w:val="00734C1B"/>
    <w:rsid w:val="00735105"/>
    <w:rsid w:val="00735237"/>
    <w:rsid w:val="007352D7"/>
    <w:rsid w:val="00735400"/>
    <w:rsid w:val="0073555C"/>
    <w:rsid w:val="007355D9"/>
    <w:rsid w:val="007358A3"/>
    <w:rsid w:val="00735D68"/>
    <w:rsid w:val="00735D92"/>
    <w:rsid w:val="00735FCE"/>
    <w:rsid w:val="0073608D"/>
    <w:rsid w:val="00736300"/>
    <w:rsid w:val="00736379"/>
    <w:rsid w:val="0073639B"/>
    <w:rsid w:val="00736508"/>
    <w:rsid w:val="0073655A"/>
    <w:rsid w:val="007369A6"/>
    <w:rsid w:val="00736A11"/>
    <w:rsid w:val="00736CD3"/>
    <w:rsid w:val="00736E75"/>
    <w:rsid w:val="00736E80"/>
    <w:rsid w:val="00736FB6"/>
    <w:rsid w:val="0073740B"/>
    <w:rsid w:val="00737581"/>
    <w:rsid w:val="00737D9E"/>
    <w:rsid w:val="00737F30"/>
    <w:rsid w:val="00740169"/>
    <w:rsid w:val="0074046F"/>
    <w:rsid w:val="00740645"/>
    <w:rsid w:val="007406FD"/>
    <w:rsid w:val="00740713"/>
    <w:rsid w:val="007408D5"/>
    <w:rsid w:val="00740939"/>
    <w:rsid w:val="007409B8"/>
    <w:rsid w:val="00740B2B"/>
    <w:rsid w:val="00740D2F"/>
    <w:rsid w:val="00741544"/>
    <w:rsid w:val="00741870"/>
    <w:rsid w:val="00741A4F"/>
    <w:rsid w:val="00741F5D"/>
    <w:rsid w:val="00741FFB"/>
    <w:rsid w:val="0074246F"/>
    <w:rsid w:val="0074252C"/>
    <w:rsid w:val="007425F0"/>
    <w:rsid w:val="00742A1C"/>
    <w:rsid w:val="00742A2C"/>
    <w:rsid w:val="00742E7D"/>
    <w:rsid w:val="00742F64"/>
    <w:rsid w:val="00743016"/>
    <w:rsid w:val="007430A8"/>
    <w:rsid w:val="00743271"/>
    <w:rsid w:val="00743279"/>
    <w:rsid w:val="00743388"/>
    <w:rsid w:val="007433CE"/>
    <w:rsid w:val="0074347C"/>
    <w:rsid w:val="00743994"/>
    <w:rsid w:val="007439ED"/>
    <w:rsid w:val="00743A4B"/>
    <w:rsid w:val="00743FA0"/>
    <w:rsid w:val="0074425F"/>
    <w:rsid w:val="00744486"/>
    <w:rsid w:val="00744632"/>
    <w:rsid w:val="0074464B"/>
    <w:rsid w:val="0074473D"/>
    <w:rsid w:val="00744C92"/>
    <w:rsid w:val="007452BB"/>
    <w:rsid w:val="0074560F"/>
    <w:rsid w:val="007456C7"/>
    <w:rsid w:val="007457C1"/>
    <w:rsid w:val="00745928"/>
    <w:rsid w:val="007459B4"/>
    <w:rsid w:val="00745B7C"/>
    <w:rsid w:val="00745C2D"/>
    <w:rsid w:val="00745C92"/>
    <w:rsid w:val="00745F5A"/>
    <w:rsid w:val="00745F70"/>
    <w:rsid w:val="007463A6"/>
    <w:rsid w:val="0074672E"/>
    <w:rsid w:val="00746ADF"/>
    <w:rsid w:val="00746F0B"/>
    <w:rsid w:val="00746F32"/>
    <w:rsid w:val="00746FB2"/>
    <w:rsid w:val="00746FBD"/>
    <w:rsid w:val="00747286"/>
    <w:rsid w:val="00747684"/>
    <w:rsid w:val="00747757"/>
    <w:rsid w:val="00747858"/>
    <w:rsid w:val="00747AF3"/>
    <w:rsid w:val="00747AF6"/>
    <w:rsid w:val="00747BC7"/>
    <w:rsid w:val="00747D52"/>
    <w:rsid w:val="00750599"/>
    <w:rsid w:val="00750689"/>
    <w:rsid w:val="007506E4"/>
    <w:rsid w:val="0075089E"/>
    <w:rsid w:val="0075097E"/>
    <w:rsid w:val="00750EA4"/>
    <w:rsid w:val="00751109"/>
    <w:rsid w:val="00751270"/>
    <w:rsid w:val="007516C2"/>
    <w:rsid w:val="007516E6"/>
    <w:rsid w:val="00751A5F"/>
    <w:rsid w:val="00751B6B"/>
    <w:rsid w:val="00751B81"/>
    <w:rsid w:val="00751BD9"/>
    <w:rsid w:val="00751C49"/>
    <w:rsid w:val="00751FA0"/>
    <w:rsid w:val="00752258"/>
    <w:rsid w:val="007524A8"/>
    <w:rsid w:val="007525E3"/>
    <w:rsid w:val="007526C8"/>
    <w:rsid w:val="0075296B"/>
    <w:rsid w:val="00752C15"/>
    <w:rsid w:val="00752C21"/>
    <w:rsid w:val="00752D2F"/>
    <w:rsid w:val="007530D0"/>
    <w:rsid w:val="007533DD"/>
    <w:rsid w:val="007534F0"/>
    <w:rsid w:val="00753A1F"/>
    <w:rsid w:val="00753E29"/>
    <w:rsid w:val="00753E30"/>
    <w:rsid w:val="00753F26"/>
    <w:rsid w:val="00753FA2"/>
    <w:rsid w:val="00754365"/>
    <w:rsid w:val="00754384"/>
    <w:rsid w:val="0075451F"/>
    <w:rsid w:val="007545AE"/>
    <w:rsid w:val="0075471E"/>
    <w:rsid w:val="007549D3"/>
    <w:rsid w:val="00754C3B"/>
    <w:rsid w:val="00754D4E"/>
    <w:rsid w:val="00754DA1"/>
    <w:rsid w:val="007550EC"/>
    <w:rsid w:val="007554D4"/>
    <w:rsid w:val="00755649"/>
    <w:rsid w:val="00755817"/>
    <w:rsid w:val="00755874"/>
    <w:rsid w:val="00755B92"/>
    <w:rsid w:val="00755F31"/>
    <w:rsid w:val="00755FE1"/>
    <w:rsid w:val="007561EB"/>
    <w:rsid w:val="00756308"/>
    <w:rsid w:val="0075652F"/>
    <w:rsid w:val="00756622"/>
    <w:rsid w:val="0075670B"/>
    <w:rsid w:val="00756725"/>
    <w:rsid w:val="00756814"/>
    <w:rsid w:val="0075687E"/>
    <w:rsid w:val="00756E77"/>
    <w:rsid w:val="0075700C"/>
    <w:rsid w:val="007572F6"/>
    <w:rsid w:val="0075737B"/>
    <w:rsid w:val="007573ED"/>
    <w:rsid w:val="00757593"/>
    <w:rsid w:val="00757692"/>
    <w:rsid w:val="007577C2"/>
    <w:rsid w:val="00757D4A"/>
    <w:rsid w:val="00757DA7"/>
    <w:rsid w:val="00757F6B"/>
    <w:rsid w:val="00760186"/>
    <w:rsid w:val="00760258"/>
    <w:rsid w:val="00760287"/>
    <w:rsid w:val="00760475"/>
    <w:rsid w:val="007605D7"/>
    <w:rsid w:val="00760659"/>
    <w:rsid w:val="007606A4"/>
    <w:rsid w:val="007606BB"/>
    <w:rsid w:val="00760762"/>
    <w:rsid w:val="00760990"/>
    <w:rsid w:val="007609ED"/>
    <w:rsid w:val="00760B5E"/>
    <w:rsid w:val="0076140E"/>
    <w:rsid w:val="00761764"/>
    <w:rsid w:val="007618A2"/>
    <w:rsid w:val="00761909"/>
    <w:rsid w:val="007619EC"/>
    <w:rsid w:val="00762376"/>
    <w:rsid w:val="007623DD"/>
    <w:rsid w:val="0076248F"/>
    <w:rsid w:val="007626E5"/>
    <w:rsid w:val="00762DBA"/>
    <w:rsid w:val="00762F82"/>
    <w:rsid w:val="007633DE"/>
    <w:rsid w:val="0076344A"/>
    <w:rsid w:val="00763B39"/>
    <w:rsid w:val="00763B60"/>
    <w:rsid w:val="00763BCA"/>
    <w:rsid w:val="00763F49"/>
    <w:rsid w:val="00763F65"/>
    <w:rsid w:val="00764093"/>
    <w:rsid w:val="007640E2"/>
    <w:rsid w:val="00764526"/>
    <w:rsid w:val="0076453A"/>
    <w:rsid w:val="007646A2"/>
    <w:rsid w:val="00764830"/>
    <w:rsid w:val="0076491E"/>
    <w:rsid w:val="00764B32"/>
    <w:rsid w:val="0076536D"/>
    <w:rsid w:val="0076539B"/>
    <w:rsid w:val="007653D9"/>
    <w:rsid w:val="00765549"/>
    <w:rsid w:val="00765578"/>
    <w:rsid w:val="00765718"/>
    <w:rsid w:val="00765C0F"/>
    <w:rsid w:val="00765CEA"/>
    <w:rsid w:val="00765E05"/>
    <w:rsid w:val="00765E51"/>
    <w:rsid w:val="00765E85"/>
    <w:rsid w:val="00765EFD"/>
    <w:rsid w:val="00765F34"/>
    <w:rsid w:val="00766095"/>
    <w:rsid w:val="007663E9"/>
    <w:rsid w:val="0076661E"/>
    <w:rsid w:val="0076685F"/>
    <w:rsid w:val="00766D85"/>
    <w:rsid w:val="00766D87"/>
    <w:rsid w:val="00766FDB"/>
    <w:rsid w:val="007671B0"/>
    <w:rsid w:val="00767548"/>
    <w:rsid w:val="0076783C"/>
    <w:rsid w:val="00767C28"/>
    <w:rsid w:val="00767C91"/>
    <w:rsid w:val="00770244"/>
    <w:rsid w:val="00770656"/>
    <w:rsid w:val="0077067D"/>
    <w:rsid w:val="007708D4"/>
    <w:rsid w:val="007709CC"/>
    <w:rsid w:val="00770AEB"/>
    <w:rsid w:val="00770B30"/>
    <w:rsid w:val="00770BB1"/>
    <w:rsid w:val="00770BC0"/>
    <w:rsid w:val="00770F7A"/>
    <w:rsid w:val="007712C1"/>
    <w:rsid w:val="007713CF"/>
    <w:rsid w:val="0077142A"/>
    <w:rsid w:val="007715A0"/>
    <w:rsid w:val="007715D7"/>
    <w:rsid w:val="0077178F"/>
    <w:rsid w:val="00771B6C"/>
    <w:rsid w:val="00771F02"/>
    <w:rsid w:val="00772064"/>
    <w:rsid w:val="00772092"/>
    <w:rsid w:val="00772210"/>
    <w:rsid w:val="0077225D"/>
    <w:rsid w:val="007722CD"/>
    <w:rsid w:val="00772305"/>
    <w:rsid w:val="007727D6"/>
    <w:rsid w:val="007729E2"/>
    <w:rsid w:val="00772C55"/>
    <w:rsid w:val="00772DD8"/>
    <w:rsid w:val="00772FA1"/>
    <w:rsid w:val="007730D0"/>
    <w:rsid w:val="0077319B"/>
    <w:rsid w:val="0077375E"/>
    <w:rsid w:val="0077378E"/>
    <w:rsid w:val="00773F6F"/>
    <w:rsid w:val="00774020"/>
    <w:rsid w:val="007742F3"/>
    <w:rsid w:val="00774349"/>
    <w:rsid w:val="00774541"/>
    <w:rsid w:val="00774C44"/>
    <w:rsid w:val="00774EF2"/>
    <w:rsid w:val="007753A3"/>
    <w:rsid w:val="007754DC"/>
    <w:rsid w:val="007756B3"/>
    <w:rsid w:val="007756FD"/>
    <w:rsid w:val="00775929"/>
    <w:rsid w:val="00775A47"/>
    <w:rsid w:val="00775EA4"/>
    <w:rsid w:val="00775FBB"/>
    <w:rsid w:val="00776047"/>
    <w:rsid w:val="007761C9"/>
    <w:rsid w:val="0077638A"/>
    <w:rsid w:val="00776529"/>
    <w:rsid w:val="00776C4B"/>
    <w:rsid w:val="00777270"/>
    <w:rsid w:val="0077748C"/>
    <w:rsid w:val="007775A9"/>
    <w:rsid w:val="007778A1"/>
    <w:rsid w:val="00777AC7"/>
    <w:rsid w:val="00777E98"/>
    <w:rsid w:val="0078031C"/>
    <w:rsid w:val="007803A2"/>
    <w:rsid w:val="0078088B"/>
    <w:rsid w:val="00780A6D"/>
    <w:rsid w:val="00780B53"/>
    <w:rsid w:val="00780B88"/>
    <w:rsid w:val="00780FEB"/>
    <w:rsid w:val="007813C7"/>
    <w:rsid w:val="0078145F"/>
    <w:rsid w:val="00781AEE"/>
    <w:rsid w:val="00781CB6"/>
    <w:rsid w:val="00781CD9"/>
    <w:rsid w:val="00781E9D"/>
    <w:rsid w:val="00781F01"/>
    <w:rsid w:val="00782003"/>
    <w:rsid w:val="007822C4"/>
    <w:rsid w:val="00782639"/>
    <w:rsid w:val="007826E9"/>
    <w:rsid w:val="00782B72"/>
    <w:rsid w:val="007831F8"/>
    <w:rsid w:val="0078392A"/>
    <w:rsid w:val="00783BDF"/>
    <w:rsid w:val="00783C5B"/>
    <w:rsid w:val="0078434D"/>
    <w:rsid w:val="00784452"/>
    <w:rsid w:val="00784776"/>
    <w:rsid w:val="007848E8"/>
    <w:rsid w:val="00784965"/>
    <w:rsid w:val="007852E4"/>
    <w:rsid w:val="007853AF"/>
    <w:rsid w:val="007854DA"/>
    <w:rsid w:val="007857C5"/>
    <w:rsid w:val="00785985"/>
    <w:rsid w:val="00785B75"/>
    <w:rsid w:val="00785C3F"/>
    <w:rsid w:val="00785D16"/>
    <w:rsid w:val="00785FD9"/>
    <w:rsid w:val="00786A77"/>
    <w:rsid w:val="00786A8A"/>
    <w:rsid w:val="00786D8B"/>
    <w:rsid w:val="00786E55"/>
    <w:rsid w:val="007871A5"/>
    <w:rsid w:val="00787483"/>
    <w:rsid w:val="0078771F"/>
    <w:rsid w:val="007878CE"/>
    <w:rsid w:val="007901C5"/>
    <w:rsid w:val="0079073F"/>
    <w:rsid w:val="007909A4"/>
    <w:rsid w:val="00790D12"/>
    <w:rsid w:val="00790E05"/>
    <w:rsid w:val="00790FC8"/>
    <w:rsid w:val="00791216"/>
    <w:rsid w:val="0079138B"/>
    <w:rsid w:val="007913D4"/>
    <w:rsid w:val="0079152A"/>
    <w:rsid w:val="00791937"/>
    <w:rsid w:val="00791A22"/>
    <w:rsid w:val="00791AC5"/>
    <w:rsid w:val="00791C45"/>
    <w:rsid w:val="00791CD1"/>
    <w:rsid w:val="00791EBF"/>
    <w:rsid w:val="00791F80"/>
    <w:rsid w:val="00792009"/>
    <w:rsid w:val="007922D0"/>
    <w:rsid w:val="007923B3"/>
    <w:rsid w:val="007923DB"/>
    <w:rsid w:val="007924CB"/>
    <w:rsid w:val="0079255A"/>
    <w:rsid w:val="00792567"/>
    <w:rsid w:val="00792649"/>
    <w:rsid w:val="00792855"/>
    <w:rsid w:val="00792902"/>
    <w:rsid w:val="00792ACD"/>
    <w:rsid w:val="00792B58"/>
    <w:rsid w:val="00792C08"/>
    <w:rsid w:val="00792C1F"/>
    <w:rsid w:val="00792DB8"/>
    <w:rsid w:val="007931D7"/>
    <w:rsid w:val="0079343B"/>
    <w:rsid w:val="007934C3"/>
    <w:rsid w:val="00793532"/>
    <w:rsid w:val="007938FC"/>
    <w:rsid w:val="00793FC7"/>
    <w:rsid w:val="0079444D"/>
    <w:rsid w:val="007946D6"/>
    <w:rsid w:val="00794700"/>
    <w:rsid w:val="00794810"/>
    <w:rsid w:val="00794B90"/>
    <w:rsid w:val="00794B9D"/>
    <w:rsid w:val="00794BC8"/>
    <w:rsid w:val="00794C73"/>
    <w:rsid w:val="00795431"/>
    <w:rsid w:val="0079543D"/>
    <w:rsid w:val="00795801"/>
    <w:rsid w:val="00795BD1"/>
    <w:rsid w:val="00795C31"/>
    <w:rsid w:val="00795FC8"/>
    <w:rsid w:val="007963CA"/>
    <w:rsid w:val="0079648F"/>
    <w:rsid w:val="007965EC"/>
    <w:rsid w:val="00796982"/>
    <w:rsid w:val="00796B02"/>
    <w:rsid w:val="00796CDB"/>
    <w:rsid w:val="00796E6D"/>
    <w:rsid w:val="00796FEC"/>
    <w:rsid w:val="007974AF"/>
    <w:rsid w:val="0079761A"/>
    <w:rsid w:val="0079785D"/>
    <w:rsid w:val="00797915"/>
    <w:rsid w:val="0079792B"/>
    <w:rsid w:val="00797F9B"/>
    <w:rsid w:val="007A0005"/>
    <w:rsid w:val="007A0051"/>
    <w:rsid w:val="007A016C"/>
    <w:rsid w:val="007A058E"/>
    <w:rsid w:val="007A061A"/>
    <w:rsid w:val="007A06B6"/>
    <w:rsid w:val="007A070C"/>
    <w:rsid w:val="007A0725"/>
    <w:rsid w:val="007A0925"/>
    <w:rsid w:val="007A0A4D"/>
    <w:rsid w:val="007A0B5B"/>
    <w:rsid w:val="007A0B86"/>
    <w:rsid w:val="007A0C82"/>
    <w:rsid w:val="007A0DB3"/>
    <w:rsid w:val="007A1133"/>
    <w:rsid w:val="007A1152"/>
    <w:rsid w:val="007A1554"/>
    <w:rsid w:val="007A1A46"/>
    <w:rsid w:val="007A1CCB"/>
    <w:rsid w:val="007A1D21"/>
    <w:rsid w:val="007A1FA0"/>
    <w:rsid w:val="007A21BE"/>
    <w:rsid w:val="007A250A"/>
    <w:rsid w:val="007A2512"/>
    <w:rsid w:val="007A2715"/>
    <w:rsid w:val="007A2D27"/>
    <w:rsid w:val="007A2FB3"/>
    <w:rsid w:val="007A30C0"/>
    <w:rsid w:val="007A32F5"/>
    <w:rsid w:val="007A3428"/>
    <w:rsid w:val="007A347E"/>
    <w:rsid w:val="007A34B5"/>
    <w:rsid w:val="007A35E3"/>
    <w:rsid w:val="007A3667"/>
    <w:rsid w:val="007A36EE"/>
    <w:rsid w:val="007A3AAC"/>
    <w:rsid w:val="007A3BBE"/>
    <w:rsid w:val="007A3C1D"/>
    <w:rsid w:val="007A4108"/>
    <w:rsid w:val="007A430C"/>
    <w:rsid w:val="007A43E5"/>
    <w:rsid w:val="007A460E"/>
    <w:rsid w:val="007A4920"/>
    <w:rsid w:val="007A4CB9"/>
    <w:rsid w:val="007A4DF3"/>
    <w:rsid w:val="007A4EF4"/>
    <w:rsid w:val="007A5023"/>
    <w:rsid w:val="007A502C"/>
    <w:rsid w:val="007A509E"/>
    <w:rsid w:val="007A511E"/>
    <w:rsid w:val="007A51B9"/>
    <w:rsid w:val="007A521B"/>
    <w:rsid w:val="007A59AA"/>
    <w:rsid w:val="007A5A77"/>
    <w:rsid w:val="007A5B3E"/>
    <w:rsid w:val="007A618B"/>
    <w:rsid w:val="007A6263"/>
    <w:rsid w:val="007A65AC"/>
    <w:rsid w:val="007A6917"/>
    <w:rsid w:val="007A6BEB"/>
    <w:rsid w:val="007A6C0B"/>
    <w:rsid w:val="007A6D37"/>
    <w:rsid w:val="007A6EB8"/>
    <w:rsid w:val="007A7122"/>
    <w:rsid w:val="007A74D1"/>
    <w:rsid w:val="007A74D9"/>
    <w:rsid w:val="007A7604"/>
    <w:rsid w:val="007A7646"/>
    <w:rsid w:val="007A7AFB"/>
    <w:rsid w:val="007A7B19"/>
    <w:rsid w:val="007A7B2F"/>
    <w:rsid w:val="007A7DD4"/>
    <w:rsid w:val="007B00D3"/>
    <w:rsid w:val="007B0199"/>
    <w:rsid w:val="007B0519"/>
    <w:rsid w:val="007B059E"/>
    <w:rsid w:val="007B0628"/>
    <w:rsid w:val="007B07F0"/>
    <w:rsid w:val="007B0B31"/>
    <w:rsid w:val="007B0B86"/>
    <w:rsid w:val="007B0BD7"/>
    <w:rsid w:val="007B1017"/>
    <w:rsid w:val="007B12A9"/>
    <w:rsid w:val="007B19F2"/>
    <w:rsid w:val="007B1A53"/>
    <w:rsid w:val="007B1AA1"/>
    <w:rsid w:val="007B1AC6"/>
    <w:rsid w:val="007B1C9B"/>
    <w:rsid w:val="007B1D5D"/>
    <w:rsid w:val="007B1F8F"/>
    <w:rsid w:val="007B212A"/>
    <w:rsid w:val="007B24A3"/>
    <w:rsid w:val="007B2B5B"/>
    <w:rsid w:val="007B2B8D"/>
    <w:rsid w:val="007B3579"/>
    <w:rsid w:val="007B3849"/>
    <w:rsid w:val="007B386D"/>
    <w:rsid w:val="007B396C"/>
    <w:rsid w:val="007B3D79"/>
    <w:rsid w:val="007B3DD6"/>
    <w:rsid w:val="007B4135"/>
    <w:rsid w:val="007B4189"/>
    <w:rsid w:val="007B4319"/>
    <w:rsid w:val="007B46A5"/>
    <w:rsid w:val="007B4983"/>
    <w:rsid w:val="007B4AB8"/>
    <w:rsid w:val="007B4E1F"/>
    <w:rsid w:val="007B4EF8"/>
    <w:rsid w:val="007B5A8C"/>
    <w:rsid w:val="007B5AE7"/>
    <w:rsid w:val="007B5B59"/>
    <w:rsid w:val="007B5BDF"/>
    <w:rsid w:val="007B5C04"/>
    <w:rsid w:val="007B5CD2"/>
    <w:rsid w:val="007B5CF0"/>
    <w:rsid w:val="007B5E21"/>
    <w:rsid w:val="007B6055"/>
    <w:rsid w:val="007B63D4"/>
    <w:rsid w:val="007B67A8"/>
    <w:rsid w:val="007B69B9"/>
    <w:rsid w:val="007B6A65"/>
    <w:rsid w:val="007B6DA0"/>
    <w:rsid w:val="007B6ECD"/>
    <w:rsid w:val="007B70AA"/>
    <w:rsid w:val="007B71E3"/>
    <w:rsid w:val="007B791C"/>
    <w:rsid w:val="007B79C7"/>
    <w:rsid w:val="007B7ADD"/>
    <w:rsid w:val="007B7C08"/>
    <w:rsid w:val="007B7E88"/>
    <w:rsid w:val="007B7E9D"/>
    <w:rsid w:val="007B7FB3"/>
    <w:rsid w:val="007B7FFA"/>
    <w:rsid w:val="007C00F7"/>
    <w:rsid w:val="007C01BD"/>
    <w:rsid w:val="007C0674"/>
    <w:rsid w:val="007C06B5"/>
    <w:rsid w:val="007C082D"/>
    <w:rsid w:val="007C0ACC"/>
    <w:rsid w:val="007C0DBD"/>
    <w:rsid w:val="007C0FEF"/>
    <w:rsid w:val="007C1023"/>
    <w:rsid w:val="007C129F"/>
    <w:rsid w:val="007C13E3"/>
    <w:rsid w:val="007C149F"/>
    <w:rsid w:val="007C14D7"/>
    <w:rsid w:val="007C1711"/>
    <w:rsid w:val="007C1884"/>
    <w:rsid w:val="007C1AFD"/>
    <w:rsid w:val="007C1BA6"/>
    <w:rsid w:val="007C1E44"/>
    <w:rsid w:val="007C1F57"/>
    <w:rsid w:val="007C1FFF"/>
    <w:rsid w:val="007C213A"/>
    <w:rsid w:val="007C2221"/>
    <w:rsid w:val="007C258E"/>
    <w:rsid w:val="007C260A"/>
    <w:rsid w:val="007C261E"/>
    <w:rsid w:val="007C275A"/>
    <w:rsid w:val="007C2941"/>
    <w:rsid w:val="007C2A0A"/>
    <w:rsid w:val="007C2A31"/>
    <w:rsid w:val="007C2B8D"/>
    <w:rsid w:val="007C2DC1"/>
    <w:rsid w:val="007C2FF6"/>
    <w:rsid w:val="007C3223"/>
    <w:rsid w:val="007C34C6"/>
    <w:rsid w:val="007C364E"/>
    <w:rsid w:val="007C368C"/>
    <w:rsid w:val="007C3CCA"/>
    <w:rsid w:val="007C3D52"/>
    <w:rsid w:val="007C3E9F"/>
    <w:rsid w:val="007C4165"/>
    <w:rsid w:val="007C41EC"/>
    <w:rsid w:val="007C4362"/>
    <w:rsid w:val="007C439E"/>
    <w:rsid w:val="007C4618"/>
    <w:rsid w:val="007C472E"/>
    <w:rsid w:val="007C47A5"/>
    <w:rsid w:val="007C4BA3"/>
    <w:rsid w:val="007C4E08"/>
    <w:rsid w:val="007C5061"/>
    <w:rsid w:val="007C5111"/>
    <w:rsid w:val="007C53CC"/>
    <w:rsid w:val="007C53EE"/>
    <w:rsid w:val="007C54FF"/>
    <w:rsid w:val="007C5692"/>
    <w:rsid w:val="007C56C8"/>
    <w:rsid w:val="007C571C"/>
    <w:rsid w:val="007C5E92"/>
    <w:rsid w:val="007C612B"/>
    <w:rsid w:val="007C6164"/>
    <w:rsid w:val="007C66FA"/>
    <w:rsid w:val="007C6A56"/>
    <w:rsid w:val="007C724F"/>
    <w:rsid w:val="007C7358"/>
    <w:rsid w:val="007C763C"/>
    <w:rsid w:val="007C768E"/>
    <w:rsid w:val="007C7787"/>
    <w:rsid w:val="007C7838"/>
    <w:rsid w:val="007C7CED"/>
    <w:rsid w:val="007C7D4D"/>
    <w:rsid w:val="007C7E93"/>
    <w:rsid w:val="007C7E99"/>
    <w:rsid w:val="007D0069"/>
    <w:rsid w:val="007D02D7"/>
    <w:rsid w:val="007D0463"/>
    <w:rsid w:val="007D04E3"/>
    <w:rsid w:val="007D06D4"/>
    <w:rsid w:val="007D070C"/>
    <w:rsid w:val="007D0922"/>
    <w:rsid w:val="007D0D2A"/>
    <w:rsid w:val="007D1727"/>
    <w:rsid w:val="007D18D4"/>
    <w:rsid w:val="007D19AB"/>
    <w:rsid w:val="007D1A6B"/>
    <w:rsid w:val="007D2095"/>
    <w:rsid w:val="007D2219"/>
    <w:rsid w:val="007D2223"/>
    <w:rsid w:val="007D2246"/>
    <w:rsid w:val="007D2315"/>
    <w:rsid w:val="007D2524"/>
    <w:rsid w:val="007D2887"/>
    <w:rsid w:val="007D28CD"/>
    <w:rsid w:val="007D2D4C"/>
    <w:rsid w:val="007D3012"/>
    <w:rsid w:val="007D3282"/>
    <w:rsid w:val="007D3291"/>
    <w:rsid w:val="007D342A"/>
    <w:rsid w:val="007D34E7"/>
    <w:rsid w:val="007D356F"/>
    <w:rsid w:val="007D38AE"/>
    <w:rsid w:val="007D38BA"/>
    <w:rsid w:val="007D3924"/>
    <w:rsid w:val="007D3A29"/>
    <w:rsid w:val="007D3A68"/>
    <w:rsid w:val="007D3AD4"/>
    <w:rsid w:val="007D3CF9"/>
    <w:rsid w:val="007D4237"/>
    <w:rsid w:val="007D435D"/>
    <w:rsid w:val="007D43B8"/>
    <w:rsid w:val="007D4439"/>
    <w:rsid w:val="007D45CA"/>
    <w:rsid w:val="007D4922"/>
    <w:rsid w:val="007D4A34"/>
    <w:rsid w:val="007D4E31"/>
    <w:rsid w:val="007D54CA"/>
    <w:rsid w:val="007D55F2"/>
    <w:rsid w:val="007D56EB"/>
    <w:rsid w:val="007D56F9"/>
    <w:rsid w:val="007D57F1"/>
    <w:rsid w:val="007D58AD"/>
    <w:rsid w:val="007D5A42"/>
    <w:rsid w:val="007D5CF1"/>
    <w:rsid w:val="007D5EC1"/>
    <w:rsid w:val="007D606A"/>
    <w:rsid w:val="007D63CD"/>
    <w:rsid w:val="007D6624"/>
    <w:rsid w:val="007D6942"/>
    <w:rsid w:val="007D69DC"/>
    <w:rsid w:val="007D69E6"/>
    <w:rsid w:val="007D6DED"/>
    <w:rsid w:val="007D6E11"/>
    <w:rsid w:val="007D6F56"/>
    <w:rsid w:val="007D761F"/>
    <w:rsid w:val="007D79D1"/>
    <w:rsid w:val="007D7C5E"/>
    <w:rsid w:val="007D7E38"/>
    <w:rsid w:val="007D7FD7"/>
    <w:rsid w:val="007E002B"/>
    <w:rsid w:val="007E013D"/>
    <w:rsid w:val="007E085F"/>
    <w:rsid w:val="007E0874"/>
    <w:rsid w:val="007E0B66"/>
    <w:rsid w:val="007E0BF8"/>
    <w:rsid w:val="007E0C76"/>
    <w:rsid w:val="007E0E13"/>
    <w:rsid w:val="007E0E31"/>
    <w:rsid w:val="007E0F34"/>
    <w:rsid w:val="007E1048"/>
    <w:rsid w:val="007E14C2"/>
    <w:rsid w:val="007E174A"/>
    <w:rsid w:val="007E17B4"/>
    <w:rsid w:val="007E1869"/>
    <w:rsid w:val="007E1956"/>
    <w:rsid w:val="007E19F0"/>
    <w:rsid w:val="007E1B9F"/>
    <w:rsid w:val="007E1C56"/>
    <w:rsid w:val="007E1E57"/>
    <w:rsid w:val="007E22D7"/>
    <w:rsid w:val="007E2384"/>
    <w:rsid w:val="007E258B"/>
    <w:rsid w:val="007E2694"/>
    <w:rsid w:val="007E26C6"/>
    <w:rsid w:val="007E29FD"/>
    <w:rsid w:val="007E2BE8"/>
    <w:rsid w:val="007E3030"/>
    <w:rsid w:val="007E327E"/>
    <w:rsid w:val="007E3589"/>
    <w:rsid w:val="007E391A"/>
    <w:rsid w:val="007E3948"/>
    <w:rsid w:val="007E3AD1"/>
    <w:rsid w:val="007E3D3A"/>
    <w:rsid w:val="007E3E20"/>
    <w:rsid w:val="007E43F2"/>
    <w:rsid w:val="007E4A8D"/>
    <w:rsid w:val="007E4F75"/>
    <w:rsid w:val="007E516A"/>
    <w:rsid w:val="007E52CF"/>
    <w:rsid w:val="007E539C"/>
    <w:rsid w:val="007E53C6"/>
    <w:rsid w:val="007E54AC"/>
    <w:rsid w:val="007E5D21"/>
    <w:rsid w:val="007E5D4D"/>
    <w:rsid w:val="007E5D7E"/>
    <w:rsid w:val="007E5DCB"/>
    <w:rsid w:val="007E5F05"/>
    <w:rsid w:val="007E5F12"/>
    <w:rsid w:val="007E5FC2"/>
    <w:rsid w:val="007E6324"/>
    <w:rsid w:val="007E64F7"/>
    <w:rsid w:val="007E67C7"/>
    <w:rsid w:val="007E6A37"/>
    <w:rsid w:val="007E6AF1"/>
    <w:rsid w:val="007E6D7D"/>
    <w:rsid w:val="007E6EFC"/>
    <w:rsid w:val="007E6F33"/>
    <w:rsid w:val="007E7480"/>
    <w:rsid w:val="007E771E"/>
    <w:rsid w:val="007E7C5F"/>
    <w:rsid w:val="007E7F6F"/>
    <w:rsid w:val="007F01B9"/>
    <w:rsid w:val="007F0224"/>
    <w:rsid w:val="007F0284"/>
    <w:rsid w:val="007F0299"/>
    <w:rsid w:val="007F0368"/>
    <w:rsid w:val="007F04C0"/>
    <w:rsid w:val="007F064B"/>
    <w:rsid w:val="007F08BF"/>
    <w:rsid w:val="007F09C3"/>
    <w:rsid w:val="007F1113"/>
    <w:rsid w:val="007F16B6"/>
    <w:rsid w:val="007F1756"/>
    <w:rsid w:val="007F1C27"/>
    <w:rsid w:val="007F213A"/>
    <w:rsid w:val="007F2246"/>
    <w:rsid w:val="007F2346"/>
    <w:rsid w:val="007F3958"/>
    <w:rsid w:val="007F4015"/>
    <w:rsid w:val="007F411C"/>
    <w:rsid w:val="007F41C4"/>
    <w:rsid w:val="007F4508"/>
    <w:rsid w:val="007F45D2"/>
    <w:rsid w:val="007F468D"/>
    <w:rsid w:val="007F46AA"/>
    <w:rsid w:val="007F47C9"/>
    <w:rsid w:val="007F48FF"/>
    <w:rsid w:val="007F4A78"/>
    <w:rsid w:val="007F4BD8"/>
    <w:rsid w:val="007F4C35"/>
    <w:rsid w:val="007F4E2A"/>
    <w:rsid w:val="007F4E35"/>
    <w:rsid w:val="007F500F"/>
    <w:rsid w:val="007F536F"/>
    <w:rsid w:val="007F53DF"/>
    <w:rsid w:val="007F55D5"/>
    <w:rsid w:val="007F5728"/>
    <w:rsid w:val="007F5867"/>
    <w:rsid w:val="007F5A6F"/>
    <w:rsid w:val="007F5D7A"/>
    <w:rsid w:val="007F64FA"/>
    <w:rsid w:val="007F6624"/>
    <w:rsid w:val="007F67A4"/>
    <w:rsid w:val="007F68E2"/>
    <w:rsid w:val="007F6DD7"/>
    <w:rsid w:val="007F719F"/>
    <w:rsid w:val="007F7697"/>
    <w:rsid w:val="007F7998"/>
    <w:rsid w:val="007F7B02"/>
    <w:rsid w:val="007F7B33"/>
    <w:rsid w:val="007F7EFA"/>
    <w:rsid w:val="00800052"/>
    <w:rsid w:val="008000A1"/>
    <w:rsid w:val="00800558"/>
    <w:rsid w:val="00800574"/>
    <w:rsid w:val="00800635"/>
    <w:rsid w:val="00800901"/>
    <w:rsid w:val="00800B12"/>
    <w:rsid w:val="00800BCD"/>
    <w:rsid w:val="00800C59"/>
    <w:rsid w:val="00800DCD"/>
    <w:rsid w:val="00800EF7"/>
    <w:rsid w:val="00801162"/>
    <w:rsid w:val="008011A4"/>
    <w:rsid w:val="00801540"/>
    <w:rsid w:val="00801619"/>
    <w:rsid w:val="00801658"/>
    <w:rsid w:val="00801725"/>
    <w:rsid w:val="008019FB"/>
    <w:rsid w:val="00801AF6"/>
    <w:rsid w:val="00801EC7"/>
    <w:rsid w:val="008021B8"/>
    <w:rsid w:val="008022AA"/>
    <w:rsid w:val="0080258B"/>
    <w:rsid w:val="00802997"/>
    <w:rsid w:val="00802B17"/>
    <w:rsid w:val="00803289"/>
    <w:rsid w:val="008032F1"/>
    <w:rsid w:val="0080342D"/>
    <w:rsid w:val="00803512"/>
    <w:rsid w:val="00803568"/>
    <w:rsid w:val="00803781"/>
    <w:rsid w:val="00803A94"/>
    <w:rsid w:val="00803AB9"/>
    <w:rsid w:val="00803B97"/>
    <w:rsid w:val="0080456A"/>
    <w:rsid w:val="0080457C"/>
    <w:rsid w:val="0080459E"/>
    <w:rsid w:val="00804883"/>
    <w:rsid w:val="00804C0D"/>
    <w:rsid w:val="00804F09"/>
    <w:rsid w:val="0080551C"/>
    <w:rsid w:val="0080569A"/>
    <w:rsid w:val="00805B72"/>
    <w:rsid w:val="00805FFC"/>
    <w:rsid w:val="0080601B"/>
    <w:rsid w:val="0080602C"/>
    <w:rsid w:val="00806104"/>
    <w:rsid w:val="008061AF"/>
    <w:rsid w:val="00806213"/>
    <w:rsid w:val="00806241"/>
    <w:rsid w:val="008062CB"/>
    <w:rsid w:val="008066EC"/>
    <w:rsid w:val="00806C38"/>
    <w:rsid w:val="00806C39"/>
    <w:rsid w:val="00806CB0"/>
    <w:rsid w:val="00806E3F"/>
    <w:rsid w:val="00806F15"/>
    <w:rsid w:val="00807185"/>
    <w:rsid w:val="0080719C"/>
    <w:rsid w:val="0080721D"/>
    <w:rsid w:val="008074FB"/>
    <w:rsid w:val="0080750B"/>
    <w:rsid w:val="00807729"/>
    <w:rsid w:val="00807871"/>
    <w:rsid w:val="0080791A"/>
    <w:rsid w:val="008079C6"/>
    <w:rsid w:val="00810028"/>
    <w:rsid w:val="008100CB"/>
    <w:rsid w:val="008102D1"/>
    <w:rsid w:val="008103DE"/>
    <w:rsid w:val="008107C0"/>
    <w:rsid w:val="008108F1"/>
    <w:rsid w:val="00810AB5"/>
    <w:rsid w:val="00810B97"/>
    <w:rsid w:val="00810BD6"/>
    <w:rsid w:val="008112F8"/>
    <w:rsid w:val="008117EF"/>
    <w:rsid w:val="008119DF"/>
    <w:rsid w:val="00811AD4"/>
    <w:rsid w:val="00811D70"/>
    <w:rsid w:val="00811D9B"/>
    <w:rsid w:val="008121A0"/>
    <w:rsid w:val="0081221A"/>
    <w:rsid w:val="0081249F"/>
    <w:rsid w:val="00812690"/>
    <w:rsid w:val="008126B0"/>
    <w:rsid w:val="008126DB"/>
    <w:rsid w:val="00812874"/>
    <w:rsid w:val="008129DD"/>
    <w:rsid w:val="00812A55"/>
    <w:rsid w:val="00812ADB"/>
    <w:rsid w:val="008130C7"/>
    <w:rsid w:val="008132B2"/>
    <w:rsid w:val="0081344F"/>
    <w:rsid w:val="0081359B"/>
    <w:rsid w:val="00813647"/>
    <w:rsid w:val="008136A6"/>
    <w:rsid w:val="008137C2"/>
    <w:rsid w:val="0081383F"/>
    <w:rsid w:val="008139D3"/>
    <w:rsid w:val="00813C07"/>
    <w:rsid w:val="00813DBC"/>
    <w:rsid w:val="008140C1"/>
    <w:rsid w:val="008144FA"/>
    <w:rsid w:val="00814853"/>
    <w:rsid w:val="00814C69"/>
    <w:rsid w:val="00814FE9"/>
    <w:rsid w:val="00815A65"/>
    <w:rsid w:val="00815B38"/>
    <w:rsid w:val="00815C3D"/>
    <w:rsid w:val="00815C40"/>
    <w:rsid w:val="00815D5A"/>
    <w:rsid w:val="00815DCF"/>
    <w:rsid w:val="00815E1F"/>
    <w:rsid w:val="00815E47"/>
    <w:rsid w:val="0081610A"/>
    <w:rsid w:val="0081631B"/>
    <w:rsid w:val="008163A8"/>
    <w:rsid w:val="00816994"/>
    <w:rsid w:val="00816DC4"/>
    <w:rsid w:val="00816F7F"/>
    <w:rsid w:val="00817100"/>
    <w:rsid w:val="00817344"/>
    <w:rsid w:val="00817374"/>
    <w:rsid w:val="00817439"/>
    <w:rsid w:val="00817901"/>
    <w:rsid w:val="0081797C"/>
    <w:rsid w:val="00817E21"/>
    <w:rsid w:val="0082008D"/>
    <w:rsid w:val="00820D47"/>
    <w:rsid w:val="00820D4D"/>
    <w:rsid w:val="00821488"/>
    <w:rsid w:val="0082148A"/>
    <w:rsid w:val="0082151D"/>
    <w:rsid w:val="0082164C"/>
    <w:rsid w:val="008216A0"/>
    <w:rsid w:val="00821BEF"/>
    <w:rsid w:val="00821EB5"/>
    <w:rsid w:val="00821F4F"/>
    <w:rsid w:val="00821FD2"/>
    <w:rsid w:val="008220A5"/>
    <w:rsid w:val="008221EA"/>
    <w:rsid w:val="00822378"/>
    <w:rsid w:val="008223FF"/>
    <w:rsid w:val="0082286D"/>
    <w:rsid w:val="00822A5F"/>
    <w:rsid w:val="00822C53"/>
    <w:rsid w:val="008231C5"/>
    <w:rsid w:val="0082351F"/>
    <w:rsid w:val="008235E5"/>
    <w:rsid w:val="00823889"/>
    <w:rsid w:val="0082392B"/>
    <w:rsid w:val="00823A64"/>
    <w:rsid w:val="00823BB6"/>
    <w:rsid w:val="00824056"/>
    <w:rsid w:val="008241C5"/>
    <w:rsid w:val="0082422A"/>
    <w:rsid w:val="00824386"/>
    <w:rsid w:val="0082465A"/>
    <w:rsid w:val="008246E0"/>
    <w:rsid w:val="00824743"/>
    <w:rsid w:val="00824A67"/>
    <w:rsid w:val="00824F90"/>
    <w:rsid w:val="00825132"/>
    <w:rsid w:val="008253D0"/>
    <w:rsid w:val="008254CC"/>
    <w:rsid w:val="008254F4"/>
    <w:rsid w:val="00825559"/>
    <w:rsid w:val="00825F15"/>
    <w:rsid w:val="008261FB"/>
    <w:rsid w:val="008263C2"/>
    <w:rsid w:val="008263D6"/>
    <w:rsid w:val="00826487"/>
    <w:rsid w:val="008265F1"/>
    <w:rsid w:val="008267E6"/>
    <w:rsid w:val="00826A88"/>
    <w:rsid w:val="00826C7A"/>
    <w:rsid w:val="00826F68"/>
    <w:rsid w:val="00826F7B"/>
    <w:rsid w:val="008272C7"/>
    <w:rsid w:val="0082764B"/>
    <w:rsid w:val="00827703"/>
    <w:rsid w:val="00827936"/>
    <w:rsid w:val="00827BE2"/>
    <w:rsid w:val="00830012"/>
    <w:rsid w:val="00830114"/>
    <w:rsid w:val="00830497"/>
    <w:rsid w:val="0083081C"/>
    <w:rsid w:val="00830926"/>
    <w:rsid w:val="00830D5C"/>
    <w:rsid w:val="0083107C"/>
    <w:rsid w:val="0083148D"/>
    <w:rsid w:val="008317E4"/>
    <w:rsid w:val="00831944"/>
    <w:rsid w:val="00831A51"/>
    <w:rsid w:val="00831F14"/>
    <w:rsid w:val="00831FB5"/>
    <w:rsid w:val="00831FDA"/>
    <w:rsid w:val="00832023"/>
    <w:rsid w:val="00832047"/>
    <w:rsid w:val="00832468"/>
    <w:rsid w:val="0083268F"/>
    <w:rsid w:val="0083298B"/>
    <w:rsid w:val="00832BA0"/>
    <w:rsid w:val="00832EF1"/>
    <w:rsid w:val="008331A0"/>
    <w:rsid w:val="00833304"/>
    <w:rsid w:val="0083335E"/>
    <w:rsid w:val="008333B9"/>
    <w:rsid w:val="008333E8"/>
    <w:rsid w:val="008333F8"/>
    <w:rsid w:val="0083348F"/>
    <w:rsid w:val="008336E5"/>
    <w:rsid w:val="008336F5"/>
    <w:rsid w:val="00833888"/>
    <w:rsid w:val="008338BE"/>
    <w:rsid w:val="00833B4D"/>
    <w:rsid w:val="00834041"/>
    <w:rsid w:val="008342E0"/>
    <w:rsid w:val="00834400"/>
    <w:rsid w:val="00834418"/>
    <w:rsid w:val="008344E3"/>
    <w:rsid w:val="00834997"/>
    <w:rsid w:val="00834B5C"/>
    <w:rsid w:val="00834CB6"/>
    <w:rsid w:val="00834EFF"/>
    <w:rsid w:val="0083519F"/>
    <w:rsid w:val="00835257"/>
    <w:rsid w:val="008353DA"/>
    <w:rsid w:val="0083541E"/>
    <w:rsid w:val="00835713"/>
    <w:rsid w:val="0083577E"/>
    <w:rsid w:val="00835867"/>
    <w:rsid w:val="00835C82"/>
    <w:rsid w:val="00835E82"/>
    <w:rsid w:val="00835F69"/>
    <w:rsid w:val="008363BC"/>
    <w:rsid w:val="00836450"/>
    <w:rsid w:val="008364AB"/>
    <w:rsid w:val="00836527"/>
    <w:rsid w:val="00836D52"/>
    <w:rsid w:val="00836D89"/>
    <w:rsid w:val="00836D99"/>
    <w:rsid w:val="00836FAB"/>
    <w:rsid w:val="0083716D"/>
    <w:rsid w:val="00837492"/>
    <w:rsid w:val="008374B0"/>
    <w:rsid w:val="008375AB"/>
    <w:rsid w:val="00837679"/>
    <w:rsid w:val="008378DE"/>
    <w:rsid w:val="00837B77"/>
    <w:rsid w:val="00837D48"/>
    <w:rsid w:val="00837E4C"/>
    <w:rsid w:val="00837E89"/>
    <w:rsid w:val="00837EDF"/>
    <w:rsid w:val="00840069"/>
    <w:rsid w:val="00840214"/>
    <w:rsid w:val="00840443"/>
    <w:rsid w:val="0084052C"/>
    <w:rsid w:val="0084057C"/>
    <w:rsid w:val="008407D1"/>
    <w:rsid w:val="0084094A"/>
    <w:rsid w:val="00840AA1"/>
    <w:rsid w:val="00840ABB"/>
    <w:rsid w:val="00840B0A"/>
    <w:rsid w:val="00840B2D"/>
    <w:rsid w:val="00840CAF"/>
    <w:rsid w:val="00840D04"/>
    <w:rsid w:val="00840DFA"/>
    <w:rsid w:val="00840E1E"/>
    <w:rsid w:val="00840F89"/>
    <w:rsid w:val="00841027"/>
    <w:rsid w:val="0084115C"/>
    <w:rsid w:val="008412A6"/>
    <w:rsid w:val="00841580"/>
    <w:rsid w:val="0084196B"/>
    <w:rsid w:val="00841A04"/>
    <w:rsid w:val="00841C83"/>
    <w:rsid w:val="0084207B"/>
    <w:rsid w:val="008421F0"/>
    <w:rsid w:val="0084234B"/>
    <w:rsid w:val="0084248B"/>
    <w:rsid w:val="00842624"/>
    <w:rsid w:val="008426C0"/>
    <w:rsid w:val="0084283D"/>
    <w:rsid w:val="00842863"/>
    <w:rsid w:val="00842C01"/>
    <w:rsid w:val="00842CE6"/>
    <w:rsid w:val="00842ECA"/>
    <w:rsid w:val="00842ECC"/>
    <w:rsid w:val="008430C5"/>
    <w:rsid w:val="00843337"/>
    <w:rsid w:val="00843659"/>
    <w:rsid w:val="008438D5"/>
    <w:rsid w:val="00843915"/>
    <w:rsid w:val="00843C02"/>
    <w:rsid w:val="00843C37"/>
    <w:rsid w:val="00843C3C"/>
    <w:rsid w:val="00843C45"/>
    <w:rsid w:val="00843FA3"/>
    <w:rsid w:val="00844150"/>
    <w:rsid w:val="008445C1"/>
    <w:rsid w:val="008445FE"/>
    <w:rsid w:val="0084464C"/>
    <w:rsid w:val="00844706"/>
    <w:rsid w:val="0084471F"/>
    <w:rsid w:val="00844836"/>
    <w:rsid w:val="00844A0F"/>
    <w:rsid w:val="00844A33"/>
    <w:rsid w:val="00844AD4"/>
    <w:rsid w:val="00844B85"/>
    <w:rsid w:val="00844C1A"/>
    <w:rsid w:val="00844E8F"/>
    <w:rsid w:val="00845905"/>
    <w:rsid w:val="00845962"/>
    <w:rsid w:val="008459A8"/>
    <w:rsid w:val="00845A1B"/>
    <w:rsid w:val="00845AA0"/>
    <w:rsid w:val="00845B53"/>
    <w:rsid w:val="00845BCA"/>
    <w:rsid w:val="00845D60"/>
    <w:rsid w:val="00846039"/>
    <w:rsid w:val="008461E3"/>
    <w:rsid w:val="008463EF"/>
    <w:rsid w:val="00846865"/>
    <w:rsid w:val="008468F6"/>
    <w:rsid w:val="00846AA5"/>
    <w:rsid w:val="00846C9C"/>
    <w:rsid w:val="00846D6B"/>
    <w:rsid w:val="008473D4"/>
    <w:rsid w:val="0084743E"/>
    <w:rsid w:val="008475F7"/>
    <w:rsid w:val="00847827"/>
    <w:rsid w:val="00847833"/>
    <w:rsid w:val="0084787F"/>
    <w:rsid w:val="008479E7"/>
    <w:rsid w:val="00847C1A"/>
    <w:rsid w:val="00847D18"/>
    <w:rsid w:val="00847FF6"/>
    <w:rsid w:val="00850321"/>
    <w:rsid w:val="0085037A"/>
    <w:rsid w:val="0085086A"/>
    <w:rsid w:val="00850901"/>
    <w:rsid w:val="00850C8D"/>
    <w:rsid w:val="00850E58"/>
    <w:rsid w:val="00851841"/>
    <w:rsid w:val="00851967"/>
    <w:rsid w:val="00851A94"/>
    <w:rsid w:val="00852632"/>
    <w:rsid w:val="00852648"/>
    <w:rsid w:val="008527E1"/>
    <w:rsid w:val="0085289F"/>
    <w:rsid w:val="00852A62"/>
    <w:rsid w:val="00852B06"/>
    <w:rsid w:val="00852D33"/>
    <w:rsid w:val="008532B6"/>
    <w:rsid w:val="00853419"/>
    <w:rsid w:val="008534AD"/>
    <w:rsid w:val="0085355E"/>
    <w:rsid w:val="00853A2C"/>
    <w:rsid w:val="00853EF4"/>
    <w:rsid w:val="008540F4"/>
    <w:rsid w:val="00854330"/>
    <w:rsid w:val="0085445E"/>
    <w:rsid w:val="00854846"/>
    <w:rsid w:val="00854907"/>
    <w:rsid w:val="008552DD"/>
    <w:rsid w:val="00855497"/>
    <w:rsid w:val="00855598"/>
    <w:rsid w:val="00855699"/>
    <w:rsid w:val="00855B9B"/>
    <w:rsid w:val="00855FE3"/>
    <w:rsid w:val="0085618B"/>
    <w:rsid w:val="00856359"/>
    <w:rsid w:val="00856360"/>
    <w:rsid w:val="008565B6"/>
    <w:rsid w:val="00856956"/>
    <w:rsid w:val="008569F7"/>
    <w:rsid w:val="00856C0F"/>
    <w:rsid w:val="00856C64"/>
    <w:rsid w:val="00856D02"/>
    <w:rsid w:val="00856FA3"/>
    <w:rsid w:val="008570F2"/>
    <w:rsid w:val="008575BB"/>
    <w:rsid w:val="008575F9"/>
    <w:rsid w:val="008577F7"/>
    <w:rsid w:val="00857AA8"/>
    <w:rsid w:val="00857B5C"/>
    <w:rsid w:val="00860170"/>
    <w:rsid w:val="0086040B"/>
    <w:rsid w:val="008604E0"/>
    <w:rsid w:val="0086075E"/>
    <w:rsid w:val="008607E2"/>
    <w:rsid w:val="00860821"/>
    <w:rsid w:val="0086082F"/>
    <w:rsid w:val="0086086B"/>
    <w:rsid w:val="008609CA"/>
    <w:rsid w:val="00861330"/>
    <w:rsid w:val="008615CC"/>
    <w:rsid w:val="008617DE"/>
    <w:rsid w:val="0086186A"/>
    <w:rsid w:val="00861AAE"/>
    <w:rsid w:val="00861CDC"/>
    <w:rsid w:val="0086224F"/>
    <w:rsid w:val="00862362"/>
    <w:rsid w:val="00862491"/>
    <w:rsid w:val="00862525"/>
    <w:rsid w:val="0086272D"/>
    <w:rsid w:val="00862860"/>
    <w:rsid w:val="008629FC"/>
    <w:rsid w:val="00862BD0"/>
    <w:rsid w:val="00862F5B"/>
    <w:rsid w:val="008631F8"/>
    <w:rsid w:val="008633CC"/>
    <w:rsid w:val="008637C6"/>
    <w:rsid w:val="00863855"/>
    <w:rsid w:val="008639C3"/>
    <w:rsid w:val="00863FB4"/>
    <w:rsid w:val="0086425C"/>
    <w:rsid w:val="008644BE"/>
    <w:rsid w:val="008648DD"/>
    <w:rsid w:val="00864BD3"/>
    <w:rsid w:val="00865053"/>
    <w:rsid w:val="00865126"/>
    <w:rsid w:val="008651E9"/>
    <w:rsid w:val="008656F8"/>
    <w:rsid w:val="008659B7"/>
    <w:rsid w:val="00865A2E"/>
    <w:rsid w:val="00865CD3"/>
    <w:rsid w:val="00865E13"/>
    <w:rsid w:val="00865E6E"/>
    <w:rsid w:val="00865EDA"/>
    <w:rsid w:val="00866158"/>
    <w:rsid w:val="0086618F"/>
    <w:rsid w:val="008664E2"/>
    <w:rsid w:val="00866740"/>
    <w:rsid w:val="00866805"/>
    <w:rsid w:val="008669A6"/>
    <w:rsid w:val="00866C02"/>
    <w:rsid w:val="00866C3E"/>
    <w:rsid w:val="00866C9E"/>
    <w:rsid w:val="00866F1D"/>
    <w:rsid w:val="008672AD"/>
    <w:rsid w:val="00867403"/>
    <w:rsid w:val="00867541"/>
    <w:rsid w:val="00867977"/>
    <w:rsid w:val="00867F84"/>
    <w:rsid w:val="00867F99"/>
    <w:rsid w:val="008700FE"/>
    <w:rsid w:val="008702C7"/>
    <w:rsid w:val="008704C6"/>
    <w:rsid w:val="008704DD"/>
    <w:rsid w:val="008709D5"/>
    <w:rsid w:val="00870A82"/>
    <w:rsid w:val="00870C35"/>
    <w:rsid w:val="00870E0A"/>
    <w:rsid w:val="00870E7F"/>
    <w:rsid w:val="00871059"/>
    <w:rsid w:val="008710FE"/>
    <w:rsid w:val="0087114B"/>
    <w:rsid w:val="0087132E"/>
    <w:rsid w:val="008718E3"/>
    <w:rsid w:val="00871AB2"/>
    <w:rsid w:val="00871AEE"/>
    <w:rsid w:val="00871F67"/>
    <w:rsid w:val="008722B7"/>
    <w:rsid w:val="008724B9"/>
    <w:rsid w:val="0087258B"/>
    <w:rsid w:val="00872923"/>
    <w:rsid w:val="00872A37"/>
    <w:rsid w:val="00873155"/>
    <w:rsid w:val="008731AC"/>
    <w:rsid w:val="008731C6"/>
    <w:rsid w:val="00873220"/>
    <w:rsid w:val="00873245"/>
    <w:rsid w:val="0087330F"/>
    <w:rsid w:val="008733BE"/>
    <w:rsid w:val="008734E7"/>
    <w:rsid w:val="008737D1"/>
    <w:rsid w:val="008737E6"/>
    <w:rsid w:val="00873A88"/>
    <w:rsid w:val="00873B0A"/>
    <w:rsid w:val="00873C05"/>
    <w:rsid w:val="00873DC5"/>
    <w:rsid w:val="00873E8A"/>
    <w:rsid w:val="00873F42"/>
    <w:rsid w:val="00874025"/>
    <w:rsid w:val="0087438F"/>
    <w:rsid w:val="008743A9"/>
    <w:rsid w:val="00874442"/>
    <w:rsid w:val="0087488F"/>
    <w:rsid w:val="00874A0D"/>
    <w:rsid w:val="00874E3C"/>
    <w:rsid w:val="00874F52"/>
    <w:rsid w:val="00875084"/>
    <w:rsid w:val="0087523F"/>
    <w:rsid w:val="00875380"/>
    <w:rsid w:val="008753F4"/>
    <w:rsid w:val="00875423"/>
    <w:rsid w:val="0087557C"/>
    <w:rsid w:val="00875997"/>
    <w:rsid w:val="00875A12"/>
    <w:rsid w:val="00875A4C"/>
    <w:rsid w:val="00875A8C"/>
    <w:rsid w:val="00875BA2"/>
    <w:rsid w:val="00875C12"/>
    <w:rsid w:val="00875DB2"/>
    <w:rsid w:val="0087613F"/>
    <w:rsid w:val="0087629B"/>
    <w:rsid w:val="008767F4"/>
    <w:rsid w:val="00876889"/>
    <w:rsid w:val="00876958"/>
    <w:rsid w:val="00876E79"/>
    <w:rsid w:val="00876F82"/>
    <w:rsid w:val="0087701A"/>
    <w:rsid w:val="00877038"/>
    <w:rsid w:val="00877042"/>
    <w:rsid w:val="00877298"/>
    <w:rsid w:val="00877557"/>
    <w:rsid w:val="008777A5"/>
    <w:rsid w:val="00877931"/>
    <w:rsid w:val="00877A3D"/>
    <w:rsid w:val="00877AF3"/>
    <w:rsid w:val="00877B94"/>
    <w:rsid w:val="00877E95"/>
    <w:rsid w:val="00877F99"/>
    <w:rsid w:val="008800D4"/>
    <w:rsid w:val="008803AC"/>
    <w:rsid w:val="008803BA"/>
    <w:rsid w:val="008805C1"/>
    <w:rsid w:val="00880680"/>
    <w:rsid w:val="0088082B"/>
    <w:rsid w:val="00880B03"/>
    <w:rsid w:val="00880B6B"/>
    <w:rsid w:val="00880E53"/>
    <w:rsid w:val="00880E80"/>
    <w:rsid w:val="0088158B"/>
    <w:rsid w:val="008815A2"/>
    <w:rsid w:val="008815F4"/>
    <w:rsid w:val="008819F0"/>
    <w:rsid w:val="00881A5E"/>
    <w:rsid w:val="008821EE"/>
    <w:rsid w:val="00882344"/>
    <w:rsid w:val="00882503"/>
    <w:rsid w:val="00882DC8"/>
    <w:rsid w:val="0088312C"/>
    <w:rsid w:val="008831A4"/>
    <w:rsid w:val="00883202"/>
    <w:rsid w:val="00883529"/>
    <w:rsid w:val="0088396F"/>
    <w:rsid w:val="00883C94"/>
    <w:rsid w:val="00883C96"/>
    <w:rsid w:val="00883CAE"/>
    <w:rsid w:val="00883D9B"/>
    <w:rsid w:val="00884064"/>
    <w:rsid w:val="00884188"/>
    <w:rsid w:val="00884202"/>
    <w:rsid w:val="00884341"/>
    <w:rsid w:val="008844FC"/>
    <w:rsid w:val="00884905"/>
    <w:rsid w:val="0088499F"/>
    <w:rsid w:val="00884AAD"/>
    <w:rsid w:val="00884B9D"/>
    <w:rsid w:val="00884BAE"/>
    <w:rsid w:val="00884CF9"/>
    <w:rsid w:val="00884F7B"/>
    <w:rsid w:val="00885207"/>
    <w:rsid w:val="008853CA"/>
    <w:rsid w:val="00885554"/>
    <w:rsid w:val="0088567B"/>
    <w:rsid w:val="008858E0"/>
    <w:rsid w:val="00885C65"/>
    <w:rsid w:val="00885CD6"/>
    <w:rsid w:val="00885E3A"/>
    <w:rsid w:val="00886156"/>
    <w:rsid w:val="008864AB"/>
    <w:rsid w:val="008864FB"/>
    <w:rsid w:val="00886577"/>
    <w:rsid w:val="00886759"/>
    <w:rsid w:val="00886778"/>
    <w:rsid w:val="00886B44"/>
    <w:rsid w:val="00886C5F"/>
    <w:rsid w:val="00886F94"/>
    <w:rsid w:val="0088705F"/>
    <w:rsid w:val="00887298"/>
    <w:rsid w:val="008873C8"/>
    <w:rsid w:val="008878B6"/>
    <w:rsid w:val="00887932"/>
    <w:rsid w:val="00887A97"/>
    <w:rsid w:val="00887D41"/>
    <w:rsid w:val="00887DC2"/>
    <w:rsid w:val="00887F7E"/>
    <w:rsid w:val="00890613"/>
    <w:rsid w:val="00890623"/>
    <w:rsid w:val="008909D0"/>
    <w:rsid w:val="00890A92"/>
    <w:rsid w:val="00890B40"/>
    <w:rsid w:val="00890D34"/>
    <w:rsid w:val="00890D99"/>
    <w:rsid w:val="00890F68"/>
    <w:rsid w:val="0089148F"/>
    <w:rsid w:val="00891502"/>
    <w:rsid w:val="0089160F"/>
    <w:rsid w:val="008916FC"/>
    <w:rsid w:val="0089171B"/>
    <w:rsid w:val="00891A14"/>
    <w:rsid w:val="00891C77"/>
    <w:rsid w:val="00891D98"/>
    <w:rsid w:val="00891EDF"/>
    <w:rsid w:val="00891EFF"/>
    <w:rsid w:val="00891F10"/>
    <w:rsid w:val="00892D0A"/>
    <w:rsid w:val="00892E6C"/>
    <w:rsid w:val="00892EF3"/>
    <w:rsid w:val="00892FB0"/>
    <w:rsid w:val="00893340"/>
    <w:rsid w:val="0089344B"/>
    <w:rsid w:val="0089375C"/>
    <w:rsid w:val="008939BD"/>
    <w:rsid w:val="008939CA"/>
    <w:rsid w:val="00893A9B"/>
    <w:rsid w:val="00893BF4"/>
    <w:rsid w:val="00893CBA"/>
    <w:rsid w:val="00893E00"/>
    <w:rsid w:val="00894028"/>
    <w:rsid w:val="008944AD"/>
    <w:rsid w:val="008946A0"/>
    <w:rsid w:val="00894728"/>
    <w:rsid w:val="00894A79"/>
    <w:rsid w:val="00894B1C"/>
    <w:rsid w:val="00894E6C"/>
    <w:rsid w:val="008952B8"/>
    <w:rsid w:val="00895561"/>
    <w:rsid w:val="0089559F"/>
    <w:rsid w:val="008956B5"/>
    <w:rsid w:val="008956CC"/>
    <w:rsid w:val="00895813"/>
    <w:rsid w:val="00895A16"/>
    <w:rsid w:val="00895A77"/>
    <w:rsid w:val="00895BB3"/>
    <w:rsid w:val="00895BFF"/>
    <w:rsid w:val="00895F15"/>
    <w:rsid w:val="008961BA"/>
    <w:rsid w:val="008963C0"/>
    <w:rsid w:val="0089645A"/>
    <w:rsid w:val="0089655C"/>
    <w:rsid w:val="008968B4"/>
    <w:rsid w:val="00896B9B"/>
    <w:rsid w:val="00896D54"/>
    <w:rsid w:val="00896EAA"/>
    <w:rsid w:val="00897054"/>
    <w:rsid w:val="00897296"/>
    <w:rsid w:val="008972B1"/>
    <w:rsid w:val="0089741A"/>
    <w:rsid w:val="0089743B"/>
    <w:rsid w:val="00897C68"/>
    <w:rsid w:val="008A0140"/>
    <w:rsid w:val="008A040F"/>
    <w:rsid w:val="008A0547"/>
    <w:rsid w:val="008A05A7"/>
    <w:rsid w:val="008A08BF"/>
    <w:rsid w:val="008A09CD"/>
    <w:rsid w:val="008A0B48"/>
    <w:rsid w:val="008A123C"/>
    <w:rsid w:val="008A1771"/>
    <w:rsid w:val="008A1796"/>
    <w:rsid w:val="008A1A3D"/>
    <w:rsid w:val="008A1FA0"/>
    <w:rsid w:val="008A2001"/>
    <w:rsid w:val="008A2089"/>
    <w:rsid w:val="008A2143"/>
    <w:rsid w:val="008A23A9"/>
    <w:rsid w:val="008A25C7"/>
    <w:rsid w:val="008A25CF"/>
    <w:rsid w:val="008A261A"/>
    <w:rsid w:val="008A26B5"/>
    <w:rsid w:val="008A26C8"/>
    <w:rsid w:val="008A272C"/>
    <w:rsid w:val="008A2A4B"/>
    <w:rsid w:val="008A2D80"/>
    <w:rsid w:val="008A307D"/>
    <w:rsid w:val="008A31BF"/>
    <w:rsid w:val="008A3292"/>
    <w:rsid w:val="008A3401"/>
    <w:rsid w:val="008A3A4D"/>
    <w:rsid w:val="008A3A83"/>
    <w:rsid w:val="008A3B83"/>
    <w:rsid w:val="008A3C1E"/>
    <w:rsid w:val="008A4287"/>
    <w:rsid w:val="008A4290"/>
    <w:rsid w:val="008A44D7"/>
    <w:rsid w:val="008A470F"/>
    <w:rsid w:val="008A4A20"/>
    <w:rsid w:val="008A4A96"/>
    <w:rsid w:val="008A4AB3"/>
    <w:rsid w:val="008A4B12"/>
    <w:rsid w:val="008A4FB9"/>
    <w:rsid w:val="008A4FCA"/>
    <w:rsid w:val="008A522A"/>
    <w:rsid w:val="008A529E"/>
    <w:rsid w:val="008A5391"/>
    <w:rsid w:val="008A55BD"/>
    <w:rsid w:val="008A5D1F"/>
    <w:rsid w:val="008A6605"/>
    <w:rsid w:val="008A6A18"/>
    <w:rsid w:val="008A6A2F"/>
    <w:rsid w:val="008A6A67"/>
    <w:rsid w:val="008A6B2C"/>
    <w:rsid w:val="008A6E89"/>
    <w:rsid w:val="008A73CE"/>
    <w:rsid w:val="008A7733"/>
    <w:rsid w:val="008A783D"/>
    <w:rsid w:val="008A7C9F"/>
    <w:rsid w:val="008A7D36"/>
    <w:rsid w:val="008A7DEF"/>
    <w:rsid w:val="008A7E29"/>
    <w:rsid w:val="008B03BE"/>
    <w:rsid w:val="008B042D"/>
    <w:rsid w:val="008B0570"/>
    <w:rsid w:val="008B083D"/>
    <w:rsid w:val="008B0A3B"/>
    <w:rsid w:val="008B0A8C"/>
    <w:rsid w:val="008B0CEB"/>
    <w:rsid w:val="008B0D76"/>
    <w:rsid w:val="008B0F9F"/>
    <w:rsid w:val="008B10F7"/>
    <w:rsid w:val="008B1280"/>
    <w:rsid w:val="008B133B"/>
    <w:rsid w:val="008B1348"/>
    <w:rsid w:val="008B1465"/>
    <w:rsid w:val="008B1624"/>
    <w:rsid w:val="008B1892"/>
    <w:rsid w:val="008B1C81"/>
    <w:rsid w:val="008B1DFC"/>
    <w:rsid w:val="008B1EB6"/>
    <w:rsid w:val="008B2095"/>
    <w:rsid w:val="008B233E"/>
    <w:rsid w:val="008B2462"/>
    <w:rsid w:val="008B261A"/>
    <w:rsid w:val="008B2A76"/>
    <w:rsid w:val="008B2D21"/>
    <w:rsid w:val="008B2FA9"/>
    <w:rsid w:val="008B31D6"/>
    <w:rsid w:val="008B32D8"/>
    <w:rsid w:val="008B32EB"/>
    <w:rsid w:val="008B3546"/>
    <w:rsid w:val="008B3920"/>
    <w:rsid w:val="008B3C07"/>
    <w:rsid w:val="008B3EA2"/>
    <w:rsid w:val="008B3EC3"/>
    <w:rsid w:val="008B3EFB"/>
    <w:rsid w:val="008B3F50"/>
    <w:rsid w:val="008B3F81"/>
    <w:rsid w:val="008B4268"/>
    <w:rsid w:val="008B4712"/>
    <w:rsid w:val="008B4863"/>
    <w:rsid w:val="008B49A4"/>
    <w:rsid w:val="008B4C83"/>
    <w:rsid w:val="008B4D84"/>
    <w:rsid w:val="008B4F73"/>
    <w:rsid w:val="008B4FAB"/>
    <w:rsid w:val="008B4FDC"/>
    <w:rsid w:val="008B54E8"/>
    <w:rsid w:val="008B570A"/>
    <w:rsid w:val="008B572B"/>
    <w:rsid w:val="008B57D5"/>
    <w:rsid w:val="008B58B0"/>
    <w:rsid w:val="008B5A6F"/>
    <w:rsid w:val="008B5B4C"/>
    <w:rsid w:val="008B5D1B"/>
    <w:rsid w:val="008B5D49"/>
    <w:rsid w:val="008B5DD5"/>
    <w:rsid w:val="008B5EF2"/>
    <w:rsid w:val="008B6000"/>
    <w:rsid w:val="008B621C"/>
    <w:rsid w:val="008B64A3"/>
    <w:rsid w:val="008B6CEF"/>
    <w:rsid w:val="008B6ECB"/>
    <w:rsid w:val="008B6F8C"/>
    <w:rsid w:val="008B70ED"/>
    <w:rsid w:val="008B71CB"/>
    <w:rsid w:val="008B72CA"/>
    <w:rsid w:val="008B74E0"/>
    <w:rsid w:val="008B789F"/>
    <w:rsid w:val="008B796F"/>
    <w:rsid w:val="008B7A9A"/>
    <w:rsid w:val="008B7B13"/>
    <w:rsid w:val="008B7BA8"/>
    <w:rsid w:val="008B7C01"/>
    <w:rsid w:val="008B7C9A"/>
    <w:rsid w:val="008B7F68"/>
    <w:rsid w:val="008C0156"/>
    <w:rsid w:val="008C0361"/>
    <w:rsid w:val="008C03C9"/>
    <w:rsid w:val="008C0459"/>
    <w:rsid w:val="008C054F"/>
    <w:rsid w:val="008C079F"/>
    <w:rsid w:val="008C1194"/>
    <w:rsid w:val="008C1341"/>
    <w:rsid w:val="008C13FB"/>
    <w:rsid w:val="008C1548"/>
    <w:rsid w:val="008C16C5"/>
    <w:rsid w:val="008C185E"/>
    <w:rsid w:val="008C1963"/>
    <w:rsid w:val="008C196C"/>
    <w:rsid w:val="008C1997"/>
    <w:rsid w:val="008C1A8C"/>
    <w:rsid w:val="008C1C26"/>
    <w:rsid w:val="008C1FA1"/>
    <w:rsid w:val="008C2735"/>
    <w:rsid w:val="008C2BCA"/>
    <w:rsid w:val="008C2C62"/>
    <w:rsid w:val="008C2FAB"/>
    <w:rsid w:val="008C30A0"/>
    <w:rsid w:val="008C30D3"/>
    <w:rsid w:val="008C310A"/>
    <w:rsid w:val="008C31F0"/>
    <w:rsid w:val="008C3265"/>
    <w:rsid w:val="008C34A1"/>
    <w:rsid w:val="008C35B6"/>
    <w:rsid w:val="008C3929"/>
    <w:rsid w:val="008C3A2B"/>
    <w:rsid w:val="008C3A96"/>
    <w:rsid w:val="008C3BD6"/>
    <w:rsid w:val="008C3DFB"/>
    <w:rsid w:val="008C4076"/>
    <w:rsid w:val="008C434F"/>
    <w:rsid w:val="008C43C8"/>
    <w:rsid w:val="008C445F"/>
    <w:rsid w:val="008C468B"/>
    <w:rsid w:val="008C4AB0"/>
    <w:rsid w:val="008C4B80"/>
    <w:rsid w:val="008C4C0A"/>
    <w:rsid w:val="008C4F28"/>
    <w:rsid w:val="008C4F50"/>
    <w:rsid w:val="008C5175"/>
    <w:rsid w:val="008C5228"/>
    <w:rsid w:val="008C52A6"/>
    <w:rsid w:val="008C5821"/>
    <w:rsid w:val="008C5877"/>
    <w:rsid w:val="008C5A00"/>
    <w:rsid w:val="008C5C75"/>
    <w:rsid w:val="008C5C8D"/>
    <w:rsid w:val="008C5F7B"/>
    <w:rsid w:val="008C630C"/>
    <w:rsid w:val="008C63BE"/>
    <w:rsid w:val="008C67E7"/>
    <w:rsid w:val="008C68F3"/>
    <w:rsid w:val="008C6C1E"/>
    <w:rsid w:val="008C6C8A"/>
    <w:rsid w:val="008C6CC8"/>
    <w:rsid w:val="008C6D57"/>
    <w:rsid w:val="008C7245"/>
    <w:rsid w:val="008C73AC"/>
    <w:rsid w:val="008C74DA"/>
    <w:rsid w:val="008C74EE"/>
    <w:rsid w:val="008C78BF"/>
    <w:rsid w:val="008C796C"/>
    <w:rsid w:val="008C7A2C"/>
    <w:rsid w:val="008C7C5A"/>
    <w:rsid w:val="008C7DC2"/>
    <w:rsid w:val="008C7E0D"/>
    <w:rsid w:val="008C7FD5"/>
    <w:rsid w:val="008D096F"/>
    <w:rsid w:val="008D0A1A"/>
    <w:rsid w:val="008D0BEB"/>
    <w:rsid w:val="008D0C24"/>
    <w:rsid w:val="008D0C85"/>
    <w:rsid w:val="008D105E"/>
    <w:rsid w:val="008D12B1"/>
    <w:rsid w:val="008D12D0"/>
    <w:rsid w:val="008D1316"/>
    <w:rsid w:val="008D18D4"/>
    <w:rsid w:val="008D1D3F"/>
    <w:rsid w:val="008D1D48"/>
    <w:rsid w:val="008D1F13"/>
    <w:rsid w:val="008D2194"/>
    <w:rsid w:val="008D24FD"/>
    <w:rsid w:val="008D27A2"/>
    <w:rsid w:val="008D29BA"/>
    <w:rsid w:val="008D2A0B"/>
    <w:rsid w:val="008D30AE"/>
    <w:rsid w:val="008D324A"/>
    <w:rsid w:val="008D324C"/>
    <w:rsid w:val="008D3285"/>
    <w:rsid w:val="008D38B9"/>
    <w:rsid w:val="008D3A44"/>
    <w:rsid w:val="008D3ADE"/>
    <w:rsid w:val="008D3EA8"/>
    <w:rsid w:val="008D42C9"/>
    <w:rsid w:val="008D44E6"/>
    <w:rsid w:val="008D481C"/>
    <w:rsid w:val="008D48EA"/>
    <w:rsid w:val="008D494A"/>
    <w:rsid w:val="008D4B3D"/>
    <w:rsid w:val="008D4C21"/>
    <w:rsid w:val="008D4C26"/>
    <w:rsid w:val="008D4E26"/>
    <w:rsid w:val="008D4E9E"/>
    <w:rsid w:val="008D4EA7"/>
    <w:rsid w:val="008D4F1B"/>
    <w:rsid w:val="008D517D"/>
    <w:rsid w:val="008D533C"/>
    <w:rsid w:val="008D53F4"/>
    <w:rsid w:val="008D5971"/>
    <w:rsid w:val="008D60CC"/>
    <w:rsid w:val="008D62D6"/>
    <w:rsid w:val="008D673E"/>
    <w:rsid w:val="008D6752"/>
    <w:rsid w:val="008D6905"/>
    <w:rsid w:val="008D6C54"/>
    <w:rsid w:val="008D6D71"/>
    <w:rsid w:val="008D6DCC"/>
    <w:rsid w:val="008D7526"/>
    <w:rsid w:val="008D7808"/>
    <w:rsid w:val="008D79BE"/>
    <w:rsid w:val="008D79FE"/>
    <w:rsid w:val="008D7A23"/>
    <w:rsid w:val="008D7A36"/>
    <w:rsid w:val="008D7F08"/>
    <w:rsid w:val="008E0724"/>
    <w:rsid w:val="008E0926"/>
    <w:rsid w:val="008E0ACB"/>
    <w:rsid w:val="008E0ACD"/>
    <w:rsid w:val="008E0AF3"/>
    <w:rsid w:val="008E0AF5"/>
    <w:rsid w:val="008E0C06"/>
    <w:rsid w:val="008E0F2D"/>
    <w:rsid w:val="008E0F72"/>
    <w:rsid w:val="008E0FB5"/>
    <w:rsid w:val="008E1580"/>
    <w:rsid w:val="008E169B"/>
    <w:rsid w:val="008E1B9D"/>
    <w:rsid w:val="008E1EA8"/>
    <w:rsid w:val="008E1EC2"/>
    <w:rsid w:val="008E22E3"/>
    <w:rsid w:val="008E23F4"/>
    <w:rsid w:val="008E250E"/>
    <w:rsid w:val="008E267D"/>
    <w:rsid w:val="008E2762"/>
    <w:rsid w:val="008E2825"/>
    <w:rsid w:val="008E294B"/>
    <w:rsid w:val="008E2B73"/>
    <w:rsid w:val="008E2C0D"/>
    <w:rsid w:val="008E2C91"/>
    <w:rsid w:val="008E3308"/>
    <w:rsid w:val="008E3494"/>
    <w:rsid w:val="008E36CA"/>
    <w:rsid w:val="008E3801"/>
    <w:rsid w:val="008E3B08"/>
    <w:rsid w:val="008E3C3B"/>
    <w:rsid w:val="008E3C46"/>
    <w:rsid w:val="008E3DB4"/>
    <w:rsid w:val="008E3E03"/>
    <w:rsid w:val="008E3E7C"/>
    <w:rsid w:val="008E402E"/>
    <w:rsid w:val="008E448E"/>
    <w:rsid w:val="008E4557"/>
    <w:rsid w:val="008E468C"/>
    <w:rsid w:val="008E4AA9"/>
    <w:rsid w:val="008E4C35"/>
    <w:rsid w:val="008E4D2A"/>
    <w:rsid w:val="008E4FDC"/>
    <w:rsid w:val="008E5282"/>
    <w:rsid w:val="008E54E2"/>
    <w:rsid w:val="008E5987"/>
    <w:rsid w:val="008E5E41"/>
    <w:rsid w:val="008E602F"/>
    <w:rsid w:val="008E6588"/>
    <w:rsid w:val="008E6625"/>
    <w:rsid w:val="008E68A2"/>
    <w:rsid w:val="008E6A88"/>
    <w:rsid w:val="008E6B41"/>
    <w:rsid w:val="008E6B5E"/>
    <w:rsid w:val="008E6C36"/>
    <w:rsid w:val="008E6E2E"/>
    <w:rsid w:val="008E7B1C"/>
    <w:rsid w:val="008E7E1C"/>
    <w:rsid w:val="008E7E88"/>
    <w:rsid w:val="008E7ED8"/>
    <w:rsid w:val="008F02EC"/>
    <w:rsid w:val="008F02FE"/>
    <w:rsid w:val="008F0448"/>
    <w:rsid w:val="008F04B9"/>
    <w:rsid w:val="008F04DB"/>
    <w:rsid w:val="008F0550"/>
    <w:rsid w:val="008F08DF"/>
    <w:rsid w:val="008F0A60"/>
    <w:rsid w:val="008F103B"/>
    <w:rsid w:val="008F10A6"/>
    <w:rsid w:val="008F110B"/>
    <w:rsid w:val="008F1494"/>
    <w:rsid w:val="008F1904"/>
    <w:rsid w:val="008F1A96"/>
    <w:rsid w:val="008F1AC9"/>
    <w:rsid w:val="008F1E81"/>
    <w:rsid w:val="008F2132"/>
    <w:rsid w:val="008F21AC"/>
    <w:rsid w:val="008F21BB"/>
    <w:rsid w:val="008F23BC"/>
    <w:rsid w:val="008F2401"/>
    <w:rsid w:val="008F2668"/>
    <w:rsid w:val="008F2BA8"/>
    <w:rsid w:val="008F2E66"/>
    <w:rsid w:val="008F2E95"/>
    <w:rsid w:val="008F2EC4"/>
    <w:rsid w:val="008F315B"/>
    <w:rsid w:val="008F316D"/>
    <w:rsid w:val="008F3340"/>
    <w:rsid w:val="008F3458"/>
    <w:rsid w:val="008F349A"/>
    <w:rsid w:val="008F34EF"/>
    <w:rsid w:val="008F3A27"/>
    <w:rsid w:val="008F3BFD"/>
    <w:rsid w:val="008F4079"/>
    <w:rsid w:val="008F46B0"/>
    <w:rsid w:val="008F4709"/>
    <w:rsid w:val="008F48B4"/>
    <w:rsid w:val="008F4A4E"/>
    <w:rsid w:val="008F4C1E"/>
    <w:rsid w:val="008F4EF4"/>
    <w:rsid w:val="008F4F6F"/>
    <w:rsid w:val="008F50D7"/>
    <w:rsid w:val="008F52FD"/>
    <w:rsid w:val="008F55A6"/>
    <w:rsid w:val="008F56FC"/>
    <w:rsid w:val="008F5D51"/>
    <w:rsid w:val="008F5E9D"/>
    <w:rsid w:val="008F5EEE"/>
    <w:rsid w:val="008F5EF5"/>
    <w:rsid w:val="008F6133"/>
    <w:rsid w:val="008F6713"/>
    <w:rsid w:val="008F678C"/>
    <w:rsid w:val="008F6AB6"/>
    <w:rsid w:val="008F6E62"/>
    <w:rsid w:val="008F6F44"/>
    <w:rsid w:val="008F72F1"/>
    <w:rsid w:val="008F7343"/>
    <w:rsid w:val="008F73C2"/>
    <w:rsid w:val="008F747F"/>
    <w:rsid w:val="008F75D9"/>
    <w:rsid w:val="008F771D"/>
    <w:rsid w:val="008F7AA4"/>
    <w:rsid w:val="008F7B93"/>
    <w:rsid w:val="008F7BEE"/>
    <w:rsid w:val="008F7FD7"/>
    <w:rsid w:val="00900222"/>
    <w:rsid w:val="00900638"/>
    <w:rsid w:val="00900A05"/>
    <w:rsid w:val="00900B08"/>
    <w:rsid w:val="00900C15"/>
    <w:rsid w:val="00900CF7"/>
    <w:rsid w:val="00900ED5"/>
    <w:rsid w:val="00900F31"/>
    <w:rsid w:val="009011DE"/>
    <w:rsid w:val="009012B2"/>
    <w:rsid w:val="0090160F"/>
    <w:rsid w:val="00901654"/>
    <w:rsid w:val="00901811"/>
    <w:rsid w:val="009019A9"/>
    <w:rsid w:val="00901C40"/>
    <w:rsid w:val="009024DA"/>
    <w:rsid w:val="0090263B"/>
    <w:rsid w:val="00902700"/>
    <w:rsid w:val="00902B3B"/>
    <w:rsid w:val="00902DA9"/>
    <w:rsid w:val="0090334F"/>
    <w:rsid w:val="00903353"/>
    <w:rsid w:val="009033D9"/>
    <w:rsid w:val="009035C1"/>
    <w:rsid w:val="0090365C"/>
    <w:rsid w:val="00903B22"/>
    <w:rsid w:val="00903B9B"/>
    <w:rsid w:val="00903D36"/>
    <w:rsid w:val="00903EFE"/>
    <w:rsid w:val="009040FB"/>
    <w:rsid w:val="00904A88"/>
    <w:rsid w:val="00904B37"/>
    <w:rsid w:val="00904CA2"/>
    <w:rsid w:val="00904CE2"/>
    <w:rsid w:val="00904D8A"/>
    <w:rsid w:val="00904E14"/>
    <w:rsid w:val="00904E7C"/>
    <w:rsid w:val="00904FEC"/>
    <w:rsid w:val="009051A4"/>
    <w:rsid w:val="009052E3"/>
    <w:rsid w:val="009055A3"/>
    <w:rsid w:val="0090567C"/>
    <w:rsid w:val="00905AFD"/>
    <w:rsid w:val="00905B78"/>
    <w:rsid w:val="00905E6C"/>
    <w:rsid w:val="00906016"/>
    <w:rsid w:val="00906059"/>
    <w:rsid w:val="00906324"/>
    <w:rsid w:val="009064D0"/>
    <w:rsid w:val="0090660A"/>
    <w:rsid w:val="00906803"/>
    <w:rsid w:val="009068C4"/>
    <w:rsid w:val="0090690E"/>
    <w:rsid w:val="00906C04"/>
    <w:rsid w:val="00906C5F"/>
    <w:rsid w:val="00906D6C"/>
    <w:rsid w:val="00906ECF"/>
    <w:rsid w:val="009072D9"/>
    <w:rsid w:val="00907480"/>
    <w:rsid w:val="0090772C"/>
    <w:rsid w:val="0090775B"/>
    <w:rsid w:val="009078CF"/>
    <w:rsid w:val="00907B3B"/>
    <w:rsid w:val="009100B7"/>
    <w:rsid w:val="009101BA"/>
    <w:rsid w:val="0091026B"/>
    <w:rsid w:val="00910890"/>
    <w:rsid w:val="00910B16"/>
    <w:rsid w:val="00910DF0"/>
    <w:rsid w:val="009115B2"/>
    <w:rsid w:val="0091181F"/>
    <w:rsid w:val="0091241A"/>
    <w:rsid w:val="00912584"/>
    <w:rsid w:val="0091293C"/>
    <w:rsid w:val="009129B8"/>
    <w:rsid w:val="00912A9B"/>
    <w:rsid w:val="00912ACF"/>
    <w:rsid w:val="00912B35"/>
    <w:rsid w:val="00912BAD"/>
    <w:rsid w:val="00912F28"/>
    <w:rsid w:val="00913009"/>
    <w:rsid w:val="00913162"/>
    <w:rsid w:val="00913193"/>
    <w:rsid w:val="0091323B"/>
    <w:rsid w:val="00913258"/>
    <w:rsid w:val="00913382"/>
    <w:rsid w:val="0091350D"/>
    <w:rsid w:val="00913669"/>
    <w:rsid w:val="00913837"/>
    <w:rsid w:val="00913C35"/>
    <w:rsid w:val="00913F18"/>
    <w:rsid w:val="00914132"/>
    <w:rsid w:val="009142B0"/>
    <w:rsid w:val="009142DE"/>
    <w:rsid w:val="009143CE"/>
    <w:rsid w:val="0091445D"/>
    <w:rsid w:val="0091453A"/>
    <w:rsid w:val="00914585"/>
    <w:rsid w:val="009145D1"/>
    <w:rsid w:val="00914976"/>
    <w:rsid w:val="00914B4B"/>
    <w:rsid w:val="00914DCE"/>
    <w:rsid w:val="00914EBC"/>
    <w:rsid w:val="00914FC7"/>
    <w:rsid w:val="00915147"/>
    <w:rsid w:val="009153F4"/>
    <w:rsid w:val="0091574F"/>
    <w:rsid w:val="00915AF5"/>
    <w:rsid w:val="00915BB9"/>
    <w:rsid w:val="00915EF4"/>
    <w:rsid w:val="00915F9F"/>
    <w:rsid w:val="009162DF"/>
    <w:rsid w:val="00916349"/>
    <w:rsid w:val="009164BC"/>
    <w:rsid w:val="0091667B"/>
    <w:rsid w:val="0091699A"/>
    <w:rsid w:val="00916B47"/>
    <w:rsid w:val="00916B7B"/>
    <w:rsid w:val="00916DB8"/>
    <w:rsid w:val="00916DD7"/>
    <w:rsid w:val="00916F5D"/>
    <w:rsid w:val="00917036"/>
    <w:rsid w:val="00917203"/>
    <w:rsid w:val="009172C2"/>
    <w:rsid w:val="00917320"/>
    <w:rsid w:val="0091738C"/>
    <w:rsid w:val="00917423"/>
    <w:rsid w:val="00917493"/>
    <w:rsid w:val="009176B3"/>
    <w:rsid w:val="00917739"/>
    <w:rsid w:val="00917ED5"/>
    <w:rsid w:val="0092021F"/>
    <w:rsid w:val="0092029B"/>
    <w:rsid w:val="0092092E"/>
    <w:rsid w:val="00920983"/>
    <w:rsid w:val="00920C1C"/>
    <w:rsid w:val="00921121"/>
    <w:rsid w:val="009214AA"/>
    <w:rsid w:val="00921AF8"/>
    <w:rsid w:val="00921CFA"/>
    <w:rsid w:val="00921DEA"/>
    <w:rsid w:val="00921F7A"/>
    <w:rsid w:val="00921FEE"/>
    <w:rsid w:val="009221A5"/>
    <w:rsid w:val="009223D4"/>
    <w:rsid w:val="009229C6"/>
    <w:rsid w:val="00922AEE"/>
    <w:rsid w:val="00922CA3"/>
    <w:rsid w:val="0092317F"/>
    <w:rsid w:val="009231EB"/>
    <w:rsid w:val="0092322A"/>
    <w:rsid w:val="009232B5"/>
    <w:rsid w:val="009232E6"/>
    <w:rsid w:val="00923689"/>
    <w:rsid w:val="00923896"/>
    <w:rsid w:val="009238EC"/>
    <w:rsid w:val="00923AF4"/>
    <w:rsid w:val="00923CBE"/>
    <w:rsid w:val="00923F8A"/>
    <w:rsid w:val="00923FEA"/>
    <w:rsid w:val="009241DE"/>
    <w:rsid w:val="0092437F"/>
    <w:rsid w:val="009243BE"/>
    <w:rsid w:val="00924534"/>
    <w:rsid w:val="00924989"/>
    <w:rsid w:val="00924E96"/>
    <w:rsid w:val="00924EE7"/>
    <w:rsid w:val="00924F0B"/>
    <w:rsid w:val="00924FD4"/>
    <w:rsid w:val="00925375"/>
    <w:rsid w:val="00925CD5"/>
    <w:rsid w:val="00925D1C"/>
    <w:rsid w:val="00925D59"/>
    <w:rsid w:val="009261E0"/>
    <w:rsid w:val="0092661B"/>
    <w:rsid w:val="00926A4C"/>
    <w:rsid w:val="00926A5E"/>
    <w:rsid w:val="00926A67"/>
    <w:rsid w:val="00926B8A"/>
    <w:rsid w:val="00927033"/>
    <w:rsid w:val="00927077"/>
    <w:rsid w:val="009271DD"/>
    <w:rsid w:val="00927491"/>
    <w:rsid w:val="009274CA"/>
    <w:rsid w:val="0092766B"/>
    <w:rsid w:val="00927725"/>
    <w:rsid w:val="0092795B"/>
    <w:rsid w:val="00927A81"/>
    <w:rsid w:val="00930043"/>
    <w:rsid w:val="0093029F"/>
    <w:rsid w:val="009303AD"/>
    <w:rsid w:val="0093062F"/>
    <w:rsid w:val="009306F4"/>
    <w:rsid w:val="00930799"/>
    <w:rsid w:val="009308D1"/>
    <w:rsid w:val="00930A49"/>
    <w:rsid w:val="00930BB5"/>
    <w:rsid w:val="00930BBA"/>
    <w:rsid w:val="00930DD7"/>
    <w:rsid w:val="0093105C"/>
    <w:rsid w:val="0093105E"/>
    <w:rsid w:val="00931260"/>
    <w:rsid w:val="00931382"/>
    <w:rsid w:val="009315F7"/>
    <w:rsid w:val="00931789"/>
    <w:rsid w:val="009317D7"/>
    <w:rsid w:val="00931AD4"/>
    <w:rsid w:val="00931F46"/>
    <w:rsid w:val="00932041"/>
    <w:rsid w:val="00932187"/>
    <w:rsid w:val="009321BD"/>
    <w:rsid w:val="00932354"/>
    <w:rsid w:val="00932406"/>
    <w:rsid w:val="0093269C"/>
    <w:rsid w:val="0093275D"/>
    <w:rsid w:val="00932A60"/>
    <w:rsid w:val="00932C5F"/>
    <w:rsid w:val="00932D25"/>
    <w:rsid w:val="00932EEA"/>
    <w:rsid w:val="00933071"/>
    <w:rsid w:val="009331BD"/>
    <w:rsid w:val="009332CF"/>
    <w:rsid w:val="009335D8"/>
    <w:rsid w:val="00933705"/>
    <w:rsid w:val="009337FE"/>
    <w:rsid w:val="009338B2"/>
    <w:rsid w:val="00933999"/>
    <w:rsid w:val="00933C01"/>
    <w:rsid w:val="00933DCE"/>
    <w:rsid w:val="00933E44"/>
    <w:rsid w:val="00933E54"/>
    <w:rsid w:val="00933F72"/>
    <w:rsid w:val="009340E4"/>
    <w:rsid w:val="00934464"/>
    <w:rsid w:val="00934488"/>
    <w:rsid w:val="009344DA"/>
    <w:rsid w:val="009346DB"/>
    <w:rsid w:val="009346E5"/>
    <w:rsid w:val="00934A0E"/>
    <w:rsid w:val="00934BDC"/>
    <w:rsid w:val="00934C05"/>
    <w:rsid w:val="00934C4A"/>
    <w:rsid w:val="00934CD2"/>
    <w:rsid w:val="00934EB3"/>
    <w:rsid w:val="00934F7D"/>
    <w:rsid w:val="00935053"/>
    <w:rsid w:val="0093506F"/>
    <w:rsid w:val="0093523B"/>
    <w:rsid w:val="00935410"/>
    <w:rsid w:val="00935423"/>
    <w:rsid w:val="00935617"/>
    <w:rsid w:val="00935658"/>
    <w:rsid w:val="00935872"/>
    <w:rsid w:val="00935E35"/>
    <w:rsid w:val="00936084"/>
    <w:rsid w:val="009361D8"/>
    <w:rsid w:val="00936426"/>
    <w:rsid w:val="009369F9"/>
    <w:rsid w:val="00936A91"/>
    <w:rsid w:val="00936D31"/>
    <w:rsid w:val="00937062"/>
    <w:rsid w:val="009372A1"/>
    <w:rsid w:val="00937562"/>
    <w:rsid w:val="00937595"/>
    <w:rsid w:val="00937601"/>
    <w:rsid w:val="00937681"/>
    <w:rsid w:val="009377CE"/>
    <w:rsid w:val="00937B18"/>
    <w:rsid w:val="00937C75"/>
    <w:rsid w:val="00937E3B"/>
    <w:rsid w:val="00937EE6"/>
    <w:rsid w:val="00937F30"/>
    <w:rsid w:val="00940225"/>
    <w:rsid w:val="00940306"/>
    <w:rsid w:val="00940720"/>
    <w:rsid w:val="0094085E"/>
    <w:rsid w:val="0094090C"/>
    <w:rsid w:val="00940BE8"/>
    <w:rsid w:val="00940D55"/>
    <w:rsid w:val="00940DD8"/>
    <w:rsid w:val="00940E4A"/>
    <w:rsid w:val="00940FBA"/>
    <w:rsid w:val="00940FCF"/>
    <w:rsid w:val="00941091"/>
    <w:rsid w:val="009413ED"/>
    <w:rsid w:val="00941639"/>
    <w:rsid w:val="009416B6"/>
    <w:rsid w:val="00941761"/>
    <w:rsid w:val="00941846"/>
    <w:rsid w:val="00941A7B"/>
    <w:rsid w:val="00941A8C"/>
    <w:rsid w:val="00941E38"/>
    <w:rsid w:val="00941EC8"/>
    <w:rsid w:val="009421F2"/>
    <w:rsid w:val="009424E8"/>
    <w:rsid w:val="009426F0"/>
    <w:rsid w:val="00942787"/>
    <w:rsid w:val="009427F1"/>
    <w:rsid w:val="00942860"/>
    <w:rsid w:val="00942861"/>
    <w:rsid w:val="00942956"/>
    <w:rsid w:val="00942BBF"/>
    <w:rsid w:val="009432B3"/>
    <w:rsid w:val="009434D0"/>
    <w:rsid w:val="00943540"/>
    <w:rsid w:val="009436C8"/>
    <w:rsid w:val="00943731"/>
    <w:rsid w:val="009437A5"/>
    <w:rsid w:val="0094396B"/>
    <w:rsid w:val="00943B9C"/>
    <w:rsid w:val="009440C7"/>
    <w:rsid w:val="0094424A"/>
    <w:rsid w:val="0094435D"/>
    <w:rsid w:val="009443EC"/>
    <w:rsid w:val="00944563"/>
    <w:rsid w:val="009446A6"/>
    <w:rsid w:val="00944AD7"/>
    <w:rsid w:val="00944C64"/>
    <w:rsid w:val="00944DE2"/>
    <w:rsid w:val="00944F27"/>
    <w:rsid w:val="009450C9"/>
    <w:rsid w:val="0094534D"/>
    <w:rsid w:val="009453A9"/>
    <w:rsid w:val="00945550"/>
    <w:rsid w:val="0094585D"/>
    <w:rsid w:val="009458B9"/>
    <w:rsid w:val="00945DE0"/>
    <w:rsid w:val="00946003"/>
    <w:rsid w:val="00946208"/>
    <w:rsid w:val="00946311"/>
    <w:rsid w:val="00946319"/>
    <w:rsid w:val="00946402"/>
    <w:rsid w:val="00946A1F"/>
    <w:rsid w:val="00946B11"/>
    <w:rsid w:val="00946C47"/>
    <w:rsid w:val="00946F05"/>
    <w:rsid w:val="00946F91"/>
    <w:rsid w:val="00946FA4"/>
    <w:rsid w:val="009475C5"/>
    <w:rsid w:val="0094778C"/>
    <w:rsid w:val="00947B23"/>
    <w:rsid w:val="00947E23"/>
    <w:rsid w:val="00947E48"/>
    <w:rsid w:val="00950026"/>
    <w:rsid w:val="009500A1"/>
    <w:rsid w:val="009500E4"/>
    <w:rsid w:val="0095033C"/>
    <w:rsid w:val="00950751"/>
    <w:rsid w:val="00950932"/>
    <w:rsid w:val="00950AF1"/>
    <w:rsid w:val="00950FCE"/>
    <w:rsid w:val="00951323"/>
    <w:rsid w:val="00951A1E"/>
    <w:rsid w:val="00951AA6"/>
    <w:rsid w:val="00951B72"/>
    <w:rsid w:val="00951CAF"/>
    <w:rsid w:val="00952210"/>
    <w:rsid w:val="009529CB"/>
    <w:rsid w:val="00952D82"/>
    <w:rsid w:val="00952FDF"/>
    <w:rsid w:val="009532CE"/>
    <w:rsid w:val="00953388"/>
    <w:rsid w:val="009536DD"/>
    <w:rsid w:val="00953AA5"/>
    <w:rsid w:val="00953B11"/>
    <w:rsid w:val="00953E19"/>
    <w:rsid w:val="00953F09"/>
    <w:rsid w:val="00953FFF"/>
    <w:rsid w:val="0095405D"/>
    <w:rsid w:val="00954602"/>
    <w:rsid w:val="009546B2"/>
    <w:rsid w:val="0095481F"/>
    <w:rsid w:val="00954DEA"/>
    <w:rsid w:val="00954F4E"/>
    <w:rsid w:val="0095506D"/>
    <w:rsid w:val="009553A4"/>
    <w:rsid w:val="0095556C"/>
    <w:rsid w:val="00955A8F"/>
    <w:rsid w:val="00955E2D"/>
    <w:rsid w:val="009561B1"/>
    <w:rsid w:val="009561FE"/>
    <w:rsid w:val="0095631B"/>
    <w:rsid w:val="009563FA"/>
    <w:rsid w:val="009566B3"/>
    <w:rsid w:val="00956938"/>
    <w:rsid w:val="00956977"/>
    <w:rsid w:val="00956B04"/>
    <w:rsid w:val="00956BA1"/>
    <w:rsid w:val="00956C96"/>
    <w:rsid w:val="00956E88"/>
    <w:rsid w:val="009571CD"/>
    <w:rsid w:val="00957207"/>
    <w:rsid w:val="009576BC"/>
    <w:rsid w:val="00957710"/>
    <w:rsid w:val="0095797A"/>
    <w:rsid w:val="00957A88"/>
    <w:rsid w:val="00957A8D"/>
    <w:rsid w:val="00957CA1"/>
    <w:rsid w:val="00957CC0"/>
    <w:rsid w:val="00957E4A"/>
    <w:rsid w:val="00960298"/>
    <w:rsid w:val="009602F8"/>
    <w:rsid w:val="009603BC"/>
    <w:rsid w:val="009603E0"/>
    <w:rsid w:val="009605B9"/>
    <w:rsid w:val="009607D6"/>
    <w:rsid w:val="00960B4C"/>
    <w:rsid w:val="00960C1F"/>
    <w:rsid w:val="00960D46"/>
    <w:rsid w:val="00960F08"/>
    <w:rsid w:val="0096124C"/>
    <w:rsid w:val="00961304"/>
    <w:rsid w:val="00961B00"/>
    <w:rsid w:val="00961C8B"/>
    <w:rsid w:val="00961D52"/>
    <w:rsid w:val="00961D79"/>
    <w:rsid w:val="00961F91"/>
    <w:rsid w:val="009620B1"/>
    <w:rsid w:val="0096222E"/>
    <w:rsid w:val="00962459"/>
    <w:rsid w:val="00962679"/>
    <w:rsid w:val="009627FE"/>
    <w:rsid w:val="009629B8"/>
    <w:rsid w:val="00962A5E"/>
    <w:rsid w:val="00962DF5"/>
    <w:rsid w:val="00962F71"/>
    <w:rsid w:val="00962FFE"/>
    <w:rsid w:val="009630A9"/>
    <w:rsid w:val="009632FD"/>
    <w:rsid w:val="00963822"/>
    <w:rsid w:val="00963A84"/>
    <w:rsid w:val="00963D47"/>
    <w:rsid w:val="00964088"/>
    <w:rsid w:val="00964261"/>
    <w:rsid w:val="00964480"/>
    <w:rsid w:val="00964496"/>
    <w:rsid w:val="00964556"/>
    <w:rsid w:val="009645F9"/>
    <w:rsid w:val="00964636"/>
    <w:rsid w:val="00964B68"/>
    <w:rsid w:val="00964D23"/>
    <w:rsid w:val="009650EC"/>
    <w:rsid w:val="00965223"/>
    <w:rsid w:val="0096533B"/>
    <w:rsid w:val="00965850"/>
    <w:rsid w:val="009659F4"/>
    <w:rsid w:val="00965B68"/>
    <w:rsid w:val="00966329"/>
    <w:rsid w:val="009663EC"/>
    <w:rsid w:val="0096643F"/>
    <w:rsid w:val="0096650C"/>
    <w:rsid w:val="00966A3C"/>
    <w:rsid w:val="00966AA6"/>
    <w:rsid w:val="00966BBB"/>
    <w:rsid w:val="00966C0E"/>
    <w:rsid w:val="00966DC6"/>
    <w:rsid w:val="00966E29"/>
    <w:rsid w:val="00966ED5"/>
    <w:rsid w:val="009671FE"/>
    <w:rsid w:val="009673D8"/>
    <w:rsid w:val="00967440"/>
    <w:rsid w:val="009677C2"/>
    <w:rsid w:val="00967EF2"/>
    <w:rsid w:val="00967F99"/>
    <w:rsid w:val="00970186"/>
    <w:rsid w:val="0097053E"/>
    <w:rsid w:val="009707B6"/>
    <w:rsid w:val="009707DB"/>
    <w:rsid w:val="00970800"/>
    <w:rsid w:val="00970908"/>
    <w:rsid w:val="00970B9C"/>
    <w:rsid w:val="00970DC7"/>
    <w:rsid w:val="009710DB"/>
    <w:rsid w:val="00971142"/>
    <w:rsid w:val="0097127A"/>
    <w:rsid w:val="00971289"/>
    <w:rsid w:val="009712D0"/>
    <w:rsid w:val="00971329"/>
    <w:rsid w:val="0097138C"/>
    <w:rsid w:val="009715A2"/>
    <w:rsid w:val="009715D9"/>
    <w:rsid w:val="00971747"/>
    <w:rsid w:val="00971A18"/>
    <w:rsid w:val="00971BDD"/>
    <w:rsid w:val="00971C4C"/>
    <w:rsid w:val="00971E79"/>
    <w:rsid w:val="00972308"/>
    <w:rsid w:val="0097246D"/>
    <w:rsid w:val="009726B3"/>
    <w:rsid w:val="00972957"/>
    <w:rsid w:val="0097299D"/>
    <w:rsid w:val="00972D22"/>
    <w:rsid w:val="00973019"/>
    <w:rsid w:val="009730CE"/>
    <w:rsid w:val="0097316B"/>
    <w:rsid w:val="009731DC"/>
    <w:rsid w:val="00973324"/>
    <w:rsid w:val="0097367F"/>
    <w:rsid w:val="009737AD"/>
    <w:rsid w:val="00973904"/>
    <w:rsid w:val="00973B0A"/>
    <w:rsid w:val="00973E2A"/>
    <w:rsid w:val="00973F9A"/>
    <w:rsid w:val="0097410E"/>
    <w:rsid w:val="009742BF"/>
    <w:rsid w:val="0097433B"/>
    <w:rsid w:val="00974489"/>
    <w:rsid w:val="009744EE"/>
    <w:rsid w:val="009746D8"/>
    <w:rsid w:val="009747CE"/>
    <w:rsid w:val="00974B07"/>
    <w:rsid w:val="00974B9F"/>
    <w:rsid w:val="00974C20"/>
    <w:rsid w:val="00974E81"/>
    <w:rsid w:val="00974F2B"/>
    <w:rsid w:val="00975094"/>
    <w:rsid w:val="00975141"/>
    <w:rsid w:val="009751D7"/>
    <w:rsid w:val="009753EE"/>
    <w:rsid w:val="00975440"/>
    <w:rsid w:val="00975A2B"/>
    <w:rsid w:val="00975E61"/>
    <w:rsid w:val="00976047"/>
    <w:rsid w:val="009760B2"/>
    <w:rsid w:val="009761E8"/>
    <w:rsid w:val="009762E3"/>
    <w:rsid w:val="00976344"/>
    <w:rsid w:val="00976683"/>
    <w:rsid w:val="00976787"/>
    <w:rsid w:val="00976841"/>
    <w:rsid w:val="00976B93"/>
    <w:rsid w:val="00976C74"/>
    <w:rsid w:val="00976EBC"/>
    <w:rsid w:val="00977075"/>
    <w:rsid w:val="009770C7"/>
    <w:rsid w:val="0097743A"/>
    <w:rsid w:val="00977783"/>
    <w:rsid w:val="009777B0"/>
    <w:rsid w:val="00977938"/>
    <w:rsid w:val="00977CF2"/>
    <w:rsid w:val="00977EA7"/>
    <w:rsid w:val="00977FED"/>
    <w:rsid w:val="00980208"/>
    <w:rsid w:val="00980678"/>
    <w:rsid w:val="00980705"/>
    <w:rsid w:val="0098085D"/>
    <w:rsid w:val="00980A12"/>
    <w:rsid w:val="00980CFA"/>
    <w:rsid w:val="00980D1C"/>
    <w:rsid w:val="00980D34"/>
    <w:rsid w:val="00980E13"/>
    <w:rsid w:val="0098109C"/>
    <w:rsid w:val="00981162"/>
    <w:rsid w:val="0098120E"/>
    <w:rsid w:val="009813D9"/>
    <w:rsid w:val="00981443"/>
    <w:rsid w:val="00981619"/>
    <w:rsid w:val="00981705"/>
    <w:rsid w:val="009817FA"/>
    <w:rsid w:val="00981A9D"/>
    <w:rsid w:val="00981B09"/>
    <w:rsid w:val="00981C97"/>
    <w:rsid w:val="00981D9D"/>
    <w:rsid w:val="00981EA3"/>
    <w:rsid w:val="00981EA4"/>
    <w:rsid w:val="00982619"/>
    <w:rsid w:val="00982B20"/>
    <w:rsid w:val="00982BE3"/>
    <w:rsid w:val="00982E2B"/>
    <w:rsid w:val="00982EC6"/>
    <w:rsid w:val="00982ECB"/>
    <w:rsid w:val="00983297"/>
    <w:rsid w:val="009834F0"/>
    <w:rsid w:val="0098359B"/>
    <w:rsid w:val="009835C4"/>
    <w:rsid w:val="009836DA"/>
    <w:rsid w:val="00983879"/>
    <w:rsid w:val="009839D6"/>
    <w:rsid w:val="00983B9C"/>
    <w:rsid w:val="00983BBA"/>
    <w:rsid w:val="009840CE"/>
    <w:rsid w:val="0098464D"/>
    <w:rsid w:val="0098486A"/>
    <w:rsid w:val="00984AA8"/>
    <w:rsid w:val="00984AB4"/>
    <w:rsid w:val="00984AF6"/>
    <w:rsid w:val="00984F56"/>
    <w:rsid w:val="00985076"/>
    <w:rsid w:val="009850A1"/>
    <w:rsid w:val="00985230"/>
    <w:rsid w:val="009858CF"/>
    <w:rsid w:val="0098598F"/>
    <w:rsid w:val="00985BDB"/>
    <w:rsid w:val="00986397"/>
    <w:rsid w:val="00986503"/>
    <w:rsid w:val="009865FB"/>
    <w:rsid w:val="009867B5"/>
    <w:rsid w:val="009867E4"/>
    <w:rsid w:val="009868A5"/>
    <w:rsid w:val="00986971"/>
    <w:rsid w:val="009869CE"/>
    <w:rsid w:val="00986AC8"/>
    <w:rsid w:val="00986C1D"/>
    <w:rsid w:val="00987330"/>
    <w:rsid w:val="009873C2"/>
    <w:rsid w:val="009874DB"/>
    <w:rsid w:val="0098752A"/>
    <w:rsid w:val="0098783F"/>
    <w:rsid w:val="00987944"/>
    <w:rsid w:val="00987A43"/>
    <w:rsid w:val="00987B42"/>
    <w:rsid w:val="00987B85"/>
    <w:rsid w:val="00987C93"/>
    <w:rsid w:val="00987DCE"/>
    <w:rsid w:val="0099000F"/>
    <w:rsid w:val="00990153"/>
    <w:rsid w:val="0099018C"/>
    <w:rsid w:val="0099031D"/>
    <w:rsid w:val="00990355"/>
    <w:rsid w:val="009906A2"/>
    <w:rsid w:val="00990981"/>
    <w:rsid w:val="0099098C"/>
    <w:rsid w:val="00990A3A"/>
    <w:rsid w:val="00990CDB"/>
    <w:rsid w:val="00990EA2"/>
    <w:rsid w:val="00991138"/>
    <w:rsid w:val="0099146F"/>
    <w:rsid w:val="0099147F"/>
    <w:rsid w:val="009914B9"/>
    <w:rsid w:val="009915A4"/>
    <w:rsid w:val="009915AF"/>
    <w:rsid w:val="00991665"/>
    <w:rsid w:val="00991768"/>
    <w:rsid w:val="00991A8F"/>
    <w:rsid w:val="00991D21"/>
    <w:rsid w:val="00991F0E"/>
    <w:rsid w:val="00991F77"/>
    <w:rsid w:val="009920BA"/>
    <w:rsid w:val="009921C7"/>
    <w:rsid w:val="009921F0"/>
    <w:rsid w:val="00992332"/>
    <w:rsid w:val="0099266F"/>
    <w:rsid w:val="00992B79"/>
    <w:rsid w:val="00992D03"/>
    <w:rsid w:val="00992ED5"/>
    <w:rsid w:val="009933A5"/>
    <w:rsid w:val="00993506"/>
    <w:rsid w:val="0099355C"/>
    <w:rsid w:val="0099372A"/>
    <w:rsid w:val="00993BD9"/>
    <w:rsid w:val="00993C00"/>
    <w:rsid w:val="009944DD"/>
    <w:rsid w:val="00994545"/>
    <w:rsid w:val="009945BF"/>
    <w:rsid w:val="00994D82"/>
    <w:rsid w:val="00995327"/>
    <w:rsid w:val="00995399"/>
    <w:rsid w:val="00995A4A"/>
    <w:rsid w:val="00995B60"/>
    <w:rsid w:val="00995BD1"/>
    <w:rsid w:val="00995D36"/>
    <w:rsid w:val="00995E3D"/>
    <w:rsid w:val="009961EC"/>
    <w:rsid w:val="00996208"/>
    <w:rsid w:val="009963B2"/>
    <w:rsid w:val="0099650A"/>
    <w:rsid w:val="0099669D"/>
    <w:rsid w:val="00996F11"/>
    <w:rsid w:val="00997230"/>
    <w:rsid w:val="00997338"/>
    <w:rsid w:val="0099789C"/>
    <w:rsid w:val="009978F0"/>
    <w:rsid w:val="00997B35"/>
    <w:rsid w:val="00997D08"/>
    <w:rsid w:val="00997E06"/>
    <w:rsid w:val="00997F86"/>
    <w:rsid w:val="009A041A"/>
    <w:rsid w:val="009A04E6"/>
    <w:rsid w:val="009A052B"/>
    <w:rsid w:val="009A0BD1"/>
    <w:rsid w:val="009A0E40"/>
    <w:rsid w:val="009A1071"/>
    <w:rsid w:val="009A1466"/>
    <w:rsid w:val="009A1668"/>
    <w:rsid w:val="009A1867"/>
    <w:rsid w:val="009A18CC"/>
    <w:rsid w:val="009A19FB"/>
    <w:rsid w:val="009A1AB1"/>
    <w:rsid w:val="009A1B27"/>
    <w:rsid w:val="009A1BB8"/>
    <w:rsid w:val="009A1C5A"/>
    <w:rsid w:val="009A1FD7"/>
    <w:rsid w:val="009A2049"/>
    <w:rsid w:val="009A219C"/>
    <w:rsid w:val="009A24AE"/>
    <w:rsid w:val="009A24EF"/>
    <w:rsid w:val="009A27DB"/>
    <w:rsid w:val="009A2B02"/>
    <w:rsid w:val="009A32FC"/>
    <w:rsid w:val="009A340A"/>
    <w:rsid w:val="009A3803"/>
    <w:rsid w:val="009A40CB"/>
    <w:rsid w:val="009A4108"/>
    <w:rsid w:val="009A4601"/>
    <w:rsid w:val="009A478D"/>
    <w:rsid w:val="009A4F66"/>
    <w:rsid w:val="009A51B3"/>
    <w:rsid w:val="009A5270"/>
    <w:rsid w:val="009A52F1"/>
    <w:rsid w:val="009A53B7"/>
    <w:rsid w:val="009A5951"/>
    <w:rsid w:val="009A636C"/>
    <w:rsid w:val="009A64F1"/>
    <w:rsid w:val="009A659D"/>
    <w:rsid w:val="009A67B2"/>
    <w:rsid w:val="009A70A5"/>
    <w:rsid w:val="009A74AA"/>
    <w:rsid w:val="009A74AD"/>
    <w:rsid w:val="009A79B2"/>
    <w:rsid w:val="009A7E6A"/>
    <w:rsid w:val="009A7ED5"/>
    <w:rsid w:val="009B0170"/>
    <w:rsid w:val="009B01D6"/>
    <w:rsid w:val="009B02DD"/>
    <w:rsid w:val="009B07D3"/>
    <w:rsid w:val="009B09AA"/>
    <w:rsid w:val="009B0BEF"/>
    <w:rsid w:val="009B0EA5"/>
    <w:rsid w:val="009B0EF4"/>
    <w:rsid w:val="009B146C"/>
    <w:rsid w:val="009B1A9D"/>
    <w:rsid w:val="009B1C9A"/>
    <w:rsid w:val="009B1D0E"/>
    <w:rsid w:val="009B1EAA"/>
    <w:rsid w:val="009B2018"/>
    <w:rsid w:val="009B22B7"/>
    <w:rsid w:val="009B2809"/>
    <w:rsid w:val="009B283E"/>
    <w:rsid w:val="009B2962"/>
    <w:rsid w:val="009B2A30"/>
    <w:rsid w:val="009B2A9D"/>
    <w:rsid w:val="009B2C57"/>
    <w:rsid w:val="009B2F62"/>
    <w:rsid w:val="009B3153"/>
    <w:rsid w:val="009B32AB"/>
    <w:rsid w:val="009B3464"/>
    <w:rsid w:val="009B3A1E"/>
    <w:rsid w:val="009B4024"/>
    <w:rsid w:val="009B4123"/>
    <w:rsid w:val="009B4195"/>
    <w:rsid w:val="009B4368"/>
    <w:rsid w:val="009B449D"/>
    <w:rsid w:val="009B45ED"/>
    <w:rsid w:val="009B478C"/>
    <w:rsid w:val="009B47D7"/>
    <w:rsid w:val="009B48A3"/>
    <w:rsid w:val="009B48C6"/>
    <w:rsid w:val="009B49A5"/>
    <w:rsid w:val="009B4A68"/>
    <w:rsid w:val="009B4AB1"/>
    <w:rsid w:val="009B4B48"/>
    <w:rsid w:val="009B4D8B"/>
    <w:rsid w:val="009B4FA7"/>
    <w:rsid w:val="009B4FD2"/>
    <w:rsid w:val="009B5014"/>
    <w:rsid w:val="009B50B2"/>
    <w:rsid w:val="009B5103"/>
    <w:rsid w:val="009B5358"/>
    <w:rsid w:val="009B542E"/>
    <w:rsid w:val="009B5497"/>
    <w:rsid w:val="009B55C0"/>
    <w:rsid w:val="009B57FA"/>
    <w:rsid w:val="009B5C26"/>
    <w:rsid w:val="009B5D5C"/>
    <w:rsid w:val="009B5EAB"/>
    <w:rsid w:val="009B5EBD"/>
    <w:rsid w:val="009B5F2C"/>
    <w:rsid w:val="009B61DD"/>
    <w:rsid w:val="009B625B"/>
    <w:rsid w:val="009B6B23"/>
    <w:rsid w:val="009B6B25"/>
    <w:rsid w:val="009B6B2A"/>
    <w:rsid w:val="009B6E21"/>
    <w:rsid w:val="009B6F80"/>
    <w:rsid w:val="009B7033"/>
    <w:rsid w:val="009B71EE"/>
    <w:rsid w:val="009B7F21"/>
    <w:rsid w:val="009C0193"/>
    <w:rsid w:val="009C0506"/>
    <w:rsid w:val="009C0558"/>
    <w:rsid w:val="009C06F2"/>
    <w:rsid w:val="009C0FF4"/>
    <w:rsid w:val="009C106F"/>
    <w:rsid w:val="009C1451"/>
    <w:rsid w:val="009C1611"/>
    <w:rsid w:val="009C172D"/>
    <w:rsid w:val="009C18A4"/>
    <w:rsid w:val="009C1A2F"/>
    <w:rsid w:val="009C1B11"/>
    <w:rsid w:val="009C1BA5"/>
    <w:rsid w:val="009C2007"/>
    <w:rsid w:val="009C2054"/>
    <w:rsid w:val="009C20A9"/>
    <w:rsid w:val="009C226B"/>
    <w:rsid w:val="009C259B"/>
    <w:rsid w:val="009C2BB5"/>
    <w:rsid w:val="009C2BD5"/>
    <w:rsid w:val="009C2C8C"/>
    <w:rsid w:val="009C2D2B"/>
    <w:rsid w:val="009C2F67"/>
    <w:rsid w:val="009C308D"/>
    <w:rsid w:val="009C327F"/>
    <w:rsid w:val="009C367C"/>
    <w:rsid w:val="009C3738"/>
    <w:rsid w:val="009C3DB0"/>
    <w:rsid w:val="009C3DD5"/>
    <w:rsid w:val="009C3E35"/>
    <w:rsid w:val="009C4024"/>
    <w:rsid w:val="009C4464"/>
    <w:rsid w:val="009C4663"/>
    <w:rsid w:val="009C482C"/>
    <w:rsid w:val="009C4A9D"/>
    <w:rsid w:val="009C4AF8"/>
    <w:rsid w:val="009C4D21"/>
    <w:rsid w:val="009C4EF7"/>
    <w:rsid w:val="009C559C"/>
    <w:rsid w:val="009C565D"/>
    <w:rsid w:val="009C5665"/>
    <w:rsid w:val="009C5DE7"/>
    <w:rsid w:val="009C605F"/>
    <w:rsid w:val="009C631B"/>
    <w:rsid w:val="009C63CF"/>
    <w:rsid w:val="009C64D5"/>
    <w:rsid w:val="009C67F5"/>
    <w:rsid w:val="009C6802"/>
    <w:rsid w:val="009C689C"/>
    <w:rsid w:val="009C68E8"/>
    <w:rsid w:val="009C6DAE"/>
    <w:rsid w:val="009C6FAA"/>
    <w:rsid w:val="009C7015"/>
    <w:rsid w:val="009C7298"/>
    <w:rsid w:val="009C7382"/>
    <w:rsid w:val="009C74BA"/>
    <w:rsid w:val="009C74BE"/>
    <w:rsid w:val="009C74C7"/>
    <w:rsid w:val="009C768C"/>
    <w:rsid w:val="009C783C"/>
    <w:rsid w:val="009C7AB8"/>
    <w:rsid w:val="009C7B1B"/>
    <w:rsid w:val="009C7CCC"/>
    <w:rsid w:val="009C7D2F"/>
    <w:rsid w:val="009C7DE7"/>
    <w:rsid w:val="009D000D"/>
    <w:rsid w:val="009D0089"/>
    <w:rsid w:val="009D00AF"/>
    <w:rsid w:val="009D013B"/>
    <w:rsid w:val="009D0277"/>
    <w:rsid w:val="009D04C6"/>
    <w:rsid w:val="009D04F5"/>
    <w:rsid w:val="009D050E"/>
    <w:rsid w:val="009D05D8"/>
    <w:rsid w:val="009D05DC"/>
    <w:rsid w:val="009D05F1"/>
    <w:rsid w:val="009D0848"/>
    <w:rsid w:val="009D09E9"/>
    <w:rsid w:val="009D0ABE"/>
    <w:rsid w:val="009D0C11"/>
    <w:rsid w:val="009D0E2F"/>
    <w:rsid w:val="009D11C7"/>
    <w:rsid w:val="009D1B95"/>
    <w:rsid w:val="009D1DA5"/>
    <w:rsid w:val="009D2017"/>
    <w:rsid w:val="009D2053"/>
    <w:rsid w:val="009D2399"/>
    <w:rsid w:val="009D2648"/>
    <w:rsid w:val="009D264D"/>
    <w:rsid w:val="009D266F"/>
    <w:rsid w:val="009D2A7F"/>
    <w:rsid w:val="009D2B4C"/>
    <w:rsid w:val="009D2CD8"/>
    <w:rsid w:val="009D2CF3"/>
    <w:rsid w:val="009D2E25"/>
    <w:rsid w:val="009D308D"/>
    <w:rsid w:val="009D3355"/>
    <w:rsid w:val="009D335A"/>
    <w:rsid w:val="009D342F"/>
    <w:rsid w:val="009D351D"/>
    <w:rsid w:val="009D36B8"/>
    <w:rsid w:val="009D3ABB"/>
    <w:rsid w:val="009D3B35"/>
    <w:rsid w:val="009D3C8E"/>
    <w:rsid w:val="009D428A"/>
    <w:rsid w:val="009D4358"/>
    <w:rsid w:val="009D44A3"/>
    <w:rsid w:val="009D46F1"/>
    <w:rsid w:val="009D4852"/>
    <w:rsid w:val="009D4A3D"/>
    <w:rsid w:val="009D4A99"/>
    <w:rsid w:val="009D5062"/>
    <w:rsid w:val="009D530F"/>
    <w:rsid w:val="009D548E"/>
    <w:rsid w:val="009D5628"/>
    <w:rsid w:val="009D5754"/>
    <w:rsid w:val="009D576A"/>
    <w:rsid w:val="009D59BB"/>
    <w:rsid w:val="009D5B46"/>
    <w:rsid w:val="009D5DDE"/>
    <w:rsid w:val="009D5F5A"/>
    <w:rsid w:val="009D5FA3"/>
    <w:rsid w:val="009D609E"/>
    <w:rsid w:val="009D60B4"/>
    <w:rsid w:val="009D61C1"/>
    <w:rsid w:val="009D61DC"/>
    <w:rsid w:val="009D61F8"/>
    <w:rsid w:val="009D62D5"/>
    <w:rsid w:val="009D668D"/>
    <w:rsid w:val="009D68EE"/>
    <w:rsid w:val="009D6C06"/>
    <w:rsid w:val="009D7116"/>
    <w:rsid w:val="009D72CB"/>
    <w:rsid w:val="009D73F9"/>
    <w:rsid w:val="009D74B6"/>
    <w:rsid w:val="009D7516"/>
    <w:rsid w:val="009D7595"/>
    <w:rsid w:val="009D75E4"/>
    <w:rsid w:val="009D7625"/>
    <w:rsid w:val="009D7730"/>
    <w:rsid w:val="009D7796"/>
    <w:rsid w:val="009D7906"/>
    <w:rsid w:val="009D7BBF"/>
    <w:rsid w:val="009D7BCE"/>
    <w:rsid w:val="009E032D"/>
    <w:rsid w:val="009E04D6"/>
    <w:rsid w:val="009E0565"/>
    <w:rsid w:val="009E0A1A"/>
    <w:rsid w:val="009E0C93"/>
    <w:rsid w:val="009E0DEE"/>
    <w:rsid w:val="009E0F45"/>
    <w:rsid w:val="009E12FF"/>
    <w:rsid w:val="009E13AB"/>
    <w:rsid w:val="009E1804"/>
    <w:rsid w:val="009E1B04"/>
    <w:rsid w:val="009E1B24"/>
    <w:rsid w:val="009E1B7A"/>
    <w:rsid w:val="009E1C1B"/>
    <w:rsid w:val="009E1DAC"/>
    <w:rsid w:val="009E2223"/>
    <w:rsid w:val="009E2597"/>
    <w:rsid w:val="009E2921"/>
    <w:rsid w:val="009E2A5E"/>
    <w:rsid w:val="009E2F8D"/>
    <w:rsid w:val="009E300C"/>
    <w:rsid w:val="009E329D"/>
    <w:rsid w:val="009E3638"/>
    <w:rsid w:val="009E3A30"/>
    <w:rsid w:val="009E4434"/>
    <w:rsid w:val="009E44A3"/>
    <w:rsid w:val="009E48AB"/>
    <w:rsid w:val="009E4A81"/>
    <w:rsid w:val="009E4C12"/>
    <w:rsid w:val="009E4ED0"/>
    <w:rsid w:val="009E5195"/>
    <w:rsid w:val="009E5259"/>
    <w:rsid w:val="009E542B"/>
    <w:rsid w:val="009E5892"/>
    <w:rsid w:val="009E5BEA"/>
    <w:rsid w:val="009E5DC8"/>
    <w:rsid w:val="009E5EDA"/>
    <w:rsid w:val="009E5FB1"/>
    <w:rsid w:val="009E61F3"/>
    <w:rsid w:val="009E63ED"/>
    <w:rsid w:val="009E67D5"/>
    <w:rsid w:val="009E6A4A"/>
    <w:rsid w:val="009E6C19"/>
    <w:rsid w:val="009E6CAB"/>
    <w:rsid w:val="009E6CB0"/>
    <w:rsid w:val="009E7139"/>
    <w:rsid w:val="009E7362"/>
    <w:rsid w:val="009E747D"/>
    <w:rsid w:val="009E74D2"/>
    <w:rsid w:val="009E77B1"/>
    <w:rsid w:val="009E7CD0"/>
    <w:rsid w:val="009F00C0"/>
    <w:rsid w:val="009F0288"/>
    <w:rsid w:val="009F03E4"/>
    <w:rsid w:val="009F064A"/>
    <w:rsid w:val="009F0703"/>
    <w:rsid w:val="009F077D"/>
    <w:rsid w:val="009F07C5"/>
    <w:rsid w:val="009F0B46"/>
    <w:rsid w:val="009F0E28"/>
    <w:rsid w:val="009F111A"/>
    <w:rsid w:val="009F1174"/>
    <w:rsid w:val="009F11AD"/>
    <w:rsid w:val="009F130E"/>
    <w:rsid w:val="009F16AE"/>
    <w:rsid w:val="009F17E9"/>
    <w:rsid w:val="009F1908"/>
    <w:rsid w:val="009F1F17"/>
    <w:rsid w:val="009F2058"/>
    <w:rsid w:val="009F2292"/>
    <w:rsid w:val="009F229B"/>
    <w:rsid w:val="009F22B8"/>
    <w:rsid w:val="009F2604"/>
    <w:rsid w:val="009F2616"/>
    <w:rsid w:val="009F33B7"/>
    <w:rsid w:val="009F35FA"/>
    <w:rsid w:val="009F3C4E"/>
    <w:rsid w:val="009F3CD2"/>
    <w:rsid w:val="009F3DF9"/>
    <w:rsid w:val="009F419A"/>
    <w:rsid w:val="009F41A8"/>
    <w:rsid w:val="009F4427"/>
    <w:rsid w:val="009F443E"/>
    <w:rsid w:val="009F466F"/>
    <w:rsid w:val="009F474C"/>
    <w:rsid w:val="009F47B1"/>
    <w:rsid w:val="009F4A30"/>
    <w:rsid w:val="009F4B5D"/>
    <w:rsid w:val="009F5000"/>
    <w:rsid w:val="009F545E"/>
    <w:rsid w:val="009F56BB"/>
    <w:rsid w:val="009F58CE"/>
    <w:rsid w:val="009F59D5"/>
    <w:rsid w:val="009F5AF9"/>
    <w:rsid w:val="009F5C09"/>
    <w:rsid w:val="009F5C7E"/>
    <w:rsid w:val="009F5CC7"/>
    <w:rsid w:val="009F5D1F"/>
    <w:rsid w:val="009F6281"/>
    <w:rsid w:val="009F68C3"/>
    <w:rsid w:val="009F692B"/>
    <w:rsid w:val="009F69E5"/>
    <w:rsid w:val="009F6CC9"/>
    <w:rsid w:val="009F6F8C"/>
    <w:rsid w:val="009F6FDE"/>
    <w:rsid w:val="009F70FF"/>
    <w:rsid w:val="009F7737"/>
    <w:rsid w:val="009F78C7"/>
    <w:rsid w:val="009F7CD7"/>
    <w:rsid w:val="00A00270"/>
    <w:rsid w:val="00A0030C"/>
    <w:rsid w:val="00A003F0"/>
    <w:rsid w:val="00A003F3"/>
    <w:rsid w:val="00A004DF"/>
    <w:rsid w:val="00A00562"/>
    <w:rsid w:val="00A009F3"/>
    <w:rsid w:val="00A00AC1"/>
    <w:rsid w:val="00A00CD3"/>
    <w:rsid w:val="00A00CED"/>
    <w:rsid w:val="00A0106B"/>
    <w:rsid w:val="00A01338"/>
    <w:rsid w:val="00A01492"/>
    <w:rsid w:val="00A01DE3"/>
    <w:rsid w:val="00A01F22"/>
    <w:rsid w:val="00A02191"/>
    <w:rsid w:val="00A021E2"/>
    <w:rsid w:val="00A0236A"/>
    <w:rsid w:val="00A02651"/>
    <w:rsid w:val="00A02AC8"/>
    <w:rsid w:val="00A02BA9"/>
    <w:rsid w:val="00A02D3B"/>
    <w:rsid w:val="00A02F62"/>
    <w:rsid w:val="00A02FA7"/>
    <w:rsid w:val="00A033AD"/>
    <w:rsid w:val="00A03486"/>
    <w:rsid w:val="00A03531"/>
    <w:rsid w:val="00A03702"/>
    <w:rsid w:val="00A03774"/>
    <w:rsid w:val="00A03D03"/>
    <w:rsid w:val="00A04102"/>
    <w:rsid w:val="00A0439F"/>
    <w:rsid w:val="00A04C6B"/>
    <w:rsid w:val="00A05026"/>
    <w:rsid w:val="00A051BA"/>
    <w:rsid w:val="00A05358"/>
    <w:rsid w:val="00A0571C"/>
    <w:rsid w:val="00A059F7"/>
    <w:rsid w:val="00A05B63"/>
    <w:rsid w:val="00A05BE5"/>
    <w:rsid w:val="00A05F7B"/>
    <w:rsid w:val="00A066EB"/>
    <w:rsid w:val="00A067A0"/>
    <w:rsid w:val="00A06869"/>
    <w:rsid w:val="00A06B4C"/>
    <w:rsid w:val="00A06B65"/>
    <w:rsid w:val="00A0742C"/>
    <w:rsid w:val="00A0767D"/>
    <w:rsid w:val="00A076ED"/>
    <w:rsid w:val="00A07D43"/>
    <w:rsid w:val="00A07FAB"/>
    <w:rsid w:val="00A07FBB"/>
    <w:rsid w:val="00A100A3"/>
    <w:rsid w:val="00A1025C"/>
    <w:rsid w:val="00A10738"/>
    <w:rsid w:val="00A10950"/>
    <w:rsid w:val="00A10A97"/>
    <w:rsid w:val="00A10D93"/>
    <w:rsid w:val="00A10F35"/>
    <w:rsid w:val="00A1109E"/>
    <w:rsid w:val="00A115FB"/>
    <w:rsid w:val="00A117E7"/>
    <w:rsid w:val="00A117FE"/>
    <w:rsid w:val="00A1198C"/>
    <w:rsid w:val="00A11DB5"/>
    <w:rsid w:val="00A12236"/>
    <w:rsid w:val="00A122B1"/>
    <w:rsid w:val="00A1235A"/>
    <w:rsid w:val="00A126DC"/>
    <w:rsid w:val="00A127CD"/>
    <w:rsid w:val="00A12D43"/>
    <w:rsid w:val="00A12EE2"/>
    <w:rsid w:val="00A1330A"/>
    <w:rsid w:val="00A13401"/>
    <w:rsid w:val="00A136D9"/>
    <w:rsid w:val="00A13867"/>
    <w:rsid w:val="00A1393E"/>
    <w:rsid w:val="00A139C3"/>
    <w:rsid w:val="00A144B5"/>
    <w:rsid w:val="00A149F3"/>
    <w:rsid w:val="00A14E5F"/>
    <w:rsid w:val="00A15129"/>
    <w:rsid w:val="00A152EC"/>
    <w:rsid w:val="00A15490"/>
    <w:rsid w:val="00A1551D"/>
    <w:rsid w:val="00A15714"/>
    <w:rsid w:val="00A1589A"/>
    <w:rsid w:val="00A1597B"/>
    <w:rsid w:val="00A15C35"/>
    <w:rsid w:val="00A15C6D"/>
    <w:rsid w:val="00A15C70"/>
    <w:rsid w:val="00A15C7E"/>
    <w:rsid w:val="00A15E26"/>
    <w:rsid w:val="00A15E55"/>
    <w:rsid w:val="00A16108"/>
    <w:rsid w:val="00A161B4"/>
    <w:rsid w:val="00A161CD"/>
    <w:rsid w:val="00A164D7"/>
    <w:rsid w:val="00A165A4"/>
    <w:rsid w:val="00A16894"/>
    <w:rsid w:val="00A17111"/>
    <w:rsid w:val="00A17494"/>
    <w:rsid w:val="00A17560"/>
    <w:rsid w:val="00A17C72"/>
    <w:rsid w:val="00A17CF7"/>
    <w:rsid w:val="00A17E17"/>
    <w:rsid w:val="00A203A5"/>
    <w:rsid w:val="00A203CD"/>
    <w:rsid w:val="00A2040F"/>
    <w:rsid w:val="00A20487"/>
    <w:rsid w:val="00A20584"/>
    <w:rsid w:val="00A2067D"/>
    <w:rsid w:val="00A20DA9"/>
    <w:rsid w:val="00A210FD"/>
    <w:rsid w:val="00A2149A"/>
    <w:rsid w:val="00A21531"/>
    <w:rsid w:val="00A2157C"/>
    <w:rsid w:val="00A215F9"/>
    <w:rsid w:val="00A21634"/>
    <w:rsid w:val="00A22018"/>
    <w:rsid w:val="00A220BF"/>
    <w:rsid w:val="00A22619"/>
    <w:rsid w:val="00A2273B"/>
    <w:rsid w:val="00A227FC"/>
    <w:rsid w:val="00A228ED"/>
    <w:rsid w:val="00A228EE"/>
    <w:rsid w:val="00A22983"/>
    <w:rsid w:val="00A22D65"/>
    <w:rsid w:val="00A22F51"/>
    <w:rsid w:val="00A230BB"/>
    <w:rsid w:val="00A23123"/>
    <w:rsid w:val="00A233B9"/>
    <w:rsid w:val="00A234C4"/>
    <w:rsid w:val="00A237D0"/>
    <w:rsid w:val="00A2394A"/>
    <w:rsid w:val="00A23965"/>
    <w:rsid w:val="00A23B7D"/>
    <w:rsid w:val="00A23D01"/>
    <w:rsid w:val="00A23D70"/>
    <w:rsid w:val="00A23F18"/>
    <w:rsid w:val="00A240FE"/>
    <w:rsid w:val="00A24346"/>
    <w:rsid w:val="00A24416"/>
    <w:rsid w:val="00A24554"/>
    <w:rsid w:val="00A24B7B"/>
    <w:rsid w:val="00A24C54"/>
    <w:rsid w:val="00A24DA8"/>
    <w:rsid w:val="00A24E06"/>
    <w:rsid w:val="00A24F05"/>
    <w:rsid w:val="00A2510A"/>
    <w:rsid w:val="00A255CF"/>
    <w:rsid w:val="00A25638"/>
    <w:rsid w:val="00A2599D"/>
    <w:rsid w:val="00A25D0E"/>
    <w:rsid w:val="00A26313"/>
    <w:rsid w:val="00A26865"/>
    <w:rsid w:val="00A269CF"/>
    <w:rsid w:val="00A26CA3"/>
    <w:rsid w:val="00A277FD"/>
    <w:rsid w:val="00A278A6"/>
    <w:rsid w:val="00A279CC"/>
    <w:rsid w:val="00A27BB4"/>
    <w:rsid w:val="00A27FE5"/>
    <w:rsid w:val="00A30285"/>
    <w:rsid w:val="00A302E5"/>
    <w:rsid w:val="00A3030C"/>
    <w:rsid w:val="00A30406"/>
    <w:rsid w:val="00A304D2"/>
    <w:rsid w:val="00A30503"/>
    <w:rsid w:val="00A30522"/>
    <w:rsid w:val="00A30882"/>
    <w:rsid w:val="00A309F8"/>
    <w:rsid w:val="00A30B8F"/>
    <w:rsid w:val="00A30FE6"/>
    <w:rsid w:val="00A3127B"/>
    <w:rsid w:val="00A313B9"/>
    <w:rsid w:val="00A31669"/>
    <w:rsid w:val="00A31A56"/>
    <w:rsid w:val="00A31B0F"/>
    <w:rsid w:val="00A31BD4"/>
    <w:rsid w:val="00A31BFA"/>
    <w:rsid w:val="00A31C7C"/>
    <w:rsid w:val="00A31E1E"/>
    <w:rsid w:val="00A31EA9"/>
    <w:rsid w:val="00A31FC3"/>
    <w:rsid w:val="00A322A5"/>
    <w:rsid w:val="00A323BE"/>
    <w:rsid w:val="00A32472"/>
    <w:rsid w:val="00A324F4"/>
    <w:rsid w:val="00A3280C"/>
    <w:rsid w:val="00A32DAF"/>
    <w:rsid w:val="00A330CE"/>
    <w:rsid w:val="00A332AB"/>
    <w:rsid w:val="00A333DD"/>
    <w:rsid w:val="00A33418"/>
    <w:rsid w:val="00A3347C"/>
    <w:rsid w:val="00A335D5"/>
    <w:rsid w:val="00A33790"/>
    <w:rsid w:val="00A33888"/>
    <w:rsid w:val="00A3392B"/>
    <w:rsid w:val="00A33A02"/>
    <w:rsid w:val="00A33C0E"/>
    <w:rsid w:val="00A3408A"/>
    <w:rsid w:val="00A34349"/>
    <w:rsid w:val="00A343F8"/>
    <w:rsid w:val="00A34611"/>
    <w:rsid w:val="00A34CDA"/>
    <w:rsid w:val="00A350A9"/>
    <w:rsid w:val="00A3510C"/>
    <w:rsid w:val="00A35287"/>
    <w:rsid w:val="00A352B2"/>
    <w:rsid w:val="00A353B2"/>
    <w:rsid w:val="00A3579B"/>
    <w:rsid w:val="00A35922"/>
    <w:rsid w:val="00A359D2"/>
    <w:rsid w:val="00A35B14"/>
    <w:rsid w:val="00A35D33"/>
    <w:rsid w:val="00A35E5C"/>
    <w:rsid w:val="00A35FC5"/>
    <w:rsid w:val="00A3602F"/>
    <w:rsid w:val="00A361C0"/>
    <w:rsid w:val="00A363C1"/>
    <w:rsid w:val="00A3641B"/>
    <w:rsid w:val="00A36606"/>
    <w:rsid w:val="00A36814"/>
    <w:rsid w:val="00A36854"/>
    <w:rsid w:val="00A36928"/>
    <w:rsid w:val="00A36B20"/>
    <w:rsid w:val="00A36ECC"/>
    <w:rsid w:val="00A36FA1"/>
    <w:rsid w:val="00A3701B"/>
    <w:rsid w:val="00A37254"/>
    <w:rsid w:val="00A3730D"/>
    <w:rsid w:val="00A374C3"/>
    <w:rsid w:val="00A3754F"/>
    <w:rsid w:val="00A37AA3"/>
    <w:rsid w:val="00A37CE4"/>
    <w:rsid w:val="00A4020E"/>
    <w:rsid w:val="00A40391"/>
    <w:rsid w:val="00A4044A"/>
    <w:rsid w:val="00A404FD"/>
    <w:rsid w:val="00A405AA"/>
    <w:rsid w:val="00A407B9"/>
    <w:rsid w:val="00A40878"/>
    <w:rsid w:val="00A4097B"/>
    <w:rsid w:val="00A40B31"/>
    <w:rsid w:val="00A40E7D"/>
    <w:rsid w:val="00A4107A"/>
    <w:rsid w:val="00A4152E"/>
    <w:rsid w:val="00A41639"/>
    <w:rsid w:val="00A41C73"/>
    <w:rsid w:val="00A42113"/>
    <w:rsid w:val="00A4223C"/>
    <w:rsid w:val="00A42265"/>
    <w:rsid w:val="00A42294"/>
    <w:rsid w:val="00A42444"/>
    <w:rsid w:val="00A42470"/>
    <w:rsid w:val="00A424DF"/>
    <w:rsid w:val="00A42524"/>
    <w:rsid w:val="00A4280B"/>
    <w:rsid w:val="00A429DF"/>
    <w:rsid w:val="00A42C84"/>
    <w:rsid w:val="00A42E9B"/>
    <w:rsid w:val="00A43139"/>
    <w:rsid w:val="00A433B7"/>
    <w:rsid w:val="00A43763"/>
    <w:rsid w:val="00A43B6F"/>
    <w:rsid w:val="00A43D59"/>
    <w:rsid w:val="00A4430B"/>
    <w:rsid w:val="00A4432B"/>
    <w:rsid w:val="00A44677"/>
    <w:rsid w:val="00A44814"/>
    <w:rsid w:val="00A44BFB"/>
    <w:rsid w:val="00A44C37"/>
    <w:rsid w:val="00A44CB4"/>
    <w:rsid w:val="00A44E4A"/>
    <w:rsid w:val="00A44EC2"/>
    <w:rsid w:val="00A4508F"/>
    <w:rsid w:val="00A453A0"/>
    <w:rsid w:val="00A456AA"/>
    <w:rsid w:val="00A458AD"/>
    <w:rsid w:val="00A458F1"/>
    <w:rsid w:val="00A45D3E"/>
    <w:rsid w:val="00A45DAC"/>
    <w:rsid w:val="00A45E57"/>
    <w:rsid w:val="00A463E9"/>
    <w:rsid w:val="00A46DB1"/>
    <w:rsid w:val="00A46EBA"/>
    <w:rsid w:val="00A470A9"/>
    <w:rsid w:val="00A470C9"/>
    <w:rsid w:val="00A4750F"/>
    <w:rsid w:val="00A477CF"/>
    <w:rsid w:val="00A47813"/>
    <w:rsid w:val="00A47862"/>
    <w:rsid w:val="00A478F7"/>
    <w:rsid w:val="00A47960"/>
    <w:rsid w:val="00A47BAF"/>
    <w:rsid w:val="00A47D32"/>
    <w:rsid w:val="00A47E17"/>
    <w:rsid w:val="00A47E71"/>
    <w:rsid w:val="00A50035"/>
    <w:rsid w:val="00A50187"/>
    <w:rsid w:val="00A50242"/>
    <w:rsid w:val="00A503A7"/>
    <w:rsid w:val="00A50403"/>
    <w:rsid w:val="00A504F0"/>
    <w:rsid w:val="00A506FF"/>
    <w:rsid w:val="00A5083F"/>
    <w:rsid w:val="00A509C7"/>
    <w:rsid w:val="00A50C75"/>
    <w:rsid w:val="00A50D22"/>
    <w:rsid w:val="00A50FF9"/>
    <w:rsid w:val="00A512BC"/>
    <w:rsid w:val="00A51352"/>
    <w:rsid w:val="00A514C9"/>
    <w:rsid w:val="00A51972"/>
    <w:rsid w:val="00A5199E"/>
    <w:rsid w:val="00A51DEF"/>
    <w:rsid w:val="00A51E92"/>
    <w:rsid w:val="00A51F20"/>
    <w:rsid w:val="00A52022"/>
    <w:rsid w:val="00A5226A"/>
    <w:rsid w:val="00A52358"/>
    <w:rsid w:val="00A52389"/>
    <w:rsid w:val="00A52407"/>
    <w:rsid w:val="00A5248E"/>
    <w:rsid w:val="00A524C8"/>
    <w:rsid w:val="00A52934"/>
    <w:rsid w:val="00A529EA"/>
    <w:rsid w:val="00A52C7B"/>
    <w:rsid w:val="00A52CCA"/>
    <w:rsid w:val="00A52DA0"/>
    <w:rsid w:val="00A52DAE"/>
    <w:rsid w:val="00A52DED"/>
    <w:rsid w:val="00A52F49"/>
    <w:rsid w:val="00A5334B"/>
    <w:rsid w:val="00A53356"/>
    <w:rsid w:val="00A534F2"/>
    <w:rsid w:val="00A53553"/>
    <w:rsid w:val="00A53634"/>
    <w:rsid w:val="00A53840"/>
    <w:rsid w:val="00A53A87"/>
    <w:rsid w:val="00A53BB4"/>
    <w:rsid w:val="00A53D31"/>
    <w:rsid w:val="00A53FEC"/>
    <w:rsid w:val="00A546DF"/>
    <w:rsid w:val="00A546FD"/>
    <w:rsid w:val="00A54941"/>
    <w:rsid w:val="00A5498F"/>
    <w:rsid w:val="00A549A9"/>
    <w:rsid w:val="00A54A45"/>
    <w:rsid w:val="00A54E9B"/>
    <w:rsid w:val="00A54FBE"/>
    <w:rsid w:val="00A55308"/>
    <w:rsid w:val="00A55466"/>
    <w:rsid w:val="00A55B2F"/>
    <w:rsid w:val="00A55B72"/>
    <w:rsid w:val="00A55BB5"/>
    <w:rsid w:val="00A55C54"/>
    <w:rsid w:val="00A55E88"/>
    <w:rsid w:val="00A55F18"/>
    <w:rsid w:val="00A562DE"/>
    <w:rsid w:val="00A56346"/>
    <w:rsid w:val="00A56524"/>
    <w:rsid w:val="00A5658A"/>
    <w:rsid w:val="00A56BB8"/>
    <w:rsid w:val="00A56C2C"/>
    <w:rsid w:val="00A56CEB"/>
    <w:rsid w:val="00A56D46"/>
    <w:rsid w:val="00A56D6F"/>
    <w:rsid w:val="00A56FA3"/>
    <w:rsid w:val="00A571D1"/>
    <w:rsid w:val="00A5740B"/>
    <w:rsid w:val="00A575D1"/>
    <w:rsid w:val="00A5770D"/>
    <w:rsid w:val="00A57867"/>
    <w:rsid w:val="00A578DF"/>
    <w:rsid w:val="00A57AF7"/>
    <w:rsid w:val="00A57F8B"/>
    <w:rsid w:val="00A6032C"/>
    <w:rsid w:val="00A60830"/>
    <w:rsid w:val="00A60A2E"/>
    <w:rsid w:val="00A60A48"/>
    <w:rsid w:val="00A60AD7"/>
    <w:rsid w:val="00A60B0C"/>
    <w:rsid w:val="00A61095"/>
    <w:rsid w:val="00A611D7"/>
    <w:rsid w:val="00A6166E"/>
    <w:rsid w:val="00A61A19"/>
    <w:rsid w:val="00A61E83"/>
    <w:rsid w:val="00A62250"/>
    <w:rsid w:val="00A6229C"/>
    <w:rsid w:val="00A62487"/>
    <w:rsid w:val="00A624A8"/>
    <w:rsid w:val="00A62571"/>
    <w:rsid w:val="00A625CB"/>
    <w:rsid w:val="00A6275B"/>
    <w:rsid w:val="00A6283E"/>
    <w:rsid w:val="00A628CD"/>
    <w:rsid w:val="00A62B80"/>
    <w:rsid w:val="00A62EC4"/>
    <w:rsid w:val="00A63294"/>
    <w:rsid w:val="00A63B10"/>
    <w:rsid w:val="00A63BA2"/>
    <w:rsid w:val="00A63C30"/>
    <w:rsid w:val="00A64273"/>
    <w:rsid w:val="00A642D2"/>
    <w:rsid w:val="00A64440"/>
    <w:rsid w:val="00A64768"/>
    <w:rsid w:val="00A64820"/>
    <w:rsid w:val="00A64860"/>
    <w:rsid w:val="00A64AF7"/>
    <w:rsid w:val="00A652AA"/>
    <w:rsid w:val="00A656A5"/>
    <w:rsid w:val="00A65856"/>
    <w:rsid w:val="00A65C84"/>
    <w:rsid w:val="00A65D11"/>
    <w:rsid w:val="00A65F29"/>
    <w:rsid w:val="00A6604B"/>
    <w:rsid w:val="00A6612E"/>
    <w:rsid w:val="00A661B9"/>
    <w:rsid w:val="00A66356"/>
    <w:rsid w:val="00A66633"/>
    <w:rsid w:val="00A6695A"/>
    <w:rsid w:val="00A66EA4"/>
    <w:rsid w:val="00A66EE5"/>
    <w:rsid w:val="00A670B1"/>
    <w:rsid w:val="00A6757E"/>
    <w:rsid w:val="00A676D7"/>
    <w:rsid w:val="00A677A1"/>
    <w:rsid w:val="00A677B4"/>
    <w:rsid w:val="00A678F8"/>
    <w:rsid w:val="00A67BDB"/>
    <w:rsid w:val="00A67D58"/>
    <w:rsid w:val="00A701CE"/>
    <w:rsid w:val="00A70209"/>
    <w:rsid w:val="00A7023D"/>
    <w:rsid w:val="00A707A5"/>
    <w:rsid w:val="00A70C84"/>
    <w:rsid w:val="00A70CC1"/>
    <w:rsid w:val="00A70F85"/>
    <w:rsid w:val="00A710BF"/>
    <w:rsid w:val="00A710C7"/>
    <w:rsid w:val="00A71198"/>
    <w:rsid w:val="00A7121E"/>
    <w:rsid w:val="00A71611"/>
    <w:rsid w:val="00A718E8"/>
    <w:rsid w:val="00A71BBC"/>
    <w:rsid w:val="00A71F19"/>
    <w:rsid w:val="00A721DF"/>
    <w:rsid w:val="00A722A7"/>
    <w:rsid w:val="00A7259C"/>
    <w:rsid w:val="00A72718"/>
    <w:rsid w:val="00A72768"/>
    <w:rsid w:val="00A72B60"/>
    <w:rsid w:val="00A72B8C"/>
    <w:rsid w:val="00A72DB8"/>
    <w:rsid w:val="00A72F7D"/>
    <w:rsid w:val="00A73371"/>
    <w:rsid w:val="00A734B2"/>
    <w:rsid w:val="00A734E9"/>
    <w:rsid w:val="00A735D9"/>
    <w:rsid w:val="00A7369B"/>
    <w:rsid w:val="00A737BF"/>
    <w:rsid w:val="00A73C69"/>
    <w:rsid w:val="00A74104"/>
    <w:rsid w:val="00A74159"/>
    <w:rsid w:val="00A74199"/>
    <w:rsid w:val="00A741B5"/>
    <w:rsid w:val="00A7443A"/>
    <w:rsid w:val="00A7459A"/>
    <w:rsid w:val="00A749CB"/>
    <w:rsid w:val="00A74BB2"/>
    <w:rsid w:val="00A74DE3"/>
    <w:rsid w:val="00A74E0E"/>
    <w:rsid w:val="00A74FCF"/>
    <w:rsid w:val="00A75141"/>
    <w:rsid w:val="00A7567B"/>
    <w:rsid w:val="00A75CF7"/>
    <w:rsid w:val="00A75EBE"/>
    <w:rsid w:val="00A760A5"/>
    <w:rsid w:val="00A76159"/>
    <w:rsid w:val="00A7621E"/>
    <w:rsid w:val="00A762CD"/>
    <w:rsid w:val="00A763EB"/>
    <w:rsid w:val="00A76586"/>
    <w:rsid w:val="00A76843"/>
    <w:rsid w:val="00A76935"/>
    <w:rsid w:val="00A76AC2"/>
    <w:rsid w:val="00A7727D"/>
    <w:rsid w:val="00A77283"/>
    <w:rsid w:val="00A77387"/>
    <w:rsid w:val="00A7745D"/>
    <w:rsid w:val="00A7748B"/>
    <w:rsid w:val="00A77A2F"/>
    <w:rsid w:val="00A80A0A"/>
    <w:rsid w:val="00A80B69"/>
    <w:rsid w:val="00A80EBD"/>
    <w:rsid w:val="00A80FBB"/>
    <w:rsid w:val="00A810D4"/>
    <w:rsid w:val="00A8129B"/>
    <w:rsid w:val="00A8133F"/>
    <w:rsid w:val="00A814E3"/>
    <w:rsid w:val="00A81593"/>
    <w:rsid w:val="00A81631"/>
    <w:rsid w:val="00A8187B"/>
    <w:rsid w:val="00A81892"/>
    <w:rsid w:val="00A819B1"/>
    <w:rsid w:val="00A81E54"/>
    <w:rsid w:val="00A81ECD"/>
    <w:rsid w:val="00A81F01"/>
    <w:rsid w:val="00A82A70"/>
    <w:rsid w:val="00A82D6E"/>
    <w:rsid w:val="00A82D76"/>
    <w:rsid w:val="00A82E7A"/>
    <w:rsid w:val="00A82F78"/>
    <w:rsid w:val="00A83035"/>
    <w:rsid w:val="00A8315E"/>
    <w:rsid w:val="00A832BA"/>
    <w:rsid w:val="00A83589"/>
    <w:rsid w:val="00A8358E"/>
    <w:rsid w:val="00A83669"/>
    <w:rsid w:val="00A837C2"/>
    <w:rsid w:val="00A83ADE"/>
    <w:rsid w:val="00A83BC0"/>
    <w:rsid w:val="00A83EBF"/>
    <w:rsid w:val="00A83EC8"/>
    <w:rsid w:val="00A8406B"/>
    <w:rsid w:val="00A842C0"/>
    <w:rsid w:val="00A84427"/>
    <w:rsid w:val="00A8447F"/>
    <w:rsid w:val="00A8463C"/>
    <w:rsid w:val="00A846F4"/>
    <w:rsid w:val="00A847AA"/>
    <w:rsid w:val="00A84E56"/>
    <w:rsid w:val="00A8519C"/>
    <w:rsid w:val="00A852D6"/>
    <w:rsid w:val="00A85526"/>
    <w:rsid w:val="00A855F7"/>
    <w:rsid w:val="00A85614"/>
    <w:rsid w:val="00A85750"/>
    <w:rsid w:val="00A8575A"/>
    <w:rsid w:val="00A85780"/>
    <w:rsid w:val="00A85A14"/>
    <w:rsid w:val="00A85D65"/>
    <w:rsid w:val="00A85DDA"/>
    <w:rsid w:val="00A85F48"/>
    <w:rsid w:val="00A860EB"/>
    <w:rsid w:val="00A8624F"/>
    <w:rsid w:val="00A865B8"/>
    <w:rsid w:val="00A865CC"/>
    <w:rsid w:val="00A8675E"/>
    <w:rsid w:val="00A86778"/>
    <w:rsid w:val="00A86CE0"/>
    <w:rsid w:val="00A874B5"/>
    <w:rsid w:val="00A8751E"/>
    <w:rsid w:val="00A87797"/>
    <w:rsid w:val="00A87846"/>
    <w:rsid w:val="00A87912"/>
    <w:rsid w:val="00A879AE"/>
    <w:rsid w:val="00A879BB"/>
    <w:rsid w:val="00A87ADA"/>
    <w:rsid w:val="00A87C81"/>
    <w:rsid w:val="00A87C9B"/>
    <w:rsid w:val="00A87D56"/>
    <w:rsid w:val="00A87DF6"/>
    <w:rsid w:val="00A87F04"/>
    <w:rsid w:val="00A87F37"/>
    <w:rsid w:val="00A90035"/>
    <w:rsid w:val="00A9008B"/>
    <w:rsid w:val="00A90386"/>
    <w:rsid w:val="00A90878"/>
    <w:rsid w:val="00A90A19"/>
    <w:rsid w:val="00A90A8F"/>
    <w:rsid w:val="00A90C22"/>
    <w:rsid w:val="00A90C3E"/>
    <w:rsid w:val="00A90E92"/>
    <w:rsid w:val="00A90ECA"/>
    <w:rsid w:val="00A9102C"/>
    <w:rsid w:val="00A91181"/>
    <w:rsid w:val="00A91225"/>
    <w:rsid w:val="00A912BD"/>
    <w:rsid w:val="00A91A1C"/>
    <w:rsid w:val="00A91DF8"/>
    <w:rsid w:val="00A91E8C"/>
    <w:rsid w:val="00A923B3"/>
    <w:rsid w:val="00A923C3"/>
    <w:rsid w:val="00A92408"/>
    <w:rsid w:val="00A925C9"/>
    <w:rsid w:val="00A92AC8"/>
    <w:rsid w:val="00A92C82"/>
    <w:rsid w:val="00A92CFB"/>
    <w:rsid w:val="00A92E72"/>
    <w:rsid w:val="00A930DB"/>
    <w:rsid w:val="00A9324B"/>
    <w:rsid w:val="00A93270"/>
    <w:rsid w:val="00A93855"/>
    <w:rsid w:val="00A9391D"/>
    <w:rsid w:val="00A93C9D"/>
    <w:rsid w:val="00A93CF3"/>
    <w:rsid w:val="00A94077"/>
    <w:rsid w:val="00A94411"/>
    <w:rsid w:val="00A94748"/>
    <w:rsid w:val="00A949BC"/>
    <w:rsid w:val="00A949E7"/>
    <w:rsid w:val="00A94A7E"/>
    <w:rsid w:val="00A94B51"/>
    <w:rsid w:val="00A94D30"/>
    <w:rsid w:val="00A94F49"/>
    <w:rsid w:val="00A95048"/>
    <w:rsid w:val="00A95242"/>
    <w:rsid w:val="00A952FE"/>
    <w:rsid w:val="00A95486"/>
    <w:rsid w:val="00A95718"/>
    <w:rsid w:val="00A95A8E"/>
    <w:rsid w:val="00A95B80"/>
    <w:rsid w:val="00A95C55"/>
    <w:rsid w:val="00A961E2"/>
    <w:rsid w:val="00A96A15"/>
    <w:rsid w:val="00A96A72"/>
    <w:rsid w:val="00A96D3C"/>
    <w:rsid w:val="00A96E3D"/>
    <w:rsid w:val="00A9706A"/>
    <w:rsid w:val="00A9734A"/>
    <w:rsid w:val="00A9776C"/>
    <w:rsid w:val="00A97897"/>
    <w:rsid w:val="00A978F9"/>
    <w:rsid w:val="00A97998"/>
    <w:rsid w:val="00A97BDC"/>
    <w:rsid w:val="00A97CA1"/>
    <w:rsid w:val="00AA01A7"/>
    <w:rsid w:val="00AA0590"/>
    <w:rsid w:val="00AA08B7"/>
    <w:rsid w:val="00AA0BF8"/>
    <w:rsid w:val="00AA0C62"/>
    <w:rsid w:val="00AA0D62"/>
    <w:rsid w:val="00AA0DC3"/>
    <w:rsid w:val="00AA0EE1"/>
    <w:rsid w:val="00AA0F58"/>
    <w:rsid w:val="00AA151F"/>
    <w:rsid w:val="00AA1B2B"/>
    <w:rsid w:val="00AA1C3E"/>
    <w:rsid w:val="00AA1C91"/>
    <w:rsid w:val="00AA1DAA"/>
    <w:rsid w:val="00AA1DF0"/>
    <w:rsid w:val="00AA1E15"/>
    <w:rsid w:val="00AA1F7E"/>
    <w:rsid w:val="00AA1F9F"/>
    <w:rsid w:val="00AA1FE3"/>
    <w:rsid w:val="00AA2014"/>
    <w:rsid w:val="00AA217A"/>
    <w:rsid w:val="00AA250D"/>
    <w:rsid w:val="00AA25C6"/>
    <w:rsid w:val="00AA25FD"/>
    <w:rsid w:val="00AA283E"/>
    <w:rsid w:val="00AA2B0E"/>
    <w:rsid w:val="00AA2C8F"/>
    <w:rsid w:val="00AA2E63"/>
    <w:rsid w:val="00AA2F43"/>
    <w:rsid w:val="00AA36F3"/>
    <w:rsid w:val="00AA387C"/>
    <w:rsid w:val="00AA3ABC"/>
    <w:rsid w:val="00AA3C96"/>
    <w:rsid w:val="00AA3CFC"/>
    <w:rsid w:val="00AA3DBE"/>
    <w:rsid w:val="00AA3F1B"/>
    <w:rsid w:val="00AA43B7"/>
    <w:rsid w:val="00AA4449"/>
    <w:rsid w:val="00AA489C"/>
    <w:rsid w:val="00AA4923"/>
    <w:rsid w:val="00AA4AC5"/>
    <w:rsid w:val="00AA4AE1"/>
    <w:rsid w:val="00AA4BB3"/>
    <w:rsid w:val="00AA4C6E"/>
    <w:rsid w:val="00AA4CE2"/>
    <w:rsid w:val="00AA4D02"/>
    <w:rsid w:val="00AA4DBA"/>
    <w:rsid w:val="00AA4EC6"/>
    <w:rsid w:val="00AA4F9F"/>
    <w:rsid w:val="00AA5331"/>
    <w:rsid w:val="00AA59B6"/>
    <w:rsid w:val="00AA59C8"/>
    <w:rsid w:val="00AA59E8"/>
    <w:rsid w:val="00AA5A45"/>
    <w:rsid w:val="00AA5C68"/>
    <w:rsid w:val="00AA5D6B"/>
    <w:rsid w:val="00AA5F00"/>
    <w:rsid w:val="00AA603E"/>
    <w:rsid w:val="00AA62C7"/>
    <w:rsid w:val="00AA6466"/>
    <w:rsid w:val="00AA64DB"/>
    <w:rsid w:val="00AA65C6"/>
    <w:rsid w:val="00AA6771"/>
    <w:rsid w:val="00AA696A"/>
    <w:rsid w:val="00AA69F4"/>
    <w:rsid w:val="00AA6E26"/>
    <w:rsid w:val="00AA718E"/>
    <w:rsid w:val="00AA72DC"/>
    <w:rsid w:val="00AA752B"/>
    <w:rsid w:val="00AA7754"/>
    <w:rsid w:val="00AA77FC"/>
    <w:rsid w:val="00AA7B6F"/>
    <w:rsid w:val="00AA7D87"/>
    <w:rsid w:val="00AA7EE0"/>
    <w:rsid w:val="00AB019C"/>
    <w:rsid w:val="00AB01AE"/>
    <w:rsid w:val="00AB0427"/>
    <w:rsid w:val="00AB047B"/>
    <w:rsid w:val="00AB07A1"/>
    <w:rsid w:val="00AB0964"/>
    <w:rsid w:val="00AB0BB5"/>
    <w:rsid w:val="00AB0BFD"/>
    <w:rsid w:val="00AB0F77"/>
    <w:rsid w:val="00AB0F8C"/>
    <w:rsid w:val="00AB1376"/>
    <w:rsid w:val="00AB14C6"/>
    <w:rsid w:val="00AB15DE"/>
    <w:rsid w:val="00AB191C"/>
    <w:rsid w:val="00AB1B63"/>
    <w:rsid w:val="00AB2331"/>
    <w:rsid w:val="00AB2558"/>
    <w:rsid w:val="00AB269F"/>
    <w:rsid w:val="00AB26D6"/>
    <w:rsid w:val="00AB28D0"/>
    <w:rsid w:val="00AB2A95"/>
    <w:rsid w:val="00AB2BC6"/>
    <w:rsid w:val="00AB30D6"/>
    <w:rsid w:val="00AB31F3"/>
    <w:rsid w:val="00AB3206"/>
    <w:rsid w:val="00AB32A3"/>
    <w:rsid w:val="00AB3372"/>
    <w:rsid w:val="00AB3770"/>
    <w:rsid w:val="00AB3AA3"/>
    <w:rsid w:val="00AB3D8A"/>
    <w:rsid w:val="00AB3DBE"/>
    <w:rsid w:val="00AB4244"/>
    <w:rsid w:val="00AB454B"/>
    <w:rsid w:val="00AB47DF"/>
    <w:rsid w:val="00AB4D37"/>
    <w:rsid w:val="00AB5086"/>
    <w:rsid w:val="00AB52C1"/>
    <w:rsid w:val="00AB5534"/>
    <w:rsid w:val="00AB557D"/>
    <w:rsid w:val="00AB55C4"/>
    <w:rsid w:val="00AB563E"/>
    <w:rsid w:val="00AB5740"/>
    <w:rsid w:val="00AB59C2"/>
    <w:rsid w:val="00AB5A11"/>
    <w:rsid w:val="00AB5A41"/>
    <w:rsid w:val="00AB5B07"/>
    <w:rsid w:val="00AB5B10"/>
    <w:rsid w:val="00AB5ED7"/>
    <w:rsid w:val="00AB5F0D"/>
    <w:rsid w:val="00AB6130"/>
    <w:rsid w:val="00AB6266"/>
    <w:rsid w:val="00AB63C3"/>
    <w:rsid w:val="00AB6E05"/>
    <w:rsid w:val="00AB6E4C"/>
    <w:rsid w:val="00AB7339"/>
    <w:rsid w:val="00AB7401"/>
    <w:rsid w:val="00AB7994"/>
    <w:rsid w:val="00AB7A3C"/>
    <w:rsid w:val="00AB7B02"/>
    <w:rsid w:val="00AB7C8B"/>
    <w:rsid w:val="00AB7DC4"/>
    <w:rsid w:val="00AB7DF8"/>
    <w:rsid w:val="00AB7E4F"/>
    <w:rsid w:val="00AB7FB2"/>
    <w:rsid w:val="00AC002F"/>
    <w:rsid w:val="00AC0210"/>
    <w:rsid w:val="00AC0629"/>
    <w:rsid w:val="00AC0C05"/>
    <w:rsid w:val="00AC0EEF"/>
    <w:rsid w:val="00AC137D"/>
    <w:rsid w:val="00AC138C"/>
    <w:rsid w:val="00AC13C1"/>
    <w:rsid w:val="00AC14C8"/>
    <w:rsid w:val="00AC151E"/>
    <w:rsid w:val="00AC16FC"/>
    <w:rsid w:val="00AC17CF"/>
    <w:rsid w:val="00AC188B"/>
    <w:rsid w:val="00AC1C56"/>
    <w:rsid w:val="00AC1C9C"/>
    <w:rsid w:val="00AC1E27"/>
    <w:rsid w:val="00AC1EA3"/>
    <w:rsid w:val="00AC1F27"/>
    <w:rsid w:val="00AC1F84"/>
    <w:rsid w:val="00AC2066"/>
    <w:rsid w:val="00AC2068"/>
    <w:rsid w:val="00AC2109"/>
    <w:rsid w:val="00AC225F"/>
    <w:rsid w:val="00AC2300"/>
    <w:rsid w:val="00AC2508"/>
    <w:rsid w:val="00AC285A"/>
    <w:rsid w:val="00AC286C"/>
    <w:rsid w:val="00AC29E4"/>
    <w:rsid w:val="00AC2AFF"/>
    <w:rsid w:val="00AC2B49"/>
    <w:rsid w:val="00AC2F14"/>
    <w:rsid w:val="00AC2F38"/>
    <w:rsid w:val="00AC2F5E"/>
    <w:rsid w:val="00AC2F68"/>
    <w:rsid w:val="00AC32C4"/>
    <w:rsid w:val="00AC32E7"/>
    <w:rsid w:val="00AC3359"/>
    <w:rsid w:val="00AC3415"/>
    <w:rsid w:val="00AC349C"/>
    <w:rsid w:val="00AC355C"/>
    <w:rsid w:val="00AC363A"/>
    <w:rsid w:val="00AC373F"/>
    <w:rsid w:val="00AC3784"/>
    <w:rsid w:val="00AC37DD"/>
    <w:rsid w:val="00AC3869"/>
    <w:rsid w:val="00AC38F4"/>
    <w:rsid w:val="00AC3B95"/>
    <w:rsid w:val="00AC3C31"/>
    <w:rsid w:val="00AC3D05"/>
    <w:rsid w:val="00AC3D49"/>
    <w:rsid w:val="00AC3DCC"/>
    <w:rsid w:val="00AC3E3E"/>
    <w:rsid w:val="00AC3F61"/>
    <w:rsid w:val="00AC4358"/>
    <w:rsid w:val="00AC43A3"/>
    <w:rsid w:val="00AC43E7"/>
    <w:rsid w:val="00AC4552"/>
    <w:rsid w:val="00AC455D"/>
    <w:rsid w:val="00AC488F"/>
    <w:rsid w:val="00AC48F3"/>
    <w:rsid w:val="00AC49E1"/>
    <w:rsid w:val="00AC4ABC"/>
    <w:rsid w:val="00AC4AFE"/>
    <w:rsid w:val="00AC4DCF"/>
    <w:rsid w:val="00AC4E53"/>
    <w:rsid w:val="00AC5063"/>
    <w:rsid w:val="00AC509B"/>
    <w:rsid w:val="00AC513F"/>
    <w:rsid w:val="00AC5179"/>
    <w:rsid w:val="00AC5B0B"/>
    <w:rsid w:val="00AC5BDB"/>
    <w:rsid w:val="00AC5D53"/>
    <w:rsid w:val="00AC5E5E"/>
    <w:rsid w:val="00AC5EE2"/>
    <w:rsid w:val="00AC63D0"/>
    <w:rsid w:val="00AC6576"/>
    <w:rsid w:val="00AC65A5"/>
    <w:rsid w:val="00AC66C2"/>
    <w:rsid w:val="00AC6795"/>
    <w:rsid w:val="00AC67E1"/>
    <w:rsid w:val="00AC6B3E"/>
    <w:rsid w:val="00AC6CBC"/>
    <w:rsid w:val="00AC6EB0"/>
    <w:rsid w:val="00AC72F6"/>
    <w:rsid w:val="00AC7373"/>
    <w:rsid w:val="00AC7CD8"/>
    <w:rsid w:val="00AD0247"/>
    <w:rsid w:val="00AD0412"/>
    <w:rsid w:val="00AD05DE"/>
    <w:rsid w:val="00AD0669"/>
    <w:rsid w:val="00AD0732"/>
    <w:rsid w:val="00AD08B4"/>
    <w:rsid w:val="00AD09F4"/>
    <w:rsid w:val="00AD0B71"/>
    <w:rsid w:val="00AD0BF3"/>
    <w:rsid w:val="00AD0DF9"/>
    <w:rsid w:val="00AD10CB"/>
    <w:rsid w:val="00AD1330"/>
    <w:rsid w:val="00AD13AA"/>
    <w:rsid w:val="00AD1544"/>
    <w:rsid w:val="00AD1878"/>
    <w:rsid w:val="00AD1BF2"/>
    <w:rsid w:val="00AD1E87"/>
    <w:rsid w:val="00AD1F29"/>
    <w:rsid w:val="00AD2064"/>
    <w:rsid w:val="00AD21CF"/>
    <w:rsid w:val="00AD236D"/>
    <w:rsid w:val="00AD27F6"/>
    <w:rsid w:val="00AD2960"/>
    <w:rsid w:val="00AD2A3E"/>
    <w:rsid w:val="00AD2AAB"/>
    <w:rsid w:val="00AD2AD7"/>
    <w:rsid w:val="00AD2AF3"/>
    <w:rsid w:val="00AD2EC4"/>
    <w:rsid w:val="00AD2ED3"/>
    <w:rsid w:val="00AD3202"/>
    <w:rsid w:val="00AD3447"/>
    <w:rsid w:val="00AD351E"/>
    <w:rsid w:val="00AD38E3"/>
    <w:rsid w:val="00AD3A1D"/>
    <w:rsid w:val="00AD3A67"/>
    <w:rsid w:val="00AD3B28"/>
    <w:rsid w:val="00AD3C68"/>
    <w:rsid w:val="00AD3E1E"/>
    <w:rsid w:val="00AD42AA"/>
    <w:rsid w:val="00AD45BB"/>
    <w:rsid w:val="00AD4CE3"/>
    <w:rsid w:val="00AD4E40"/>
    <w:rsid w:val="00AD4E93"/>
    <w:rsid w:val="00AD4F0A"/>
    <w:rsid w:val="00AD5019"/>
    <w:rsid w:val="00AD511E"/>
    <w:rsid w:val="00AD5226"/>
    <w:rsid w:val="00AD5327"/>
    <w:rsid w:val="00AD5364"/>
    <w:rsid w:val="00AD5447"/>
    <w:rsid w:val="00AD54B5"/>
    <w:rsid w:val="00AD58B1"/>
    <w:rsid w:val="00AD5C50"/>
    <w:rsid w:val="00AD5FA4"/>
    <w:rsid w:val="00AD5FAD"/>
    <w:rsid w:val="00AD60B3"/>
    <w:rsid w:val="00AD64A4"/>
    <w:rsid w:val="00AD6676"/>
    <w:rsid w:val="00AD6888"/>
    <w:rsid w:val="00AD6A2A"/>
    <w:rsid w:val="00AD6A87"/>
    <w:rsid w:val="00AD6B2E"/>
    <w:rsid w:val="00AD6E09"/>
    <w:rsid w:val="00AD6EF3"/>
    <w:rsid w:val="00AD6F72"/>
    <w:rsid w:val="00AD7120"/>
    <w:rsid w:val="00AD7338"/>
    <w:rsid w:val="00AD7518"/>
    <w:rsid w:val="00AD75C8"/>
    <w:rsid w:val="00AD7689"/>
    <w:rsid w:val="00AD78D2"/>
    <w:rsid w:val="00AD7C42"/>
    <w:rsid w:val="00AD7D5F"/>
    <w:rsid w:val="00AD7E78"/>
    <w:rsid w:val="00AD7E99"/>
    <w:rsid w:val="00AD7FF7"/>
    <w:rsid w:val="00AE0117"/>
    <w:rsid w:val="00AE011E"/>
    <w:rsid w:val="00AE04A5"/>
    <w:rsid w:val="00AE0799"/>
    <w:rsid w:val="00AE09F0"/>
    <w:rsid w:val="00AE0E02"/>
    <w:rsid w:val="00AE10A5"/>
    <w:rsid w:val="00AE1277"/>
    <w:rsid w:val="00AE1286"/>
    <w:rsid w:val="00AE12C9"/>
    <w:rsid w:val="00AE12D7"/>
    <w:rsid w:val="00AE1446"/>
    <w:rsid w:val="00AE1536"/>
    <w:rsid w:val="00AE17FA"/>
    <w:rsid w:val="00AE181F"/>
    <w:rsid w:val="00AE187A"/>
    <w:rsid w:val="00AE1899"/>
    <w:rsid w:val="00AE19A5"/>
    <w:rsid w:val="00AE1A13"/>
    <w:rsid w:val="00AE1AB2"/>
    <w:rsid w:val="00AE1B59"/>
    <w:rsid w:val="00AE1F6F"/>
    <w:rsid w:val="00AE2329"/>
    <w:rsid w:val="00AE244C"/>
    <w:rsid w:val="00AE2479"/>
    <w:rsid w:val="00AE24EE"/>
    <w:rsid w:val="00AE2CB6"/>
    <w:rsid w:val="00AE2F7B"/>
    <w:rsid w:val="00AE363F"/>
    <w:rsid w:val="00AE3751"/>
    <w:rsid w:val="00AE37F9"/>
    <w:rsid w:val="00AE3C45"/>
    <w:rsid w:val="00AE3CB4"/>
    <w:rsid w:val="00AE3EBF"/>
    <w:rsid w:val="00AE3FAE"/>
    <w:rsid w:val="00AE4403"/>
    <w:rsid w:val="00AE4851"/>
    <w:rsid w:val="00AE499C"/>
    <w:rsid w:val="00AE49EB"/>
    <w:rsid w:val="00AE4AD5"/>
    <w:rsid w:val="00AE4D85"/>
    <w:rsid w:val="00AE500C"/>
    <w:rsid w:val="00AE5026"/>
    <w:rsid w:val="00AE503B"/>
    <w:rsid w:val="00AE506E"/>
    <w:rsid w:val="00AE52DF"/>
    <w:rsid w:val="00AE5343"/>
    <w:rsid w:val="00AE5488"/>
    <w:rsid w:val="00AE5619"/>
    <w:rsid w:val="00AE578D"/>
    <w:rsid w:val="00AE5D3D"/>
    <w:rsid w:val="00AE5DA8"/>
    <w:rsid w:val="00AE5F31"/>
    <w:rsid w:val="00AE62BA"/>
    <w:rsid w:val="00AE649C"/>
    <w:rsid w:val="00AE6581"/>
    <w:rsid w:val="00AE68B5"/>
    <w:rsid w:val="00AE706D"/>
    <w:rsid w:val="00AE7402"/>
    <w:rsid w:val="00AE76C6"/>
    <w:rsid w:val="00AE7764"/>
    <w:rsid w:val="00AE7811"/>
    <w:rsid w:val="00AE78A3"/>
    <w:rsid w:val="00AE78EF"/>
    <w:rsid w:val="00AE7FA2"/>
    <w:rsid w:val="00AE7FDE"/>
    <w:rsid w:val="00AE7FEB"/>
    <w:rsid w:val="00AF04DF"/>
    <w:rsid w:val="00AF06CD"/>
    <w:rsid w:val="00AF0FEF"/>
    <w:rsid w:val="00AF100D"/>
    <w:rsid w:val="00AF1317"/>
    <w:rsid w:val="00AF13DF"/>
    <w:rsid w:val="00AF144E"/>
    <w:rsid w:val="00AF1450"/>
    <w:rsid w:val="00AF1631"/>
    <w:rsid w:val="00AF1A1C"/>
    <w:rsid w:val="00AF1A27"/>
    <w:rsid w:val="00AF1A43"/>
    <w:rsid w:val="00AF1AD4"/>
    <w:rsid w:val="00AF1C77"/>
    <w:rsid w:val="00AF1D30"/>
    <w:rsid w:val="00AF2045"/>
    <w:rsid w:val="00AF20D5"/>
    <w:rsid w:val="00AF2735"/>
    <w:rsid w:val="00AF2BC6"/>
    <w:rsid w:val="00AF2CE3"/>
    <w:rsid w:val="00AF2E04"/>
    <w:rsid w:val="00AF3246"/>
    <w:rsid w:val="00AF34B0"/>
    <w:rsid w:val="00AF35A4"/>
    <w:rsid w:val="00AF370D"/>
    <w:rsid w:val="00AF397C"/>
    <w:rsid w:val="00AF3F1C"/>
    <w:rsid w:val="00AF4654"/>
    <w:rsid w:val="00AF4655"/>
    <w:rsid w:val="00AF4880"/>
    <w:rsid w:val="00AF48B5"/>
    <w:rsid w:val="00AF4A32"/>
    <w:rsid w:val="00AF4ABA"/>
    <w:rsid w:val="00AF4B5C"/>
    <w:rsid w:val="00AF4F9B"/>
    <w:rsid w:val="00AF4FC2"/>
    <w:rsid w:val="00AF5382"/>
    <w:rsid w:val="00AF558D"/>
    <w:rsid w:val="00AF5790"/>
    <w:rsid w:val="00AF57FD"/>
    <w:rsid w:val="00AF582E"/>
    <w:rsid w:val="00AF58AF"/>
    <w:rsid w:val="00AF5AFB"/>
    <w:rsid w:val="00AF5EBA"/>
    <w:rsid w:val="00AF5FF2"/>
    <w:rsid w:val="00AF622F"/>
    <w:rsid w:val="00AF62A2"/>
    <w:rsid w:val="00AF6335"/>
    <w:rsid w:val="00AF63AB"/>
    <w:rsid w:val="00AF666F"/>
    <w:rsid w:val="00AF6783"/>
    <w:rsid w:val="00AF6C3B"/>
    <w:rsid w:val="00AF6E04"/>
    <w:rsid w:val="00AF6F2E"/>
    <w:rsid w:val="00AF726E"/>
    <w:rsid w:val="00AF7405"/>
    <w:rsid w:val="00AF75EF"/>
    <w:rsid w:val="00AF7870"/>
    <w:rsid w:val="00AF7897"/>
    <w:rsid w:val="00AF789D"/>
    <w:rsid w:val="00AF7BCF"/>
    <w:rsid w:val="00AF7D6C"/>
    <w:rsid w:val="00B002D2"/>
    <w:rsid w:val="00B006EA"/>
    <w:rsid w:val="00B00978"/>
    <w:rsid w:val="00B009EE"/>
    <w:rsid w:val="00B00D86"/>
    <w:rsid w:val="00B00D8B"/>
    <w:rsid w:val="00B00E48"/>
    <w:rsid w:val="00B011AF"/>
    <w:rsid w:val="00B01599"/>
    <w:rsid w:val="00B0184D"/>
    <w:rsid w:val="00B01AE9"/>
    <w:rsid w:val="00B01FFD"/>
    <w:rsid w:val="00B0216F"/>
    <w:rsid w:val="00B021F0"/>
    <w:rsid w:val="00B02698"/>
    <w:rsid w:val="00B02A5F"/>
    <w:rsid w:val="00B02A8A"/>
    <w:rsid w:val="00B02CB4"/>
    <w:rsid w:val="00B0321E"/>
    <w:rsid w:val="00B03229"/>
    <w:rsid w:val="00B0327A"/>
    <w:rsid w:val="00B036FE"/>
    <w:rsid w:val="00B03BFD"/>
    <w:rsid w:val="00B03C92"/>
    <w:rsid w:val="00B03D94"/>
    <w:rsid w:val="00B03F9E"/>
    <w:rsid w:val="00B04177"/>
    <w:rsid w:val="00B04645"/>
    <w:rsid w:val="00B04745"/>
    <w:rsid w:val="00B04956"/>
    <w:rsid w:val="00B04F2B"/>
    <w:rsid w:val="00B0557B"/>
    <w:rsid w:val="00B058F0"/>
    <w:rsid w:val="00B05C3C"/>
    <w:rsid w:val="00B06050"/>
    <w:rsid w:val="00B064AD"/>
    <w:rsid w:val="00B06870"/>
    <w:rsid w:val="00B068C1"/>
    <w:rsid w:val="00B06E2A"/>
    <w:rsid w:val="00B06F3F"/>
    <w:rsid w:val="00B07114"/>
    <w:rsid w:val="00B07488"/>
    <w:rsid w:val="00B076F3"/>
    <w:rsid w:val="00B07962"/>
    <w:rsid w:val="00B07C70"/>
    <w:rsid w:val="00B07E46"/>
    <w:rsid w:val="00B07FB3"/>
    <w:rsid w:val="00B1015E"/>
    <w:rsid w:val="00B10245"/>
    <w:rsid w:val="00B103A2"/>
    <w:rsid w:val="00B10463"/>
    <w:rsid w:val="00B10637"/>
    <w:rsid w:val="00B106F0"/>
    <w:rsid w:val="00B10C99"/>
    <w:rsid w:val="00B10D51"/>
    <w:rsid w:val="00B1150B"/>
    <w:rsid w:val="00B11575"/>
    <w:rsid w:val="00B11648"/>
    <w:rsid w:val="00B116D4"/>
    <w:rsid w:val="00B117C3"/>
    <w:rsid w:val="00B11AAE"/>
    <w:rsid w:val="00B11B1E"/>
    <w:rsid w:val="00B11BCE"/>
    <w:rsid w:val="00B11C61"/>
    <w:rsid w:val="00B11CEF"/>
    <w:rsid w:val="00B11E86"/>
    <w:rsid w:val="00B12560"/>
    <w:rsid w:val="00B12613"/>
    <w:rsid w:val="00B12689"/>
    <w:rsid w:val="00B1277C"/>
    <w:rsid w:val="00B127DC"/>
    <w:rsid w:val="00B12836"/>
    <w:rsid w:val="00B12AB0"/>
    <w:rsid w:val="00B12B22"/>
    <w:rsid w:val="00B12D5F"/>
    <w:rsid w:val="00B131A7"/>
    <w:rsid w:val="00B131CA"/>
    <w:rsid w:val="00B13296"/>
    <w:rsid w:val="00B133BD"/>
    <w:rsid w:val="00B133C1"/>
    <w:rsid w:val="00B136B1"/>
    <w:rsid w:val="00B1371D"/>
    <w:rsid w:val="00B13BDE"/>
    <w:rsid w:val="00B14103"/>
    <w:rsid w:val="00B14696"/>
    <w:rsid w:val="00B14A5E"/>
    <w:rsid w:val="00B14B83"/>
    <w:rsid w:val="00B14BEA"/>
    <w:rsid w:val="00B1543B"/>
    <w:rsid w:val="00B15576"/>
    <w:rsid w:val="00B155E0"/>
    <w:rsid w:val="00B157DC"/>
    <w:rsid w:val="00B15AC2"/>
    <w:rsid w:val="00B15B87"/>
    <w:rsid w:val="00B15D5C"/>
    <w:rsid w:val="00B15ECA"/>
    <w:rsid w:val="00B15FC5"/>
    <w:rsid w:val="00B15FDD"/>
    <w:rsid w:val="00B16027"/>
    <w:rsid w:val="00B161BD"/>
    <w:rsid w:val="00B162EA"/>
    <w:rsid w:val="00B16367"/>
    <w:rsid w:val="00B166FC"/>
    <w:rsid w:val="00B167D9"/>
    <w:rsid w:val="00B168F2"/>
    <w:rsid w:val="00B1695A"/>
    <w:rsid w:val="00B16978"/>
    <w:rsid w:val="00B16A20"/>
    <w:rsid w:val="00B16A91"/>
    <w:rsid w:val="00B16C2B"/>
    <w:rsid w:val="00B16D2E"/>
    <w:rsid w:val="00B16D8E"/>
    <w:rsid w:val="00B16E6E"/>
    <w:rsid w:val="00B172DC"/>
    <w:rsid w:val="00B17457"/>
    <w:rsid w:val="00B17490"/>
    <w:rsid w:val="00B1749E"/>
    <w:rsid w:val="00B174F0"/>
    <w:rsid w:val="00B176BD"/>
    <w:rsid w:val="00B17DA3"/>
    <w:rsid w:val="00B17DD3"/>
    <w:rsid w:val="00B17FF3"/>
    <w:rsid w:val="00B2004B"/>
    <w:rsid w:val="00B201CD"/>
    <w:rsid w:val="00B20544"/>
    <w:rsid w:val="00B205B6"/>
    <w:rsid w:val="00B20BE1"/>
    <w:rsid w:val="00B20F9A"/>
    <w:rsid w:val="00B214DE"/>
    <w:rsid w:val="00B214F5"/>
    <w:rsid w:val="00B2184F"/>
    <w:rsid w:val="00B2198E"/>
    <w:rsid w:val="00B219AC"/>
    <w:rsid w:val="00B21BD7"/>
    <w:rsid w:val="00B21C30"/>
    <w:rsid w:val="00B22006"/>
    <w:rsid w:val="00B220F1"/>
    <w:rsid w:val="00B222AA"/>
    <w:rsid w:val="00B22474"/>
    <w:rsid w:val="00B22569"/>
    <w:rsid w:val="00B228C0"/>
    <w:rsid w:val="00B22989"/>
    <w:rsid w:val="00B22A3F"/>
    <w:rsid w:val="00B22B37"/>
    <w:rsid w:val="00B2300B"/>
    <w:rsid w:val="00B23067"/>
    <w:rsid w:val="00B232BE"/>
    <w:rsid w:val="00B23641"/>
    <w:rsid w:val="00B23701"/>
    <w:rsid w:val="00B237E2"/>
    <w:rsid w:val="00B23852"/>
    <w:rsid w:val="00B23C19"/>
    <w:rsid w:val="00B23C7E"/>
    <w:rsid w:val="00B23D80"/>
    <w:rsid w:val="00B2409F"/>
    <w:rsid w:val="00B2410F"/>
    <w:rsid w:val="00B245C2"/>
    <w:rsid w:val="00B24691"/>
    <w:rsid w:val="00B24825"/>
    <w:rsid w:val="00B24862"/>
    <w:rsid w:val="00B249AB"/>
    <w:rsid w:val="00B24AE1"/>
    <w:rsid w:val="00B24CE2"/>
    <w:rsid w:val="00B24FDF"/>
    <w:rsid w:val="00B25102"/>
    <w:rsid w:val="00B251C7"/>
    <w:rsid w:val="00B251F8"/>
    <w:rsid w:val="00B2548E"/>
    <w:rsid w:val="00B25512"/>
    <w:rsid w:val="00B25D8F"/>
    <w:rsid w:val="00B26164"/>
    <w:rsid w:val="00B26217"/>
    <w:rsid w:val="00B26A78"/>
    <w:rsid w:val="00B26B43"/>
    <w:rsid w:val="00B26BB5"/>
    <w:rsid w:val="00B26BFF"/>
    <w:rsid w:val="00B26D0F"/>
    <w:rsid w:val="00B26FD3"/>
    <w:rsid w:val="00B26FDA"/>
    <w:rsid w:val="00B2702E"/>
    <w:rsid w:val="00B271FE"/>
    <w:rsid w:val="00B2724F"/>
    <w:rsid w:val="00B27390"/>
    <w:rsid w:val="00B27912"/>
    <w:rsid w:val="00B27E97"/>
    <w:rsid w:val="00B30021"/>
    <w:rsid w:val="00B30023"/>
    <w:rsid w:val="00B30095"/>
    <w:rsid w:val="00B3036A"/>
    <w:rsid w:val="00B30631"/>
    <w:rsid w:val="00B3089F"/>
    <w:rsid w:val="00B309D3"/>
    <w:rsid w:val="00B309EF"/>
    <w:rsid w:val="00B30A37"/>
    <w:rsid w:val="00B30B90"/>
    <w:rsid w:val="00B30C83"/>
    <w:rsid w:val="00B30F7E"/>
    <w:rsid w:val="00B30FB0"/>
    <w:rsid w:val="00B316E3"/>
    <w:rsid w:val="00B316EE"/>
    <w:rsid w:val="00B31845"/>
    <w:rsid w:val="00B31960"/>
    <w:rsid w:val="00B319D9"/>
    <w:rsid w:val="00B3200D"/>
    <w:rsid w:val="00B32047"/>
    <w:rsid w:val="00B3255E"/>
    <w:rsid w:val="00B32805"/>
    <w:rsid w:val="00B32D10"/>
    <w:rsid w:val="00B32DC1"/>
    <w:rsid w:val="00B32F63"/>
    <w:rsid w:val="00B330B9"/>
    <w:rsid w:val="00B331CC"/>
    <w:rsid w:val="00B33275"/>
    <w:rsid w:val="00B33881"/>
    <w:rsid w:val="00B33C94"/>
    <w:rsid w:val="00B33DF7"/>
    <w:rsid w:val="00B33E7A"/>
    <w:rsid w:val="00B33EF1"/>
    <w:rsid w:val="00B343D5"/>
    <w:rsid w:val="00B34413"/>
    <w:rsid w:val="00B3449D"/>
    <w:rsid w:val="00B344F1"/>
    <w:rsid w:val="00B3462A"/>
    <w:rsid w:val="00B34873"/>
    <w:rsid w:val="00B3487E"/>
    <w:rsid w:val="00B34929"/>
    <w:rsid w:val="00B34BA5"/>
    <w:rsid w:val="00B34D23"/>
    <w:rsid w:val="00B34E65"/>
    <w:rsid w:val="00B3502D"/>
    <w:rsid w:val="00B35611"/>
    <w:rsid w:val="00B3568B"/>
    <w:rsid w:val="00B356B9"/>
    <w:rsid w:val="00B35AEE"/>
    <w:rsid w:val="00B35AF3"/>
    <w:rsid w:val="00B35C58"/>
    <w:rsid w:val="00B35D60"/>
    <w:rsid w:val="00B3616C"/>
    <w:rsid w:val="00B362E7"/>
    <w:rsid w:val="00B3643B"/>
    <w:rsid w:val="00B3656B"/>
    <w:rsid w:val="00B36624"/>
    <w:rsid w:val="00B36A83"/>
    <w:rsid w:val="00B36F35"/>
    <w:rsid w:val="00B36F83"/>
    <w:rsid w:val="00B3715E"/>
    <w:rsid w:val="00B374B0"/>
    <w:rsid w:val="00B374EC"/>
    <w:rsid w:val="00B375C4"/>
    <w:rsid w:val="00B3778A"/>
    <w:rsid w:val="00B3778E"/>
    <w:rsid w:val="00B3791B"/>
    <w:rsid w:val="00B37B0F"/>
    <w:rsid w:val="00B37B97"/>
    <w:rsid w:val="00B37C03"/>
    <w:rsid w:val="00B37D3C"/>
    <w:rsid w:val="00B37EF2"/>
    <w:rsid w:val="00B400EB"/>
    <w:rsid w:val="00B40111"/>
    <w:rsid w:val="00B40279"/>
    <w:rsid w:val="00B402BB"/>
    <w:rsid w:val="00B402E2"/>
    <w:rsid w:val="00B40B86"/>
    <w:rsid w:val="00B40BEB"/>
    <w:rsid w:val="00B413C4"/>
    <w:rsid w:val="00B41743"/>
    <w:rsid w:val="00B41764"/>
    <w:rsid w:val="00B41886"/>
    <w:rsid w:val="00B424A3"/>
    <w:rsid w:val="00B42A0A"/>
    <w:rsid w:val="00B42A33"/>
    <w:rsid w:val="00B42C15"/>
    <w:rsid w:val="00B42CD9"/>
    <w:rsid w:val="00B42E7E"/>
    <w:rsid w:val="00B43350"/>
    <w:rsid w:val="00B43564"/>
    <w:rsid w:val="00B43787"/>
    <w:rsid w:val="00B43AEC"/>
    <w:rsid w:val="00B43DD7"/>
    <w:rsid w:val="00B43E8A"/>
    <w:rsid w:val="00B43F1F"/>
    <w:rsid w:val="00B44363"/>
    <w:rsid w:val="00B446E6"/>
    <w:rsid w:val="00B449C2"/>
    <w:rsid w:val="00B44A46"/>
    <w:rsid w:val="00B44D61"/>
    <w:rsid w:val="00B44D6F"/>
    <w:rsid w:val="00B44D9E"/>
    <w:rsid w:val="00B44D9F"/>
    <w:rsid w:val="00B44DA6"/>
    <w:rsid w:val="00B44E36"/>
    <w:rsid w:val="00B44F41"/>
    <w:rsid w:val="00B45174"/>
    <w:rsid w:val="00B453F7"/>
    <w:rsid w:val="00B4551A"/>
    <w:rsid w:val="00B4564D"/>
    <w:rsid w:val="00B45706"/>
    <w:rsid w:val="00B458ED"/>
    <w:rsid w:val="00B45BCC"/>
    <w:rsid w:val="00B45EF2"/>
    <w:rsid w:val="00B46036"/>
    <w:rsid w:val="00B46169"/>
    <w:rsid w:val="00B462E6"/>
    <w:rsid w:val="00B4659A"/>
    <w:rsid w:val="00B46A89"/>
    <w:rsid w:val="00B46E03"/>
    <w:rsid w:val="00B46F37"/>
    <w:rsid w:val="00B46FA2"/>
    <w:rsid w:val="00B4715A"/>
    <w:rsid w:val="00B47541"/>
    <w:rsid w:val="00B477C0"/>
    <w:rsid w:val="00B47AD3"/>
    <w:rsid w:val="00B5020F"/>
    <w:rsid w:val="00B503FA"/>
    <w:rsid w:val="00B5083C"/>
    <w:rsid w:val="00B50901"/>
    <w:rsid w:val="00B509B4"/>
    <w:rsid w:val="00B50CD2"/>
    <w:rsid w:val="00B50E23"/>
    <w:rsid w:val="00B50E58"/>
    <w:rsid w:val="00B51068"/>
    <w:rsid w:val="00B511E4"/>
    <w:rsid w:val="00B5132B"/>
    <w:rsid w:val="00B51513"/>
    <w:rsid w:val="00B51742"/>
    <w:rsid w:val="00B51A5D"/>
    <w:rsid w:val="00B51B8A"/>
    <w:rsid w:val="00B51BE1"/>
    <w:rsid w:val="00B51F06"/>
    <w:rsid w:val="00B5211D"/>
    <w:rsid w:val="00B523EF"/>
    <w:rsid w:val="00B52457"/>
    <w:rsid w:val="00B525E0"/>
    <w:rsid w:val="00B5278A"/>
    <w:rsid w:val="00B52AEB"/>
    <w:rsid w:val="00B52DB5"/>
    <w:rsid w:val="00B52FB9"/>
    <w:rsid w:val="00B52FC0"/>
    <w:rsid w:val="00B53303"/>
    <w:rsid w:val="00B53475"/>
    <w:rsid w:val="00B5347C"/>
    <w:rsid w:val="00B534DD"/>
    <w:rsid w:val="00B5388B"/>
    <w:rsid w:val="00B53BC1"/>
    <w:rsid w:val="00B53D6A"/>
    <w:rsid w:val="00B5402F"/>
    <w:rsid w:val="00B54359"/>
    <w:rsid w:val="00B5451A"/>
    <w:rsid w:val="00B54966"/>
    <w:rsid w:val="00B54985"/>
    <w:rsid w:val="00B54D82"/>
    <w:rsid w:val="00B54E19"/>
    <w:rsid w:val="00B54E89"/>
    <w:rsid w:val="00B5516E"/>
    <w:rsid w:val="00B55438"/>
    <w:rsid w:val="00B55D44"/>
    <w:rsid w:val="00B55F27"/>
    <w:rsid w:val="00B55FD6"/>
    <w:rsid w:val="00B56902"/>
    <w:rsid w:val="00B56A8E"/>
    <w:rsid w:val="00B56D5C"/>
    <w:rsid w:val="00B56E76"/>
    <w:rsid w:val="00B56E97"/>
    <w:rsid w:val="00B56F1E"/>
    <w:rsid w:val="00B57369"/>
    <w:rsid w:val="00B574E6"/>
    <w:rsid w:val="00B57564"/>
    <w:rsid w:val="00B57656"/>
    <w:rsid w:val="00B57DD4"/>
    <w:rsid w:val="00B57EF0"/>
    <w:rsid w:val="00B57F10"/>
    <w:rsid w:val="00B57F99"/>
    <w:rsid w:val="00B602EA"/>
    <w:rsid w:val="00B6035D"/>
    <w:rsid w:val="00B606FD"/>
    <w:rsid w:val="00B6085A"/>
    <w:rsid w:val="00B609CA"/>
    <w:rsid w:val="00B60B22"/>
    <w:rsid w:val="00B60B41"/>
    <w:rsid w:val="00B60BFA"/>
    <w:rsid w:val="00B60C2E"/>
    <w:rsid w:val="00B611FB"/>
    <w:rsid w:val="00B615C8"/>
    <w:rsid w:val="00B61661"/>
    <w:rsid w:val="00B61AB9"/>
    <w:rsid w:val="00B61CF7"/>
    <w:rsid w:val="00B61D5A"/>
    <w:rsid w:val="00B61E17"/>
    <w:rsid w:val="00B61F96"/>
    <w:rsid w:val="00B620E9"/>
    <w:rsid w:val="00B6216D"/>
    <w:rsid w:val="00B624A0"/>
    <w:rsid w:val="00B62829"/>
    <w:rsid w:val="00B62871"/>
    <w:rsid w:val="00B62A6A"/>
    <w:rsid w:val="00B62F3F"/>
    <w:rsid w:val="00B630D3"/>
    <w:rsid w:val="00B6360A"/>
    <w:rsid w:val="00B637C8"/>
    <w:rsid w:val="00B63C1D"/>
    <w:rsid w:val="00B63CB1"/>
    <w:rsid w:val="00B63E4A"/>
    <w:rsid w:val="00B63F34"/>
    <w:rsid w:val="00B64053"/>
    <w:rsid w:val="00B64070"/>
    <w:rsid w:val="00B6438C"/>
    <w:rsid w:val="00B64681"/>
    <w:rsid w:val="00B646D7"/>
    <w:rsid w:val="00B64878"/>
    <w:rsid w:val="00B648CF"/>
    <w:rsid w:val="00B64A10"/>
    <w:rsid w:val="00B64B8F"/>
    <w:rsid w:val="00B64B98"/>
    <w:rsid w:val="00B64DCA"/>
    <w:rsid w:val="00B657BE"/>
    <w:rsid w:val="00B65A55"/>
    <w:rsid w:val="00B65A94"/>
    <w:rsid w:val="00B65B3F"/>
    <w:rsid w:val="00B65B7A"/>
    <w:rsid w:val="00B65BF9"/>
    <w:rsid w:val="00B65CF9"/>
    <w:rsid w:val="00B65DFA"/>
    <w:rsid w:val="00B65E10"/>
    <w:rsid w:val="00B65E54"/>
    <w:rsid w:val="00B6618E"/>
    <w:rsid w:val="00B6621B"/>
    <w:rsid w:val="00B662F3"/>
    <w:rsid w:val="00B664C2"/>
    <w:rsid w:val="00B66707"/>
    <w:rsid w:val="00B6687C"/>
    <w:rsid w:val="00B668D1"/>
    <w:rsid w:val="00B6692A"/>
    <w:rsid w:val="00B66AF6"/>
    <w:rsid w:val="00B66E79"/>
    <w:rsid w:val="00B66F33"/>
    <w:rsid w:val="00B67028"/>
    <w:rsid w:val="00B67064"/>
    <w:rsid w:val="00B671A6"/>
    <w:rsid w:val="00B67224"/>
    <w:rsid w:val="00B675A4"/>
    <w:rsid w:val="00B67694"/>
    <w:rsid w:val="00B676A4"/>
    <w:rsid w:val="00B67EC7"/>
    <w:rsid w:val="00B67F04"/>
    <w:rsid w:val="00B7009A"/>
    <w:rsid w:val="00B702A9"/>
    <w:rsid w:val="00B70641"/>
    <w:rsid w:val="00B70987"/>
    <w:rsid w:val="00B709A7"/>
    <w:rsid w:val="00B70A1A"/>
    <w:rsid w:val="00B70A72"/>
    <w:rsid w:val="00B70AA7"/>
    <w:rsid w:val="00B70B1B"/>
    <w:rsid w:val="00B70C16"/>
    <w:rsid w:val="00B70CB3"/>
    <w:rsid w:val="00B71009"/>
    <w:rsid w:val="00B7112B"/>
    <w:rsid w:val="00B71137"/>
    <w:rsid w:val="00B7133B"/>
    <w:rsid w:val="00B7149E"/>
    <w:rsid w:val="00B71784"/>
    <w:rsid w:val="00B719D1"/>
    <w:rsid w:val="00B719F0"/>
    <w:rsid w:val="00B71AF5"/>
    <w:rsid w:val="00B71F4A"/>
    <w:rsid w:val="00B72415"/>
    <w:rsid w:val="00B724AE"/>
    <w:rsid w:val="00B728DE"/>
    <w:rsid w:val="00B729D9"/>
    <w:rsid w:val="00B72A53"/>
    <w:rsid w:val="00B72B05"/>
    <w:rsid w:val="00B72D83"/>
    <w:rsid w:val="00B73275"/>
    <w:rsid w:val="00B73584"/>
    <w:rsid w:val="00B73AF7"/>
    <w:rsid w:val="00B73EB0"/>
    <w:rsid w:val="00B73FC1"/>
    <w:rsid w:val="00B744BE"/>
    <w:rsid w:val="00B7454C"/>
    <w:rsid w:val="00B746EE"/>
    <w:rsid w:val="00B7481F"/>
    <w:rsid w:val="00B748D3"/>
    <w:rsid w:val="00B749BF"/>
    <w:rsid w:val="00B74A73"/>
    <w:rsid w:val="00B74EA4"/>
    <w:rsid w:val="00B7509D"/>
    <w:rsid w:val="00B750C7"/>
    <w:rsid w:val="00B753DD"/>
    <w:rsid w:val="00B755CD"/>
    <w:rsid w:val="00B75794"/>
    <w:rsid w:val="00B75DA1"/>
    <w:rsid w:val="00B75DDD"/>
    <w:rsid w:val="00B760C4"/>
    <w:rsid w:val="00B761BF"/>
    <w:rsid w:val="00B762E4"/>
    <w:rsid w:val="00B76535"/>
    <w:rsid w:val="00B765FE"/>
    <w:rsid w:val="00B76917"/>
    <w:rsid w:val="00B76A17"/>
    <w:rsid w:val="00B76BA4"/>
    <w:rsid w:val="00B76D7C"/>
    <w:rsid w:val="00B77157"/>
    <w:rsid w:val="00B77206"/>
    <w:rsid w:val="00B77381"/>
    <w:rsid w:val="00B7765C"/>
    <w:rsid w:val="00B7769A"/>
    <w:rsid w:val="00B77715"/>
    <w:rsid w:val="00B77D57"/>
    <w:rsid w:val="00B77E90"/>
    <w:rsid w:val="00B77F97"/>
    <w:rsid w:val="00B8005F"/>
    <w:rsid w:val="00B8008F"/>
    <w:rsid w:val="00B803B4"/>
    <w:rsid w:val="00B8041D"/>
    <w:rsid w:val="00B806CD"/>
    <w:rsid w:val="00B80999"/>
    <w:rsid w:val="00B80A14"/>
    <w:rsid w:val="00B80BCD"/>
    <w:rsid w:val="00B80C16"/>
    <w:rsid w:val="00B80E4A"/>
    <w:rsid w:val="00B80F1F"/>
    <w:rsid w:val="00B8142A"/>
    <w:rsid w:val="00B81616"/>
    <w:rsid w:val="00B81768"/>
    <w:rsid w:val="00B81D52"/>
    <w:rsid w:val="00B81EBC"/>
    <w:rsid w:val="00B81F0A"/>
    <w:rsid w:val="00B81FF0"/>
    <w:rsid w:val="00B82100"/>
    <w:rsid w:val="00B8210D"/>
    <w:rsid w:val="00B82110"/>
    <w:rsid w:val="00B82294"/>
    <w:rsid w:val="00B822EC"/>
    <w:rsid w:val="00B8247A"/>
    <w:rsid w:val="00B8257A"/>
    <w:rsid w:val="00B825D3"/>
    <w:rsid w:val="00B82998"/>
    <w:rsid w:val="00B829DD"/>
    <w:rsid w:val="00B82AF9"/>
    <w:rsid w:val="00B831B8"/>
    <w:rsid w:val="00B831DD"/>
    <w:rsid w:val="00B83362"/>
    <w:rsid w:val="00B833B2"/>
    <w:rsid w:val="00B835B8"/>
    <w:rsid w:val="00B835F6"/>
    <w:rsid w:val="00B8380E"/>
    <w:rsid w:val="00B83BC7"/>
    <w:rsid w:val="00B83CF1"/>
    <w:rsid w:val="00B84059"/>
    <w:rsid w:val="00B844F3"/>
    <w:rsid w:val="00B846C0"/>
    <w:rsid w:val="00B847A2"/>
    <w:rsid w:val="00B84A01"/>
    <w:rsid w:val="00B84EAC"/>
    <w:rsid w:val="00B84F7B"/>
    <w:rsid w:val="00B8553E"/>
    <w:rsid w:val="00B855AA"/>
    <w:rsid w:val="00B85877"/>
    <w:rsid w:val="00B859A0"/>
    <w:rsid w:val="00B85BAF"/>
    <w:rsid w:val="00B85CD7"/>
    <w:rsid w:val="00B85F9F"/>
    <w:rsid w:val="00B86079"/>
    <w:rsid w:val="00B86162"/>
    <w:rsid w:val="00B866B4"/>
    <w:rsid w:val="00B869DB"/>
    <w:rsid w:val="00B86D2E"/>
    <w:rsid w:val="00B86DF7"/>
    <w:rsid w:val="00B87683"/>
    <w:rsid w:val="00B876B9"/>
    <w:rsid w:val="00B8774B"/>
    <w:rsid w:val="00B87B6D"/>
    <w:rsid w:val="00B87D40"/>
    <w:rsid w:val="00B87E40"/>
    <w:rsid w:val="00B9012F"/>
    <w:rsid w:val="00B90313"/>
    <w:rsid w:val="00B90339"/>
    <w:rsid w:val="00B904D9"/>
    <w:rsid w:val="00B90945"/>
    <w:rsid w:val="00B90B69"/>
    <w:rsid w:val="00B90B9F"/>
    <w:rsid w:val="00B90D49"/>
    <w:rsid w:val="00B90E43"/>
    <w:rsid w:val="00B90E62"/>
    <w:rsid w:val="00B9145B"/>
    <w:rsid w:val="00B91548"/>
    <w:rsid w:val="00B915C1"/>
    <w:rsid w:val="00B91637"/>
    <w:rsid w:val="00B9165B"/>
    <w:rsid w:val="00B91DF3"/>
    <w:rsid w:val="00B91EE8"/>
    <w:rsid w:val="00B920A8"/>
    <w:rsid w:val="00B920FE"/>
    <w:rsid w:val="00B92750"/>
    <w:rsid w:val="00B928AC"/>
    <w:rsid w:val="00B928BC"/>
    <w:rsid w:val="00B92D9D"/>
    <w:rsid w:val="00B9315A"/>
    <w:rsid w:val="00B931B3"/>
    <w:rsid w:val="00B9331C"/>
    <w:rsid w:val="00B934A1"/>
    <w:rsid w:val="00B93BEF"/>
    <w:rsid w:val="00B94234"/>
    <w:rsid w:val="00B942DE"/>
    <w:rsid w:val="00B949EF"/>
    <w:rsid w:val="00B94AEF"/>
    <w:rsid w:val="00B94AF3"/>
    <w:rsid w:val="00B94B0C"/>
    <w:rsid w:val="00B94B88"/>
    <w:rsid w:val="00B94EE9"/>
    <w:rsid w:val="00B951DD"/>
    <w:rsid w:val="00B9520D"/>
    <w:rsid w:val="00B955FC"/>
    <w:rsid w:val="00B957CD"/>
    <w:rsid w:val="00B958C1"/>
    <w:rsid w:val="00B95BB0"/>
    <w:rsid w:val="00B95BBA"/>
    <w:rsid w:val="00B95C61"/>
    <w:rsid w:val="00B95D9C"/>
    <w:rsid w:val="00B95FED"/>
    <w:rsid w:val="00B9611D"/>
    <w:rsid w:val="00B96331"/>
    <w:rsid w:val="00B96362"/>
    <w:rsid w:val="00B96485"/>
    <w:rsid w:val="00B9667E"/>
    <w:rsid w:val="00B967AF"/>
    <w:rsid w:val="00B96BAB"/>
    <w:rsid w:val="00B96C6A"/>
    <w:rsid w:val="00B9706E"/>
    <w:rsid w:val="00B97188"/>
    <w:rsid w:val="00B97189"/>
    <w:rsid w:val="00B97573"/>
    <w:rsid w:val="00B97890"/>
    <w:rsid w:val="00B979D1"/>
    <w:rsid w:val="00B97ACC"/>
    <w:rsid w:val="00B97C09"/>
    <w:rsid w:val="00B97C7E"/>
    <w:rsid w:val="00B97DD6"/>
    <w:rsid w:val="00B97DF9"/>
    <w:rsid w:val="00B97E43"/>
    <w:rsid w:val="00BA033F"/>
    <w:rsid w:val="00BA04AF"/>
    <w:rsid w:val="00BA0954"/>
    <w:rsid w:val="00BA098A"/>
    <w:rsid w:val="00BA0BBA"/>
    <w:rsid w:val="00BA0CCB"/>
    <w:rsid w:val="00BA0EC0"/>
    <w:rsid w:val="00BA0F34"/>
    <w:rsid w:val="00BA112B"/>
    <w:rsid w:val="00BA1461"/>
    <w:rsid w:val="00BA16B3"/>
    <w:rsid w:val="00BA1B44"/>
    <w:rsid w:val="00BA1BC0"/>
    <w:rsid w:val="00BA1D20"/>
    <w:rsid w:val="00BA1D2A"/>
    <w:rsid w:val="00BA1DAF"/>
    <w:rsid w:val="00BA1F4C"/>
    <w:rsid w:val="00BA202A"/>
    <w:rsid w:val="00BA229D"/>
    <w:rsid w:val="00BA22DA"/>
    <w:rsid w:val="00BA24CE"/>
    <w:rsid w:val="00BA26E3"/>
    <w:rsid w:val="00BA2AF8"/>
    <w:rsid w:val="00BA2D95"/>
    <w:rsid w:val="00BA2ED7"/>
    <w:rsid w:val="00BA3119"/>
    <w:rsid w:val="00BA34B1"/>
    <w:rsid w:val="00BA3564"/>
    <w:rsid w:val="00BA35A4"/>
    <w:rsid w:val="00BA374F"/>
    <w:rsid w:val="00BA3E2E"/>
    <w:rsid w:val="00BA3F09"/>
    <w:rsid w:val="00BA3F42"/>
    <w:rsid w:val="00BA4048"/>
    <w:rsid w:val="00BA471C"/>
    <w:rsid w:val="00BA499D"/>
    <w:rsid w:val="00BA49E9"/>
    <w:rsid w:val="00BA4B04"/>
    <w:rsid w:val="00BA4D82"/>
    <w:rsid w:val="00BA57EE"/>
    <w:rsid w:val="00BA5875"/>
    <w:rsid w:val="00BA5EA3"/>
    <w:rsid w:val="00BA5EF7"/>
    <w:rsid w:val="00BA5F0E"/>
    <w:rsid w:val="00BA6016"/>
    <w:rsid w:val="00BA6333"/>
    <w:rsid w:val="00BA63F6"/>
    <w:rsid w:val="00BA69D5"/>
    <w:rsid w:val="00BA6A83"/>
    <w:rsid w:val="00BA6D22"/>
    <w:rsid w:val="00BA6EFA"/>
    <w:rsid w:val="00BA7184"/>
    <w:rsid w:val="00BA7379"/>
    <w:rsid w:val="00BA73E1"/>
    <w:rsid w:val="00BA7566"/>
    <w:rsid w:val="00BA787C"/>
    <w:rsid w:val="00BA79BB"/>
    <w:rsid w:val="00BA79BC"/>
    <w:rsid w:val="00BA79E8"/>
    <w:rsid w:val="00BA7CB3"/>
    <w:rsid w:val="00BA7F29"/>
    <w:rsid w:val="00BB04B4"/>
    <w:rsid w:val="00BB07B1"/>
    <w:rsid w:val="00BB0A99"/>
    <w:rsid w:val="00BB0B05"/>
    <w:rsid w:val="00BB0C18"/>
    <w:rsid w:val="00BB0E1C"/>
    <w:rsid w:val="00BB0F61"/>
    <w:rsid w:val="00BB1389"/>
    <w:rsid w:val="00BB13CE"/>
    <w:rsid w:val="00BB1426"/>
    <w:rsid w:val="00BB1931"/>
    <w:rsid w:val="00BB1B85"/>
    <w:rsid w:val="00BB1CF1"/>
    <w:rsid w:val="00BB1F2D"/>
    <w:rsid w:val="00BB20F6"/>
    <w:rsid w:val="00BB22CA"/>
    <w:rsid w:val="00BB234F"/>
    <w:rsid w:val="00BB23F5"/>
    <w:rsid w:val="00BB2561"/>
    <w:rsid w:val="00BB28C7"/>
    <w:rsid w:val="00BB2C8C"/>
    <w:rsid w:val="00BB2F29"/>
    <w:rsid w:val="00BB30D9"/>
    <w:rsid w:val="00BB326F"/>
    <w:rsid w:val="00BB3415"/>
    <w:rsid w:val="00BB3909"/>
    <w:rsid w:val="00BB3B81"/>
    <w:rsid w:val="00BB464A"/>
    <w:rsid w:val="00BB48CA"/>
    <w:rsid w:val="00BB4BF1"/>
    <w:rsid w:val="00BB4CC4"/>
    <w:rsid w:val="00BB4F7E"/>
    <w:rsid w:val="00BB5074"/>
    <w:rsid w:val="00BB50B0"/>
    <w:rsid w:val="00BB5240"/>
    <w:rsid w:val="00BB528D"/>
    <w:rsid w:val="00BB52F8"/>
    <w:rsid w:val="00BB55B3"/>
    <w:rsid w:val="00BB5D30"/>
    <w:rsid w:val="00BB5ED4"/>
    <w:rsid w:val="00BB62DF"/>
    <w:rsid w:val="00BB6331"/>
    <w:rsid w:val="00BB6399"/>
    <w:rsid w:val="00BB64D1"/>
    <w:rsid w:val="00BB6649"/>
    <w:rsid w:val="00BB66E7"/>
    <w:rsid w:val="00BB68B1"/>
    <w:rsid w:val="00BB6B7B"/>
    <w:rsid w:val="00BB6BD2"/>
    <w:rsid w:val="00BB6D92"/>
    <w:rsid w:val="00BB6DCB"/>
    <w:rsid w:val="00BB6E95"/>
    <w:rsid w:val="00BB6EC4"/>
    <w:rsid w:val="00BB6FFD"/>
    <w:rsid w:val="00BB717E"/>
    <w:rsid w:val="00BB71D0"/>
    <w:rsid w:val="00BB71FB"/>
    <w:rsid w:val="00BB7512"/>
    <w:rsid w:val="00BB7535"/>
    <w:rsid w:val="00BB769F"/>
    <w:rsid w:val="00BB7A64"/>
    <w:rsid w:val="00BB7B67"/>
    <w:rsid w:val="00BB7D90"/>
    <w:rsid w:val="00BB7DBB"/>
    <w:rsid w:val="00BC00AD"/>
    <w:rsid w:val="00BC00F0"/>
    <w:rsid w:val="00BC029A"/>
    <w:rsid w:val="00BC0400"/>
    <w:rsid w:val="00BC0832"/>
    <w:rsid w:val="00BC0B98"/>
    <w:rsid w:val="00BC0EFC"/>
    <w:rsid w:val="00BC0F6A"/>
    <w:rsid w:val="00BC125B"/>
    <w:rsid w:val="00BC1503"/>
    <w:rsid w:val="00BC158A"/>
    <w:rsid w:val="00BC182E"/>
    <w:rsid w:val="00BC1843"/>
    <w:rsid w:val="00BC1926"/>
    <w:rsid w:val="00BC1A83"/>
    <w:rsid w:val="00BC1C20"/>
    <w:rsid w:val="00BC1C73"/>
    <w:rsid w:val="00BC1CDA"/>
    <w:rsid w:val="00BC1D28"/>
    <w:rsid w:val="00BC1FC3"/>
    <w:rsid w:val="00BC1FCB"/>
    <w:rsid w:val="00BC20B2"/>
    <w:rsid w:val="00BC20DC"/>
    <w:rsid w:val="00BC2459"/>
    <w:rsid w:val="00BC2846"/>
    <w:rsid w:val="00BC28F6"/>
    <w:rsid w:val="00BC2913"/>
    <w:rsid w:val="00BC2BF1"/>
    <w:rsid w:val="00BC2C2B"/>
    <w:rsid w:val="00BC2C7E"/>
    <w:rsid w:val="00BC2DAF"/>
    <w:rsid w:val="00BC2E8C"/>
    <w:rsid w:val="00BC2FD3"/>
    <w:rsid w:val="00BC324A"/>
    <w:rsid w:val="00BC390F"/>
    <w:rsid w:val="00BC3ADB"/>
    <w:rsid w:val="00BC3B09"/>
    <w:rsid w:val="00BC3F20"/>
    <w:rsid w:val="00BC3F66"/>
    <w:rsid w:val="00BC440C"/>
    <w:rsid w:val="00BC4795"/>
    <w:rsid w:val="00BC47A3"/>
    <w:rsid w:val="00BC47FA"/>
    <w:rsid w:val="00BC48AE"/>
    <w:rsid w:val="00BC4A0D"/>
    <w:rsid w:val="00BC4A9E"/>
    <w:rsid w:val="00BC5160"/>
    <w:rsid w:val="00BC52B2"/>
    <w:rsid w:val="00BC553D"/>
    <w:rsid w:val="00BC5717"/>
    <w:rsid w:val="00BC5799"/>
    <w:rsid w:val="00BC5919"/>
    <w:rsid w:val="00BC597A"/>
    <w:rsid w:val="00BC5981"/>
    <w:rsid w:val="00BC59E9"/>
    <w:rsid w:val="00BC5A4C"/>
    <w:rsid w:val="00BC5A75"/>
    <w:rsid w:val="00BC618E"/>
    <w:rsid w:val="00BC6235"/>
    <w:rsid w:val="00BC647A"/>
    <w:rsid w:val="00BC6775"/>
    <w:rsid w:val="00BC6974"/>
    <w:rsid w:val="00BC697B"/>
    <w:rsid w:val="00BC6A70"/>
    <w:rsid w:val="00BC6BAC"/>
    <w:rsid w:val="00BC6C00"/>
    <w:rsid w:val="00BC6D13"/>
    <w:rsid w:val="00BC6E31"/>
    <w:rsid w:val="00BC7233"/>
    <w:rsid w:val="00BC735B"/>
    <w:rsid w:val="00BC7370"/>
    <w:rsid w:val="00BC753B"/>
    <w:rsid w:val="00BC76A2"/>
    <w:rsid w:val="00BC76B9"/>
    <w:rsid w:val="00BC78C5"/>
    <w:rsid w:val="00BC7BBB"/>
    <w:rsid w:val="00BC7F61"/>
    <w:rsid w:val="00BD0054"/>
    <w:rsid w:val="00BD0120"/>
    <w:rsid w:val="00BD0230"/>
    <w:rsid w:val="00BD031F"/>
    <w:rsid w:val="00BD04CC"/>
    <w:rsid w:val="00BD0514"/>
    <w:rsid w:val="00BD0837"/>
    <w:rsid w:val="00BD0A66"/>
    <w:rsid w:val="00BD0C6D"/>
    <w:rsid w:val="00BD0D8E"/>
    <w:rsid w:val="00BD1AA8"/>
    <w:rsid w:val="00BD1D63"/>
    <w:rsid w:val="00BD2053"/>
    <w:rsid w:val="00BD2083"/>
    <w:rsid w:val="00BD228F"/>
    <w:rsid w:val="00BD2298"/>
    <w:rsid w:val="00BD283F"/>
    <w:rsid w:val="00BD2DB5"/>
    <w:rsid w:val="00BD2DE3"/>
    <w:rsid w:val="00BD2F25"/>
    <w:rsid w:val="00BD2F2E"/>
    <w:rsid w:val="00BD3097"/>
    <w:rsid w:val="00BD3147"/>
    <w:rsid w:val="00BD33EE"/>
    <w:rsid w:val="00BD367F"/>
    <w:rsid w:val="00BD39DE"/>
    <w:rsid w:val="00BD3BDD"/>
    <w:rsid w:val="00BD3DEC"/>
    <w:rsid w:val="00BD3FAE"/>
    <w:rsid w:val="00BD40F3"/>
    <w:rsid w:val="00BD4102"/>
    <w:rsid w:val="00BD429C"/>
    <w:rsid w:val="00BD431C"/>
    <w:rsid w:val="00BD4512"/>
    <w:rsid w:val="00BD45E6"/>
    <w:rsid w:val="00BD4846"/>
    <w:rsid w:val="00BD48AA"/>
    <w:rsid w:val="00BD4B25"/>
    <w:rsid w:val="00BD4B41"/>
    <w:rsid w:val="00BD4B7A"/>
    <w:rsid w:val="00BD4CBB"/>
    <w:rsid w:val="00BD4E45"/>
    <w:rsid w:val="00BD52D6"/>
    <w:rsid w:val="00BD5768"/>
    <w:rsid w:val="00BD59C6"/>
    <w:rsid w:val="00BD5A0B"/>
    <w:rsid w:val="00BD5B7B"/>
    <w:rsid w:val="00BD5CFB"/>
    <w:rsid w:val="00BD5F48"/>
    <w:rsid w:val="00BD61C6"/>
    <w:rsid w:val="00BD625B"/>
    <w:rsid w:val="00BD68AE"/>
    <w:rsid w:val="00BD6B35"/>
    <w:rsid w:val="00BD6B84"/>
    <w:rsid w:val="00BD6C66"/>
    <w:rsid w:val="00BD6CCB"/>
    <w:rsid w:val="00BD6CF7"/>
    <w:rsid w:val="00BD6F44"/>
    <w:rsid w:val="00BD7272"/>
    <w:rsid w:val="00BD74F9"/>
    <w:rsid w:val="00BD7A68"/>
    <w:rsid w:val="00BD7C6F"/>
    <w:rsid w:val="00BD7D9E"/>
    <w:rsid w:val="00BE00B6"/>
    <w:rsid w:val="00BE01DD"/>
    <w:rsid w:val="00BE0272"/>
    <w:rsid w:val="00BE0416"/>
    <w:rsid w:val="00BE06D9"/>
    <w:rsid w:val="00BE09B2"/>
    <w:rsid w:val="00BE0C46"/>
    <w:rsid w:val="00BE0E49"/>
    <w:rsid w:val="00BE0EF3"/>
    <w:rsid w:val="00BE1753"/>
    <w:rsid w:val="00BE1783"/>
    <w:rsid w:val="00BE1863"/>
    <w:rsid w:val="00BE189E"/>
    <w:rsid w:val="00BE1EA0"/>
    <w:rsid w:val="00BE1F7D"/>
    <w:rsid w:val="00BE21B0"/>
    <w:rsid w:val="00BE21E3"/>
    <w:rsid w:val="00BE2295"/>
    <w:rsid w:val="00BE2369"/>
    <w:rsid w:val="00BE23C5"/>
    <w:rsid w:val="00BE2801"/>
    <w:rsid w:val="00BE2989"/>
    <w:rsid w:val="00BE29BF"/>
    <w:rsid w:val="00BE2A9B"/>
    <w:rsid w:val="00BE2ACC"/>
    <w:rsid w:val="00BE2B2C"/>
    <w:rsid w:val="00BE2B60"/>
    <w:rsid w:val="00BE3073"/>
    <w:rsid w:val="00BE32A9"/>
    <w:rsid w:val="00BE341F"/>
    <w:rsid w:val="00BE347A"/>
    <w:rsid w:val="00BE3515"/>
    <w:rsid w:val="00BE37F9"/>
    <w:rsid w:val="00BE3836"/>
    <w:rsid w:val="00BE3A19"/>
    <w:rsid w:val="00BE3A49"/>
    <w:rsid w:val="00BE3BE7"/>
    <w:rsid w:val="00BE3CB0"/>
    <w:rsid w:val="00BE4007"/>
    <w:rsid w:val="00BE4041"/>
    <w:rsid w:val="00BE406D"/>
    <w:rsid w:val="00BE418D"/>
    <w:rsid w:val="00BE44E5"/>
    <w:rsid w:val="00BE45CB"/>
    <w:rsid w:val="00BE4625"/>
    <w:rsid w:val="00BE468A"/>
    <w:rsid w:val="00BE46D0"/>
    <w:rsid w:val="00BE471F"/>
    <w:rsid w:val="00BE480C"/>
    <w:rsid w:val="00BE4813"/>
    <w:rsid w:val="00BE4946"/>
    <w:rsid w:val="00BE4A78"/>
    <w:rsid w:val="00BE4BF5"/>
    <w:rsid w:val="00BE4D2B"/>
    <w:rsid w:val="00BE4DC5"/>
    <w:rsid w:val="00BE5021"/>
    <w:rsid w:val="00BE5101"/>
    <w:rsid w:val="00BE51AD"/>
    <w:rsid w:val="00BE528C"/>
    <w:rsid w:val="00BE529A"/>
    <w:rsid w:val="00BE5753"/>
    <w:rsid w:val="00BE597D"/>
    <w:rsid w:val="00BE5C9F"/>
    <w:rsid w:val="00BE6452"/>
    <w:rsid w:val="00BE6A37"/>
    <w:rsid w:val="00BE6AB0"/>
    <w:rsid w:val="00BE6CD1"/>
    <w:rsid w:val="00BE6E24"/>
    <w:rsid w:val="00BE6EDB"/>
    <w:rsid w:val="00BE6FBB"/>
    <w:rsid w:val="00BE7349"/>
    <w:rsid w:val="00BE73DC"/>
    <w:rsid w:val="00BE74C5"/>
    <w:rsid w:val="00BE766D"/>
    <w:rsid w:val="00BE78CD"/>
    <w:rsid w:val="00BE7962"/>
    <w:rsid w:val="00BE7AA8"/>
    <w:rsid w:val="00BE7CCF"/>
    <w:rsid w:val="00BE7DA5"/>
    <w:rsid w:val="00BE7DE3"/>
    <w:rsid w:val="00BF0386"/>
    <w:rsid w:val="00BF0416"/>
    <w:rsid w:val="00BF04D8"/>
    <w:rsid w:val="00BF070A"/>
    <w:rsid w:val="00BF0AF4"/>
    <w:rsid w:val="00BF0C39"/>
    <w:rsid w:val="00BF1105"/>
    <w:rsid w:val="00BF135A"/>
    <w:rsid w:val="00BF156C"/>
    <w:rsid w:val="00BF157B"/>
    <w:rsid w:val="00BF16BC"/>
    <w:rsid w:val="00BF17FA"/>
    <w:rsid w:val="00BF18B6"/>
    <w:rsid w:val="00BF1A3F"/>
    <w:rsid w:val="00BF1F02"/>
    <w:rsid w:val="00BF2197"/>
    <w:rsid w:val="00BF24D2"/>
    <w:rsid w:val="00BF271D"/>
    <w:rsid w:val="00BF277E"/>
    <w:rsid w:val="00BF28A8"/>
    <w:rsid w:val="00BF2AB4"/>
    <w:rsid w:val="00BF2B89"/>
    <w:rsid w:val="00BF2DB9"/>
    <w:rsid w:val="00BF3134"/>
    <w:rsid w:val="00BF34DC"/>
    <w:rsid w:val="00BF3741"/>
    <w:rsid w:val="00BF39F5"/>
    <w:rsid w:val="00BF3A19"/>
    <w:rsid w:val="00BF42AA"/>
    <w:rsid w:val="00BF43CD"/>
    <w:rsid w:val="00BF4421"/>
    <w:rsid w:val="00BF4976"/>
    <w:rsid w:val="00BF4B68"/>
    <w:rsid w:val="00BF4F2D"/>
    <w:rsid w:val="00BF50ED"/>
    <w:rsid w:val="00BF5314"/>
    <w:rsid w:val="00BF536B"/>
    <w:rsid w:val="00BF5CAD"/>
    <w:rsid w:val="00BF5F2B"/>
    <w:rsid w:val="00BF5F3E"/>
    <w:rsid w:val="00BF5F8F"/>
    <w:rsid w:val="00BF6071"/>
    <w:rsid w:val="00BF62C2"/>
    <w:rsid w:val="00BF6AB7"/>
    <w:rsid w:val="00BF6C4E"/>
    <w:rsid w:val="00BF6DC8"/>
    <w:rsid w:val="00BF6F51"/>
    <w:rsid w:val="00BF6FAA"/>
    <w:rsid w:val="00BF7152"/>
    <w:rsid w:val="00BF72A4"/>
    <w:rsid w:val="00BF72D2"/>
    <w:rsid w:val="00BF7456"/>
    <w:rsid w:val="00BF7465"/>
    <w:rsid w:val="00BF754F"/>
    <w:rsid w:val="00BF75BF"/>
    <w:rsid w:val="00BF7771"/>
    <w:rsid w:val="00BF79D8"/>
    <w:rsid w:val="00BF7DAF"/>
    <w:rsid w:val="00C00189"/>
    <w:rsid w:val="00C00330"/>
    <w:rsid w:val="00C0061F"/>
    <w:rsid w:val="00C0080E"/>
    <w:rsid w:val="00C00B9C"/>
    <w:rsid w:val="00C00CDB"/>
    <w:rsid w:val="00C00DB2"/>
    <w:rsid w:val="00C014FF"/>
    <w:rsid w:val="00C0154C"/>
    <w:rsid w:val="00C01790"/>
    <w:rsid w:val="00C01881"/>
    <w:rsid w:val="00C01DFF"/>
    <w:rsid w:val="00C02197"/>
    <w:rsid w:val="00C0226E"/>
    <w:rsid w:val="00C022C9"/>
    <w:rsid w:val="00C0244D"/>
    <w:rsid w:val="00C024E4"/>
    <w:rsid w:val="00C0279D"/>
    <w:rsid w:val="00C02D6C"/>
    <w:rsid w:val="00C0329A"/>
    <w:rsid w:val="00C038B5"/>
    <w:rsid w:val="00C03961"/>
    <w:rsid w:val="00C0398A"/>
    <w:rsid w:val="00C03B56"/>
    <w:rsid w:val="00C03BA4"/>
    <w:rsid w:val="00C03C7D"/>
    <w:rsid w:val="00C03D61"/>
    <w:rsid w:val="00C03DC0"/>
    <w:rsid w:val="00C03E45"/>
    <w:rsid w:val="00C04075"/>
    <w:rsid w:val="00C04138"/>
    <w:rsid w:val="00C0421B"/>
    <w:rsid w:val="00C042F6"/>
    <w:rsid w:val="00C0436F"/>
    <w:rsid w:val="00C04C10"/>
    <w:rsid w:val="00C04D33"/>
    <w:rsid w:val="00C04EC6"/>
    <w:rsid w:val="00C051A4"/>
    <w:rsid w:val="00C052C8"/>
    <w:rsid w:val="00C057EB"/>
    <w:rsid w:val="00C05DB3"/>
    <w:rsid w:val="00C05EDB"/>
    <w:rsid w:val="00C0626F"/>
    <w:rsid w:val="00C0638A"/>
    <w:rsid w:val="00C06CA7"/>
    <w:rsid w:val="00C06F1A"/>
    <w:rsid w:val="00C0702E"/>
    <w:rsid w:val="00C0737B"/>
    <w:rsid w:val="00C07410"/>
    <w:rsid w:val="00C07559"/>
    <w:rsid w:val="00C076C8"/>
    <w:rsid w:val="00C077B3"/>
    <w:rsid w:val="00C07FB5"/>
    <w:rsid w:val="00C101FF"/>
    <w:rsid w:val="00C10346"/>
    <w:rsid w:val="00C103C3"/>
    <w:rsid w:val="00C103FA"/>
    <w:rsid w:val="00C10458"/>
    <w:rsid w:val="00C1066B"/>
    <w:rsid w:val="00C10731"/>
    <w:rsid w:val="00C10997"/>
    <w:rsid w:val="00C11331"/>
    <w:rsid w:val="00C11B37"/>
    <w:rsid w:val="00C11F5F"/>
    <w:rsid w:val="00C1257D"/>
    <w:rsid w:val="00C125B9"/>
    <w:rsid w:val="00C12771"/>
    <w:rsid w:val="00C1293C"/>
    <w:rsid w:val="00C133D7"/>
    <w:rsid w:val="00C13407"/>
    <w:rsid w:val="00C13461"/>
    <w:rsid w:val="00C1348A"/>
    <w:rsid w:val="00C134EE"/>
    <w:rsid w:val="00C1359C"/>
    <w:rsid w:val="00C1385E"/>
    <w:rsid w:val="00C139AE"/>
    <w:rsid w:val="00C13C20"/>
    <w:rsid w:val="00C13D85"/>
    <w:rsid w:val="00C13D94"/>
    <w:rsid w:val="00C14491"/>
    <w:rsid w:val="00C14686"/>
    <w:rsid w:val="00C147D7"/>
    <w:rsid w:val="00C1495B"/>
    <w:rsid w:val="00C14B2B"/>
    <w:rsid w:val="00C14B53"/>
    <w:rsid w:val="00C14EB1"/>
    <w:rsid w:val="00C15082"/>
    <w:rsid w:val="00C15350"/>
    <w:rsid w:val="00C15400"/>
    <w:rsid w:val="00C15720"/>
    <w:rsid w:val="00C15B52"/>
    <w:rsid w:val="00C15C75"/>
    <w:rsid w:val="00C15CF5"/>
    <w:rsid w:val="00C15D10"/>
    <w:rsid w:val="00C15E71"/>
    <w:rsid w:val="00C15EED"/>
    <w:rsid w:val="00C163AD"/>
    <w:rsid w:val="00C1646C"/>
    <w:rsid w:val="00C16489"/>
    <w:rsid w:val="00C166BB"/>
    <w:rsid w:val="00C16F18"/>
    <w:rsid w:val="00C17167"/>
    <w:rsid w:val="00C174E7"/>
    <w:rsid w:val="00C176F2"/>
    <w:rsid w:val="00C177A5"/>
    <w:rsid w:val="00C17811"/>
    <w:rsid w:val="00C1798C"/>
    <w:rsid w:val="00C17C1D"/>
    <w:rsid w:val="00C17C5B"/>
    <w:rsid w:val="00C17C95"/>
    <w:rsid w:val="00C17D9E"/>
    <w:rsid w:val="00C17EBB"/>
    <w:rsid w:val="00C17F51"/>
    <w:rsid w:val="00C20221"/>
    <w:rsid w:val="00C20296"/>
    <w:rsid w:val="00C20324"/>
    <w:rsid w:val="00C204F4"/>
    <w:rsid w:val="00C205F1"/>
    <w:rsid w:val="00C20785"/>
    <w:rsid w:val="00C20803"/>
    <w:rsid w:val="00C20A8F"/>
    <w:rsid w:val="00C20C5D"/>
    <w:rsid w:val="00C20F74"/>
    <w:rsid w:val="00C21082"/>
    <w:rsid w:val="00C21749"/>
    <w:rsid w:val="00C21B85"/>
    <w:rsid w:val="00C21D61"/>
    <w:rsid w:val="00C21F39"/>
    <w:rsid w:val="00C220A8"/>
    <w:rsid w:val="00C22117"/>
    <w:rsid w:val="00C221F5"/>
    <w:rsid w:val="00C22481"/>
    <w:rsid w:val="00C2271E"/>
    <w:rsid w:val="00C22991"/>
    <w:rsid w:val="00C22D88"/>
    <w:rsid w:val="00C22D89"/>
    <w:rsid w:val="00C22DB3"/>
    <w:rsid w:val="00C23292"/>
    <w:rsid w:val="00C2350B"/>
    <w:rsid w:val="00C236D1"/>
    <w:rsid w:val="00C236E4"/>
    <w:rsid w:val="00C23842"/>
    <w:rsid w:val="00C239BB"/>
    <w:rsid w:val="00C23B4E"/>
    <w:rsid w:val="00C23B84"/>
    <w:rsid w:val="00C23F35"/>
    <w:rsid w:val="00C2451B"/>
    <w:rsid w:val="00C247B1"/>
    <w:rsid w:val="00C247B2"/>
    <w:rsid w:val="00C247E9"/>
    <w:rsid w:val="00C24829"/>
    <w:rsid w:val="00C24B22"/>
    <w:rsid w:val="00C24BF6"/>
    <w:rsid w:val="00C24C3D"/>
    <w:rsid w:val="00C24EE1"/>
    <w:rsid w:val="00C24FF1"/>
    <w:rsid w:val="00C2503B"/>
    <w:rsid w:val="00C2561E"/>
    <w:rsid w:val="00C25673"/>
    <w:rsid w:val="00C25885"/>
    <w:rsid w:val="00C25C19"/>
    <w:rsid w:val="00C260A4"/>
    <w:rsid w:val="00C2655E"/>
    <w:rsid w:val="00C265B9"/>
    <w:rsid w:val="00C26711"/>
    <w:rsid w:val="00C26D97"/>
    <w:rsid w:val="00C26E69"/>
    <w:rsid w:val="00C2777F"/>
    <w:rsid w:val="00C27A9D"/>
    <w:rsid w:val="00C27BA0"/>
    <w:rsid w:val="00C27C49"/>
    <w:rsid w:val="00C27DAD"/>
    <w:rsid w:val="00C27E7B"/>
    <w:rsid w:val="00C300EC"/>
    <w:rsid w:val="00C30195"/>
    <w:rsid w:val="00C3020D"/>
    <w:rsid w:val="00C302F6"/>
    <w:rsid w:val="00C304D1"/>
    <w:rsid w:val="00C30926"/>
    <w:rsid w:val="00C30932"/>
    <w:rsid w:val="00C30950"/>
    <w:rsid w:val="00C309F0"/>
    <w:rsid w:val="00C30D6B"/>
    <w:rsid w:val="00C30ED3"/>
    <w:rsid w:val="00C30FEC"/>
    <w:rsid w:val="00C3103F"/>
    <w:rsid w:val="00C310F6"/>
    <w:rsid w:val="00C3121D"/>
    <w:rsid w:val="00C3159C"/>
    <w:rsid w:val="00C3181C"/>
    <w:rsid w:val="00C318E0"/>
    <w:rsid w:val="00C319A7"/>
    <w:rsid w:val="00C31C17"/>
    <w:rsid w:val="00C31C2B"/>
    <w:rsid w:val="00C31ECE"/>
    <w:rsid w:val="00C31F0E"/>
    <w:rsid w:val="00C31F2F"/>
    <w:rsid w:val="00C32179"/>
    <w:rsid w:val="00C3292F"/>
    <w:rsid w:val="00C32D0B"/>
    <w:rsid w:val="00C32D65"/>
    <w:rsid w:val="00C32DB2"/>
    <w:rsid w:val="00C3333F"/>
    <w:rsid w:val="00C336BA"/>
    <w:rsid w:val="00C337FE"/>
    <w:rsid w:val="00C3385A"/>
    <w:rsid w:val="00C3403D"/>
    <w:rsid w:val="00C3493D"/>
    <w:rsid w:val="00C349AE"/>
    <w:rsid w:val="00C34B42"/>
    <w:rsid w:val="00C34C1E"/>
    <w:rsid w:val="00C34E33"/>
    <w:rsid w:val="00C352F9"/>
    <w:rsid w:val="00C3541D"/>
    <w:rsid w:val="00C355EB"/>
    <w:rsid w:val="00C35940"/>
    <w:rsid w:val="00C35A23"/>
    <w:rsid w:val="00C35A2C"/>
    <w:rsid w:val="00C35AC5"/>
    <w:rsid w:val="00C35C81"/>
    <w:rsid w:val="00C35E1B"/>
    <w:rsid w:val="00C35EB9"/>
    <w:rsid w:val="00C36053"/>
    <w:rsid w:val="00C3606F"/>
    <w:rsid w:val="00C3615C"/>
    <w:rsid w:val="00C36225"/>
    <w:rsid w:val="00C36284"/>
    <w:rsid w:val="00C364DC"/>
    <w:rsid w:val="00C36747"/>
    <w:rsid w:val="00C36888"/>
    <w:rsid w:val="00C36E16"/>
    <w:rsid w:val="00C36F6A"/>
    <w:rsid w:val="00C36F6F"/>
    <w:rsid w:val="00C3701C"/>
    <w:rsid w:val="00C3720C"/>
    <w:rsid w:val="00C373B3"/>
    <w:rsid w:val="00C3767A"/>
    <w:rsid w:val="00C379CB"/>
    <w:rsid w:val="00C37B59"/>
    <w:rsid w:val="00C37E4C"/>
    <w:rsid w:val="00C37E8E"/>
    <w:rsid w:val="00C400C5"/>
    <w:rsid w:val="00C400EE"/>
    <w:rsid w:val="00C40409"/>
    <w:rsid w:val="00C40469"/>
    <w:rsid w:val="00C406B5"/>
    <w:rsid w:val="00C40795"/>
    <w:rsid w:val="00C4095E"/>
    <w:rsid w:val="00C40C82"/>
    <w:rsid w:val="00C4100A"/>
    <w:rsid w:val="00C41243"/>
    <w:rsid w:val="00C41402"/>
    <w:rsid w:val="00C41B76"/>
    <w:rsid w:val="00C41E1F"/>
    <w:rsid w:val="00C41FEF"/>
    <w:rsid w:val="00C4253C"/>
    <w:rsid w:val="00C4274C"/>
    <w:rsid w:val="00C42B83"/>
    <w:rsid w:val="00C42EC3"/>
    <w:rsid w:val="00C43007"/>
    <w:rsid w:val="00C432E9"/>
    <w:rsid w:val="00C433BC"/>
    <w:rsid w:val="00C43420"/>
    <w:rsid w:val="00C436A5"/>
    <w:rsid w:val="00C436E2"/>
    <w:rsid w:val="00C437D2"/>
    <w:rsid w:val="00C43882"/>
    <w:rsid w:val="00C43C7C"/>
    <w:rsid w:val="00C43D8C"/>
    <w:rsid w:val="00C43D9D"/>
    <w:rsid w:val="00C43EE8"/>
    <w:rsid w:val="00C43FF9"/>
    <w:rsid w:val="00C44022"/>
    <w:rsid w:val="00C44142"/>
    <w:rsid w:val="00C4415C"/>
    <w:rsid w:val="00C44343"/>
    <w:rsid w:val="00C44887"/>
    <w:rsid w:val="00C44901"/>
    <w:rsid w:val="00C44C57"/>
    <w:rsid w:val="00C44F36"/>
    <w:rsid w:val="00C450B7"/>
    <w:rsid w:val="00C45148"/>
    <w:rsid w:val="00C45928"/>
    <w:rsid w:val="00C45965"/>
    <w:rsid w:val="00C45ABC"/>
    <w:rsid w:val="00C45C58"/>
    <w:rsid w:val="00C4612E"/>
    <w:rsid w:val="00C462AB"/>
    <w:rsid w:val="00C4645A"/>
    <w:rsid w:val="00C464E3"/>
    <w:rsid w:val="00C46537"/>
    <w:rsid w:val="00C46A21"/>
    <w:rsid w:val="00C46AA3"/>
    <w:rsid w:val="00C46B93"/>
    <w:rsid w:val="00C46E5E"/>
    <w:rsid w:val="00C46F62"/>
    <w:rsid w:val="00C4717C"/>
    <w:rsid w:val="00C472A8"/>
    <w:rsid w:val="00C47461"/>
    <w:rsid w:val="00C47775"/>
    <w:rsid w:val="00C47AD4"/>
    <w:rsid w:val="00C47DE6"/>
    <w:rsid w:val="00C50155"/>
    <w:rsid w:val="00C50333"/>
    <w:rsid w:val="00C506A1"/>
    <w:rsid w:val="00C50A3A"/>
    <w:rsid w:val="00C50C2A"/>
    <w:rsid w:val="00C50EC4"/>
    <w:rsid w:val="00C51349"/>
    <w:rsid w:val="00C517E0"/>
    <w:rsid w:val="00C51E21"/>
    <w:rsid w:val="00C51F12"/>
    <w:rsid w:val="00C52014"/>
    <w:rsid w:val="00C52029"/>
    <w:rsid w:val="00C52100"/>
    <w:rsid w:val="00C52153"/>
    <w:rsid w:val="00C5228F"/>
    <w:rsid w:val="00C52495"/>
    <w:rsid w:val="00C525E8"/>
    <w:rsid w:val="00C52A31"/>
    <w:rsid w:val="00C52A47"/>
    <w:rsid w:val="00C52AF1"/>
    <w:rsid w:val="00C52B11"/>
    <w:rsid w:val="00C52D43"/>
    <w:rsid w:val="00C52D73"/>
    <w:rsid w:val="00C53254"/>
    <w:rsid w:val="00C535DC"/>
    <w:rsid w:val="00C53BCB"/>
    <w:rsid w:val="00C53C47"/>
    <w:rsid w:val="00C53C94"/>
    <w:rsid w:val="00C53CF2"/>
    <w:rsid w:val="00C53DAF"/>
    <w:rsid w:val="00C53DE1"/>
    <w:rsid w:val="00C53E1A"/>
    <w:rsid w:val="00C53E1E"/>
    <w:rsid w:val="00C53E36"/>
    <w:rsid w:val="00C53FF6"/>
    <w:rsid w:val="00C54003"/>
    <w:rsid w:val="00C54016"/>
    <w:rsid w:val="00C540B2"/>
    <w:rsid w:val="00C540B8"/>
    <w:rsid w:val="00C5414F"/>
    <w:rsid w:val="00C54157"/>
    <w:rsid w:val="00C54227"/>
    <w:rsid w:val="00C54469"/>
    <w:rsid w:val="00C549DA"/>
    <w:rsid w:val="00C54B69"/>
    <w:rsid w:val="00C54FF9"/>
    <w:rsid w:val="00C55179"/>
    <w:rsid w:val="00C551CC"/>
    <w:rsid w:val="00C5528F"/>
    <w:rsid w:val="00C55438"/>
    <w:rsid w:val="00C5545E"/>
    <w:rsid w:val="00C5547C"/>
    <w:rsid w:val="00C554B5"/>
    <w:rsid w:val="00C55542"/>
    <w:rsid w:val="00C561EE"/>
    <w:rsid w:val="00C5641D"/>
    <w:rsid w:val="00C5643D"/>
    <w:rsid w:val="00C5647F"/>
    <w:rsid w:val="00C567A6"/>
    <w:rsid w:val="00C567B1"/>
    <w:rsid w:val="00C56852"/>
    <w:rsid w:val="00C56A7B"/>
    <w:rsid w:val="00C56BA6"/>
    <w:rsid w:val="00C56C63"/>
    <w:rsid w:val="00C57231"/>
    <w:rsid w:val="00C57243"/>
    <w:rsid w:val="00C57339"/>
    <w:rsid w:val="00C57375"/>
    <w:rsid w:val="00C57604"/>
    <w:rsid w:val="00C57776"/>
    <w:rsid w:val="00C5779E"/>
    <w:rsid w:val="00C57845"/>
    <w:rsid w:val="00C57979"/>
    <w:rsid w:val="00C57E87"/>
    <w:rsid w:val="00C57E90"/>
    <w:rsid w:val="00C57E96"/>
    <w:rsid w:val="00C57FD3"/>
    <w:rsid w:val="00C600C1"/>
    <w:rsid w:val="00C6057A"/>
    <w:rsid w:val="00C6076F"/>
    <w:rsid w:val="00C607AD"/>
    <w:rsid w:val="00C6090A"/>
    <w:rsid w:val="00C60B7D"/>
    <w:rsid w:val="00C60BA5"/>
    <w:rsid w:val="00C60E4F"/>
    <w:rsid w:val="00C60EDF"/>
    <w:rsid w:val="00C60F5E"/>
    <w:rsid w:val="00C60FF3"/>
    <w:rsid w:val="00C61073"/>
    <w:rsid w:val="00C61117"/>
    <w:rsid w:val="00C611C0"/>
    <w:rsid w:val="00C61428"/>
    <w:rsid w:val="00C618A9"/>
    <w:rsid w:val="00C6192C"/>
    <w:rsid w:val="00C61B40"/>
    <w:rsid w:val="00C61D4A"/>
    <w:rsid w:val="00C620B7"/>
    <w:rsid w:val="00C6213A"/>
    <w:rsid w:val="00C621ED"/>
    <w:rsid w:val="00C6236F"/>
    <w:rsid w:val="00C6240D"/>
    <w:rsid w:val="00C62D34"/>
    <w:rsid w:val="00C62FA8"/>
    <w:rsid w:val="00C62FED"/>
    <w:rsid w:val="00C6307B"/>
    <w:rsid w:val="00C6319C"/>
    <w:rsid w:val="00C63251"/>
    <w:rsid w:val="00C63282"/>
    <w:rsid w:val="00C632D2"/>
    <w:rsid w:val="00C63347"/>
    <w:rsid w:val="00C633DA"/>
    <w:rsid w:val="00C6370D"/>
    <w:rsid w:val="00C63A05"/>
    <w:rsid w:val="00C63BA6"/>
    <w:rsid w:val="00C642C1"/>
    <w:rsid w:val="00C6438B"/>
    <w:rsid w:val="00C6458C"/>
    <w:rsid w:val="00C64615"/>
    <w:rsid w:val="00C64F36"/>
    <w:rsid w:val="00C65595"/>
    <w:rsid w:val="00C65B91"/>
    <w:rsid w:val="00C65C72"/>
    <w:rsid w:val="00C65D41"/>
    <w:rsid w:val="00C65F3C"/>
    <w:rsid w:val="00C660E3"/>
    <w:rsid w:val="00C66472"/>
    <w:rsid w:val="00C66507"/>
    <w:rsid w:val="00C6690F"/>
    <w:rsid w:val="00C66C8D"/>
    <w:rsid w:val="00C67013"/>
    <w:rsid w:val="00C67278"/>
    <w:rsid w:val="00C6774C"/>
    <w:rsid w:val="00C677F9"/>
    <w:rsid w:val="00C679AF"/>
    <w:rsid w:val="00C67C0A"/>
    <w:rsid w:val="00C67C38"/>
    <w:rsid w:val="00C67CF8"/>
    <w:rsid w:val="00C70031"/>
    <w:rsid w:val="00C70502"/>
    <w:rsid w:val="00C706E8"/>
    <w:rsid w:val="00C70951"/>
    <w:rsid w:val="00C70A5B"/>
    <w:rsid w:val="00C70E0A"/>
    <w:rsid w:val="00C7118D"/>
    <w:rsid w:val="00C711BF"/>
    <w:rsid w:val="00C711C7"/>
    <w:rsid w:val="00C7125B"/>
    <w:rsid w:val="00C7138A"/>
    <w:rsid w:val="00C7153B"/>
    <w:rsid w:val="00C71CC2"/>
    <w:rsid w:val="00C71CF1"/>
    <w:rsid w:val="00C71D4C"/>
    <w:rsid w:val="00C71D9B"/>
    <w:rsid w:val="00C723E3"/>
    <w:rsid w:val="00C72660"/>
    <w:rsid w:val="00C72A5F"/>
    <w:rsid w:val="00C7306D"/>
    <w:rsid w:val="00C732D3"/>
    <w:rsid w:val="00C73C88"/>
    <w:rsid w:val="00C73CC9"/>
    <w:rsid w:val="00C73D51"/>
    <w:rsid w:val="00C73EC9"/>
    <w:rsid w:val="00C74192"/>
    <w:rsid w:val="00C741B3"/>
    <w:rsid w:val="00C74532"/>
    <w:rsid w:val="00C74E22"/>
    <w:rsid w:val="00C750B6"/>
    <w:rsid w:val="00C750C8"/>
    <w:rsid w:val="00C752CB"/>
    <w:rsid w:val="00C75398"/>
    <w:rsid w:val="00C7561F"/>
    <w:rsid w:val="00C75797"/>
    <w:rsid w:val="00C75932"/>
    <w:rsid w:val="00C75B06"/>
    <w:rsid w:val="00C75CC0"/>
    <w:rsid w:val="00C75CC4"/>
    <w:rsid w:val="00C75CE2"/>
    <w:rsid w:val="00C75D50"/>
    <w:rsid w:val="00C75E9F"/>
    <w:rsid w:val="00C75EC8"/>
    <w:rsid w:val="00C75EE3"/>
    <w:rsid w:val="00C75F34"/>
    <w:rsid w:val="00C75FCD"/>
    <w:rsid w:val="00C761EB"/>
    <w:rsid w:val="00C766C8"/>
    <w:rsid w:val="00C76A22"/>
    <w:rsid w:val="00C76AFF"/>
    <w:rsid w:val="00C76D25"/>
    <w:rsid w:val="00C76D49"/>
    <w:rsid w:val="00C76D94"/>
    <w:rsid w:val="00C76EA5"/>
    <w:rsid w:val="00C7711E"/>
    <w:rsid w:val="00C772FA"/>
    <w:rsid w:val="00C7749A"/>
    <w:rsid w:val="00C774BB"/>
    <w:rsid w:val="00C7783D"/>
    <w:rsid w:val="00C77E97"/>
    <w:rsid w:val="00C77F52"/>
    <w:rsid w:val="00C77FEC"/>
    <w:rsid w:val="00C80143"/>
    <w:rsid w:val="00C80282"/>
    <w:rsid w:val="00C8039E"/>
    <w:rsid w:val="00C8054D"/>
    <w:rsid w:val="00C8057E"/>
    <w:rsid w:val="00C80867"/>
    <w:rsid w:val="00C80A79"/>
    <w:rsid w:val="00C80DF2"/>
    <w:rsid w:val="00C80DFC"/>
    <w:rsid w:val="00C810DF"/>
    <w:rsid w:val="00C81113"/>
    <w:rsid w:val="00C81162"/>
    <w:rsid w:val="00C8117B"/>
    <w:rsid w:val="00C813F3"/>
    <w:rsid w:val="00C81473"/>
    <w:rsid w:val="00C81A41"/>
    <w:rsid w:val="00C81AA2"/>
    <w:rsid w:val="00C81B6F"/>
    <w:rsid w:val="00C81D8E"/>
    <w:rsid w:val="00C8212F"/>
    <w:rsid w:val="00C8236C"/>
    <w:rsid w:val="00C82460"/>
    <w:rsid w:val="00C826F3"/>
    <w:rsid w:val="00C82815"/>
    <w:rsid w:val="00C82970"/>
    <w:rsid w:val="00C82B6B"/>
    <w:rsid w:val="00C82C95"/>
    <w:rsid w:val="00C82DB6"/>
    <w:rsid w:val="00C830ED"/>
    <w:rsid w:val="00C83173"/>
    <w:rsid w:val="00C83182"/>
    <w:rsid w:val="00C8322A"/>
    <w:rsid w:val="00C83351"/>
    <w:rsid w:val="00C83474"/>
    <w:rsid w:val="00C8347E"/>
    <w:rsid w:val="00C838C2"/>
    <w:rsid w:val="00C83AB4"/>
    <w:rsid w:val="00C83B53"/>
    <w:rsid w:val="00C83C64"/>
    <w:rsid w:val="00C83C6B"/>
    <w:rsid w:val="00C83CB4"/>
    <w:rsid w:val="00C83F7B"/>
    <w:rsid w:val="00C840A0"/>
    <w:rsid w:val="00C8419B"/>
    <w:rsid w:val="00C84269"/>
    <w:rsid w:val="00C8438A"/>
    <w:rsid w:val="00C843BA"/>
    <w:rsid w:val="00C8443D"/>
    <w:rsid w:val="00C847BA"/>
    <w:rsid w:val="00C8490B"/>
    <w:rsid w:val="00C84B07"/>
    <w:rsid w:val="00C84E31"/>
    <w:rsid w:val="00C84E92"/>
    <w:rsid w:val="00C85381"/>
    <w:rsid w:val="00C85812"/>
    <w:rsid w:val="00C85B00"/>
    <w:rsid w:val="00C85B53"/>
    <w:rsid w:val="00C85DDC"/>
    <w:rsid w:val="00C85F1A"/>
    <w:rsid w:val="00C862F7"/>
    <w:rsid w:val="00C8674D"/>
    <w:rsid w:val="00C87034"/>
    <w:rsid w:val="00C8713C"/>
    <w:rsid w:val="00C8716E"/>
    <w:rsid w:val="00C87293"/>
    <w:rsid w:val="00C873C3"/>
    <w:rsid w:val="00C87DBE"/>
    <w:rsid w:val="00C87F19"/>
    <w:rsid w:val="00C87FAA"/>
    <w:rsid w:val="00C90217"/>
    <w:rsid w:val="00C90264"/>
    <w:rsid w:val="00C9026D"/>
    <w:rsid w:val="00C905A9"/>
    <w:rsid w:val="00C9062C"/>
    <w:rsid w:val="00C907DA"/>
    <w:rsid w:val="00C90A0C"/>
    <w:rsid w:val="00C90B8B"/>
    <w:rsid w:val="00C90C6E"/>
    <w:rsid w:val="00C90CAB"/>
    <w:rsid w:val="00C90E8F"/>
    <w:rsid w:val="00C90F83"/>
    <w:rsid w:val="00C911D6"/>
    <w:rsid w:val="00C9128D"/>
    <w:rsid w:val="00C91327"/>
    <w:rsid w:val="00C91613"/>
    <w:rsid w:val="00C91AA5"/>
    <w:rsid w:val="00C91AD4"/>
    <w:rsid w:val="00C91C8B"/>
    <w:rsid w:val="00C91E52"/>
    <w:rsid w:val="00C91E7F"/>
    <w:rsid w:val="00C91F17"/>
    <w:rsid w:val="00C92270"/>
    <w:rsid w:val="00C922CB"/>
    <w:rsid w:val="00C929C0"/>
    <w:rsid w:val="00C92A65"/>
    <w:rsid w:val="00C92B72"/>
    <w:rsid w:val="00C92F14"/>
    <w:rsid w:val="00C92FF9"/>
    <w:rsid w:val="00C93119"/>
    <w:rsid w:val="00C932E2"/>
    <w:rsid w:val="00C93315"/>
    <w:rsid w:val="00C937C5"/>
    <w:rsid w:val="00C93A27"/>
    <w:rsid w:val="00C93C2F"/>
    <w:rsid w:val="00C9415A"/>
    <w:rsid w:val="00C9417A"/>
    <w:rsid w:val="00C94254"/>
    <w:rsid w:val="00C942BA"/>
    <w:rsid w:val="00C9434F"/>
    <w:rsid w:val="00C94436"/>
    <w:rsid w:val="00C945F3"/>
    <w:rsid w:val="00C948CF"/>
    <w:rsid w:val="00C94986"/>
    <w:rsid w:val="00C94B1A"/>
    <w:rsid w:val="00C94DFF"/>
    <w:rsid w:val="00C951D3"/>
    <w:rsid w:val="00C95241"/>
    <w:rsid w:val="00C9544F"/>
    <w:rsid w:val="00C956BE"/>
    <w:rsid w:val="00C95F29"/>
    <w:rsid w:val="00C96155"/>
    <w:rsid w:val="00C9615F"/>
    <w:rsid w:val="00C9621C"/>
    <w:rsid w:val="00C96304"/>
    <w:rsid w:val="00C96352"/>
    <w:rsid w:val="00C963AF"/>
    <w:rsid w:val="00C96508"/>
    <w:rsid w:val="00C9683F"/>
    <w:rsid w:val="00C968CF"/>
    <w:rsid w:val="00C96B20"/>
    <w:rsid w:val="00C96C90"/>
    <w:rsid w:val="00C97057"/>
    <w:rsid w:val="00C970A3"/>
    <w:rsid w:val="00C97580"/>
    <w:rsid w:val="00C9784C"/>
    <w:rsid w:val="00CA07A8"/>
    <w:rsid w:val="00CA0C38"/>
    <w:rsid w:val="00CA11AD"/>
    <w:rsid w:val="00CA1439"/>
    <w:rsid w:val="00CA148D"/>
    <w:rsid w:val="00CA14CB"/>
    <w:rsid w:val="00CA15A5"/>
    <w:rsid w:val="00CA15EC"/>
    <w:rsid w:val="00CA1734"/>
    <w:rsid w:val="00CA18D8"/>
    <w:rsid w:val="00CA1B42"/>
    <w:rsid w:val="00CA1BB0"/>
    <w:rsid w:val="00CA1C8C"/>
    <w:rsid w:val="00CA1DE1"/>
    <w:rsid w:val="00CA1FA7"/>
    <w:rsid w:val="00CA2067"/>
    <w:rsid w:val="00CA207B"/>
    <w:rsid w:val="00CA22D0"/>
    <w:rsid w:val="00CA22DC"/>
    <w:rsid w:val="00CA231D"/>
    <w:rsid w:val="00CA2395"/>
    <w:rsid w:val="00CA27F0"/>
    <w:rsid w:val="00CA2D3C"/>
    <w:rsid w:val="00CA30BA"/>
    <w:rsid w:val="00CA33BB"/>
    <w:rsid w:val="00CA3447"/>
    <w:rsid w:val="00CA3688"/>
    <w:rsid w:val="00CA3717"/>
    <w:rsid w:val="00CA37E8"/>
    <w:rsid w:val="00CA37FA"/>
    <w:rsid w:val="00CA386A"/>
    <w:rsid w:val="00CA3E18"/>
    <w:rsid w:val="00CA3F3A"/>
    <w:rsid w:val="00CA42AD"/>
    <w:rsid w:val="00CA4371"/>
    <w:rsid w:val="00CA4519"/>
    <w:rsid w:val="00CA455E"/>
    <w:rsid w:val="00CA4700"/>
    <w:rsid w:val="00CA490B"/>
    <w:rsid w:val="00CA4A35"/>
    <w:rsid w:val="00CA4C47"/>
    <w:rsid w:val="00CA4CC3"/>
    <w:rsid w:val="00CA4EA8"/>
    <w:rsid w:val="00CA51AC"/>
    <w:rsid w:val="00CA51E3"/>
    <w:rsid w:val="00CA52D8"/>
    <w:rsid w:val="00CA5584"/>
    <w:rsid w:val="00CA5660"/>
    <w:rsid w:val="00CA569D"/>
    <w:rsid w:val="00CA5858"/>
    <w:rsid w:val="00CA5872"/>
    <w:rsid w:val="00CA5F95"/>
    <w:rsid w:val="00CA60DE"/>
    <w:rsid w:val="00CA61A6"/>
    <w:rsid w:val="00CA64A4"/>
    <w:rsid w:val="00CA6749"/>
    <w:rsid w:val="00CA67A9"/>
    <w:rsid w:val="00CA6A47"/>
    <w:rsid w:val="00CA6D19"/>
    <w:rsid w:val="00CA7226"/>
    <w:rsid w:val="00CA7545"/>
    <w:rsid w:val="00CA7672"/>
    <w:rsid w:val="00CA7692"/>
    <w:rsid w:val="00CA79FA"/>
    <w:rsid w:val="00CB00B9"/>
    <w:rsid w:val="00CB02D0"/>
    <w:rsid w:val="00CB03FD"/>
    <w:rsid w:val="00CB0408"/>
    <w:rsid w:val="00CB04BE"/>
    <w:rsid w:val="00CB06E3"/>
    <w:rsid w:val="00CB0838"/>
    <w:rsid w:val="00CB0B56"/>
    <w:rsid w:val="00CB0C3A"/>
    <w:rsid w:val="00CB0D16"/>
    <w:rsid w:val="00CB0E57"/>
    <w:rsid w:val="00CB0E79"/>
    <w:rsid w:val="00CB0EF0"/>
    <w:rsid w:val="00CB0F24"/>
    <w:rsid w:val="00CB1083"/>
    <w:rsid w:val="00CB1138"/>
    <w:rsid w:val="00CB134E"/>
    <w:rsid w:val="00CB161C"/>
    <w:rsid w:val="00CB161E"/>
    <w:rsid w:val="00CB179E"/>
    <w:rsid w:val="00CB17B3"/>
    <w:rsid w:val="00CB1A5A"/>
    <w:rsid w:val="00CB1AE3"/>
    <w:rsid w:val="00CB1C38"/>
    <w:rsid w:val="00CB2078"/>
    <w:rsid w:val="00CB234D"/>
    <w:rsid w:val="00CB2561"/>
    <w:rsid w:val="00CB2633"/>
    <w:rsid w:val="00CB27A3"/>
    <w:rsid w:val="00CB2AB6"/>
    <w:rsid w:val="00CB2B24"/>
    <w:rsid w:val="00CB2B44"/>
    <w:rsid w:val="00CB2C50"/>
    <w:rsid w:val="00CB2E22"/>
    <w:rsid w:val="00CB322D"/>
    <w:rsid w:val="00CB33B2"/>
    <w:rsid w:val="00CB3471"/>
    <w:rsid w:val="00CB34CE"/>
    <w:rsid w:val="00CB37AB"/>
    <w:rsid w:val="00CB3A65"/>
    <w:rsid w:val="00CB3A7D"/>
    <w:rsid w:val="00CB3A81"/>
    <w:rsid w:val="00CB3BAB"/>
    <w:rsid w:val="00CB3C83"/>
    <w:rsid w:val="00CB3FDE"/>
    <w:rsid w:val="00CB400B"/>
    <w:rsid w:val="00CB4086"/>
    <w:rsid w:val="00CB40EE"/>
    <w:rsid w:val="00CB4340"/>
    <w:rsid w:val="00CB4608"/>
    <w:rsid w:val="00CB46B5"/>
    <w:rsid w:val="00CB4BC1"/>
    <w:rsid w:val="00CB4DA7"/>
    <w:rsid w:val="00CB4FD8"/>
    <w:rsid w:val="00CB51BD"/>
    <w:rsid w:val="00CB5740"/>
    <w:rsid w:val="00CB5A60"/>
    <w:rsid w:val="00CB5B75"/>
    <w:rsid w:val="00CB5F85"/>
    <w:rsid w:val="00CB62C5"/>
    <w:rsid w:val="00CB62F7"/>
    <w:rsid w:val="00CB6794"/>
    <w:rsid w:val="00CB68BD"/>
    <w:rsid w:val="00CB6916"/>
    <w:rsid w:val="00CB6CA9"/>
    <w:rsid w:val="00CB72CC"/>
    <w:rsid w:val="00CB775F"/>
    <w:rsid w:val="00CB78A7"/>
    <w:rsid w:val="00CB7CF1"/>
    <w:rsid w:val="00CB7DF2"/>
    <w:rsid w:val="00CC004B"/>
    <w:rsid w:val="00CC01FD"/>
    <w:rsid w:val="00CC0416"/>
    <w:rsid w:val="00CC04A0"/>
    <w:rsid w:val="00CC075F"/>
    <w:rsid w:val="00CC0836"/>
    <w:rsid w:val="00CC0849"/>
    <w:rsid w:val="00CC0859"/>
    <w:rsid w:val="00CC09A6"/>
    <w:rsid w:val="00CC09C7"/>
    <w:rsid w:val="00CC0A9F"/>
    <w:rsid w:val="00CC0B03"/>
    <w:rsid w:val="00CC0BBB"/>
    <w:rsid w:val="00CC0BD8"/>
    <w:rsid w:val="00CC1232"/>
    <w:rsid w:val="00CC144E"/>
    <w:rsid w:val="00CC16B5"/>
    <w:rsid w:val="00CC18A6"/>
    <w:rsid w:val="00CC1B0F"/>
    <w:rsid w:val="00CC1C1E"/>
    <w:rsid w:val="00CC20DE"/>
    <w:rsid w:val="00CC20E5"/>
    <w:rsid w:val="00CC21B0"/>
    <w:rsid w:val="00CC2350"/>
    <w:rsid w:val="00CC2355"/>
    <w:rsid w:val="00CC25A2"/>
    <w:rsid w:val="00CC2D61"/>
    <w:rsid w:val="00CC2DDE"/>
    <w:rsid w:val="00CC2E7B"/>
    <w:rsid w:val="00CC30DF"/>
    <w:rsid w:val="00CC3676"/>
    <w:rsid w:val="00CC3C02"/>
    <w:rsid w:val="00CC3E42"/>
    <w:rsid w:val="00CC45AA"/>
    <w:rsid w:val="00CC4645"/>
    <w:rsid w:val="00CC485E"/>
    <w:rsid w:val="00CC54FC"/>
    <w:rsid w:val="00CC579C"/>
    <w:rsid w:val="00CC57DD"/>
    <w:rsid w:val="00CC5826"/>
    <w:rsid w:val="00CC5B01"/>
    <w:rsid w:val="00CC5EED"/>
    <w:rsid w:val="00CC609F"/>
    <w:rsid w:val="00CC62BA"/>
    <w:rsid w:val="00CC6B3D"/>
    <w:rsid w:val="00CC6B7F"/>
    <w:rsid w:val="00CC6CB8"/>
    <w:rsid w:val="00CC6D8B"/>
    <w:rsid w:val="00CC6FED"/>
    <w:rsid w:val="00CC707B"/>
    <w:rsid w:val="00CC73D9"/>
    <w:rsid w:val="00CC7413"/>
    <w:rsid w:val="00CC7422"/>
    <w:rsid w:val="00CC748A"/>
    <w:rsid w:val="00CC753F"/>
    <w:rsid w:val="00CC769D"/>
    <w:rsid w:val="00CC771C"/>
    <w:rsid w:val="00CC7866"/>
    <w:rsid w:val="00CC79B2"/>
    <w:rsid w:val="00CC7CDE"/>
    <w:rsid w:val="00CC7D4A"/>
    <w:rsid w:val="00CC7FF2"/>
    <w:rsid w:val="00CD006C"/>
    <w:rsid w:val="00CD0618"/>
    <w:rsid w:val="00CD09D1"/>
    <w:rsid w:val="00CD0AA5"/>
    <w:rsid w:val="00CD0D9E"/>
    <w:rsid w:val="00CD0DA6"/>
    <w:rsid w:val="00CD0F6E"/>
    <w:rsid w:val="00CD0FFA"/>
    <w:rsid w:val="00CD170E"/>
    <w:rsid w:val="00CD1791"/>
    <w:rsid w:val="00CD1A13"/>
    <w:rsid w:val="00CD1ADD"/>
    <w:rsid w:val="00CD1AFF"/>
    <w:rsid w:val="00CD1BCE"/>
    <w:rsid w:val="00CD1D9C"/>
    <w:rsid w:val="00CD1EE8"/>
    <w:rsid w:val="00CD1F22"/>
    <w:rsid w:val="00CD226C"/>
    <w:rsid w:val="00CD24F6"/>
    <w:rsid w:val="00CD2687"/>
    <w:rsid w:val="00CD26DD"/>
    <w:rsid w:val="00CD28F6"/>
    <w:rsid w:val="00CD297E"/>
    <w:rsid w:val="00CD2A37"/>
    <w:rsid w:val="00CD2F21"/>
    <w:rsid w:val="00CD3142"/>
    <w:rsid w:val="00CD31EB"/>
    <w:rsid w:val="00CD338A"/>
    <w:rsid w:val="00CD38B9"/>
    <w:rsid w:val="00CD405A"/>
    <w:rsid w:val="00CD40E7"/>
    <w:rsid w:val="00CD432D"/>
    <w:rsid w:val="00CD43F6"/>
    <w:rsid w:val="00CD4665"/>
    <w:rsid w:val="00CD48E2"/>
    <w:rsid w:val="00CD4995"/>
    <w:rsid w:val="00CD4E81"/>
    <w:rsid w:val="00CD4E9B"/>
    <w:rsid w:val="00CD548C"/>
    <w:rsid w:val="00CD550D"/>
    <w:rsid w:val="00CD57FF"/>
    <w:rsid w:val="00CD58D2"/>
    <w:rsid w:val="00CD59EB"/>
    <w:rsid w:val="00CD5B3B"/>
    <w:rsid w:val="00CD5FCC"/>
    <w:rsid w:val="00CD62F1"/>
    <w:rsid w:val="00CD64A0"/>
    <w:rsid w:val="00CD68E1"/>
    <w:rsid w:val="00CD6916"/>
    <w:rsid w:val="00CD6971"/>
    <w:rsid w:val="00CD6A96"/>
    <w:rsid w:val="00CD6AF7"/>
    <w:rsid w:val="00CD708C"/>
    <w:rsid w:val="00CD7365"/>
    <w:rsid w:val="00CD7393"/>
    <w:rsid w:val="00CD7638"/>
    <w:rsid w:val="00CD7724"/>
    <w:rsid w:val="00CD78F8"/>
    <w:rsid w:val="00CD7C11"/>
    <w:rsid w:val="00CD7DCF"/>
    <w:rsid w:val="00CD7E82"/>
    <w:rsid w:val="00CD7FDA"/>
    <w:rsid w:val="00CE0027"/>
    <w:rsid w:val="00CE010C"/>
    <w:rsid w:val="00CE0370"/>
    <w:rsid w:val="00CE046A"/>
    <w:rsid w:val="00CE08AE"/>
    <w:rsid w:val="00CE091C"/>
    <w:rsid w:val="00CE09EB"/>
    <w:rsid w:val="00CE0ABB"/>
    <w:rsid w:val="00CE0D90"/>
    <w:rsid w:val="00CE0D98"/>
    <w:rsid w:val="00CE0EA8"/>
    <w:rsid w:val="00CE137E"/>
    <w:rsid w:val="00CE13C7"/>
    <w:rsid w:val="00CE15B8"/>
    <w:rsid w:val="00CE168F"/>
    <w:rsid w:val="00CE1BB2"/>
    <w:rsid w:val="00CE1CBB"/>
    <w:rsid w:val="00CE1D4C"/>
    <w:rsid w:val="00CE1ECE"/>
    <w:rsid w:val="00CE2036"/>
    <w:rsid w:val="00CE23FF"/>
    <w:rsid w:val="00CE2D2E"/>
    <w:rsid w:val="00CE2D50"/>
    <w:rsid w:val="00CE2DD4"/>
    <w:rsid w:val="00CE30CD"/>
    <w:rsid w:val="00CE3239"/>
    <w:rsid w:val="00CE349B"/>
    <w:rsid w:val="00CE35B1"/>
    <w:rsid w:val="00CE36B6"/>
    <w:rsid w:val="00CE3B0C"/>
    <w:rsid w:val="00CE3C82"/>
    <w:rsid w:val="00CE42F8"/>
    <w:rsid w:val="00CE4453"/>
    <w:rsid w:val="00CE46DB"/>
    <w:rsid w:val="00CE47B2"/>
    <w:rsid w:val="00CE47ED"/>
    <w:rsid w:val="00CE4964"/>
    <w:rsid w:val="00CE51A8"/>
    <w:rsid w:val="00CE55E8"/>
    <w:rsid w:val="00CE5879"/>
    <w:rsid w:val="00CE5AF4"/>
    <w:rsid w:val="00CE5B2C"/>
    <w:rsid w:val="00CE5D62"/>
    <w:rsid w:val="00CE5DD0"/>
    <w:rsid w:val="00CE5F2C"/>
    <w:rsid w:val="00CE6388"/>
    <w:rsid w:val="00CE66DA"/>
    <w:rsid w:val="00CE6933"/>
    <w:rsid w:val="00CE6976"/>
    <w:rsid w:val="00CE6B74"/>
    <w:rsid w:val="00CE6BE2"/>
    <w:rsid w:val="00CE6C46"/>
    <w:rsid w:val="00CE70FB"/>
    <w:rsid w:val="00CE71BC"/>
    <w:rsid w:val="00CE7399"/>
    <w:rsid w:val="00CE757C"/>
    <w:rsid w:val="00CE7671"/>
    <w:rsid w:val="00CE78F4"/>
    <w:rsid w:val="00CE7987"/>
    <w:rsid w:val="00CE7E47"/>
    <w:rsid w:val="00CF0164"/>
    <w:rsid w:val="00CF0205"/>
    <w:rsid w:val="00CF022F"/>
    <w:rsid w:val="00CF039E"/>
    <w:rsid w:val="00CF051E"/>
    <w:rsid w:val="00CF067D"/>
    <w:rsid w:val="00CF073A"/>
    <w:rsid w:val="00CF07E7"/>
    <w:rsid w:val="00CF085A"/>
    <w:rsid w:val="00CF0AFF"/>
    <w:rsid w:val="00CF0D30"/>
    <w:rsid w:val="00CF1003"/>
    <w:rsid w:val="00CF1056"/>
    <w:rsid w:val="00CF1189"/>
    <w:rsid w:val="00CF1241"/>
    <w:rsid w:val="00CF145F"/>
    <w:rsid w:val="00CF14C6"/>
    <w:rsid w:val="00CF164C"/>
    <w:rsid w:val="00CF1798"/>
    <w:rsid w:val="00CF198A"/>
    <w:rsid w:val="00CF1A66"/>
    <w:rsid w:val="00CF1A90"/>
    <w:rsid w:val="00CF1B11"/>
    <w:rsid w:val="00CF1DFF"/>
    <w:rsid w:val="00CF1E68"/>
    <w:rsid w:val="00CF2450"/>
    <w:rsid w:val="00CF25A1"/>
    <w:rsid w:val="00CF2715"/>
    <w:rsid w:val="00CF2A2A"/>
    <w:rsid w:val="00CF2D7A"/>
    <w:rsid w:val="00CF2EA5"/>
    <w:rsid w:val="00CF308A"/>
    <w:rsid w:val="00CF3117"/>
    <w:rsid w:val="00CF31F0"/>
    <w:rsid w:val="00CF355E"/>
    <w:rsid w:val="00CF386F"/>
    <w:rsid w:val="00CF3930"/>
    <w:rsid w:val="00CF3AE0"/>
    <w:rsid w:val="00CF3E99"/>
    <w:rsid w:val="00CF3EB5"/>
    <w:rsid w:val="00CF3F3D"/>
    <w:rsid w:val="00CF4068"/>
    <w:rsid w:val="00CF40E1"/>
    <w:rsid w:val="00CF41EA"/>
    <w:rsid w:val="00CF42DB"/>
    <w:rsid w:val="00CF4334"/>
    <w:rsid w:val="00CF4411"/>
    <w:rsid w:val="00CF480D"/>
    <w:rsid w:val="00CF497E"/>
    <w:rsid w:val="00CF4988"/>
    <w:rsid w:val="00CF4A9C"/>
    <w:rsid w:val="00CF4CE8"/>
    <w:rsid w:val="00CF4DC8"/>
    <w:rsid w:val="00CF4FC4"/>
    <w:rsid w:val="00CF4FDE"/>
    <w:rsid w:val="00CF55B2"/>
    <w:rsid w:val="00CF5668"/>
    <w:rsid w:val="00CF57D7"/>
    <w:rsid w:val="00CF5B36"/>
    <w:rsid w:val="00CF5B4B"/>
    <w:rsid w:val="00CF5C0D"/>
    <w:rsid w:val="00CF5D64"/>
    <w:rsid w:val="00CF5DD4"/>
    <w:rsid w:val="00CF5E01"/>
    <w:rsid w:val="00CF5E71"/>
    <w:rsid w:val="00CF5EA2"/>
    <w:rsid w:val="00CF5FAC"/>
    <w:rsid w:val="00CF6064"/>
    <w:rsid w:val="00CF638B"/>
    <w:rsid w:val="00CF645B"/>
    <w:rsid w:val="00CF67D6"/>
    <w:rsid w:val="00CF6873"/>
    <w:rsid w:val="00CF6905"/>
    <w:rsid w:val="00CF6B72"/>
    <w:rsid w:val="00CF7024"/>
    <w:rsid w:val="00CF7258"/>
    <w:rsid w:val="00CF738D"/>
    <w:rsid w:val="00CF7525"/>
    <w:rsid w:val="00CF7586"/>
    <w:rsid w:val="00CF75C8"/>
    <w:rsid w:val="00CF79AB"/>
    <w:rsid w:val="00CF79CE"/>
    <w:rsid w:val="00CF7DFA"/>
    <w:rsid w:val="00CF7E53"/>
    <w:rsid w:val="00CF7F56"/>
    <w:rsid w:val="00D00620"/>
    <w:rsid w:val="00D00723"/>
    <w:rsid w:val="00D0074A"/>
    <w:rsid w:val="00D0091A"/>
    <w:rsid w:val="00D00E6F"/>
    <w:rsid w:val="00D01408"/>
    <w:rsid w:val="00D01557"/>
    <w:rsid w:val="00D01715"/>
    <w:rsid w:val="00D01839"/>
    <w:rsid w:val="00D01A75"/>
    <w:rsid w:val="00D01AA2"/>
    <w:rsid w:val="00D01DE6"/>
    <w:rsid w:val="00D0254E"/>
    <w:rsid w:val="00D02C4A"/>
    <w:rsid w:val="00D02DA6"/>
    <w:rsid w:val="00D02FD9"/>
    <w:rsid w:val="00D031EF"/>
    <w:rsid w:val="00D0320B"/>
    <w:rsid w:val="00D0376E"/>
    <w:rsid w:val="00D03BD6"/>
    <w:rsid w:val="00D03C7F"/>
    <w:rsid w:val="00D03C98"/>
    <w:rsid w:val="00D04001"/>
    <w:rsid w:val="00D04018"/>
    <w:rsid w:val="00D04315"/>
    <w:rsid w:val="00D0436D"/>
    <w:rsid w:val="00D0455A"/>
    <w:rsid w:val="00D04661"/>
    <w:rsid w:val="00D049C8"/>
    <w:rsid w:val="00D04A50"/>
    <w:rsid w:val="00D04ADF"/>
    <w:rsid w:val="00D04EEF"/>
    <w:rsid w:val="00D04FD6"/>
    <w:rsid w:val="00D0500F"/>
    <w:rsid w:val="00D05668"/>
    <w:rsid w:val="00D05AB6"/>
    <w:rsid w:val="00D05AF3"/>
    <w:rsid w:val="00D05C0E"/>
    <w:rsid w:val="00D05CB6"/>
    <w:rsid w:val="00D05D93"/>
    <w:rsid w:val="00D05DD2"/>
    <w:rsid w:val="00D05F12"/>
    <w:rsid w:val="00D065AA"/>
    <w:rsid w:val="00D0671C"/>
    <w:rsid w:val="00D06761"/>
    <w:rsid w:val="00D0682A"/>
    <w:rsid w:val="00D06904"/>
    <w:rsid w:val="00D06A38"/>
    <w:rsid w:val="00D06B96"/>
    <w:rsid w:val="00D06EE6"/>
    <w:rsid w:val="00D071F2"/>
    <w:rsid w:val="00D072CE"/>
    <w:rsid w:val="00D0738C"/>
    <w:rsid w:val="00D07573"/>
    <w:rsid w:val="00D07DA5"/>
    <w:rsid w:val="00D07E6F"/>
    <w:rsid w:val="00D07F9E"/>
    <w:rsid w:val="00D1053D"/>
    <w:rsid w:val="00D10540"/>
    <w:rsid w:val="00D10691"/>
    <w:rsid w:val="00D10742"/>
    <w:rsid w:val="00D10C00"/>
    <w:rsid w:val="00D10EDB"/>
    <w:rsid w:val="00D10F5F"/>
    <w:rsid w:val="00D10FD2"/>
    <w:rsid w:val="00D111F1"/>
    <w:rsid w:val="00D116A0"/>
    <w:rsid w:val="00D117C5"/>
    <w:rsid w:val="00D1184A"/>
    <w:rsid w:val="00D11F7B"/>
    <w:rsid w:val="00D12228"/>
    <w:rsid w:val="00D12272"/>
    <w:rsid w:val="00D12280"/>
    <w:rsid w:val="00D12400"/>
    <w:rsid w:val="00D1255A"/>
    <w:rsid w:val="00D125DA"/>
    <w:rsid w:val="00D126DE"/>
    <w:rsid w:val="00D12C9E"/>
    <w:rsid w:val="00D12CF3"/>
    <w:rsid w:val="00D12F7F"/>
    <w:rsid w:val="00D12F99"/>
    <w:rsid w:val="00D13660"/>
    <w:rsid w:val="00D13BDA"/>
    <w:rsid w:val="00D13E0C"/>
    <w:rsid w:val="00D13F6E"/>
    <w:rsid w:val="00D1412B"/>
    <w:rsid w:val="00D141B0"/>
    <w:rsid w:val="00D14532"/>
    <w:rsid w:val="00D145B6"/>
    <w:rsid w:val="00D14832"/>
    <w:rsid w:val="00D14B7C"/>
    <w:rsid w:val="00D14DD0"/>
    <w:rsid w:val="00D14DD2"/>
    <w:rsid w:val="00D14F02"/>
    <w:rsid w:val="00D1517D"/>
    <w:rsid w:val="00D15243"/>
    <w:rsid w:val="00D153B6"/>
    <w:rsid w:val="00D154A5"/>
    <w:rsid w:val="00D15758"/>
    <w:rsid w:val="00D157D3"/>
    <w:rsid w:val="00D15A3C"/>
    <w:rsid w:val="00D15F85"/>
    <w:rsid w:val="00D160D5"/>
    <w:rsid w:val="00D16338"/>
    <w:rsid w:val="00D163C2"/>
    <w:rsid w:val="00D16570"/>
    <w:rsid w:val="00D166D1"/>
    <w:rsid w:val="00D16A64"/>
    <w:rsid w:val="00D16CD7"/>
    <w:rsid w:val="00D171E8"/>
    <w:rsid w:val="00D172E7"/>
    <w:rsid w:val="00D172F0"/>
    <w:rsid w:val="00D17480"/>
    <w:rsid w:val="00D174DC"/>
    <w:rsid w:val="00D17566"/>
    <w:rsid w:val="00D17D58"/>
    <w:rsid w:val="00D17E75"/>
    <w:rsid w:val="00D17F8F"/>
    <w:rsid w:val="00D2004D"/>
    <w:rsid w:val="00D20178"/>
    <w:rsid w:val="00D2022A"/>
    <w:rsid w:val="00D204A4"/>
    <w:rsid w:val="00D205CF"/>
    <w:rsid w:val="00D20885"/>
    <w:rsid w:val="00D20985"/>
    <w:rsid w:val="00D20A85"/>
    <w:rsid w:val="00D20B28"/>
    <w:rsid w:val="00D20BAC"/>
    <w:rsid w:val="00D20DB4"/>
    <w:rsid w:val="00D20E38"/>
    <w:rsid w:val="00D20E4D"/>
    <w:rsid w:val="00D20EA2"/>
    <w:rsid w:val="00D211DF"/>
    <w:rsid w:val="00D2173C"/>
    <w:rsid w:val="00D2181C"/>
    <w:rsid w:val="00D2185A"/>
    <w:rsid w:val="00D21AFB"/>
    <w:rsid w:val="00D21C89"/>
    <w:rsid w:val="00D21C92"/>
    <w:rsid w:val="00D21EE9"/>
    <w:rsid w:val="00D21F9E"/>
    <w:rsid w:val="00D21FFB"/>
    <w:rsid w:val="00D221AB"/>
    <w:rsid w:val="00D2221C"/>
    <w:rsid w:val="00D2269B"/>
    <w:rsid w:val="00D22F52"/>
    <w:rsid w:val="00D2300F"/>
    <w:rsid w:val="00D23018"/>
    <w:rsid w:val="00D23020"/>
    <w:rsid w:val="00D23037"/>
    <w:rsid w:val="00D23211"/>
    <w:rsid w:val="00D233E1"/>
    <w:rsid w:val="00D233E5"/>
    <w:rsid w:val="00D2373F"/>
    <w:rsid w:val="00D23791"/>
    <w:rsid w:val="00D237B2"/>
    <w:rsid w:val="00D2386A"/>
    <w:rsid w:val="00D238CC"/>
    <w:rsid w:val="00D23957"/>
    <w:rsid w:val="00D23C4A"/>
    <w:rsid w:val="00D23EDC"/>
    <w:rsid w:val="00D24029"/>
    <w:rsid w:val="00D24132"/>
    <w:rsid w:val="00D2434A"/>
    <w:rsid w:val="00D24546"/>
    <w:rsid w:val="00D248A4"/>
    <w:rsid w:val="00D24A3E"/>
    <w:rsid w:val="00D250C5"/>
    <w:rsid w:val="00D250F5"/>
    <w:rsid w:val="00D254A2"/>
    <w:rsid w:val="00D25897"/>
    <w:rsid w:val="00D258D9"/>
    <w:rsid w:val="00D25979"/>
    <w:rsid w:val="00D25D44"/>
    <w:rsid w:val="00D25D66"/>
    <w:rsid w:val="00D25F53"/>
    <w:rsid w:val="00D261D8"/>
    <w:rsid w:val="00D26630"/>
    <w:rsid w:val="00D26B00"/>
    <w:rsid w:val="00D26D91"/>
    <w:rsid w:val="00D26DEF"/>
    <w:rsid w:val="00D273D5"/>
    <w:rsid w:val="00D273E8"/>
    <w:rsid w:val="00D2751F"/>
    <w:rsid w:val="00D2753C"/>
    <w:rsid w:val="00D275AD"/>
    <w:rsid w:val="00D275D9"/>
    <w:rsid w:val="00D27601"/>
    <w:rsid w:val="00D278F7"/>
    <w:rsid w:val="00D279B7"/>
    <w:rsid w:val="00D27AE3"/>
    <w:rsid w:val="00D27AFE"/>
    <w:rsid w:val="00D27BBE"/>
    <w:rsid w:val="00D27E12"/>
    <w:rsid w:val="00D27F76"/>
    <w:rsid w:val="00D30382"/>
    <w:rsid w:val="00D305B2"/>
    <w:rsid w:val="00D305D8"/>
    <w:rsid w:val="00D306A0"/>
    <w:rsid w:val="00D30A47"/>
    <w:rsid w:val="00D30D1A"/>
    <w:rsid w:val="00D30E2C"/>
    <w:rsid w:val="00D30E43"/>
    <w:rsid w:val="00D30EE4"/>
    <w:rsid w:val="00D31202"/>
    <w:rsid w:val="00D31396"/>
    <w:rsid w:val="00D31886"/>
    <w:rsid w:val="00D318DF"/>
    <w:rsid w:val="00D31A66"/>
    <w:rsid w:val="00D31C12"/>
    <w:rsid w:val="00D31D70"/>
    <w:rsid w:val="00D31DB5"/>
    <w:rsid w:val="00D31E1C"/>
    <w:rsid w:val="00D31F72"/>
    <w:rsid w:val="00D3245E"/>
    <w:rsid w:val="00D32690"/>
    <w:rsid w:val="00D32C6C"/>
    <w:rsid w:val="00D32CE2"/>
    <w:rsid w:val="00D33636"/>
    <w:rsid w:val="00D33805"/>
    <w:rsid w:val="00D338A0"/>
    <w:rsid w:val="00D3397B"/>
    <w:rsid w:val="00D33A08"/>
    <w:rsid w:val="00D33BEF"/>
    <w:rsid w:val="00D33CEF"/>
    <w:rsid w:val="00D33F07"/>
    <w:rsid w:val="00D33F87"/>
    <w:rsid w:val="00D34006"/>
    <w:rsid w:val="00D340F8"/>
    <w:rsid w:val="00D341A0"/>
    <w:rsid w:val="00D3425C"/>
    <w:rsid w:val="00D34EA0"/>
    <w:rsid w:val="00D350F8"/>
    <w:rsid w:val="00D35426"/>
    <w:rsid w:val="00D354FA"/>
    <w:rsid w:val="00D35574"/>
    <w:rsid w:val="00D355F1"/>
    <w:rsid w:val="00D356DC"/>
    <w:rsid w:val="00D357DA"/>
    <w:rsid w:val="00D357DD"/>
    <w:rsid w:val="00D358D0"/>
    <w:rsid w:val="00D35A22"/>
    <w:rsid w:val="00D35AC3"/>
    <w:rsid w:val="00D35AEB"/>
    <w:rsid w:val="00D35B26"/>
    <w:rsid w:val="00D35D35"/>
    <w:rsid w:val="00D35F91"/>
    <w:rsid w:val="00D36318"/>
    <w:rsid w:val="00D36379"/>
    <w:rsid w:val="00D3645E"/>
    <w:rsid w:val="00D36464"/>
    <w:rsid w:val="00D364EE"/>
    <w:rsid w:val="00D3676D"/>
    <w:rsid w:val="00D3688A"/>
    <w:rsid w:val="00D36B12"/>
    <w:rsid w:val="00D36D49"/>
    <w:rsid w:val="00D36DDE"/>
    <w:rsid w:val="00D3741D"/>
    <w:rsid w:val="00D37444"/>
    <w:rsid w:val="00D374F4"/>
    <w:rsid w:val="00D375C2"/>
    <w:rsid w:val="00D3765F"/>
    <w:rsid w:val="00D37673"/>
    <w:rsid w:val="00D376C5"/>
    <w:rsid w:val="00D37997"/>
    <w:rsid w:val="00D37A2A"/>
    <w:rsid w:val="00D37A57"/>
    <w:rsid w:val="00D37AA6"/>
    <w:rsid w:val="00D37C5C"/>
    <w:rsid w:val="00D37E24"/>
    <w:rsid w:val="00D37F78"/>
    <w:rsid w:val="00D4001A"/>
    <w:rsid w:val="00D400F4"/>
    <w:rsid w:val="00D40512"/>
    <w:rsid w:val="00D406DE"/>
    <w:rsid w:val="00D4173E"/>
    <w:rsid w:val="00D41859"/>
    <w:rsid w:val="00D41DEA"/>
    <w:rsid w:val="00D41E1A"/>
    <w:rsid w:val="00D41FF4"/>
    <w:rsid w:val="00D42060"/>
    <w:rsid w:val="00D42347"/>
    <w:rsid w:val="00D423FE"/>
    <w:rsid w:val="00D4249D"/>
    <w:rsid w:val="00D427A4"/>
    <w:rsid w:val="00D427FE"/>
    <w:rsid w:val="00D4285A"/>
    <w:rsid w:val="00D428E4"/>
    <w:rsid w:val="00D42AAA"/>
    <w:rsid w:val="00D42B64"/>
    <w:rsid w:val="00D42C42"/>
    <w:rsid w:val="00D42E79"/>
    <w:rsid w:val="00D42ED5"/>
    <w:rsid w:val="00D42FE6"/>
    <w:rsid w:val="00D42FED"/>
    <w:rsid w:val="00D4305A"/>
    <w:rsid w:val="00D43120"/>
    <w:rsid w:val="00D43368"/>
    <w:rsid w:val="00D4338F"/>
    <w:rsid w:val="00D43CE0"/>
    <w:rsid w:val="00D43D5A"/>
    <w:rsid w:val="00D43DB3"/>
    <w:rsid w:val="00D43DFC"/>
    <w:rsid w:val="00D43E89"/>
    <w:rsid w:val="00D43F2C"/>
    <w:rsid w:val="00D4400A"/>
    <w:rsid w:val="00D440B4"/>
    <w:rsid w:val="00D44159"/>
    <w:rsid w:val="00D443B4"/>
    <w:rsid w:val="00D444C2"/>
    <w:rsid w:val="00D44509"/>
    <w:rsid w:val="00D44577"/>
    <w:rsid w:val="00D445C5"/>
    <w:rsid w:val="00D446E9"/>
    <w:rsid w:val="00D447B0"/>
    <w:rsid w:val="00D4491A"/>
    <w:rsid w:val="00D44A50"/>
    <w:rsid w:val="00D44B29"/>
    <w:rsid w:val="00D44BE2"/>
    <w:rsid w:val="00D44CDF"/>
    <w:rsid w:val="00D45142"/>
    <w:rsid w:val="00D459AF"/>
    <w:rsid w:val="00D45CD3"/>
    <w:rsid w:val="00D45D61"/>
    <w:rsid w:val="00D46301"/>
    <w:rsid w:val="00D463E1"/>
    <w:rsid w:val="00D4640C"/>
    <w:rsid w:val="00D465C7"/>
    <w:rsid w:val="00D468ED"/>
    <w:rsid w:val="00D46A4A"/>
    <w:rsid w:val="00D46C8A"/>
    <w:rsid w:val="00D46CB7"/>
    <w:rsid w:val="00D46FC4"/>
    <w:rsid w:val="00D4703B"/>
    <w:rsid w:val="00D47091"/>
    <w:rsid w:val="00D4711B"/>
    <w:rsid w:val="00D4714B"/>
    <w:rsid w:val="00D47246"/>
    <w:rsid w:val="00D4755B"/>
    <w:rsid w:val="00D475F0"/>
    <w:rsid w:val="00D47846"/>
    <w:rsid w:val="00D478DF"/>
    <w:rsid w:val="00D47B29"/>
    <w:rsid w:val="00D47BC5"/>
    <w:rsid w:val="00D47D16"/>
    <w:rsid w:val="00D47D2D"/>
    <w:rsid w:val="00D47D2E"/>
    <w:rsid w:val="00D47D4D"/>
    <w:rsid w:val="00D47DC0"/>
    <w:rsid w:val="00D47F7B"/>
    <w:rsid w:val="00D507E2"/>
    <w:rsid w:val="00D507EB"/>
    <w:rsid w:val="00D50CCB"/>
    <w:rsid w:val="00D50F8A"/>
    <w:rsid w:val="00D51017"/>
    <w:rsid w:val="00D51072"/>
    <w:rsid w:val="00D51092"/>
    <w:rsid w:val="00D51349"/>
    <w:rsid w:val="00D515A1"/>
    <w:rsid w:val="00D51708"/>
    <w:rsid w:val="00D517C5"/>
    <w:rsid w:val="00D518FD"/>
    <w:rsid w:val="00D51DD9"/>
    <w:rsid w:val="00D51E1B"/>
    <w:rsid w:val="00D52107"/>
    <w:rsid w:val="00D522B5"/>
    <w:rsid w:val="00D52818"/>
    <w:rsid w:val="00D52AE1"/>
    <w:rsid w:val="00D52B47"/>
    <w:rsid w:val="00D52BB6"/>
    <w:rsid w:val="00D5350F"/>
    <w:rsid w:val="00D53517"/>
    <w:rsid w:val="00D535B0"/>
    <w:rsid w:val="00D536C9"/>
    <w:rsid w:val="00D537F0"/>
    <w:rsid w:val="00D53C12"/>
    <w:rsid w:val="00D53FC2"/>
    <w:rsid w:val="00D54056"/>
    <w:rsid w:val="00D547AC"/>
    <w:rsid w:val="00D547E8"/>
    <w:rsid w:val="00D548F8"/>
    <w:rsid w:val="00D54955"/>
    <w:rsid w:val="00D54DEF"/>
    <w:rsid w:val="00D54F80"/>
    <w:rsid w:val="00D54FD1"/>
    <w:rsid w:val="00D55434"/>
    <w:rsid w:val="00D5574F"/>
    <w:rsid w:val="00D55A4D"/>
    <w:rsid w:val="00D55D35"/>
    <w:rsid w:val="00D56048"/>
    <w:rsid w:val="00D560A4"/>
    <w:rsid w:val="00D5613C"/>
    <w:rsid w:val="00D567C8"/>
    <w:rsid w:val="00D5691E"/>
    <w:rsid w:val="00D56CAA"/>
    <w:rsid w:val="00D5704C"/>
    <w:rsid w:val="00D5771B"/>
    <w:rsid w:val="00D577D6"/>
    <w:rsid w:val="00D57839"/>
    <w:rsid w:val="00D5787C"/>
    <w:rsid w:val="00D57B51"/>
    <w:rsid w:val="00D60070"/>
    <w:rsid w:val="00D6029A"/>
    <w:rsid w:val="00D60368"/>
    <w:rsid w:val="00D60895"/>
    <w:rsid w:val="00D608DF"/>
    <w:rsid w:val="00D60B13"/>
    <w:rsid w:val="00D60D19"/>
    <w:rsid w:val="00D61085"/>
    <w:rsid w:val="00D611A3"/>
    <w:rsid w:val="00D6175A"/>
    <w:rsid w:val="00D6192B"/>
    <w:rsid w:val="00D6197D"/>
    <w:rsid w:val="00D61BF0"/>
    <w:rsid w:val="00D61F9C"/>
    <w:rsid w:val="00D61FC4"/>
    <w:rsid w:val="00D62092"/>
    <w:rsid w:val="00D62302"/>
    <w:rsid w:val="00D62398"/>
    <w:rsid w:val="00D6280E"/>
    <w:rsid w:val="00D6299B"/>
    <w:rsid w:val="00D62E4F"/>
    <w:rsid w:val="00D630FE"/>
    <w:rsid w:val="00D63360"/>
    <w:rsid w:val="00D634E6"/>
    <w:rsid w:val="00D6368D"/>
    <w:rsid w:val="00D63706"/>
    <w:rsid w:val="00D6370F"/>
    <w:rsid w:val="00D63799"/>
    <w:rsid w:val="00D637F9"/>
    <w:rsid w:val="00D63B06"/>
    <w:rsid w:val="00D63C81"/>
    <w:rsid w:val="00D6438E"/>
    <w:rsid w:val="00D643E0"/>
    <w:rsid w:val="00D644DB"/>
    <w:rsid w:val="00D64831"/>
    <w:rsid w:val="00D64884"/>
    <w:rsid w:val="00D64DFE"/>
    <w:rsid w:val="00D64F6D"/>
    <w:rsid w:val="00D6561F"/>
    <w:rsid w:val="00D65807"/>
    <w:rsid w:val="00D65A61"/>
    <w:rsid w:val="00D65AE5"/>
    <w:rsid w:val="00D6600A"/>
    <w:rsid w:val="00D6610E"/>
    <w:rsid w:val="00D662BA"/>
    <w:rsid w:val="00D66693"/>
    <w:rsid w:val="00D666DE"/>
    <w:rsid w:val="00D66BC5"/>
    <w:rsid w:val="00D66F11"/>
    <w:rsid w:val="00D66F1B"/>
    <w:rsid w:val="00D66F2F"/>
    <w:rsid w:val="00D66F91"/>
    <w:rsid w:val="00D671CA"/>
    <w:rsid w:val="00D67367"/>
    <w:rsid w:val="00D6746F"/>
    <w:rsid w:val="00D67965"/>
    <w:rsid w:val="00D67999"/>
    <w:rsid w:val="00D67A8B"/>
    <w:rsid w:val="00D67BA5"/>
    <w:rsid w:val="00D67F15"/>
    <w:rsid w:val="00D7087F"/>
    <w:rsid w:val="00D70B58"/>
    <w:rsid w:val="00D70BB1"/>
    <w:rsid w:val="00D70F58"/>
    <w:rsid w:val="00D70F71"/>
    <w:rsid w:val="00D70FCE"/>
    <w:rsid w:val="00D718FF"/>
    <w:rsid w:val="00D71DEB"/>
    <w:rsid w:val="00D71DF4"/>
    <w:rsid w:val="00D71E80"/>
    <w:rsid w:val="00D71FB0"/>
    <w:rsid w:val="00D72212"/>
    <w:rsid w:val="00D72273"/>
    <w:rsid w:val="00D72340"/>
    <w:rsid w:val="00D72359"/>
    <w:rsid w:val="00D723AA"/>
    <w:rsid w:val="00D72974"/>
    <w:rsid w:val="00D72D62"/>
    <w:rsid w:val="00D72E13"/>
    <w:rsid w:val="00D73144"/>
    <w:rsid w:val="00D7339A"/>
    <w:rsid w:val="00D7369D"/>
    <w:rsid w:val="00D736DB"/>
    <w:rsid w:val="00D7393C"/>
    <w:rsid w:val="00D73A5D"/>
    <w:rsid w:val="00D73C6D"/>
    <w:rsid w:val="00D73EA9"/>
    <w:rsid w:val="00D74620"/>
    <w:rsid w:val="00D74D23"/>
    <w:rsid w:val="00D75079"/>
    <w:rsid w:val="00D751E7"/>
    <w:rsid w:val="00D75586"/>
    <w:rsid w:val="00D75ADF"/>
    <w:rsid w:val="00D75B05"/>
    <w:rsid w:val="00D75B2C"/>
    <w:rsid w:val="00D75BCF"/>
    <w:rsid w:val="00D75FB0"/>
    <w:rsid w:val="00D76062"/>
    <w:rsid w:val="00D763B8"/>
    <w:rsid w:val="00D76444"/>
    <w:rsid w:val="00D76486"/>
    <w:rsid w:val="00D76622"/>
    <w:rsid w:val="00D76A62"/>
    <w:rsid w:val="00D76AD1"/>
    <w:rsid w:val="00D76C83"/>
    <w:rsid w:val="00D76D85"/>
    <w:rsid w:val="00D76E89"/>
    <w:rsid w:val="00D76F8C"/>
    <w:rsid w:val="00D772E9"/>
    <w:rsid w:val="00D7736D"/>
    <w:rsid w:val="00D77985"/>
    <w:rsid w:val="00D77ADC"/>
    <w:rsid w:val="00D80178"/>
    <w:rsid w:val="00D80422"/>
    <w:rsid w:val="00D8050C"/>
    <w:rsid w:val="00D80AAF"/>
    <w:rsid w:val="00D80E0F"/>
    <w:rsid w:val="00D8113E"/>
    <w:rsid w:val="00D81160"/>
    <w:rsid w:val="00D811D2"/>
    <w:rsid w:val="00D814E0"/>
    <w:rsid w:val="00D814FE"/>
    <w:rsid w:val="00D815D8"/>
    <w:rsid w:val="00D81797"/>
    <w:rsid w:val="00D81ABF"/>
    <w:rsid w:val="00D81BB4"/>
    <w:rsid w:val="00D82099"/>
    <w:rsid w:val="00D82541"/>
    <w:rsid w:val="00D825E4"/>
    <w:rsid w:val="00D8282F"/>
    <w:rsid w:val="00D82A69"/>
    <w:rsid w:val="00D82BA4"/>
    <w:rsid w:val="00D82E67"/>
    <w:rsid w:val="00D830A2"/>
    <w:rsid w:val="00D83452"/>
    <w:rsid w:val="00D83934"/>
    <w:rsid w:val="00D83A18"/>
    <w:rsid w:val="00D83DC5"/>
    <w:rsid w:val="00D83E1F"/>
    <w:rsid w:val="00D83F9E"/>
    <w:rsid w:val="00D843B1"/>
    <w:rsid w:val="00D843E6"/>
    <w:rsid w:val="00D84861"/>
    <w:rsid w:val="00D849A3"/>
    <w:rsid w:val="00D84DED"/>
    <w:rsid w:val="00D84F32"/>
    <w:rsid w:val="00D8543C"/>
    <w:rsid w:val="00D855AC"/>
    <w:rsid w:val="00D8568D"/>
    <w:rsid w:val="00D856BA"/>
    <w:rsid w:val="00D85B5D"/>
    <w:rsid w:val="00D85B77"/>
    <w:rsid w:val="00D85FC8"/>
    <w:rsid w:val="00D86246"/>
    <w:rsid w:val="00D8653A"/>
    <w:rsid w:val="00D8666D"/>
    <w:rsid w:val="00D867C7"/>
    <w:rsid w:val="00D869D6"/>
    <w:rsid w:val="00D86EC2"/>
    <w:rsid w:val="00D86F02"/>
    <w:rsid w:val="00D874F9"/>
    <w:rsid w:val="00D8760E"/>
    <w:rsid w:val="00D87689"/>
    <w:rsid w:val="00D8788F"/>
    <w:rsid w:val="00D87B50"/>
    <w:rsid w:val="00D900F8"/>
    <w:rsid w:val="00D901C9"/>
    <w:rsid w:val="00D9031D"/>
    <w:rsid w:val="00D90A21"/>
    <w:rsid w:val="00D90E3A"/>
    <w:rsid w:val="00D90EFC"/>
    <w:rsid w:val="00D91079"/>
    <w:rsid w:val="00D912C7"/>
    <w:rsid w:val="00D915C8"/>
    <w:rsid w:val="00D91660"/>
    <w:rsid w:val="00D916F2"/>
    <w:rsid w:val="00D9182E"/>
    <w:rsid w:val="00D918F4"/>
    <w:rsid w:val="00D9192C"/>
    <w:rsid w:val="00D91BCB"/>
    <w:rsid w:val="00D91DA4"/>
    <w:rsid w:val="00D91FF5"/>
    <w:rsid w:val="00D921A2"/>
    <w:rsid w:val="00D922B9"/>
    <w:rsid w:val="00D92599"/>
    <w:rsid w:val="00D92626"/>
    <w:rsid w:val="00D92CAE"/>
    <w:rsid w:val="00D92D74"/>
    <w:rsid w:val="00D92F5D"/>
    <w:rsid w:val="00D92FC5"/>
    <w:rsid w:val="00D9300B"/>
    <w:rsid w:val="00D932FA"/>
    <w:rsid w:val="00D9382A"/>
    <w:rsid w:val="00D938BE"/>
    <w:rsid w:val="00D93BC6"/>
    <w:rsid w:val="00D93BD6"/>
    <w:rsid w:val="00D93C6A"/>
    <w:rsid w:val="00D93D82"/>
    <w:rsid w:val="00D93DA5"/>
    <w:rsid w:val="00D93DB9"/>
    <w:rsid w:val="00D94084"/>
    <w:rsid w:val="00D9413D"/>
    <w:rsid w:val="00D947CC"/>
    <w:rsid w:val="00D94A67"/>
    <w:rsid w:val="00D94A97"/>
    <w:rsid w:val="00D94ADE"/>
    <w:rsid w:val="00D94BC2"/>
    <w:rsid w:val="00D94C02"/>
    <w:rsid w:val="00D94EBD"/>
    <w:rsid w:val="00D95848"/>
    <w:rsid w:val="00D95A59"/>
    <w:rsid w:val="00D95B47"/>
    <w:rsid w:val="00D95FA9"/>
    <w:rsid w:val="00D961F2"/>
    <w:rsid w:val="00D96431"/>
    <w:rsid w:val="00D964B5"/>
    <w:rsid w:val="00D964D7"/>
    <w:rsid w:val="00D964F3"/>
    <w:rsid w:val="00D9653D"/>
    <w:rsid w:val="00D966DF"/>
    <w:rsid w:val="00D9675B"/>
    <w:rsid w:val="00D96C26"/>
    <w:rsid w:val="00D96C5F"/>
    <w:rsid w:val="00D96D80"/>
    <w:rsid w:val="00D96E0B"/>
    <w:rsid w:val="00D96F94"/>
    <w:rsid w:val="00D97159"/>
    <w:rsid w:val="00D97180"/>
    <w:rsid w:val="00D973F4"/>
    <w:rsid w:val="00D97529"/>
    <w:rsid w:val="00D97531"/>
    <w:rsid w:val="00D97633"/>
    <w:rsid w:val="00D97837"/>
    <w:rsid w:val="00D97BF0"/>
    <w:rsid w:val="00D97C3A"/>
    <w:rsid w:val="00D97D4E"/>
    <w:rsid w:val="00D97E8C"/>
    <w:rsid w:val="00D97FF3"/>
    <w:rsid w:val="00DA005F"/>
    <w:rsid w:val="00DA0291"/>
    <w:rsid w:val="00DA02F7"/>
    <w:rsid w:val="00DA0406"/>
    <w:rsid w:val="00DA055B"/>
    <w:rsid w:val="00DA0694"/>
    <w:rsid w:val="00DA06A4"/>
    <w:rsid w:val="00DA07BD"/>
    <w:rsid w:val="00DA08B5"/>
    <w:rsid w:val="00DA0932"/>
    <w:rsid w:val="00DA0BB3"/>
    <w:rsid w:val="00DA0C02"/>
    <w:rsid w:val="00DA0D36"/>
    <w:rsid w:val="00DA0D76"/>
    <w:rsid w:val="00DA1115"/>
    <w:rsid w:val="00DA112C"/>
    <w:rsid w:val="00DA1227"/>
    <w:rsid w:val="00DA14AC"/>
    <w:rsid w:val="00DA16B0"/>
    <w:rsid w:val="00DA193E"/>
    <w:rsid w:val="00DA1A82"/>
    <w:rsid w:val="00DA1B14"/>
    <w:rsid w:val="00DA1D64"/>
    <w:rsid w:val="00DA1F0C"/>
    <w:rsid w:val="00DA252D"/>
    <w:rsid w:val="00DA2729"/>
    <w:rsid w:val="00DA27CD"/>
    <w:rsid w:val="00DA287B"/>
    <w:rsid w:val="00DA2D1E"/>
    <w:rsid w:val="00DA316E"/>
    <w:rsid w:val="00DA3301"/>
    <w:rsid w:val="00DA3634"/>
    <w:rsid w:val="00DA36C7"/>
    <w:rsid w:val="00DA36EA"/>
    <w:rsid w:val="00DA37A6"/>
    <w:rsid w:val="00DA395C"/>
    <w:rsid w:val="00DA39B6"/>
    <w:rsid w:val="00DA39BF"/>
    <w:rsid w:val="00DA3B2B"/>
    <w:rsid w:val="00DA3B4F"/>
    <w:rsid w:val="00DA3BF2"/>
    <w:rsid w:val="00DA3D0B"/>
    <w:rsid w:val="00DA3EEB"/>
    <w:rsid w:val="00DA4019"/>
    <w:rsid w:val="00DA4322"/>
    <w:rsid w:val="00DA4584"/>
    <w:rsid w:val="00DA4894"/>
    <w:rsid w:val="00DA4B00"/>
    <w:rsid w:val="00DA536F"/>
    <w:rsid w:val="00DA585B"/>
    <w:rsid w:val="00DA5975"/>
    <w:rsid w:val="00DA5EAD"/>
    <w:rsid w:val="00DA5EDC"/>
    <w:rsid w:val="00DA61D3"/>
    <w:rsid w:val="00DA6578"/>
    <w:rsid w:val="00DA6667"/>
    <w:rsid w:val="00DA671F"/>
    <w:rsid w:val="00DA67F7"/>
    <w:rsid w:val="00DA682A"/>
    <w:rsid w:val="00DA6BC2"/>
    <w:rsid w:val="00DA6BCC"/>
    <w:rsid w:val="00DA6E0B"/>
    <w:rsid w:val="00DA6EF3"/>
    <w:rsid w:val="00DA7401"/>
    <w:rsid w:val="00DA758E"/>
    <w:rsid w:val="00DA7C8F"/>
    <w:rsid w:val="00DA7DE7"/>
    <w:rsid w:val="00DA7E6F"/>
    <w:rsid w:val="00DA7F5F"/>
    <w:rsid w:val="00DA7FA7"/>
    <w:rsid w:val="00DA7FE1"/>
    <w:rsid w:val="00DB054D"/>
    <w:rsid w:val="00DB056B"/>
    <w:rsid w:val="00DB05AF"/>
    <w:rsid w:val="00DB06CE"/>
    <w:rsid w:val="00DB0A57"/>
    <w:rsid w:val="00DB0E6C"/>
    <w:rsid w:val="00DB0F5B"/>
    <w:rsid w:val="00DB114C"/>
    <w:rsid w:val="00DB12CC"/>
    <w:rsid w:val="00DB12EE"/>
    <w:rsid w:val="00DB14C0"/>
    <w:rsid w:val="00DB15A8"/>
    <w:rsid w:val="00DB1996"/>
    <w:rsid w:val="00DB1E02"/>
    <w:rsid w:val="00DB202E"/>
    <w:rsid w:val="00DB22F8"/>
    <w:rsid w:val="00DB2876"/>
    <w:rsid w:val="00DB295A"/>
    <w:rsid w:val="00DB2C84"/>
    <w:rsid w:val="00DB2C8D"/>
    <w:rsid w:val="00DB2D15"/>
    <w:rsid w:val="00DB2DF3"/>
    <w:rsid w:val="00DB309E"/>
    <w:rsid w:val="00DB35C0"/>
    <w:rsid w:val="00DB37F2"/>
    <w:rsid w:val="00DB3820"/>
    <w:rsid w:val="00DB3A31"/>
    <w:rsid w:val="00DB3B6B"/>
    <w:rsid w:val="00DB3C13"/>
    <w:rsid w:val="00DB3CCD"/>
    <w:rsid w:val="00DB44B6"/>
    <w:rsid w:val="00DB44CB"/>
    <w:rsid w:val="00DB480C"/>
    <w:rsid w:val="00DB4A15"/>
    <w:rsid w:val="00DB4AFB"/>
    <w:rsid w:val="00DB4E7B"/>
    <w:rsid w:val="00DB5084"/>
    <w:rsid w:val="00DB516A"/>
    <w:rsid w:val="00DB51FA"/>
    <w:rsid w:val="00DB55AE"/>
    <w:rsid w:val="00DB5646"/>
    <w:rsid w:val="00DB5662"/>
    <w:rsid w:val="00DB5B98"/>
    <w:rsid w:val="00DB5E28"/>
    <w:rsid w:val="00DB5EA0"/>
    <w:rsid w:val="00DB5FE0"/>
    <w:rsid w:val="00DB6086"/>
    <w:rsid w:val="00DB6284"/>
    <w:rsid w:val="00DB64BB"/>
    <w:rsid w:val="00DB6736"/>
    <w:rsid w:val="00DB673F"/>
    <w:rsid w:val="00DB6880"/>
    <w:rsid w:val="00DB68EA"/>
    <w:rsid w:val="00DB6A39"/>
    <w:rsid w:val="00DB6CD6"/>
    <w:rsid w:val="00DB6D52"/>
    <w:rsid w:val="00DB6DCF"/>
    <w:rsid w:val="00DB6EFD"/>
    <w:rsid w:val="00DB71B9"/>
    <w:rsid w:val="00DB71EC"/>
    <w:rsid w:val="00DB72A2"/>
    <w:rsid w:val="00DB73E3"/>
    <w:rsid w:val="00DB753B"/>
    <w:rsid w:val="00DB776E"/>
    <w:rsid w:val="00DB77B5"/>
    <w:rsid w:val="00DB7AEF"/>
    <w:rsid w:val="00DB7BF5"/>
    <w:rsid w:val="00DB7C84"/>
    <w:rsid w:val="00DB7D7E"/>
    <w:rsid w:val="00DC036D"/>
    <w:rsid w:val="00DC03C4"/>
    <w:rsid w:val="00DC0605"/>
    <w:rsid w:val="00DC07B4"/>
    <w:rsid w:val="00DC0C6C"/>
    <w:rsid w:val="00DC0F65"/>
    <w:rsid w:val="00DC1067"/>
    <w:rsid w:val="00DC12E4"/>
    <w:rsid w:val="00DC1320"/>
    <w:rsid w:val="00DC1336"/>
    <w:rsid w:val="00DC142F"/>
    <w:rsid w:val="00DC14E1"/>
    <w:rsid w:val="00DC1B6F"/>
    <w:rsid w:val="00DC1C57"/>
    <w:rsid w:val="00DC1D11"/>
    <w:rsid w:val="00DC1D1D"/>
    <w:rsid w:val="00DC2238"/>
    <w:rsid w:val="00DC22F5"/>
    <w:rsid w:val="00DC231B"/>
    <w:rsid w:val="00DC2502"/>
    <w:rsid w:val="00DC2BE4"/>
    <w:rsid w:val="00DC2D2A"/>
    <w:rsid w:val="00DC2E9B"/>
    <w:rsid w:val="00DC3050"/>
    <w:rsid w:val="00DC34D0"/>
    <w:rsid w:val="00DC3669"/>
    <w:rsid w:val="00DC36B7"/>
    <w:rsid w:val="00DC38F1"/>
    <w:rsid w:val="00DC43CC"/>
    <w:rsid w:val="00DC4417"/>
    <w:rsid w:val="00DC4547"/>
    <w:rsid w:val="00DC474D"/>
    <w:rsid w:val="00DC47D2"/>
    <w:rsid w:val="00DC4802"/>
    <w:rsid w:val="00DC4824"/>
    <w:rsid w:val="00DC4990"/>
    <w:rsid w:val="00DC4C2A"/>
    <w:rsid w:val="00DC4D1A"/>
    <w:rsid w:val="00DC506B"/>
    <w:rsid w:val="00DC51FA"/>
    <w:rsid w:val="00DC52D3"/>
    <w:rsid w:val="00DC5430"/>
    <w:rsid w:val="00DC5439"/>
    <w:rsid w:val="00DC55BE"/>
    <w:rsid w:val="00DC55D8"/>
    <w:rsid w:val="00DC571F"/>
    <w:rsid w:val="00DC5767"/>
    <w:rsid w:val="00DC5883"/>
    <w:rsid w:val="00DC58A0"/>
    <w:rsid w:val="00DC5988"/>
    <w:rsid w:val="00DC5B49"/>
    <w:rsid w:val="00DC5C5F"/>
    <w:rsid w:val="00DC5C88"/>
    <w:rsid w:val="00DC5EC2"/>
    <w:rsid w:val="00DC5FD1"/>
    <w:rsid w:val="00DC602A"/>
    <w:rsid w:val="00DC61F8"/>
    <w:rsid w:val="00DC6479"/>
    <w:rsid w:val="00DC6517"/>
    <w:rsid w:val="00DC6CE1"/>
    <w:rsid w:val="00DC6D6E"/>
    <w:rsid w:val="00DC6E56"/>
    <w:rsid w:val="00DC6EBE"/>
    <w:rsid w:val="00DC6FD5"/>
    <w:rsid w:val="00DC708B"/>
    <w:rsid w:val="00DC728E"/>
    <w:rsid w:val="00DC7A6F"/>
    <w:rsid w:val="00DC7B8E"/>
    <w:rsid w:val="00DC7EA7"/>
    <w:rsid w:val="00DC7ED6"/>
    <w:rsid w:val="00DC7FA2"/>
    <w:rsid w:val="00DD03FA"/>
    <w:rsid w:val="00DD0720"/>
    <w:rsid w:val="00DD0BCC"/>
    <w:rsid w:val="00DD0E4A"/>
    <w:rsid w:val="00DD0FCD"/>
    <w:rsid w:val="00DD1077"/>
    <w:rsid w:val="00DD10D9"/>
    <w:rsid w:val="00DD117F"/>
    <w:rsid w:val="00DD13B1"/>
    <w:rsid w:val="00DD1455"/>
    <w:rsid w:val="00DD146C"/>
    <w:rsid w:val="00DD179D"/>
    <w:rsid w:val="00DD19AA"/>
    <w:rsid w:val="00DD1A68"/>
    <w:rsid w:val="00DD1D1E"/>
    <w:rsid w:val="00DD1E55"/>
    <w:rsid w:val="00DD20F8"/>
    <w:rsid w:val="00DD2156"/>
    <w:rsid w:val="00DD21F0"/>
    <w:rsid w:val="00DD24D5"/>
    <w:rsid w:val="00DD2569"/>
    <w:rsid w:val="00DD256E"/>
    <w:rsid w:val="00DD2775"/>
    <w:rsid w:val="00DD277C"/>
    <w:rsid w:val="00DD2A0B"/>
    <w:rsid w:val="00DD2D6D"/>
    <w:rsid w:val="00DD308A"/>
    <w:rsid w:val="00DD3128"/>
    <w:rsid w:val="00DD33CE"/>
    <w:rsid w:val="00DD3440"/>
    <w:rsid w:val="00DD34A1"/>
    <w:rsid w:val="00DD3539"/>
    <w:rsid w:val="00DD3BC0"/>
    <w:rsid w:val="00DD3BCE"/>
    <w:rsid w:val="00DD3CC4"/>
    <w:rsid w:val="00DD40A6"/>
    <w:rsid w:val="00DD40F2"/>
    <w:rsid w:val="00DD4178"/>
    <w:rsid w:val="00DD437E"/>
    <w:rsid w:val="00DD4451"/>
    <w:rsid w:val="00DD49D1"/>
    <w:rsid w:val="00DD4A4B"/>
    <w:rsid w:val="00DD4DDF"/>
    <w:rsid w:val="00DD4E58"/>
    <w:rsid w:val="00DD4E63"/>
    <w:rsid w:val="00DD5223"/>
    <w:rsid w:val="00DD53B5"/>
    <w:rsid w:val="00DD5649"/>
    <w:rsid w:val="00DD5945"/>
    <w:rsid w:val="00DD5990"/>
    <w:rsid w:val="00DD5BCB"/>
    <w:rsid w:val="00DD5D02"/>
    <w:rsid w:val="00DD626B"/>
    <w:rsid w:val="00DD63F6"/>
    <w:rsid w:val="00DD6466"/>
    <w:rsid w:val="00DD65A2"/>
    <w:rsid w:val="00DD6681"/>
    <w:rsid w:val="00DD671B"/>
    <w:rsid w:val="00DD679B"/>
    <w:rsid w:val="00DD68A3"/>
    <w:rsid w:val="00DD6BEB"/>
    <w:rsid w:val="00DD6BFB"/>
    <w:rsid w:val="00DD6E19"/>
    <w:rsid w:val="00DD7024"/>
    <w:rsid w:val="00DD7189"/>
    <w:rsid w:val="00DD746F"/>
    <w:rsid w:val="00DD750B"/>
    <w:rsid w:val="00DD76BD"/>
    <w:rsid w:val="00DD7A71"/>
    <w:rsid w:val="00DD7EC0"/>
    <w:rsid w:val="00DE015C"/>
    <w:rsid w:val="00DE047A"/>
    <w:rsid w:val="00DE05FD"/>
    <w:rsid w:val="00DE06A1"/>
    <w:rsid w:val="00DE073C"/>
    <w:rsid w:val="00DE090F"/>
    <w:rsid w:val="00DE0D65"/>
    <w:rsid w:val="00DE103A"/>
    <w:rsid w:val="00DE11D9"/>
    <w:rsid w:val="00DE132E"/>
    <w:rsid w:val="00DE1578"/>
    <w:rsid w:val="00DE172D"/>
    <w:rsid w:val="00DE1ACE"/>
    <w:rsid w:val="00DE1B0E"/>
    <w:rsid w:val="00DE1DCB"/>
    <w:rsid w:val="00DE1DFE"/>
    <w:rsid w:val="00DE1E76"/>
    <w:rsid w:val="00DE221B"/>
    <w:rsid w:val="00DE29EB"/>
    <w:rsid w:val="00DE2F8F"/>
    <w:rsid w:val="00DE314C"/>
    <w:rsid w:val="00DE3226"/>
    <w:rsid w:val="00DE34CB"/>
    <w:rsid w:val="00DE39EE"/>
    <w:rsid w:val="00DE3B16"/>
    <w:rsid w:val="00DE3D03"/>
    <w:rsid w:val="00DE40AB"/>
    <w:rsid w:val="00DE43D1"/>
    <w:rsid w:val="00DE4485"/>
    <w:rsid w:val="00DE4966"/>
    <w:rsid w:val="00DE4E83"/>
    <w:rsid w:val="00DE50C6"/>
    <w:rsid w:val="00DE54C5"/>
    <w:rsid w:val="00DE55DF"/>
    <w:rsid w:val="00DE5780"/>
    <w:rsid w:val="00DE57EF"/>
    <w:rsid w:val="00DE59B5"/>
    <w:rsid w:val="00DE5CBA"/>
    <w:rsid w:val="00DE5F1C"/>
    <w:rsid w:val="00DE6002"/>
    <w:rsid w:val="00DE62DC"/>
    <w:rsid w:val="00DE6547"/>
    <w:rsid w:val="00DE68A3"/>
    <w:rsid w:val="00DE6A4C"/>
    <w:rsid w:val="00DE73FD"/>
    <w:rsid w:val="00DE7552"/>
    <w:rsid w:val="00DE75D3"/>
    <w:rsid w:val="00DE7A63"/>
    <w:rsid w:val="00DE7EE1"/>
    <w:rsid w:val="00DF04BC"/>
    <w:rsid w:val="00DF07E6"/>
    <w:rsid w:val="00DF0832"/>
    <w:rsid w:val="00DF0A3C"/>
    <w:rsid w:val="00DF0C76"/>
    <w:rsid w:val="00DF1147"/>
    <w:rsid w:val="00DF11FD"/>
    <w:rsid w:val="00DF1273"/>
    <w:rsid w:val="00DF1377"/>
    <w:rsid w:val="00DF14B3"/>
    <w:rsid w:val="00DF181B"/>
    <w:rsid w:val="00DF190A"/>
    <w:rsid w:val="00DF1BF7"/>
    <w:rsid w:val="00DF1CEC"/>
    <w:rsid w:val="00DF1D4A"/>
    <w:rsid w:val="00DF1D74"/>
    <w:rsid w:val="00DF1DF3"/>
    <w:rsid w:val="00DF2110"/>
    <w:rsid w:val="00DF212A"/>
    <w:rsid w:val="00DF215C"/>
    <w:rsid w:val="00DF228F"/>
    <w:rsid w:val="00DF273A"/>
    <w:rsid w:val="00DF27A3"/>
    <w:rsid w:val="00DF29A7"/>
    <w:rsid w:val="00DF2B1D"/>
    <w:rsid w:val="00DF2DD4"/>
    <w:rsid w:val="00DF2F27"/>
    <w:rsid w:val="00DF31EE"/>
    <w:rsid w:val="00DF3631"/>
    <w:rsid w:val="00DF38CA"/>
    <w:rsid w:val="00DF3952"/>
    <w:rsid w:val="00DF3B7F"/>
    <w:rsid w:val="00DF3C7F"/>
    <w:rsid w:val="00DF41E3"/>
    <w:rsid w:val="00DF43F1"/>
    <w:rsid w:val="00DF44C7"/>
    <w:rsid w:val="00DF466E"/>
    <w:rsid w:val="00DF471A"/>
    <w:rsid w:val="00DF4817"/>
    <w:rsid w:val="00DF48E4"/>
    <w:rsid w:val="00DF4909"/>
    <w:rsid w:val="00DF4920"/>
    <w:rsid w:val="00DF4925"/>
    <w:rsid w:val="00DF49E6"/>
    <w:rsid w:val="00DF4BD3"/>
    <w:rsid w:val="00DF4C96"/>
    <w:rsid w:val="00DF4E6A"/>
    <w:rsid w:val="00DF5197"/>
    <w:rsid w:val="00DF51A9"/>
    <w:rsid w:val="00DF52AB"/>
    <w:rsid w:val="00DF537F"/>
    <w:rsid w:val="00DF53F6"/>
    <w:rsid w:val="00DF555D"/>
    <w:rsid w:val="00DF5580"/>
    <w:rsid w:val="00DF57C7"/>
    <w:rsid w:val="00DF57EB"/>
    <w:rsid w:val="00DF5B1D"/>
    <w:rsid w:val="00DF5B35"/>
    <w:rsid w:val="00DF5B4A"/>
    <w:rsid w:val="00DF5C86"/>
    <w:rsid w:val="00DF5D72"/>
    <w:rsid w:val="00DF5DBD"/>
    <w:rsid w:val="00DF5F28"/>
    <w:rsid w:val="00DF5F34"/>
    <w:rsid w:val="00DF5FCD"/>
    <w:rsid w:val="00DF6167"/>
    <w:rsid w:val="00DF6209"/>
    <w:rsid w:val="00DF62CB"/>
    <w:rsid w:val="00DF66EF"/>
    <w:rsid w:val="00DF6B8F"/>
    <w:rsid w:val="00DF6EE3"/>
    <w:rsid w:val="00DF6F3A"/>
    <w:rsid w:val="00DF71B3"/>
    <w:rsid w:val="00DF7254"/>
    <w:rsid w:val="00DF740E"/>
    <w:rsid w:val="00DF7587"/>
    <w:rsid w:val="00DF7761"/>
    <w:rsid w:val="00DF77A0"/>
    <w:rsid w:val="00DF7928"/>
    <w:rsid w:val="00DF7AF9"/>
    <w:rsid w:val="00DF7C76"/>
    <w:rsid w:val="00E00035"/>
    <w:rsid w:val="00E00126"/>
    <w:rsid w:val="00E00182"/>
    <w:rsid w:val="00E00674"/>
    <w:rsid w:val="00E007B5"/>
    <w:rsid w:val="00E0092A"/>
    <w:rsid w:val="00E00B31"/>
    <w:rsid w:val="00E00B3E"/>
    <w:rsid w:val="00E00B7E"/>
    <w:rsid w:val="00E00ED6"/>
    <w:rsid w:val="00E0104D"/>
    <w:rsid w:val="00E012BE"/>
    <w:rsid w:val="00E0148B"/>
    <w:rsid w:val="00E016C9"/>
    <w:rsid w:val="00E0177B"/>
    <w:rsid w:val="00E019E7"/>
    <w:rsid w:val="00E01CBA"/>
    <w:rsid w:val="00E01ED7"/>
    <w:rsid w:val="00E01F57"/>
    <w:rsid w:val="00E020F6"/>
    <w:rsid w:val="00E022BD"/>
    <w:rsid w:val="00E022DE"/>
    <w:rsid w:val="00E02509"/>
    <w:rsid w:val="00E02A00"/>
    <w:rsid w:val="00E02B35"/>
    <w:rsid w:val="00E02BB5"/>
    <w:rsid w:val="00E02CDE"/>
    <w:rsid w:val="00E02D0A"/>
    <w:rsid w:val="00E02F49"/>
    <w:rsid w:val="00E031F8"/>
    <w:rsid w:val="00E03256"/>
    <w:rsid w:val="00E033B4"/>
    <w:rsid w:val="00E035F5"/>
    <w:rsid w:val="00E038B9"/>
    <w:rsid w:val="00E03ADC"/>
    <w:rsid w:val="00E03CAE"/>
    <w:rsid w:val="00E03DEB"/>
    <w:rsid w:val="00E03F72"/>
    <w:rsid w:val="00E03F7D"/>
    <w:rsid w:val="00E0413A"/>
    <w:rsid w:val="00E042A6"/>
    <w:rsid w:val="00E04654"/>
    <w:rsid w:val="00E047D1"/>
    <w:rsid w:val="00E04A84"/>
    <w:rsid w:val="00E04D12"/>
    <w:rsid w:val="00E05291"/>
    <w:rsid w:val="00E05529"/>
    <w:rsid w:val="00E055F4"/>
    <w:rsid w:val="00E05704"/>
    <w:rsid w:val="00E059E9"/>
    <w:rsid w:val="00E05A2F"/>
    <w:rsid w:val="00E05ED2"/>
    <w:rsid w:val="00E05F52"/>
    <w:rsid w:val="00E0652A"/>
    <w:rsid w:val="00E06851"/>
    <w:rsid w:val="00E068B7"/>
    <w:rsid w:val="00E06AE6"/>
    <w:rsid w:val="00E06EC7"/>
    <w:rsid w:val="00E07017"/>
    <w:rsid w:val="00E07028"/>
    <w:rsid w:val="00E07074"/>
    <w:rsid w:val="00E0715E"/>
    <w:rsid w:val="00E07533"/>
    <w:rsid w:val="00E07607"/>
    <w:rsid w:val="00E076D7"/>
    <w:rsid w:val="00E0777A"/>
    <w:rsid w:val="00E0789E"/>
    <w:rsid w:val="00E07BED"/>
    <w:rsid w:val="00E07D8B"/>
    <w:rsid w:val="00E07E8D"/>
    <w:rsid w:val="00E07F8C"/>
    <w:rsid w:val="00E103E3"/>
    <w:rsid w:val="00E10B87"/>
    <w:rsid w:val="00E10D0B"/>
    <w:rsid w:val="00E10D15"/>
    <w:rsid w:val="00E10E4D"/>
    <w:rsid w:val="00E10E74"/>
    <w:rsid w:val="00E10FBE"/>
    <w:rsid w:val="00E112F1"/>
    <w:rsid w:val="00E11429"/>
    <w:rsid w:val="00E11503"/>
    <w:rsid w:val="00E117A4"/>
    <w:rsid w:val="00E117B4"/>
    <w:rsid w:val="00E11877"/>
    <w:rsid w:val="00E11C5C"/>
    <w:rsid w:val="00E11FDA"/>
    <w:rsid w:val="00E11FEB"/>
    <w:rsid w:val="00E121A2"/>
    <w:rsid w:val="00E12361"/>
    <w:rsid w:val="00E12585"/>
    <w:rsid w:val="00E125F6"/>
    <w:rsid w:val="00E1274A"/>
    <w:rsid w:val="00E128A3"/>
    <w:rsid w:val="00E13063"/>
    <w:rsid w:val="00E1315D"/>
    <w:rsid w:val="00E13258"/>
    <w:rsid w:val="00E1344D"/>
    <w:rsid w:val="00E13B64"/>
    <w:rsid w:val="00E13B88"/>
    <w:rsid w:val="00E13B91"/>
    <w:rsid w:val="00E13C0A"/>
    <w:rsid w:val="00E13C8A"/>
    <w:rsid w:val="00E1445D"/>
    <w:rsid w:val="00E14477"/>
    <w:rsid w:val="00E14618"/>
    <w:rsid w:val="00E147E5"/>
    <w:rsid w:val="00E14834"/>
    <w:rsid w:val="00E14845"/>
    <w:rsid w:val="00E14C0C"/>
    <w:rsid w:val="00E14F34"/>
    <w:rsid w:val="00E15127"/>
    <w:rsid w:val="00E152BB"/>
    <w:rsid w:val="00E152CE"/>
    <w:rsid w:val="00E154B4"/>
    <w:rsid w:val="00E15806"/>
    <w:rsid w:val="00E15CC6"/>
    <w:rsid w:val="00E15CC8"/>
    <w:rsid w:val="00E16139"/>
    <w:rsid w:val="00E161DC"/>
    <w:rsid w:val="00E162BD"/>
    <w:rsid w:val="00E162DE"/>
    <w:rsid w:val="00E16C74"/>
    <w:rsid w:val="00E16C7C"/>
    <w:rsid w:val="00E16D10"/>
    <w:rsid w:val="00E16D71"/>
    <w:rsid w:val="00E16F2E"/>
    <w:rsid w:val="00E1723B"/>
    <w:rsid w:val="00E172F1"/>
    <w:rsid w:val="00E175DB"/>
    <w:rsid w:val="00E17E27"/>
    <w:rsid w:val="00E17F12"/>
    <w:rsid w:val="00E17F88"/>
    <w:rsid w:val="00E17FCC"/>
    <w:rsid w:val="00E200A0"/>
    <w:rsid w:val="00E200AA"/>
    <w:rsid w:val="00E201B6"/>
    <w:rsid w:val="00E203AF"/>
    <w:rsid w:val="00E20425"/>
    <w:rsid w:val="00E205AA"/>
    <w:rsid w:val="00E20647"/>
    <w:rsid w:val="00E2086B"/>
    <w:rsid w:val="00E20918"/>
    <w:rsid w:val="00E20A68"/>
    <w:rsid w:val="00E20D74"/>
    <w:rsid w:val="00E20EFE"/>
    <w:rsid w:val="00E213E7"/>
    <w:rsid w:val="00E2140B"/>
    <w:rsid w:val="00E21747"/>
    <w:rsid w:val="00E21E86"/>
    <w:rsid w:val="00E220B8"/>
    <w:rsid w:val="00E22354"/>
    <w:rsid w:val="00E223EF"/>
    <w:rsid w:val="00E22525"/>
    <w:rsid w:val="00E22889"/>
    <w:rsid w:val="00E22A69"/>
    <w:rsid w:val="00E22A8D"/>
    <w:rsid w:val="00E22CA1"/>
    <w:rsid w:val="00E22D70"/>
    <w:rsid w:val="00E22E35"/>
    <w:rsid w:val="00E23510"/>
    <w:rsid w:val="00E2371F"/>
    <w:rsid w:val="00E23733"/>
    <w:rsid w:val="00E237E5"/>
    <w:rsid w:val="00E2384D"/>
    <w:rsid w:val="00E23B40"/>
    <w:rsid w:val="00E23DF3"/>
    <w:rsid w:val="00E23EBE"/>
    <w:rsid w:val="00E24071"/>
    <w:rsid w:val="00E245FD"/>
    <w:rsid w:val="00E24622"/>
    <w:rsid w:val="00E24A9F"/>
    <w:rsid w:val="00E24BB0"/>
    <w:rsid w:val="00E24E24"/>
    <w:rsid w:val="00E24ECB"/>
    <w:rsid w:val="00E24F14"/>
    <w:rsid w:val="00E250FB"/>
    <w:rsid w:val="00E2535A"/>
    <w:rsid w:val="00E253FB"/>
    <w:rsid w:val="00E255D4"/>
    <w:rsid w:val="00E25652"/>
    <w:rsid w:val="00E25858"/>
    <w:rsid w:val="00E2595E"/>
    <w:rsid w:val="00E25E66"/>
    <w:rsid w:val="00E25FBA"/>
    <w:rsid w:val="00E26198"/>
    <w:rsid w:val="00E26258"/>
    <w:rsid w:val="00E26B92"/>
    <w:rsid w:val="00E26B96"/>
    <w:rsid w:val="00E27A61"/>
    <w:rsid w:val="00E27B52"/>
    <w:rsid w:val="00E30557"/>
    <w:rsid w:val="00E3075D"/>
    <w:rsid w:val="00E30A56"/>
    <w:rsid w:val="00E30CAD"/>
    <w:rsid w:val="00E30DC7"/>
    <w:rsid w:val="00E30F3B"/>
    <w:rsid w:val="00E3113F"/>
    <w:rsid w:val="00E3116C"/>
    <w:rsid w:val="00E3129F"/>
    <w:rsid w:val="00E315BD"/>
    <w:rsid w:val="00E3190E"/>
    <w:rsid w:val="00E31934"/>
    <w:rsid w:val="00E31B2D"/>
    <w:rsid w:val="00E32748"/>
    <w:rsid w:val="00E32AA4"/>
    <w:rsid w:val="00E32ECE"/>
    <w:rsid w:val="00E331C4"/>
    <w:rsid w:val="00E3326E"/>
    <w:rsid w:val="00E333F3"/>
    <w:rsid w:val="00E33490"/>
    <w:rsid w:val="00E33519"/>
    <w:rsid w:val="00E33616"/>
    <w:rsid w:val="00E339CB"/>
    <w:rsid w:val="00E33AA3"/>
    <w:rsid w:val="00E33D54"/>
    <w:rsid w:val="00E33E2A"/>
    <w:rsid w:val="00E33EE4"/>
    <w:rsid w:val="00E34168"/>
    <w:rsid w:val="00E344CB"/>
    <w:rsid w:val="00E346BE"/>
    <w:rsid w:val="00E346D5"/>
    <w:rsid w:val="00E34729"/>
    <w:rsid w:val="00E347C7"/>
    <w:rsid w:val="00E34D87"/>
    <w:rsid w:val="00E34E66"/>
    <w:rsid w:val="00E34EE2"/>
    <w:rsid w:val="00E3534C"/>
    <w:rsid w:val="00E35F38"/>
    <w:rsid w:val="00E3624A"/>
    <w:rsid w:val="00E3629F"/>
    <w:rsid w:val="00E36463"/>
    <w:rsid w:val="00E36785"/>
    <w:rsid w:val="00E36830"/>
    <w:rsid w:val="00E3694B"/>
    <w:rsid w:val="00E36E95"/>
    <w:rsid w:val="00E36F46"/>
    <w:rsid w:val="00E37569"/>
    <w:rsid w:val="00E375BF"/>
    <w:rsid w:val="00E377B9"/>
    <w:rsid w:val="00E37E58"/>
    <w:rsid w:val="00E37FB6"/>
    <w:rsid w:val="00E401AA"/>
    <w:rsid w:val="00E40205"/>
    <w:rsid w:val="00E40393"/>
    <w:rsid w:val="00E40726"/>
    <w:rsid w:val="00E40850"/>
    <w:rsid w:val="00E40A7C"/>
    <w:rsid w:val="00E40EBE"/>
    <w:rsid w:val="00E4100D"/>
    <w:rsid w:val="00E411C2"/>
    <w:rsid w:val="00E41271"/>
    <w:rsid w:val="00E41273"/>
    <w:rsid w:val="00E413C3"/>
    <w:rsid w:val="00E4143E"/>
    <w:rsid w:val="00E414C3"/>
    <w:rsid w:val="00E4182D"/>
    <w:rsid w:val="00E41840"/>
    <w:rsid w:val="00E41950"/>
    <w:rsid w:val="00E41C27"/>
    <w:rsid w:val="00E41FB5"/>
    <w:rsid w:val="00E4218E"/>
    <w:rsid w:val="00E4257A"/>
    <w:rsid w:val="00E425D1"/>
    <w:rsid w:val="00E42730"/>
    <w:rsid w:val="00E42948"/>
    <w:rsid w:val="00E42B0A"/>
    <w:rsid w:val="00E42BB6"/>
    <w:rsid w:val="00E42D05"/>
    <w:rsid w:val="00E42E7A"/>
    <w:rsid w:val="00E432B3"/>
    <w:rsid w:val="00E4346F"/>
    <w:rsid w:val="00E434C9"/>
    <w:rsid w:val="00E4365A"/>
    <w:rsid w:val="00E437E2"/>
    <w:rsid w:val="00E438F7"/>
    <w:rsid w:val="00E43964"/>
    <w:rsid w:val="00E43978"/>
    <w:rsid w:val="00E43EEC"/>
    <w:rsid w:val="00E44028"/>
    <w:rsid w:val="00E4407C"/>
    <w:rsid w:val="00E4420A"/>
    <w:rsid w:val="00E4424A"/>
    <w:rsid w:val="00E4426B"/>
    <w:rsid w:val="00E442D4"/>
    <w:rsid w:val="00E4441C"/>
    <w:rsid w:val="00E444B1"/>
    <w:rsid w:val="00E44633"/>
    <w:rsid w:val="00E446B7"/>
    <w:rsid w:val="00E447DE"/>
    <w:rsid w:val="00E449F3"/>
    <w:rsid w:val="00E4504B"/>
    <w:rsid w:val="00E45221"/>
    <w:rsid w:val="00E455DC"/>
    <w:rsid w:val="00E45660"/>
    <w:rsid w:val="00E456F7"/>
    <w:rsid w:val="00E45788"/>
    <w:rsid w:val="00E45942"/>
    <w:rsid w:val="00E459EB"/>
    <w:rsid w:val="00E45A55"/>
    <w:rsid w:val="00E45AD3"/>
    <w:rsid w:val="00E45C1A"/>
    <w:rsid w:val="00E45DB6"/>
    <w:rsid w:val="00E45E33"/>
    <w:rsid w:val="00E45F9B"/>
    <w:rsid w:val="00E461F6"/>
    <w:rsid w:val="00E46257"/>
    <w:rsid w:val="00E463A9"/>
    <w:rsid w:val="00E464EF"/>
    <w:rsid w:val="00E46B0F"/>
    <w:rsid w:val="00E46B9C"/>
    <w:rsid w:val="00E46C0B"/>
    <w:rsid w:val="00E46C8F"/>
    <w:rsid w:val="00E46D3E"/>
    <w:rsid w:val="00E46ED0"/>
    <w:rsid w:val="00E46EF2"/>
    <w:rsid w:val="00E47078"/>
    <w:rsid w:val="00E47084"/>
    <w:rsid w:val="00E47714"/>
    <w:rsid w:val="00E47755"/>
    <w:rsid w:val="00E47C36"/>
    <w:rsid w:val="00E47DA6"/>
    <w:rsid w:val="00E47FE8"/>
    <w:rsid w:val="00E50860"/>
    <w:rsid w:val="00E50AA3"/>
    <w:rsid w:val="00E50BAA"/>
    <w:rsid w:val="00E50CA3"/>
    <w:rsid w:val="00E5113D"/>
    <w:rsid w:val="00E51336"/>
    <w:rsid w:val="00E513F6"/>
    <w:rsid w:val="00E51470"/>
    <w:rsid w:val="00E51600"/>
    <w:rsid w:val="00E51B49"/>
    <w:rsid w:val="00E51D5A"/>
    <w:rsid w:val="00E52216"/>
    <w:rsid w:val="00E52796"/>
    <w:rsid w:val="00E52A88"/>
    <w:rsid w:val="00E52B68"/>
    <w:rsid w:val="00E52C16"/>
    <w:rsid w:val="00E52C28"/>
    <w:rsid w:val="00E530E4"/>
    <w:rsid w:val="00E5329D"/>
    <w:rsid w:val="00E539F4"/>
    <w:rsid w:val="00E53BCE"/>
    <w:rsid w:val="00E53C27"/>
    <w:rsid w:val="00E53D3A"/>
    <w:rsid w:val="00E54112"/>
    <w:rsid w:val="00E54129"/>
    <w:rsid w:val="00E544E8"/>
    <w:rsid w:val="00E5468D"/>
    <w:rsid w:val="00E54D82"/>
    <w:rsid w:val="00E54D9C"/>
    <w:rsid w:val="00E550A0"/>
    <w:rsid w:val="00E550DD"/>
    <w:rsid w:val="00E55149"/>
    <w:rsid w:val="00E55711"/>
    <w:rsid w:val="00E55770"/>
    <w:rsid w:val="00E55BFC"/>
    <w:rsid w:val="00E55D78"/>
    <w:rsid w:val="00E55F14"/>
    <w:rsid w:val="00E56057"/>
    <w:rsid w:val="00E5632A"/>
    <w:rsid w:val="00E564C4"/>
    <w:rsid w:val="00E564FF"/>
    <w:rsid w:val="00E5657C"/>
    <w:rsid w:val="00E56627"/>
    <w:rsid w:val="00E56830"/>
    <w:rsid w:val="00E56A6C"/>
    <w:rsid w:val="00E56B0B"/>
    <w:rsid w:val="00E56BB1"/>
    <w:rsid w:val="00E56C29"/>
    <w:rsid w:val="00E56D84"/>
    <w:rsid w:val="00E56DD0"/>
    <w:rsid w:val="00E56EB1"/>
    <w:rsid w:val="00E57021"/>
    <w:rsid w:val="00E57365"/>
    <w:rsid w:val="00E574FC"/>
    <w:rsid w:val="00E5769E"/>
    <w:rsid w:val="00E579A5"/>
    <w:rsid w:val="00E57A33"/>
    <w:rsid w:val="00E57A98"/>
    <w:rsid w:val="00E57A9B"/>
    <w:rsid w:val="00E57DA7"/>
    <w:rsid w:val="00E57DF9"/>
    <w:rsid w:val="00E600D3"/>
    <w:rsid w:val="00E602DA"/>
    <w:rsid w:val="00E603D2"/>
    <w:rsid w:val="00E604E4"/>
    <w:rsid w:val="00E606F1"/>
    <w:rsid w:val="00E609E6"/>
    <w:rsid w:val="00E60B12"/>
    <w:rsid w:val="00E60B30"/>
    <w:rsid w:val="00E60C25"/>
    <w:rsid w:val="00E60FF8"/>
    <w:rsid w:val="00E612FF"/>
    <w:rsid w:val="00E618F3"/>
    <w:rsid w:val="00E619AB"/>
    <w:rsid w:val="00E61AEC"/>
    <w:rsid w:val="00E61C46"/>
    <w:rsid w:val="00E61C89"/>
    <w:rsid w:val="00E6205D"/>
    <w:rsid w:val="00E6259B"/>
    <w:rsid w:val="00E6259E"/>
    <w:rsid w:val="00E62720"/>
    <w:rsid w:val="00E62995"/>
    <w:rsid w:val="00E62DB3"/>
    <w:rsid w:val="00E62E76"/>
    <w:rsid w:val="00E62E8D"/>
    <w:rsid w:val="00E62FB4"/>
    <w:rsid w:val="00E62FE4"/>
    <w:rsid w:val="00E6306A"/>
    <w:rsid w:val="00E6327A"/>
    <w:rsid w:val="00E6372F"/>
    <w:rsid w:val="00E64271"/>
    <w:rsid w:val="00E64316"/>
    <w:rsid w:val="00E6451E"/>
    <w:rsid w:val="00E64563"/>
    <w:rsid w:val="00E6456F"/>
    <w:rsid w:val="00E64711"/>
    <w:rsid w:val="00E647D7"/>
    <w:rsid w:val="00E64EA9"/>
    <w:rsid w:val="00E6561E"/>
    <w:rsid w:val="00E6579B"/>
    <w:rsid w:val="00E659C0"/>
    <w:rsid w:val="00E65A19"/>
    <w:rsid w:val="00E65A4D"/>
    <w:rsid w:val="00E65D17"/>
    <w:rsid w:val="00E6636E"/>
    <w:rsid w:val="00E66447"/>
    <w:rsid w:val="00E664EA"/>
    <w:rsid w:val="00E66654"/>
    <w:rsid w:val="00E667CF"/>
    <w:rsid w:val="00E66BAB"/>
    <w:rsid w:val="00E66D31"/>
    <w:rsid w:val="00E67043"/>
    <w:rsid w:val="00E67213"/>
    <w:rsid w:val="00E67591"/>
    <w:rsid w:val="00E67BEF"/>
    <w:rsid w:val="00E67FA2"/>
    <w:rsid w:val="00E70314"/>
    <w:rsid w:val="00E704A5"/>
    <w:rsid w:val="00E70544"/>
    <w:rsid w:val="00E7093D"/>
    <w:rsid w:val="00E70AA1"/>
    <w:rsid w:val="00E70AEB"/>
    <w:rsid w:val="00E70BEB"/>
    <w:rsid w:val="00E70C42"/>
    <w:rsid w:val="00E70E18"/>
    <w:rsid w:val="00E71266"/>
    <w:rsid w:val="00E712BC"/>
    <w:rsid w:val="00E71566"/>
    <w:rsid w:val="00E72027"/>
    <w:rsid w:val="00E723B7"/>
    <w:rsid w:val="00E72516"/>
    <w:rsid w:val="00E7261E"/>
    <w:rsid w:val="00E72723"/>
    <w:rsid w:val="00E727DD"/>
    <w:rsid w:val="00E728AB"/>
    <w:rsid w:val="00E728D4"/>
    <w:rsid w:val="00E72B50"/>
    <w:rsid w:val="00E72DDE"/>
    <w:rsid w:val="00E72EB0"/>
    <w:rsid w:val="00E72EC5"/>
    <w:rsid w:val="00E73236"/>
    <w:rsid w:val="00E732B9"/>
    <w:rsid w:val="00E73330"/>
    <w:rsid w:val="00E733C9"/>
    <w:rsid w:val="00E73698"/>
    <w:rsid w:val="00E73738"/>
    <w:rsid w:val="00E73846"/>
    <w:rsid w:val="00E73A52"/>
    <w:rsid w:val="00E73D58"/>
    <w:rsid w:val="00E73D75"/>
    <w:rsid w:val="00E73EEB"/>
    <w:rsid w:val="00E741A2"/>
    <w:rsid w:val="00E74267"/>
    <w:rsid w:val="00E742B3"/>
    <w:rsid w:val="00E7431E"/>
    <w:rsid w:val="00E74808"/>
    <w:rsid w:val="00E7486E"/>
    <w:rsid w:val="00E748DC"/>
    <w:rsid w:val="00E7496D"/>
    <w:rsid w:val="00E74AA9"/>
    <w:rsid w:val="00E74BAC"/>
    <w:rsid w:val="00E74C4B"/>
    <w:rsid w:val="00E74C93"/>
    <w:rsid w:val="00E74E89"/>
    <w:rsid w:val="00E75191"/>
    <w:rsid w:val="00E75232"/>
    <w:rsid w:val="00E75481"/>
    <w:rsid w:val="00E755A8"/>
    <w:rsid w:val="00E755AA"/>
    <w:rsid w:val="00E75706"/>
    <w:rsid w:val="00E75A72"/>
    <w:rsid w:val="00E7636D"/>
    <w:rsid w:val="00E767EF"/>
    <w:rsid w:val="00E7682B"/>
    <w:rsid w:val="00E7685F"/>
    <w:rsid w:val="00E76917"/>
    <w:rsid w:val="00E76AAB"/>
    <w:rsid w:val="00E76BBA"/>
    <w:rsid w:val="00E7722B"/>
    <w:rsid w:val="00E772C3"/>
    <w:rsid w:val="00E773E7"/>
    <w:rsid w:val="00E779BB"/>
    <w:rsid w:val="00E77FC6"/>
    <w:rsid w:val="00E80536"/>
    <w:rsid w:val="00E805D7"/>
    <w:rsid w:val="00E805FB"/>
    <w:rsid w:val="00E806B2"/>
    <w:rsid w:val="00E80705"/>
    <w:rsid w:val="00E80843"/>
    <w:rsid w:val="00E80941"/>
    <w:rsid w:val="00E81049"/>
    <w:rsid w:val="00E8140B"/>
    <w:rsid w:val="00E8160A"/>
    <w:rsid w:val="00E81816"/>
    <w:rsid w:val="00E818C7"/>
    <w:rsid w:val="00E81F21"/>
    <w:rsid w:val="00E81F61"/>
    <w:rsid w:val="00E8213D"/>
    <w:rsid w:val="00E821FC"/>
    <w:rsid w:val="00E82288"/>
    <w:rsid w:val="00E82DE1"/>
    <w:rsid w:val="00E82E6B"/>
    <w:rsid w:val="00E83352"/>
    <w:rsid w:val="00E834B0"/>
    <w:rsid w:val="00E834FC"/>
    <w:rsid w:val="00E83586"/>
    <w:rsid w:val="00E836A5"/>
    <w:rsid w:val="00E83C4E"/>
    <w:rsid w:val="00E83E5E"/>
    <w:rsid w:val="00E83E95"/>
    <w:rsid w:val="00E83F18"/>
    <w:rsid w:val="00E8408C"/>
    <w:rsid w:val="00E8420E"/>
    <w:rsid w:val="00E842E7"/>
    <w:rsid w:val="00E8445F"/>
    <w:rsid w:val="00E848F6"/>
    <w:rsid w:val="00E84A29"/>
    <w:rsid w:val="00E84DEF"/>
    <w:rsid w:val="00E85072"/>
    <w:rsid w:val="00E85294"/>
    <w:rsid w:val="00E8558D"/>
    <w:rsid w:val="00E855D3"/>
    <w:rsid w:val="00E856D5"/>
    <w:rsid w:val="00E8582C"/>
    <w:rsid w:val="00E85EC1"/>
    <w:rsid w:val="00E8616D"/>
    <w:rsid w:val="00E8632E"/>
    <w:rsid w:val="00E86371"/>
    <w:rsid w:val="00E864B0"/>
    <w:rsid w:val="00E86703"/>
    <w:rsid w:val="00E8679D"/>
    <w:rsid w:val="00E86FF1"/>
    <w:rsid w:val="00E8730C"/>
    <w:rsid w:val="00E87477"/>
    <w:rsid w:val="00E875ED"/>
    <w:rsid w:val="00E87733"/>
    <w:rsid w:val="00E87879"/>
    <w:rsid w:val="00E87B6C"/>
    <w:rsid w:val="00E90168"/>
    <w:rsid w:val="00E9030B"/>
    <w:rsid w:val="00E903CF"/>
    <w:rsid w:val="00E904D3"/>
    <w:rsid w:val="00E90611"/>
    <w:rsid w:val="00E907B6"/>
    <w:rsid w:val="00E9084F"/>
    <w:rsid w:val="00E908E7"/>
    <w:rsid w:val="00E90A24"/>
    <w:rsid w:val="00E90A34"/>
    <w:rsid w:val="00E90A77"/>
    <w:rsid w:val="00E90CA8"/>
    <w:rsid w:val="00E90D5C"/>
    <w:rsid w:val="00E90EED"/>
    <w:rsid w:val="00E90FC1"/>
    <w:rsid w:val="00E91587"/>
    <w:rsid w:val="00E915D2"/>
    <w:rsid w:val="00E91762"/>
    <w:rsid w:val="00E919E0"/>
    <w:rsid w:val="00E91B13"/>
    <w:rsid w:val="00E91FA4"/>
    <w:rsid w:val="00E92086"/>
    <w:rsid w:val="00E920D8"/>
    <w:rsid w:val="00E92636"/>
    <w:rsid w:val="00E92C08"/>
    <w:rsid w:val="00E92C25"/>
    <w:rsid w:val="00E92D26"/>
    <w:rsid w:val="00E93067"/>
    <w:rsid w:val="00E93265"/>
    <w:rsid w:val="00E93306"/>
    <w:rsid w:val="00E93556"/>
    <w:rsid w:val="00E936BC"/>
    <w:rsid w:val="00E936E9"/>
    <w:rsid w:val="00E9376B"/>
    <w:rsid w:val="00E9381A"/>
    <w:rsid w:val="00E93880"/>
    <w:rsid w:val="00E93A80"/>
    <w:rsid w:val="00E93F24"/>
    <w:rsid w:val="00E94059"/>
    <w:rsid w:val="00E94068"/>
    <w:rsid w:val="00E940CC"/>
    <w:rsid w:val="00E94354"/>
    <w:rsid w:val="00E94478"/>
    <w:rsid w:val="00E94533"/>
    <w:rsid w:val="00E948B3"/>
    <w:rsid w:val="00E94D08"/>
    <w:rsid w:val="00E95080"/>
    <w:rsid w:val="00E9527A"/>
    <w:rsid w:val="00E95651"/>
    <w:rsid w:val="00E959F8"/>
    <w:rsid w:val="00E95ABB"/>
    <w:rsid w:val="00E95BB4"/>
    <w:rsid w:val="00E960BF"/>
    <w:rsid w:val="00E962A6"/>
    <w:rsid w:val="00E96CD2"/>
    <w:rsid w:val="00E96CEF"/>
    <w:rsid w:val="00E96F94"/>
    <w:rsid w:val="00E9719C"/>
    <w:rsid w:val="00E974C5"/>
    <w:rsid w:val="00E9755C"/>
    <w:rsid w:val="00E97612"/>
    <w:rsid w:val="00E97837"/>
    <w:rsid w:val="00E97B82"/>
    <w:rsid w:val="00E97BCF"/>
    <w:rsid w:val="00E97C34"/>
    <w:rsid w:val="00E97D83"/>
    <w:rsid w:val="00E97F71"/>
    <w:rsid w:val="00EA0318"/>
    <w:rsid w:val="00EA09B3"/>
    <w:rsid w:val="00EA09FC"/>
    <w:rsid w:val="00EA0AC0"/>
    <w:rsid w:val="00EA0B38"/>
    <w:rsid w:val="00EA0B95"/>
    <w:rsid w:val="00EA0C48"/>
    <w:rsid w:val="00EA0ED8"/>
    <w:rsid w:val="00EA1054"/>
    <w:rsid w:val="00EA1113"/>
    <w:rsid w:val="00EA11F2"/>
    <w:rsid w:val="00EA12F2"/>
    <w:rsid w:val="00EA1327"/>
    <w:rsid w:val="00EA1A25"/>
    <w:rsid w:val="00EA1C4F"/>
    <w:rsid w:val="00EA1C71"/>
    <w:rsid w:val="00EA1C85"/>
    <w:rsid w:val="00EA2231"/>
    <w:rsid w:val="00EA24BE"/>
    <w:rsid w:val="00EA2877"/>
    <w:rsid w:val="00EA28A7"/>
    <w:rsid w:val="00EA2B3E"/>
    <w:rsid w:val="00EA2B5F"/>
    <w:rsid w:val="00EA2ED8"/>
    <w:rsid w:val="00EA2F2D"/>
    <w:rsid w:val="00EA2F6E"/>
    <w:rsid w:val="00EA3084"/>
    <w:rsid w:val="00EA3180"/>
    <w:rsid w:val="00EA32EC"/>
    <w:rsid w:val="00EA3616"/>
    <w:rsid w:val="00EA3729"/>
    <w:rsid w:val="00EA40DB"/>
    <w:rsid w:val="00EA4D24"/>
    <w:rsid w:val="00EA530A"/>
    <w:rsid w:val="00EA5562"/>
    <w:rsid w:val="00EA5627"/>
    <w:rsid w:val="00EA5909"/>
    <w:rsid w:val="00EA5D68"/>
    <w:rsid w:val="00EA644D"/>
    <w:rsid w:val="00EA663D"/>
    <w:rsid w:val="00EA66A3"/>
    <w:rsid w:val="00EA66F5"/>
    <w:rsid w:val="00EA6A3B"/>
    <w:rsid w:val="00EA6AEA"/>
    <w:rsid w:val="00EA7017"/>
    <w:rsid w:val="00EA7138"/>
    <w:rsid w:val="00EA74C7"/>
    <w:rsid w:val="00EA7651"/>
    <w:rsid w:val="00EA7B44"/>
    <w:rsid w:val="00EA7C99"/>
    <w:rsid w:val="00EA7CD4"/>
    <w:rsid w:val="00EA7E2E"/>
    <w:rsid w:val="00EB019C"/>
    <w:rsid w:val="00EB064B"/>
    <w:rsid w:val="00EB0769"/>
    <w:rsid w:val="00EB0B5E"/>
    <w:rsid w:val="00EB0D32"/>
    <w:rsid w:val="00EB0D5D"/>
    <w:rsid w:val="00EB0DC9"/>
    <w:rsid w:val="00EB0FA2"/>
    <w:rsid w:val="00EB1018"/>
    <w:rsid w:val="00EB120D"/>
    <w:rsid w:val="00EB12FA"/>
    <w:rsid w:val="00EB1536"/>
    <w:rsid w:val="00EB1679"/>
    <w:rsid w:val="00EB18F0"/>
    <w:rsid w:val="00EB1A10"/>
    <w:rsid w:val="00EB1C43"/>
    <w:rsid w:val="00EB1F3C"/>
    <w:rsid w:val="00EB2236"/>
    <w:rsid w:val="00EB2507"/>
    <w:rsid w:val="00EB253C"/>
    <w:rsid w:val="00EB26E2"/>
    <w:rsid w:val="00EB29B7"/>
    <w:rsid w:val="00EB2BA3"/>
    <w:rsid w:val="00EB2FAD"/>
    <w:rsid w:val="00EB2FE2"/>
    <w:rsid w:val="00EB3109"/>
    <w:rsid w:val="00EB338F"/>
    <w:rsid w:val="00EB35D1"/>
    <w:rsid w:val="00EB3736"/>
    <w:rsid w:val="00EB38A4"/>
    <w:rsid w:val="00EB3A60"/>
    <w:rsid w:val="00EB3B8C"/>
    <w:rsid w:val="00EB3BA6"/>
    <w:rsid w:val="00EB3BCD"/>
    <w:rsid w:val="00EB3C44"/>
    <w:rsid w:val="00EB3CA5"/>
    <w:rsid w:val="00EB3D3E"/>
    <w:rsid w:val="00EB3E3C"/>
    <w:rsid w:val="00EB3E8D"/>
    <w:rsid w:val="00EB4227"/>
    <w:rsid w:val="00EB484C"/>
    <w:rsid w:val="00EB4B31"/>
    <w:rsid w:val="00EB4E57"/>
    <w:rsid w:val="00EB4E61"/>
    <w:rsid w:val="00EB5091"/>
    <w:rsid w:val="00EB5723"/>
    <w:rsid w:val="00EB5A1D"/>
    <w:rsid w:val="00EB5C08"/>
    <w:rsid w:val="00EB6310"/>
    <w:rsid w:val="00EB63E9"/>
    <w:rsid w:val="00EB6415"/>
    <w:rsid w:val="00EB6457"/>
    <w:rsid w:val="00EB64B7"/>
    <w:rsid w:val="00EB6673"/>
    <w:rsid w:val="00EB67CD"/>
    <w:rsid w:val="00EB68B3"/>
    <w:rsid w:val="00EB6A30"/>
    <w:rsid w:val="00EB6DCA"/>
    <w:rsid w:val="00EB7202"/>
    <w:rsid w:val="00EB7306"/>
    <w:rsid w:val="00EB7537"/>
    <w:rsid w:val="00EB763E"/>
    <w:rsid w:val="00EB772A"/>
    <w:rsid w:val="00EB7A26"/>
    <w:rsid w:val="00EB7AD3"/>
    <w:rsid w:val="00EB7BB7"/>
    <w:rsid w:val="00EB7CCF"/>
    <w:rsid w:val="00EB7E4E"/>
    <w:rsid w:val="00EC053D"/>
    <w:rsid w:val="00EC068F"/>
    <w:rsid w:val="00EC0860"/>
    <w:rsid w:val="00EC0CE8"/>
    <w:rsid w:val="00EC0D2E"/>
    <w:rsid w:val="00EC0D56"/>
    <w:rsid w:val="00EC0E20"/>
    <w:rsid w:val="00EC1094"/>
    <w:rsid w:val="00EC12CE"/>
    <w:rsid w:val="00EC14BA"/>
    <w:rsid w:val="00EC14D4"/>
    <w:rsid w:val="00EC159A"/>
    <w:rsid w:val="00EC15EB"/>
    <w:rsid w:val="00EC1723"/>
    <w:rsid w:val="00EC1AF4"/>
    <w:rsid w:val="00EC1AFD"/>
    <w:rsid w:val="00EC1F42"/>
    <w:rsid w:val="00EC1FF3"/>
    <w:rsid w:val="00EC21E5"/>
    <w:rsid w:val="00EC26CD"/>
    <w:rsid w:val="00EC2984"/>
    <w:rsid w:val="00EC2B01"/>
    <w:rsid w:val="00EC2B68"/>
    <w:rsid w:val="00EC2CF2"/>
    <w:rsid w:val="00EC2E62"/>
    <w:rsid w:val="00EC2F3D"/>
    <w:rsid w:val="00EC31B9"/>
    <w:rsid w:val="00EC343F"/>
    <w:rsid w:val="00EC35EA"/>
    <w:rsid w:val="00EC392A"/>
    <w:rsid w:val="00EC3973"/>
    <w:rsid w:val="00EC3AEA"/>
    <w:rsid w:val="00EC3D47"/>
    <w:rsid w:val="00EC3FF9"/>
    <w:rsid w:val="00EC435D"/>
    <w:rsid w:val="00EC46C5"/>
    <w:rsid w:val="00EC470B"/>
    <w:rsid w:val="00EC4860"/>
    <w:rsid w:val="00EC4967"/>
    <w:rsid w:val="00EC4D07"/>
    <w:rsid w:val="00EC50B3"/>
    <w:rsid w:val="00EC5115"/>
    <w:rsid w:val="00EC544A"/>
    <w:rsid w:val="00EC55A9"/>
    <w:rsid w:val="00EC5979"/>
    <w:rsid w:val="00EC59E0"/>
    <w:rsid w:val="00EC5A8A"/>
    <w:rsid w:val="00EC5C1D"/>
    <w:rsid w:val="00EC5CC9"/>
    <w:rsid w:val="00EC5FC3"/>
    <w:rsid w:val="00EC6193"/>
    <w:rsid w:val="00EC61E7"/>
    <w:rsid w:val="00EC66E3"/>
    <w:rsid w:val="00EC6C6C"/>
    <w:rsid w:val="00EC6CB3"/>
    <w:rsid w:val="00EC6D1F"/>
    <w:rsid w:val="00EC6D96"/>
    <w:rsid w:val="00EC6DE9"/>
    <w:rsid w:val="00EC7004"/>
    <w:rsid w:val="00EC71F5"/>
    <w:rsid w:val="00EC7701"/>
    <w:rsid w:val="00EC7C25"/>
    <w:rsid w:val="00ED011F"/>
    <w:rsid w:val="00ED0889"/>
    <w:rsid w:val="00ED0ACF"/>
    <w:rsid w:val="00ED0C46"/>
    <w:rsid w:val="00ED0D04"/>
    <w:rsid w:val="00ED0EE1"/>
    <w:rsid w:val="00ED1472"/>
    <w:rsid w:val="00ED1963"/>
    <w:rsid w:val="00ED1FD3"/>
    <w:rsid w:val="00ED2012"/>
    <w:rsid w:val="00ED25B9"/>
    <w:rsid w:val="00ED279D"/>
    <w:rsid w:val="00ED28CC"/>
    <w:rsid w:val="00ED2AA0"/>
    <w:rsid w:val="00ED2D0D"/>
    <w:rsid w:val="00ED30D6"/>
    <w:rsid w:val="00ED3368"/>
    <w:rsid w:val="00ED340D"/>
    <w:rsid w:val="00ED3E11"/>
    <w:rsid w:val="00ED3E4F"/>
    <w:rsid w:val="00ED3FF0"/>
    <w:rsid w:val="00ED40C5"/>
    <w:rsid w:val="00ED41B8"/>
    <w:rsid w:val="00ED453C"/>
    <w:rsid w:val="00ED453D"/>
    <w:rsid w:val="00ED45A8"/>
    <w:rsid w:val="00ED473C"/>
    <w:rsid w:val="00ED47DB"/>
    <w:rsid w:val="00ED4A71"/>
    <w:rsid w:val="00ED4BEE"/>
    <w:rsid w:val="00ED5151"/>
    <w:rsid w:val="00ED523A"/>
    <w:rsid w:val="00ED5915"/>
    <w:rsid w:val="00ED59DA"/>
    <w:rsid w:val="00ED5F77"/>
    <w:rsid w:val="00ED5FB3"/>
    <w:rsid w:val="00ED623D"/>
    <w:rsid w:val="00ED6271"/>
    <w:rsid w:val="00ED634C"/>
    <w:rsid w:val="00ED6441"/>
    <w:rsid w:val="00ED6452"/>
    <w:rsid w:val="00ED66D6"/>
    <w:rsid w:val="00ED678F"/>
    <w:rsid w:val="00ED68D6"/>
    <w:rsid w:val="00ED70C5"/>
    <w:rsid w:val="00ED70CD"/>
    <w:rsid w:val="00ED72B9"/>
    <w:rsid w:val="00ED79C2"/>
    <w:rsid w:val="00ED79DE"/>
    <w:rsid w:val="00ED7A7A"/>
    <w:rsid w:val="00ED7BC0"/>
    <w:rsid w:val="00ED7C48"/>
    <w:rsid w:val="00ED7D6F"/>
    <w:rsid w:val="00EE022F"/>
    <w:rsid w:val="00EE041A"/>
    <w:rsid w:val="00EE04F7"/>
    <w:rsid w:val="00EE05CD"/>
    <w:rsid w:val="00EE0675"/>
    <w:rsid w:val="00EE06EF"/>
    <w:rsid w:val="00EE0816"/>
    <w:rsid w:val="00EE0833"/>
    <w:rsid w:val="00EE096E"/>
    <w:rsid w:val="00EE152F"/>
    <w:rsid w:val="00EE1A6A"/>
    <w:rsid w:val="00EE1B12"/>
    <w:rsid w:val="00EE1DDB"/>
    <w:rsid w:val="00EE1F68"/>
    <w:rsid w:val="00EE1FFC"/>
    <w:rsid w:val="00EE2511"/>
    <w:rsid w:val="00EE25A7"/>
    <w:rsid w:val="00EE2A7A"/>
    <w:rsid w:val="00EE2ABE"/>
    <w:rsid w:val="00EE2AFE"/>
    <w:rsid w:val="00EE2C15"/>
    <w:rsid w:val="00EE2D79"/>
    <w:rsid w:val="00EE2F22"/>
    <w:rsid w:val="00EE2F88"/>
    <w:rsid w:val="00EE305E"/>
    <w:rsid w:val="00EE30C0"/>
    <w:rsid w:val="00EE315F"/>
    <w:rsid w:val="00EE3365"/>
    <w:rsid w:val="00EE340B"/>
    <w:rsid w:val="00EE3DA5"/>
    <w:rsid w:val="00EE3DD6"/>
    <w:rsid w:val="00EE4201"/>
    <w:rsid w:val="00EE420B"/>
    <w:rsid w:val="00EE46B4"/>
    <w:rsid w:val="00EE46F8"/>
    <w:rsid w:val="00EE48DE"/>
    <w:rsid w:val="00EE4D9C"/>
    <w:rsid w:val="00EE4F0E"/>
    <w:rsid w:val="00EE4F33"/>
    <w:rsid w:val="00EE509F"/>
    <w:rsid w:val="00EE52C5"/>
    <w:rsid w:val="00EE52D6"/>
    <w:rsid w:val="00EE5847"/>
    <w:rsid w:val="00EE5BF5"/>
    <w:rsid w:val="00EE5C0B"/>
    <w:rsid w:val="00EE5D97"/>
    <w:rsid w:val="00EE5E77"/>
    <w:rsid w:val="00EE5EF0"/>
    <w:rsid w:val="00EE6029"/>
    <w:rsid w:val="00EE60B0"/>
    <w:rsid w:val="00EE625D"/>
    <w:rsid w:val="00EE6326"/>
    <w:rsid w:val="00EE679E"/>
    <w:rsid w:val="00EE67D7"/>
    <w:rsid w:val="00EE69D1"/>
    <w:rsid w:val="00EE71D8"/>
    <w:rsid w:val="00EE7997"/>
    <w:rsid w:val="00EE79EB"/>
    <w:rsid w:val="00EE7AAE"/>
    <w:rsid w:val="00EF01DD"/>
    <w:rsid w:val="00EF03F6"/>
    <w:rsid w:val="00EF04A3"/>
    <w:rsid w:val="00EF08B8"/>
    <w:rsid w:val="00EF08DC"/>
    <w:rsid w:val="00EF096C"/>
    <w:rsid w:val="00EF09D3"/>
    <w:rsid w:val="00EF0D1A"/>
    <w:rsid w:val="00EF0E40"/>
    <w:rsid w:val="00EF0EA3"/>
    <w:rsid w:val="00EF10B2"/>
    <w:rsid w:val="00EF14D8"/>
    <w:rsid w:val="00EF180A"/>
    <w:rsid w:val="00EF180C"/>
    <w:rsid w:val="00EF18F3"/>
    <w:rsid w:val="00EF1A85"/>
    <w:rsid w:val="00EF1CC7"/>
    <w:rsid w:val="00EF1E96"/>
    <w:rsid w:val="00EF2018"/>
    <w:rsid w:val="00EF2273"/>
    <w:rsid w:val="00EF22A6"/>
    <w:rsid w:val="00EF22B6"/>
    <w:rsid w:val="00EF238F"/>
    <w:rsid w:val="00EF26A7"/>
    <w:rsid w:val="00EF28C7"/>
    <w:rsid w:val="00EF2A43"/>
    <w:rsid w:val="00EF3130"/>
    <w:rsid w:val="00EF3278"/>
    <w:rsid w:val="00EF327A"/>
    <w:rsid w:val="00EF348B"/>
    <w:rsid w:val="00EF3564"/>
    <w:rsid w:val="00EF3704"/>
    <w:rsid w:val="00EF384E"/>
    <w:rsid w:val="00EF4A48"/>
    <w:rsid w:val="00EF56A3"/>
    <w:rsid w:val="00EF570E"/>
    <w:rsid w:val="00EF57D1"/>
    <w:rsid w:val="00EF57ED"/>
    <w:rsid w:val="00EF584B"/>
    <w:rsid w:val="00EF5A00"/>
    <w:rsid w:val="00EF5CF4"/>
    <w:rsid w:val="00EF5E23"/>
    <w:rsid w:val="00EF5EDF"/>
    <w:rsid w:val="00EF628F"/>
    <w:rsid w:val="00EF6376"/>
    <w:rsid w:val="00EF63C9"/>
    <w:rsid w:val="00EF67A2"/>
    <w:rsid w:val="00EF68BA"/>
    <w:rsid w:val="00EF693C"/>
    <w:rsid w:val="00EF6980"/>
    <w:rsid w:val="00EF6AA8"/>
    <w:rsid w:val="00EF6D3D"/>
    <w:rsid w:val="00EF6DC5"/>
    <w:rsid w:val="00EF752E"/>
    <w:rsid w:val="00EF7715"/>
    <w:rsid w:val="00EF7730"/>
    <w:rsid w:val="00EF7825"/>
    <w:rsid w:val="00EF7998"/>
    <w:rsid w:val="00EF79C2"/>
    <w:rsid w:val="00EF7AFF"/>
    <w:rsid w:val="00EF7F46"/>
    <w:rsid w:val="00F00155"/>
    <w:rsid w:val="00F001A6"/>
    <w:rsid w:val="00F00310"/>
    <w:rsid w:val="00F0057A"/>
    <w:rsid w:val="00F007AF"/>
    <w:rsid w:val="00F00B0E"/>
    <w:rsid w:val="00F00BD9"/>
    <w:rsid w:val="00F00DC4"/>
    <w:rsid w:val="00F00E75"/>
    <w:rsid w:val="00F00FD9"/>
    <w:rsid w:val="00F013DD"/>
    <w:rsid w:val="00F013F0"/>
    <w:rsid w:val="00F014E7"/>
    <w:rsid w:val="00F01CE7"/>
    <w:rsid w:val="00F01D15"/>
    <w:rsid w:val="00F02021"/>
    <w:rsid w:val="00F020D6"/>
    <w:rsid w:val="00F02315"/>
    <w:rsid w:val="00F02529"/>
    <w:rsid w:val="00F02662"/>
    <w:rsid w:val="00F029D4"/>
    <w:rsid w:val="00F02BDC"/>
    <w:rsid w:val="00F02BDE"/>
    <w:rsid w:val="00F02EF8"/>
    <w:rsid w:val="00F02F84"/>
    <w:rsid w:val="00F02FD1"/>
    <w:rsid w:val="00F02FF4"/>
    <w:rsid w:val="00F0309E"/>
    <w:rsid w:val="00F03566"/>
    <w:rsid w:val="00F03874"/>
    <w:rsid w:val="00F03B15"/>
    <w:rsid w:val="00F03B83"/>
    <w:rsid w:val="00F03CE8"/>
    <w:rsid w:val="00F03D7D"/>
    <w:rsid w:val="00F03E2B"/>
    <w:rsid w:val="00F03F69"/>
    <w:rsid w:val="00F0433B"/>
    <w:rsid w:val="00F045A6"/>
    <w:rsid w:val="00F045E9"/>
    <w:rsid w:val="00F0473B"/>
    <w:rsid w:val="00F04B22"/>
    <w:rsid w:val="00F04C33"/>
    <w:rsid w:val="00F04CA8"/>
    <w:rsid w:val="00F0548B"/>
    <w:rsid w:val="00F05508"/>
    <w:rsid w:val="00F056F9"/>
    <w:rsid w:val="00F05A25"/>
    <w:rsid w:val="00F05C6F"/>
    <w:rsid w:val="00F05C7C"/>
    <w:rsid w:val="00F05DA7"/>
    <w:rsid w:val="00F061F8"/>
    <w:rsid w:val="00F0659C"/>
    <w:rsid w:val="00F06C9F"/>
    <w:rsid w:val="00F07260"/>
    <w:rsid w:val="00F07625"/>
    <w:rsid w:val="00F0798E"/>
    <w:rsid w:val="00F100F2"/>
    <w:rsid w:val="00F10124"/>
    <w:rsid w:val="00F102CC"/>
    <w:rsid w:val="00F10477"/>
    <w:rsid w:val="00F105B6"/>
    <w:rsid w:val="00F106A3"/>
    <w:rsid w:val="00F10AB5"/>
    <w:rsid w:val="00F10CF0"/>
    <w:rsid w:val="00F11032"/>
    <w:rsid w:val="00F1104C"/>
    <w:rsid w:val="00F1105D"/>
    <w:rsid w:val="00F1116A"/>
    <w:rsid w:val="00F11689"/>
    <w:rsid w:val="00F119F0"/>
    <w:rsid w:val="00F11B98"/>
    <w:rsid w:val="00F11BFF"/>
    <w:rsid w:val="00F11C29"/>
    <w:rsid w:val="00F11FD2"/>
    <w:rsid w:val="00F1205C"/>
    <w:rsid w:val="00F12088"/>
    <w:rsid w:val="00F1227A"/>
    <w:rsid w:val="00F12298"/>
    <w:rsid w:val="00F123EA"/>
    <w:rsid w:val="00F12548"/>
    <w:rsid w:val="00F127B9"/>
    <w:rsid w:val="00F12B44"/>
    <w:rsid w:val="00F12E59"/>
    <w:rsid w:val="00F130C1"/>
    <w:rsid w:val="00F131A0"/>
    <w:rsid w:val="00F13325"/>
    <w:rsid w:val="00F134F5"/>
    <w:rsid w:val="00F137E5"/>
    <w:rsid w:val="00F13D06"/>
    <w:rsid w:val="00F14143"/>
    <w:rsid w:val="00F1444A"/>
    <w:rsid w:val="00F14536"/>
    <w:rsid w:val="00F146D6"/>
    <w:rsid w:val="00F148E4"/>
    <w:rsid w:val="00F1490C"/>
    <w:rsid w:val="00F14B06"/>
    <w:rsid w:val="00F14BA0"/>
    <w:rsid w:val="00F14BF9"/>
    <w:rsid w:val="00F14C01"/>
    <w:rsid w:val="00F14D22"/>
    <w:rsid w:val="00F15068"/>
    <w:rsid w:val="00F15194"/>
    <w:rsid w:val="00F15297"/>
    <w:rsid w:val="00F15532"/>
    <w:rsid w:val="00F15540"/>
    <w:rsid w:val="00F1582E"/>
    <w:rsid w:val="00F15884"/>
    <w:rsid w:val="00F158B1"/>
    <w:rsid w:val="00F158F7"/>
    <w:rsid w:val="00F15C17"/>
    <w:rsid w:val="00F15D92"/>
    <w:rsid w:val="00F16371"/>
    <w:rsid w:val="00F16440"/>
    <w:rsid w:val="00F166FF"/>
    <w:rsid w:val="00F1686D"/>
    <w:rsid w:val="00F16947"/>
    <w:rsid w:val="00F16B59"/>
    <w:rsid w:val="00F16C5C"/>
    <w:rsid w:val="00F16E7A"/>
    <w:rsid w:val="00F16EA5"/>
    <w:rsid w:val="00F16FBA"/>
    <w:rsid w:val="00F178C2"/>
    <w:rsid w:val="00F17CAE"/>
    <w:rsid w:val="00F17CF7"/>
    <w:rsid w:val="00F17E4B"/>
    <w:rsid w:val="00F17F8B"/>
    <w:rsid w:val="00F17FA5"/>
    <w:rsid w:val="00F2014D"/>
    <w:rsid w:val="00F2015E"/>
    <w:rsid w:val="00F208D1"/>
    <w:rsid w:val="00F20945"/>
    <w:rsid w:val="00F20DF3"/>
    <w:rsid w:val="00F20E09"/>
    <w:rsid w:val="00F2101B"/>
    <w:rsid w:val="00F211FB"/>
    <w:rsid w:val="00F212DC"/>
    <w:rsid w:val="00F213C6"/>
    <w:rsid w:val="00F2140F"/>
    <w:rsid w:val="00F21855"/>
    <w:rsid w:val="00F21EBF"/>
    <w:rsid w:val="00F22163"/>
    <w:rsid w:val="00F224B4"/>
    <w:rsid w:val="00F226BD"/>
    <w:rsid w:val="00F22AD4"/>
    <w:rsid w:val="00F22CCF"/>
    <w:rsid w:val="00F236E1"/>
    <w:rsid w:val="00F23803"/>
    <w:rsid w:val="00F23903"/>
    <w:rsid w:val="00F23AD4"/>
    <w:rsid w:val="00F23CA2"/>
    <w:rsid w:val="00F23ED4"/>
    <w:rsid w:val="00F2443D"/>
    <w:rsid w:val="00F2450E"/>
    <w:rsid w:val="00F24878"/>
    <w:rsid w:val="00F24B18"/>
    <w:rsid w:val="00F24CFE"/>
    <w:rsid w:val="00F24F3F"/>
    <w:rsid w:val="00F24FD1"/>
    <w:rsid w:val="00F25142"/>
    <w:rsid w:val="00F25394"/>
    <w:rsid w:val="00F2549D"/>
    <w:rsid w:val="00F254AA"/>
    <w:rsid w:val="00F2566E"/>
    <w:rsid w:val="00F258BA"/>
    <w:rsid w:val="00F25904"/>
    <w:rsid w:val="00F25A1A"/>
    <w:rsid w:val="00F25A8D"/>
    <w:rsid w:val="00F25C56"/>
    <w:rsid w:val="00F25D53"/>
    <w:rsid w:val="00F25E3D"/>
    <w:rsid w:val="00F2631D"/>
    <w:rsid w:val="00F263E1"/>
    <w:rsid w:val="00F26508"/>
    <w:rsid w:val="00F26551"/>
    <w:rsid w:val="00F2682F"/>
    <w:rsid w:val="00F26A7E"/>
    <w:rsid w:val="00F26BB3"/>
    <w:rsid w:val="00F26EBB"/>
    <w:rsid w:val="00F27000"/>
    <w:rsid w:val="00F27168"/>
    <w:rsid w:val="00F27537"/>
    <w:rsid w:val="00F27539"/>
    <w:rsid w:val="00F277CA"/>
    <w:rsid w:val="00F27807"/>
    <w:rsid w:val="00F27845"/>
    <w:rsid w:val="00F27A8E"/>
    <w:rsid w:val="00F27ACE"/>
    <w:rsid w:val="00F27AFE"/>
    <w:rsid w:val="00F27DBD"/>
    <w:rsid w:val="00F27E22"/>
    <w:rsid w:val="00F27E60"/>
    <w:rsid w:val="00F30021"/>
    <w:rsid w:val="00F30124"/>
    <w:rsid w:val="00F30149"/>
    <w:rsid w:val="00F3022C"/>
    <w:rsid w:val="00F30301"/>
    <w:rsid w:val="00F30371"/>
    <w:rsid w:val="00F303C8"/>
    <w:rsid w:val="00F30550"/>
    <w:rsid w:val="00F305D0"/>
    <w:rsid w:val="00F3066A"/>
    <w:rsid w:val="00F309ED"/>
    <w:rsid w:val="00F30B01"/>
    <w:rsid w:val="00F30D11"/>
    <w:rsid w:val="00F30D55"/>
    <w:rsid w:val="00F30F03"/>
    <w:rsid w:val="00F3109E"/>
    <w:rsid w:val="00F311B4"/>
    <w:rsid w:val="00F31477"/>
    <w:rsid w:val="00F31A28"/>
    <w:rsid w:val="00F31BC9"/>
    <w:rsid w:val="00F31FEB"/>
    <w:rsid w:val="00F323D9"/>
    <w:rsid w:val="00F32545"/>
    <w:rsid w:val="00F327DF"/>
    <w:rsid w:val="00F3286B"/>
    <w:rsid w:val="00F32C01"/>
    <w:rsid w:val="00F32CA4"/>
    <w:rsid w:val="00F33060"/>
    <w:rsid w:val="00F33096"/>
    <w:rsid w:val="00F332B2"/>
    <w:rsid w:val="00F33358"/>
    <w:rsid w:val="00F33367"/>
    <w:rsid w:val="00F33492"/>
    <w:rsid w:val="00F3368E"/>
    <w:rsid w:val="00F33A1F"/>
    <w:rsid w:val="00F33AF4"/>
    <w:rsid w:val="00F33D4F"/>
    <w:rsid w:val="00F33E4F"/>
    <w:rsid w:val="00F34058"/>
    <w:rsid w:val="00F34079"/>
    <w:rsid w:val="00F343BB"/>
    <w:rsid w:val="00F34528"/>
    <w:rsid w:val="00F347BD"/>
    <w:rsid w:val="00F349E9"/>
    <w:rsid w:val="00F35036"/>
    <w:rsid w:val="00F3520F"/>
    <w:rsid w:val="00F35375"/>
    <w:rsid w:val="00F35504"/>
    <w:rsid w:val="00F355C3"/>
    <w:rsid w:val="00F35628"/>
    <w:rsid w:val="00F356D0"/>
    <w:rsid w:val="00F3574D"/>
    <w:rsid w:val="00F35888"/>
    <w:rsid w:val="00F358BE"/>
    <w:rsid w:val="00F35CE1"/>
    <w:rsid w:val="00F35FAC"/>
    <w:rsid w:val="00F363C9"/>
    <w:rsid w:val="00F363D2"/>
    <w:rsid w:val="00F3644A"/>
    <w:rsid w:val="00F3644E"/>
    <w:rsid w:val="00F364A5"/>
    <w:rsid w:val="00F364DA"/>
    <w:rsid w:val="00F366A9"/>
    <w:rsid w:val="00F37131"/>
    <w:rsid w:val="00F3713F"/>
    <w:rsid w:val="00F37359"/>
    <w:rsid w:val="00F378F8"/>
    <w:rsid w:val="00F37A28"/>
    <w:rsid w:val="00F37A53"/>
    <w:rsid w:val="00F37B62"/>
    <w:rsid w:val="00F37BBE"/>
    <w:rsid w:val="00F37E53"/>
    <w:rsid w:val="00F37EAB"/>
    <w:rsid w:val="00F4028A"/>
    <w:rsid w:val="00F403AE"/>
    <w:rsid w:val="00F4054E"/>
    <w:rsid w:val="00F40584"/>
    <w:rsid w:val="00F409E0"/>
    <w:rsid w:val="00F411A5"/>
    <w:rsid w:val="00F412CA"/>
    <w:rsid w:val="00F41745"/>
    <w:rsid w:val="00F4185E"/>
    <w:rsid w:val="00F41A93"/>
    <w:rsid w:val="00F41B61"/>
    <w:rsid w:val="00F41BE4"/>
    <w:rsid w:val="00F41BFD"/>
    <w:rsid w:val="00F41D97"/>
    <w:rsid w:val="00F41EE9"/>
    <w:rsid w:val="00F420B0"/>
    <w:rsid w:val="00F420CD"/>
    <w:rsid w:val="00F42141"/>
    <w:rsid w:val="00F4259C"/>
    <w:rsid w:val="00F42C6E"/>
    <w:rsid w:val="00F43123"/>
    <w:rsid w:val="00F434B4"/>
    <w:rsid w:val="00F434BE"/>
    <w:rsid w:val="00F435AF"/>
    <w:rsid w:val="00F43AAD"/>
    <w:rsid w:val="00F43CDC"/>
    <w:rsid w:val="00F43DA6"/>
    <w:rsid w:val="00F43E7C"/>
    <w:rsid w:val="00F44103"/>
    <w:rsid w:val="00F443B6"/>
    <w:rsid w:val="00F4473C"/>
    <w:rsid w:val="00F448A7"/>
    <w:rsid w:val="00F449E2"/>
    <w:rsid w:val="00F44A9C"/>
    <w:rsid w:val="00F44C9A"/>
    <w:rsid w:val="00F44D10"/>
    <w:rsid w:val="00F44FAC"/>
    <w:rsid w:val="00F4500C"/>
    <w:rsid w:val="00F45073"/>
    <w:rsid w:val="00F45169"/>
    <w:rsid w:val="00F455E4"/>
    <w:rsid w:val="00F45642"/>
    <w:rsid w:val="00F4571F"/>
    <w:rsid w:val="00F45B61"/>
    <w:rsid w:val="00F45BC5"/>
    <w:rsid w:val="00F45F39"/>
    <w:rsid w:val="00F45FF2"/>
    <w:rsid w:val="00F460C7"/>
    <w:rsid w:val="00F460C9"/>
    <w:rsid w:val="00F461AB"/>
    <w:rsid w:val="00F463C3"/>
    <w:rsid w:val="00F4645C"/>
    <w:rsid w:val="00F465E0"/>
    <w:rsid w:val="00F466A4"/>
    <w:rsid w:val="00F467C9"/>
    <w:rsid w:val="00F46B73"/>
    <w:rsid w:val="00F46C8A"/>
    <w:rsid w:val="00F4711B"/>
    <w:rsid w:val="00F47253"/>
    <w:rsid w:val="00F47466"/>
    <w:rsid w:val="00F4750F"/>
    <w:rsid w:val="00F475BB"/>
    <w:rsid w:val="00F475F7"/>
    <w:rsid w:val="00F47730"/>
    <w:rsid w:val="00F478BC"/>
    <w:rsid w:val="00F478FF"/>
    <w:rsid w:val="00F479B6"/>
    <w:rsid w:val="00F47B37"/>
    <w:rsid w:val="00F47C43"/>
    <w:rsid w:val="00F47D91"/>
    <w:rsid w:val="00F47E43"/>
    <w:rsid w:val="00F50036"/>
    <w:rsid w:val="00F5005E"/>
    <w:rsid w:val="00F50104"/>
    <w:rsid w:val="00F505B1"/>
    <w:rsid w:val="00F5068C"/>
    <w:rsid w:val="00F5076C"/>
    <w:rsid w:val="00F50957"/>
    <w:rsid w:val="00F50F12"/>
    <w:rsid w:val="00F512AC"/>
    <w:rsid w:val="00F512ED"/>
    <w:rsid w:val="00F513BF"/>
    <w:rsid w:val="00F51C60"/>
    <w:rsid w:val="00F51D6A"/>
    <w:rsid w:val="00F51E0B"/>
    <w:rsid w:val="00F51EEF"/>
    <w:rsid w:val="00F51F80"/>
    <w:rsid w:val="00F52065"/>
    <w:rsid w:val="00F52171"/>
    <w:rsid w:val="00F5235A"/>
    <w:rsid w:val="00F52536"/>
    <w:rsid w:val="00F5280D"/>
    <w:rsid w:val="00F52A0D"/>
    <w:rsid w:val="00F52D1E"/>
    <w:rsid w:val="00F52F84"/>
    <w:rsid w:val="00F52FCA"/>
    <w:rsid w:val="00F53164"/>
    <w:rsid w:val="00F53280"/>
    <w:rsid w:val="00F53370"/>
    <w:rsid w:val="00F53371"/>
    <w:rsid w:val="00F53586"/>
    <w:rsid w:val="00F53700"/>
    <w:rsid w:val="00F5398F"/>
    <w:rsid w:val="00F53A8D"/>
    <w:rsid w:val="00F53B27"/>
    <w:rsid w:val="00F53B9B"/>
    <w:rsid w:val="00F53D6C"/>
    <w:rsid w:val="00F53D70"/>
    <w:rsid w:val="00F53DF0"/>
    <w:rsid w:val="00F54025"/>
    <w:rsid w:val="00F540A6"/>
    <w:rsid w:val="00F541C6"/>
    <w:rsid w:val="00F541FC"/>
    <w:rsid w:val="00F5429A"/>
    <w:rsid w:val="00F5432A"/>
    <w:rsid w:val="00F544D1"/>
    <w:rsid w:val="00F54A0F"/>
    <w:rsid w:val="00F54AE2"/>
    <w:rsid w:val="00F54B37"/>
    <w:rsid w:val="00F54F56"/>
    <w:rsid w:val="00F551DC"/>
    <w:rsid w:val="00F55691"/>
    <w:rsid w:val="00F55CB0"/>
    <w:rsid w:val="00F55E84"/>
    <w:rsid w:val="00F5603C"/>
    <w:rsid w:val="00F56385"/>
    <w:rsid w:val="00F56497"/>
    <w:rsid w:val="00F56C43"/>
    <w:rsid w:val="00F56D47"/>
    <w:rsid w:val="00F572E7"/>
    <w:rsid w:val="00F574A0"/>
    <w:rsid w:val="00F574EC"/>
    <w:rsid w:val="00F57598"/>
    <w:rsid w:val="00F576B0"/>
    <w:rsid w:val="00F57AD7"/>
    <w:rsid w:val="00F60AE0"/>
    <w:rsid w:val="00F60AF6"/>
    <w:rsid w:val="00F60BBD"/>
    <w:rsid w:val="00F60F16"/>
    <w:rsid w:val="00F61161"/>
    <w:rsid w:val="00F6134D"/>
    <w:rsid w:val="00F6173F"/>
    <w:rsid w:val="00F61910"/>
    <w:rsid w:val="00F61C01"/>
    <w:rsid w:val="00F62431"/>
    <w:rsid w:val="00F62562"/>
    <w:rsid w:val="00F6266B"/>
    <w:rsid w:val="00F62A3D"/>
    <w:rsid w:val="00F62E0A"/>
    <w:rsid w:val="00F62EBE"/>
    <w:rsid w:val="00F62F13"/>
    <w:rsid w:val="00F62FDC"/>
    <w:rsid w:val="00F630C4"/>
    <w:rsid w:val="00F632AD"/>
    <w:rsid w:val="00F63560"/>
    <w:rsid w:val="00F636AD"/>
    <w:rsid w:val="00F636BE"/>
    <w:rsid w:val="00F636F2"/>
    <w:rsid w:val="00F63896"/>
    <w:rsid w:val="00F63AB3"/>
    <w:rsid w:val="00F63B12"/>
    <w:rsid w:val="00F63BED"/>
    <w:rsid w:val="00F63EB5"/>
    <w:rsid w:val="00F64537"/>
    <w:rsid w:val="00F64D91"/>
    <w:rsid w:val="00F65297"/>
    <w:rsid w:val="00F657BB"/>
    <w:rsid w:val="00F65D99"/>
    <w:rsid w:val="00F65DA4"/>
    <w:rsid w:val="00F65E89"/>
    <w:rsid w:val="00F65EC9"/>
    <w:rsid w:val="00F65F2D"/>
    <w:rsid w:val="00F65F96"/>
    <w:rsid w:val="00F65FCD"/>
    <w:rsid w:val="00F6657D"/>
    <w:rsid w:val="00F66584"/>
    <w:rsid w:val="00F66723"/>
    <w:rsid w:val="00F66B67"/>
    <w:rsid w:val="00F66F06"/>
    <w:rsid w:val="00F670C2"/>
    <w:rsid w:val="00F6717C"/>
    <w:rsid w:val="00F67314"/>
    <w:rsid w:val="00F6750F"/>
    <w:rsid w:val="00F675B3"/>
    <w:rsid w:val="00F675E6"/>
    <w:rsid w:val="00F67886"/>
    <w:rsid w:val="00F6799A"/>
    <w:rsid w:val="00F67C5F"/>
    <w:rsid w:val="00F67D0F"/>
    <w:rsid w:val="00F67D56"/>
    <w:rsid w:val="00F70683"/>
    <w:rsid w:val="00F70768"/>
    <w:rsid w:val="00F70A58"/>
    <w:rsid w:val="00F70B49"/>
    <w:rsid w:val="00F70B8C"/>
    <w:rsid w:val="00F70EB9"/>
    <w:rsid w:val="00F70F48"/>
    <w:rsid w:val="00F70FA1"/>
    <w:rsid w:val="00F70FD7"/>
    <w:rsid w:val="00F71148"/>
    <w:rsid w:val="00F71220"/>
    <w:rsid w:val="00F7130B"/>
    <w:rsid w:val="00F718B1"/>
    <w:rsid w:val="00F718DC"/>
    <w:rsid w:val="00F719D7"/>
    <w:rsid w:val="00F71A1D"/>
    <w:rsid w:val="00F71AE7"/>
    <w:rsid w:val="00F71AED"/>
    <w:rsid w:val="00F71E3A"/>
    <w:rsid w:val="00F72089"/>
    <w:rsid w:val="00F721CD"/>
    <w:rsid w:val="00F72458"/>
    <w:rsid w:val="00F728DE"/>
    <w:rsid w:val="00F73090"/>
    <w:rsid w:val="00F7313A"/>
    <w:rsid w:val="00F73576"/>
    <w:rsid w:val="00F7357D"/>
    <w:rsid w:val="00F738B0"/>
    <w:rsid w:val="00F73B18"/>
    <w:rsid w:val="00F73B33"/>
    <w:rsid w:val="00F73BA4"/>
    <w:rsid w:val="00F73E27"/>
    <w:rsid w:val="00F73EDC"/>
    <w:rsid w:val="00F73EEA"/>
    <w:rsid w:val="00F7410E"/>
    <w:rsid w:val="00F744C6"/>
    <w:rsid w:val="00F745B3"/>
    <w:rsid w:val="00F7464A"/>
    <w:rsid w:val="00F74B10"/>
    <w:rsid w:val="00F74D77"/>
    <w:rsid w:val="00F74E01"/>
    <w:rsid w:val="00F75286"/>
    <w:rsid w:val="00F75EF2"/>
    <w:rsid w:val="00F7609F"/>
    <w:rsid w:val="00F760EA"/>
    <w:rsid w:val="00F761FC"/>
    <w:rsid w:val="00F76216"/>
    <w:rsid w:val="00F7636F"/>
    <w:rsid w:val="00F764E3"/>
    <w:rsid w:val="00F7682C"/>
    <w:rsid w:val="00F769F1"/>
    <w:rsid w:val="00F76D80"/>
    <w:rsid w:val="00F76FB2"/>
    <w:rsid w:val="00F770FC"/>
    <w:rsid w:val="00F77184"/>
    <w:rsid w:val="00F773CC"/>
    <w:rsid w:val="00F775E8"/>
    <w:rsid w:val="00F776E6"/>
    <w:rsid w:val="00F776E7"/>
    <w:rsid w:val="00F776FD"/>
    <w:rsid w:val="00F7777B"/>
    <w:rsid w:val="00F77BAB"/>
    <w:rsid w:val="00F77BC4"/>
    <w:rsid w:val="00F77C21"/>
    <w:rsid w:val="00F77C8D"/>
    <w:rsid w:val="00F77D8D"/>
    <w:rsid w:val="00F77F88"/>
    <w:rsid w:val="00F809E6"/>
    <w:rsid w:val="00F80C9D"/>
    <w:rsid w:val="00F80FC4"/>
    <w:rsid w:val="00F8136D"/>
    <w:rsid w:val="00F81609"/>
    <w:rsid w:val="00F817B0"/>
    <w:rsid w:val="00F81968"/>
    <w:rsid w:val="00F81A6B"/>
    <w:rsid w:val="00F81BC9"/>
    <w:rsid w:val="00F81F8D"/>
    <w:rsid w:val="00F82004"/>
    <w:rsid w:val="00F827E2"/>
    <w:rsid w:val="00F829A1"/>
    <w:rsid w:val="00F831E9"/>
    <w:rsid w:val="00F83391"/>
    <w:rsid w:val="00F833B5"/>
    <w:rsid w:val="00F837C1"/>
    <w:rsid w:val="00F839F6"/>
    <w:rsid w:val="00F83A9C"/>
    <w:rsid w:val="00F83BD5"/>
    <w:rsid w:val="00F83C80"/>
    <w:rsid w:val="00F83C82"/>
    <w:rsid w:val="00F83D11"/>
    <w:rsid w:val="00F83E60"/>
    <w:rsid w:val="00F83F2F"/>
    <w:rsid w:val="00F84167"/>
    <w:rsid w:val="00F843A8"/>
    <w:rsid w:val="00F843E9"/>
    <w:rsid w:val="00F84B7C"/>
    <w:rsid w:val="00F84BA4"/>
    <w:rsid w:val="00F84C30"/>
    <w:rsid w:val="00F84D8C"/>
    <w:rsid w:val="00F85388"/>
    <w:rsid w:val="00F85397"/>
    <w:rsid w:val="00F853B1"/>
    <w:rsid w:val="00F85733"/>
    <w:rsid w:val="00F85750"/>
    <w:rsid w:val="00F85783"/>
    <w:rsid w:val="00F8585D"/>
    <w:rsid w:val="00F85AEE"/>
    <w:rsid w:val="00F85D34"/>
    <w:rsid w:val="00F8657B"/>
    <w:rsid w:val="00F868A0"/>
    <w:rsid w:val="00F86B61"/>
    <w:rsid w:val="00F86B69"/>
    <w:rsid w:val="00F86CAB"/>
    <w:rsid w:val="00F8703E"/>
    <w:rsid w:val="00F87059"/>
    <w:rsid w:val="00F8718F"/>
    <w:rsid w:val="00F8719C"/>
    <w:rsid w:val="00F8724E"/>
    <w:rsid w:val="00F879C3"/>
    <w:rsid w:val="00F87A3F"/>
    <w:rsid w:val="00F87B5E"/>
    <w:rsid w:val="00F87C9E"/>
    <w:rsid w:val="00F90003"/>
    <w:rsid w:val="00F90026"/>
    <w:rsid w:val="00F90162"/>
    <w:rsid w:val="00F9027B"/>
    <w:rsid w:val="00F90412"/>
    <w:rsid w:val="00F905BC"/>
    <w:rsid w:val="00F909E7"/>
    <w:rsid w:val="00F90C0F"/>
    <w:rsid w:val="00F911DD"/>
    <w:rsid w:val="00F911E2"/>
    <w:rsid w:val="00F914EE"/>
    <w:rsid w:val="00F91504"/>
    <w:rsid w:val="00F915E1"/>
    <w:rsid w:val="00F91639"/>
    <w:rsid w:val="00F91673"/>
    <w:rsid w:val="00F91900"/>
    <w:rsid w:val="00F91943"/>
    <w:rsid w:val="00F91D17"/>
    <w:rsid w:val="00F91FB2"/>
    <w:rsid w:val="00F9202F"/>
    <w:rsid w:val="00F9255C"/>
    <w:rsid w:val="00F929D4"/>
    <w:rsid w:val="00F92AF1"/>
    <w:rsid w:val="00F92BFD"/>
    <w:rsid w:val="00F93097"/>
    <w:rsid w:val="00F930D0"/>
    <w:rsid w:val="00F931AE"/>
    <w:rsid w:val="00F93313"/>
    <w:rsid w:val="00F936E8"/>
    <w:rsid w:val="00F939B6"/>
    <w:rsid w:val="00F939E7"/>
    <w:rsid w:val="00F93FA7"/>
    <w:rsid w:val="00F941D7"/>
    <w:rsid w:val="00F941DE"/>
    <w:rsid w:val="00F94722"/>
    <w:rsid w:val="00F9484B"/>
    <w:rsid w:val="00F948B6"/>
    <w:rsid w:val="00F949DB"/>
    <w:rsid w:val="00F94A65"/>
    <w:rsid w:val="00F94AE6"/>
    <w:rsid w:val="00F94B8D"/>
    <w:rsid w:val="00F94D63"/>
    <w:rsid w:val="00F94D95"/>
    <w:rsid w:val="00F94DF5"/>
    <w:rsid w:val="00F94F0C"/>
    <w:rsid w:val="00F95347"/>
    <w:rsid w:val="00F95383"/>
    <w:rsid w:val="00F95403"/>
    <w:rsid w:val="00F956DF"/>
    <w:rsid w:val="00F9599F"/>
    <w:rsid w:val="00F95C9D"/>
    <w:rsid w:val="00F95EC6"/>
    <w:rsid w:val="00F95F6D"/>
    <w:rsid w:val="00F95F70"/>
    <w:rsid w:val="00F95FA6"/>
    <w:rsid w:val="00F96086"/>
    <w:rsid w:val="00F96874"/>
    <w:rsid w:val="00F9687C"/>
    <w:rsid w:val="00F969E2"/>
    <w:rsid w:val="00F96AAE"/>
    <w:rsid w:val="00F96AE3"/>
    <w:rsid w:val="00F96B87"/>
    <w:rsid w:val="00F96C70"/>
    <w:rsid w:val="00F96CB5"/>
    <w:rsid w:val="00F96D01"/>
    <w:rsid w:val="00F96D43"/>
    <w:rsid w:val="00F96F68"/>
    <w:rsid w:val="00F9730C"/>
    <w:rsid w:val="00F973AE"/>
    <w:rsid w:val="00F9744C"/>
    <w:rsid w:val="00F976F1"/>
    <w:rsid w:val="00F9772B"/>
    <w:rsid w:val="00F9775F"/>
    <w:rsid w:val="00F979E6"/>
    <w:rsid w:val="00F97B77"/>
    <w:rsid w:val="00F97F9D"/>
    <w:rsid w:val="00FA0831"/>
    <w:rsid w:val="00FA09AB"/>
    <w:rsid w:val="00FA0D9D"/>
    <w:rsid w:val="00FA0F57"/>
    <w:rsid w:val="00FA0F89"/>
    <w:rsid w:val="00FA1092"/>
    <w:rsid w:val="00FA10A8"/>
    <w:rsid w:val="00FA137E"/>
    <w:rsid w:val="00FA13A8"/>
    <w:rsid w:val="00FA1499"/>
    <w:rsid w:val="00FA1771"/>
    <w:rsid w:val="00FA1C06"/>
    <w:rsid w:val="00FA1CE5"/>
    <w:rsid w:val="00FA1E4A"/>
    <w:rsid w:val="00FA1E58"/>
    <w:rsid w:val="00FA1F77"/>
    <w:rsid w:val="00FA1FA1"/>
    <w:rsid w:val="00FA20AF"/>
    <w:rsid w:val="00FA2226"/>
    <w:rsid w:val="00FA2470"/>
    <w:rsid w:val="00FA266D"/>
    <w:rsid w:val="00FA279D"/>
    <w:rsid w:val="00FA27EB"/>
    <w:rsid w:val="00FA2866"/>
    <w:rsid w:val="00FA289C"/>
    <w:rsid w:val="00FA29DE"/>
    <w:rsid w:val="00FA2A7D"/>
    <w:rsid w:val="00FA2A98"/>
    <w:rsid w:val="00FA304C"/>
    <w:rsid w:val="00FA3119"/>
    <w:rsid w:val="00FA3267"/>
    <w:rsid w:val="00FA3715"/>
    <w:rsid w:val="00FA384D"/>
    <w:rsid w:val="00FA3B23"/>
    <w:rsid w:val="00FA3B57"/>
    <w:rsid w:val="00FA3DA4"/>
    <w:rsid w:val="00FA3E14"/>
    <w:rsid w:val="00FA3E5C"/>
    <w:rsid w:val="00FA3EEE"/>
    <w:rsid w:val="00FA415A"/>
    <w:rsid w:val="00FA41BD"/>
    <w:rsid w:val="00FA448E"/>
    <w:rsid w:val="00FA4DE2"/>
    <w:rsid w:val="00FA51DE"/>
    <w:rsid w:val="00FA52A8"/>
    <w:rsid w:val="00FA53D3"/>
    <w:rsid w:val="00FA5443"/>
    <w:rsid w:val="00FA55A9"/>
    <w:rsid w:val="00FA5A5A"/>
    <w:rsid w:val="00FA5BC1"/>
    <w:rsid w:val="00FA5D74"/>
    <w:rsid w:val="00FA61C8"/>
    <w:rsid w:val="00FA61DF"/>
    <w:rsid w:val="00FA6248"/>
    <w:rsid w:val="00FA63F5"/>
    <w:rsid w:val="00FA643B"/>
    <w:rsid w:val="00FA67B6"/>
    <w:rsid w:val="00FA6C5B"/>
    <w:rsid w:val="00FA6D84"/>
    <w:rsid w:val="00FA6DE7"/>
    <w:rsid w:val="00FA6E8F"/>
    <w:rsid w:val="00FA6F4D"/>
    <w:rsid w:val="00FA70B8"/>
    <w:rsid w:val="00FA71BD"/>
    <w:rsid w:val="00FA7252"/>
    <w:rsid w:val="00FA750E"/>
    <w:rsid w:val="00FA759D"/>
    <w:rsid w:val="00FA79DE"/>
    <w:rsid w:val="00FA7D7A"/>
    <w:rsid w:val="00FA7FEC"/>
    <w:rsid w:val="00FB04ED"/>
    <w:rsid w:val="00FB053F"/>
    <w:rsid w:val="00FB0856"/>
    <w:rsid w:val="00FB090F"/>
    <w:rsid w:val="00FB099A"/>
    <w:rsid w:val="00FB0A3D"/>
    <w:rsid w:val="00FB0BDF"/>
    <w:rsid w:val="00FB0DB4"/>
    <w:rsid w:val="00FB0DC2"/>
    <w:rsid w:val="00FB0E3A"/>
    <w:rsid w:val="00FB0F86"/>
    <w:rsid w:val="00FB11F6"/>
    <w:rsid w:val="00FB132C"/>
    <w:rsid w:val="00FB174C"/>
    <w:rsid w:val="00FB19C4"/>
    <w:rsid w:val="00FB1C8F"/>
    <w:rsid w:val="00FB1D3B"/>
    <w:rsid w:val="00FB1D80"/>
    <w:rsid w:val="00FB1DC9"/>
    <w:rsid w:val="00FB202D"/>
    <w:rsid w:val="00FB2057"/>
    <w:rsid w:val="00FB20ED"/>
    <w:rsid w:val="00FB22A5"/>
    <w:rsid w:val="00FB2644"/>
    <w:rsid w:val="00FB270E"/>
    <w:rsid w:val="00FB299D"/>
    <w:rsid w:val="00FB2BAF"/>
    <w:rsid w:val="00FB2DAA"/>
    <w:rsid w:val="00FB2EC7"/>
    <w:rsid w:val="00FB2EEF"/>
    <w:rsid w:val="00FB30FE"/>
    <w:rsid w:val="00FB3296"/>
    <w:rsid w:val="00FB32D6"/>
    <w:rsid w:val="00FB32D9"/>
    <w:rsid w:val="00FB33ED"/>
    <w:rsid w:val="00FB3420"/>
    <w:rsid w:val="00FB380C"/>
    <w:rsid w:val="00FB3898"/>
    <w:rsid w:val="00FB3B40"/>
    <w:rsid w:val="00FB3EEC"/>
    <w:rsid w:val="00FB46FE"/>
    <w:rsid w:val="00FB4861"/>
    <w:rsid w:val="00FB48B2"/>
    <w:rsid w:val="00FB4C16"/>
    <w:rsid w:val="00FB4C85"/>
    <w:rsid w:val="00FB4D78"/>
    <w:rsid w:val="00FB4E4F"/>
    <w:rsid w:val="00FB5126"/>
    <w:rsid w:val="00FB5273"/>
    <w:rsid w:val="00FB5506"/>
    <w:rsid w:val="00FB5635"/>
    <w:rsid w:val="00FB564B"/>
    <w:rsid w:val="00FB588E"/>
    <w:rsid w:val="00FB5AA5"/>
    <w:rsid w:val="00FB5AA7"/>
    <w:rsid w:val="00FB5AC2"/>
    <w:rsid w:val="00FB5C7A"/>
    <w:rsid w:val="00FB60FE"/>
    <w:rsid w:val="00FB6359"/>
    <w:rsid w:val="00FB63DF"/>
    <w:rsid w:val="00FB676A"/>
    <w:rsid w:val="00FB6950"/>
    <w:rsid w:val="00FB6996"/>
    <w:rsid w:val="00FB6BB0"/>
    <w:rsid w:val="00FB6C52"/>
    <w:rsid w:val="00FB6F3C"/>
    <w:rsid w:val="00FB708B"/>
    <w:rsid w:val="00FB7190"/>
    <w:rsid w:val="00FB722E"/>
    <w:rsid w:val="00FB740A"/>
    <w:rsid w:val="00FB7770"/>
    <w:rsid w:val="00FB78B0"/>
    <w:rsid w:val="00FB7963"/>
    <w:rsid w:val="00FB7A94"/>
    <w:rsid w:val="00FB7F2E"/>
    <w:rsid w:val="00FC001E"/>
    <w:rsid w:val="00FC03D1"/>
    <w:rsid w:val="00FC089D"/>
    <w:rsid w:val="00FC0B83"/>
    <w:rsid w:val="00FC0CEB"/>
    <w:rsid w:val="00FC1318"/>
    <w:rsid w:val="00FC135F"/>
    <w:rsid w:val="00FC185D"/>
    <w:rsid w:val="00FC1A72"/>
    <w:rsid w:val="00FC1BC2"/>
    <w:rsid w:val="00FC1BDC"/>
    <w:rsid w:val="00FC1E85"/>
    <w:rsid w:val="00FC206D"/>
    <w:rsid w:val="00FC2100"/>
    <w:rsid w:val="00FC21D0"/>
    <w:rsid w:val="00FC2226"/>
    <w:rsid w:val="00FC279E"/>
    <w:rsid w:val="00FC287A"/>
    <w:rsid w:val="00FC297D"/>
    <w:rsid w:val="00FC2A05"/>
    <w:rsid w:val="00FC2B60"/>
    <w:rsid w:val="00FC2CBC"/>
    <w:rsid w:val="00FC2DD6"/>
    <w:rsid w:val="00FC2E69"/>
    <w:rsid w:val="00FC301A"/>
    <w:rsid w:val="00FC3266"/>
    <w:rsid w:val="00FC380C"/>
    <w:rsid w:val="00FC3A7B"/>
    <w:rsid w:val="00FC3C2E"/>
    <w:rsid w:val="00FC3D96"/>
    <w:rsid w:val="00FC3D9E"/>
    <w:rsid w:val="00FC3E8D"/>
    <w:rsid w:val="00FC3F27"/>
    <w:rsid w:val="00FC3FC9"/>
    <w:rsid w:val="00FC4503"/>
    <w:rsid w:val="00FC4854"/>
    <w:rsid w:val="00FC4A50"/>
    <w:rsid w:val="00FC4A65"/>
    <w:rsid w:val="00FC4AB6"/>
    <w:rsid w:val="00FC4B97"/>
    <w:rsid w:val="00FC4D79"/>
    <w:rsid w:val="00FC4E94"/>
    <w:rsid w:val="00FC53C4"/>
    <w:rsid w:val="00FC54F3"/>
    <w:rsid w:val="00FC552E"/>
    <w:rsid w:val="00FC5623"/>
    <w:rsid w:val="00FC563B"/>
    <w:rsid w:val="00FC5737"/>
    <w:rsid w:val="00FC582C"/>
    <w:rsid w:val="00FC58ED"/>
    <w:rsid w:val="00FC5973"/>
    <w:rsid w:val="00FC63C4"/>
    <w:rsid w:val="00FC6991"/>
    <w:rsid w:val="00FC6BBB"/>
    <w:rsid w:val="00FC6C6D"/>
    <w:rsid w:val="00FC721F"/>
    <w:rsid w:val="00FC7290"/>
    <w:rsid w:val="00FC72A9"/>
    <w:rsid w:val="00FC747A"/>
    <w:rsid w:val="00FC74F5"/>
    <w:rsid w:val="00FC751E"/>
    <w:rsid w:val="00FC79EF"/>
    <w:rsid w:val="00FC7B27"/>
    <w:rsid w:val="00FC7BC4"/>
    <w:rsid w:val="00FC7E3A"/>
    <w:rsid w:val="00FD002C"/>
    <w:rsid w:val="00FD0231"/>
    <w:rsid w:val="00FD04A4"/>
    <w:rsid w:val="00FD0AFC"/>
    <w:rsid w:val="00FD0E28"/>
    <w:rsid w:val="00FD116A"/>
    <w:rsid w:val="00FD12F1"/>
    <w:rsid w:val="00FD13E1"/>
    <w:rsid w:val="00FD13F1"/>
    <w:rsid w:val="00FD1F53"/>
    <w:rsid w:val="00FD1F8F"/>
    <w:rsid w:val="00FD2056"/>
    <w:rsid w:val="00FD20FF"/>
    <w:rsid w:val="00FD24B5"/>
    <w:rsid w:val="00FD25B0"/>
    <w:rsid w:val="00FD292B"/>
    <w:rsid w:val="00FD2A52"/>
    <w:rsid w:val="00FD2CB7"/>
    <w:rsid w:val="00FD2D11"/>
    <w:rsid w:val="00FD2D99"/>
    <w:rsid w:val="00FD2FBD"/>
    <w:rsid w:val="00FD3134"/>
    <w:rsid w:val="00FD3535"/>
    <w:rsid w:val="00FD359E"/>
    <w:rsid w:val="00FD3B64"/>
    <w:rsid w:val="00FD3BD9"/>
    <w:rsid w:val="00FD4082"/>
    <w:rsid w:val="00FD4303"/>
    <w:rsid w:val="00FD4377"/>
    <w:rsid w:val="00FD466D"/>
    <w:rsid w:val="00FD48BC"/>
    <w:rsid w:val="00FD4B9D"/>
    <w:rsid w:val="00FD4F4A"/>
    <w:rsid w:val="00FD4F97"/>
    <w:rsid w:val="00FD506D"/>
    <w:rsid w:val="00FD5621"/>
    <w:rsid w:val="00FD58DE"/>
    <w:rsid w:val="00FD58FE"/>
    <w:rsid w:val="00FD59A3"/>
    <w:rsid w:val="00FD5A5C"/>
    <w:rsid w:val="00FD5A93"/>
    <w:rsid w:val="00FD5B34"/>
    <w:rsid w:val="00FD5BF3"/>
    <w:rsid w:val="00FD6319"/>
    <w:rsid w:val="00FD63C0"/>
    <w:rsid w:val="00FD6442"/>
    <w:rsid w:val="00FD676F"/>
    <w:rsid w:val="00FD6A89"/>
    <w:rsid w:val="00FD6A8F"/>
    <w:rsid w:val="00FD6D36"/>
    <w:rsid w:val="00FD719F"/>
    <w:rsid w:val="00FD7485"/>
    <w:rsid w:val="00FD7642"/>
    <w:rsid w:val="00FD7845"/>
    <w:rsid w:val="00FD786D"/>
    <w:rsid w:val="00FD7C6C"/>
    <w:rsid w:val="00FD7D6D"/>
    <w:rsid w:val="00FE0358"/>
    <w:rsid w:val="00FE0416"/>
    <w:rsid w:val="00FE0A08"/>
    <w:rsid w:val="00FE0B55"/>
    <w:rsid w:val="00FE0BD6"/>
    <w:rsid w:val="00FE0DB7"/>
    <w:rsid w:val="00FE0EC5"/>
    <w:rsid w:val="00FE0EC9"/>
    <w:rsid w:val="00FE129A"/>
    <w:rsid w:val="00FE143A"/>
    <w:rsid w:val="00FE1701"/>
    <w:rsid w:val="00FE1896"/>
    <w:rsid w:val="00FE1CB1"/>
    <w:rsid w:val="00FE2262"/>
    <w:rsid w:val="00FE2337"/>
    <w:rsid w:val="00FE2636"/>
    <w:rsid w:val="00FE2884"/>
    <w:rsid w:val="00FE2BAE"/>
    <w:rsid w:val="00FE2BE5"/>
    <w:rsid w:val="00FE2C30"/>
    <w:rsid w:val="00FE30DD"/>
    <w:rsid w:val="00FE3283"/>
    <w:rsid w:val="00FE330B"/>
    <w:rsid w:val="00FE33F5"/>
    <w:rsid w:val="00FE34BB"/>
    <w:rsid w:val="00FE34DF"/>
    <w:rsid w:val="00FE351E"/>
    <w:rsid w:val="00FE3554"/>
    <w:rsid w:val="00FE35D9"/>
    <w:rsid w:val="00FE3738"/>
    <w:rsid w:val="00FE37D7"/>
    <w:rsid w:val="00FE3890"/>
    <w:rsid w:val="00FE3927"/>
    <w:rsid w:val="00FE39DA"/>
    <w:rsid w:val="00FE3A08"/>
    <w:rsid w:val="00FE3B12"/>
    <w:rsid w:val="00FE3B64"/>
    <w:rsid w:val="00FE3B85"/>
    <w:rsid w:val="00FE3C38"/>
    <w:rsid w:val="00FE3C98"/>
    <w:rsid w:val="00FE3E23"/>
    <w:rsid w:val="00FE3FBE"/>
    <w:rsid w:val="00FE418F"/>
    <w:rsid w:val="00FE4280"/>
    <w:rsid w:val="00FE4324"/>
    <w:rsid w:val="00FE4350"/>
    <w:rsid w:val="00FE43D9"/>
    <w:rsid w:val="00FE43E8"/>
    <w:rsid w:val="00FE452B"/>
    <w:rsid w:val="00FE457B"/>
    <w:rsid w:val="00FE4580"/>
    <w:rsid w:val="00FE4586"/>
    <w:rsid w:val="00FE49E4"/>
    <w:rsid w:val="00FE49E9"/>
    <w:rsid w:val="00FE4BA1"/>
    <w:rsid w:val="00FE4DE9"/>
    <w:rsid w:val="00FE5293"/>
    <w:rsid w:val="00FE54D0"/>
    <w:rsid w:val="00FE559F"/>
    <w:rsid w:val="00FE5603"/>
    <w:rsid w:val="00FE5605"/>
    <w:rsid w:val="00FE56DB"/>
    <w:rsid w:val="00FE58F8"/>
    <w:rsid w:val="00FE5922"/>
    <w:rsid w:val="00FE5F85"/>
    <w:rsid w:val="00FE6211"/>
    <w:rsid w:val="00FE6739"/>
    <w:rsid w:val="00FE677A"/>
    <w:rsid w:val="00FE6BF8"/>
    <w:rsid w:val="00FE6DB9"/>
    <w:rsid w:val="00FE6F46"/>
    <w:rsid w:val="00FE6FEE"/>
    <w:rsid w:val="00FE7372"/>
    <w:rsid w:val="00FE783B"/>
    <w:rsid w:val="00FE7B77"/>
    <w:rsid w:val="00FE7B9C"/>
    <w:rsid w:val="00FE7E75"/>
    <w:rsid w:val="00FF02C7"/>
    <w:rsid w:val="00FF0690"/>
    <w:rsid w:val="00FF077D"/>
    <w:rsid w:val="00FF09AA"/>
    <w:rsid w:val="00FF0A16"/>
    <w:rsid w:val="00FF0DEA"/>
    <w:rsid w:val="00FF0E70"/>
    <w:rsid w:val="00FF0FD2"/>
    <w:rsid w:val="00FF0FED"/>
    <w:rsid w:val="00FF1218"/>
    <w:rsid w:val="00FF138D"/>
    <w:rsid w:val="00FF1594"/>
    <w:rsid w:val="00FF15C5"/>
    <w:rsid w:val="00FF180D"/>
    <w:rsid w:val="00FF184C"/>
    <w:rsid w:val="00FF19A1"/>
    <w:rsid w:val="00FF1D10"/>
    <w:rsid w:val="00FF1D6A"/>
    <w:rsid w:val="00FF1DB7"/>
    <w:rsid w:val="00FF1EAD"/>
    <w:rsid w:val="00FF20B7"/>
    <w:rsid w:val="00FF2CB1"/>
    <w:rsid w:val="00FF2DCC"/>
    <w:rsid w:val="00FF2EF4"/>
    <w:rsid w:val="00FF314F"/>
    <w:rsid w:val="00FF34C8"/>
    <w:rsid w:val="00FF36C2"/>
    <w:rsid w:val="00FF3944"/>
    <w:rsid w:val="00FF40B5"/>
    <w:rsid w:val="00FF4120"/>
    <w:rsid w:val="00FF4219"/>
    <w:rsid w:val="00FF45F3"/>
    <w:rsid w:val="00FF4952"/>
    <w:rsid w:val="00FF4A17"/>
    <w:rsid w:val="00FF4A6A"/>
    <w:rsid w:val="00FF4BA8"/>
    <w:rsid w:val="00FF4D56"/>
    <w:rsid w:val="00FF4E32"/>
    <w:rsid w:val="00FF4E88"/>
    <w:rsid w:val="00FF4FA1"/>
    <w:rsid w:val="00FF5199"/>
    <w:rsid w:val="00FF529D"/>
    <w:rsid w:val="00FF55C4"/>
    <w:rsid w:val="00FF5F29"/>
    <w:rsid w:val="00FF619A"/>
    <w:rsid w:val="00FF61FF"/>
    <w:rsid w:val="00FF6393"/>
    <w:rsid w:val="00FF63FE"/>
    <w:rsid w:val="00FF6513"/>
    <w:rsid w:val="00FF65D6"/>
    <w:rsid w:val="00FF6B8F"/>
    <w:rsid w:val="00FF72B3"/>
    <w:rsid w:val="00FF7509"/>
    <w:rsid w:val="00FF761B"/>
    <w:rsid w:val="00FF7900"/>
    <w:rsid w:val="00FF7BDA"/>
    <w:rsid w:val="01022950"/>
    <w:rsid w:val="01030406"/>
    <w:rsid w:val="010A478A"/>
    <w:rsid w:val="01115A2F"/>
    <w:rsid w:val="01127020"/>
    <w:rsid w:val="01137068"/>
    <w:rsid w:val="011837C3"/>
    <w:rsid w:val="011B61AB"/>
    <w:rsid w:val="011D21F6"/>
    <w:rsid w:val="012438E5"/>
    <w:rsid w:val="012458B3"/>
    <w:rsid w:val="01266CE7"/>
    <w:rsid w:val="012965DB"/>
    <w:rsid w:val="012B64AF"/>
    <w:rsid w:val="012F41F1"/>
    <w:rsid w:val="012F5BE0"/>
    <w:rsid w:val="0133728C"/>
    <w:rsid w:val="01414214"/>
    <w:rsid w:val="01423F24"/>
    <w:rsid w:val="0145454D"/>
    <w:rsid w:val="0148428A"/>
    <w:rsid w:val="0153693D"/>
    <w:rsid w:val="01545DCE"/>
    <w:rsid w:val="01576781"/>
    <w:rsid w:val="015F0128"/>
    <w:rsid w:val="0160564A"/>
    <w:rsid w:val="016140C6"/>
    <w:rsid w:val="016226ED"/>
    <w:rsid w:val="016376C0"/>
    <w:rsid w:val="016A6204"/>
    <w:rsid w:val="01727C9E"/>
    <w:rsid w:val="017C3D59"/>
    <w:rsid w:val="018460EB"/>
    <w:rsid w:val="01853181"/>
    <w:rsid w:val="01880E09"/>
    <w:rsid w:val="018A0E65"/>
    <w:rsid w:val="018B3650"/>
    <w:rsid w:val="018E4EFB"/>
    <w:rsid w:val="019110AC"/>
    <w:rsid w:val="0193296B"/>
    <w:rsid w:val="01932ABC"/>
    <w:rsid w:val="01984AF0"/>
    <w:rsid w:val="01A01295"/>
    <w:rsid w:val="01A636B8"/>
    <w:rsid w:val="01AA3955"/>
    <w:rsid w:val="01AD7253"/>
    <w:rsid w:val="01B10F29"/>
    <w:rsid w:val="01B258A4"/>
    <w:rsid w:val="01BE0534"/>
    <w:rsid w:val="01BF61E3"/>
    <w:rsid w:val="01C653D3"/>
    <w:rsid w:val="01C75F1A"/>
    <w:rsid w:val="01CA5E81"/>
    <w:rsid w:val="01D149F4"/>
    <w:rsid w:val="01D51380"/>
    <w:rsid w:val="01EB1076"/>
    <w:rsid w:val="0200793B"/>
    <w:rsid w:val="02065E2C"/>
    <w:rsid w:val="02074EB9"/>
    <w:rsid w:val="021966EA"/>
    <w:rsid w:val="021B6F48"/>
    <w:rsid w:val="021C1D55"/>
    <w:rsid w:val="022330F1"/>
    <w:rsid w:val="022B15B8"/>
    <w:rsid w:val="022C20E9"/>
    <w:rsid w:val="022E5745"/>
    <w:rsid w:val="023410AE"/>
    <w:rsid w:val="0235218E"/>
    <w:rsid w:val="023F2212"/>
    <w:rsid w:val="023F36E7"/>
    <w:rsid w:val="02403681"/>
    <w:rsid w:val="0241458E"/>
    <w:rsid w:val="0242628F"/>
    <w:rsid w:val="024274A1"/>
    <w:rsid w:val="02474D14"/>
    <w:rsid w:val="02481715"/>
    <w:rsid w:val="025676BA"/>
    <w:rsid w:val="02581525"/>
    <w:rsid w:val="026A1647"/>
    <w:rsid w:val="026A47F2"/>
    <w:rsid w:val="02700724"/>
    <w:rsid w:val="02725373"/>
    <w:rsid w:val="02746C15"/>
    <w:rsid w:val="027475EC"/>
    <w:rsid w:val="027520D7"/>
    <w:rsid w:val="0275532E"/>
    <w:rsid w:val="027564D5"/>
    <w:rsid w:val="027E2AC6"/>
    <w:rsid w:val="02814F7F"/>
    <w:rsid w:val="02892085"/>
    <w:rsid w:val="028957D9"/>
    <w:rsid w:val="028C035E"/>
    <w:rsid w:val="028F3D5E"/>
    <w:rsid w:val="02930952"/>
    <w:rsid w:val="0299284C"/>
    <w:rsid w:val="029F027D"/>
    <w:rsid w:val="029F4DE2"/>
    <w:rsid w:val="02A55663"/>
    <w:rsid w:val="02A66C31"/>
    <w:rsid w:val="02AA76E9"/>
    <w:rsid w:val="02AC2110"/>
    <w:rsid w:val="02B06584"/>
    <w:rsid w:val="02B24304"/>
    <w:rsid w:val="02B52155"/>
    <w:rsid w:val="02B524D4"/>
    <w:rsid w:val="02B55A35"/>
    <w:rsid w:val="02B71AB6"/>
    <w:rsid w:val="02B77698"/>
    <w:rsid w:val="02B819A5"/>
    <w:rsid w:val="02BF15A4"/>
    <w:rsid w:val="02C8203A"/>
    <w:rsid w:val="02CC42EB"/>
    <w:rsid w:val="02CC475F"/>
    <w:rsid w:val="02CD79DF"/>
    <w:rsid w:val="02D7793E"/>
    <w:rsid w:val="02E60B5E"/>
    <w:rsid w:val="02ED0384"/>
    <w:rsid w:val="02F15024"/>
    <w:rsid w:val="02F33C8E"/>
    <w:rsid w:val="02F4124E"/>
    <w:rsid w:val="02F51F0C"/>
    <w:rsid w:val="02F83B4E"/>
    <w:rsid w:val="030024D0"/>
    <w:rsid w:val="03014E10"/>
    <w:rsid w:val="03077C7C"/>
    <w:rsid w:val="030B0992"/>
    <w:rsid w:val="030D536F"/>
    <w:rsid w:val="031211BD"/>
    <w:rsid w:val="03165F2D"/>
    <w:rsid w:val="03190CB5"/>
    <w:rsid w:val="031D28D4"/>
    <w:rsid w:val="031E377E"/>
    <w:rsid w:val="0320206D"/>
    <w:rsid w:val="03202E20"/>
    <w:rsid w:val="03212322"/>
    <w:rsid w:val="0328766C"/>
    <w:rsid w:val="032F2286"/>
    <w:rsid w:val="0341549A"/>
    <w:rsid w:val="03460EC0"/>
    <w:rsid w:val="03461E09"/>
    <w:rsid w:val="03467450"/>
    <w:rsid w:val="034F71B9"/>
    <w:rsid w:val="0351750A"/>
    <w:rsid w:val="035644BB"/>
    <w:rsid w:val="035D02BC"/>
    <w:rsid w:val="03696B13"/>
    <w:rsid w:val="03822372"/>
    <w:rsid w:val="03921842"/>
    <w:rsid w:val="03947FBB"/>
    <w:rsid w:val="03950F6D"/>
    <w:rsid w:val="039A11DB"/>
    <w:rsid w:val="03A64228"/>
    <w:rsid w:val="03A823C0"/>
    <w:rsid w:val="03A83905"/>
    <w:rsid w:val="03B22EB7"/>
    <w:rsid w:val="03B32A44"/>
    <w:rsid w:val="03B43443"/>
    <w:rsid w:val="03C14992"/>
    <w:rsid w:val="03C63758"/>
    <w:rsid w:val="03C833D0"/>
    <w:rsid w:val="03C839E2"/>
    <w:rsid w:val="03CD6E01"/>
    <w:rsid w:val="03D42D07"/>
    <w:rsid w:val="03D60903"/>
    <w:rsid w:val="03D9673B"/>
    <w:rsid w:val="03DC5322"/>
    <w:rsid w:val="03E47515"/>
    <w:rsid w:val="03E5590A"/>
    <w:rsid w:val="03EC5230"/>
    <w:rsid w:val="03EC71AE"/>
    <w:rsid w:val="03ED4D00"/>
    <w:rsid w:val="03F96EA5"/>
    <w:rsid w:val="04054C55"/>
    <w:rsid w:val="04096F7B"/>
    <w:rsid w:val="040F607C"/>
    <w:rsid w:val="04191820"/>
    <w:rsid w:val="041C7793"/>
    <w:rsid w:val="04226F9B"/>
    <w:rsid w:val="04261197"/>
    <w:rsid w:val="042973A7"/>
    <w:rsid w:val="04303EEB"/>
    <w:rsid w:val="04305D22"/>
    <w:rsid w:val="043D41C9"/>
    <w:rsid w:val="043F465A"/>
    <w:rsid w:val="044A78B3"/>
    <w:rsid w:val="04542A71"/>
    <w:rsid w:val="045F5FDC"/>
    <w:rsid w:val="04630F35"/>
    <w:rsid w:val="046441B2"/>
    <w:rsid w:val="04644D0D"/>
    <w:rsid w:val="04645EB0"/>
    <w:rsid w:val="046641F2"/>
    <w:rsid w:val="046B6280"/>
    <w:rsid w:val="046D0A7E"/>
    <w:rsid w:val="047E0D84"/>
    <w:rsid w:val="04815A7F"/>
    <w:rsid w:val="04855923"/>
    <w:rsid w:val="04896C64"/>
    <w:rsid w:val="04911521"/>
    <w:rsid w:val="04973633"/>
    <w:rsid w:val="04975B54"/>
    <w:rsid w:val="04A60EA4"/>
    <w:rsid w:val="04A770FE"/>
    <w:rsid w:val="04B211F1"/>
    <w:rsid w:val="04B57B90"/>
    <w:rsid w:val="04C01BD4"/>
    <w:rsid w:val="04C536D1"/>
    <w:rsid w:val="04C7219B"/>
    <w:rsid w:val="04C8545F"/>
    <w:rsid w:val="04CC6ED4"/>
    <w:rsid w:val="04E45A6A"/>
    <w:rsid w:val="04E8518C"/>
    <w:rsid w:val="04EC5695"/>
    <w:rsid w:val="04ED1679"/>
    <w:rsid w:val="04ED2F59"/>
    <w:rsid w:val="04F83377"/>
    <w:rsid w:val="05080191"/>
    <w:rsid w:val="050D30FE"/>
    <w:rsid w:val="051501C9"/>
    <w:rsid w:val="0517021D"/>
    <w:rsid w:val="05196216"/>
    <w:rsid w:val="051C16B9"/>
    <w:rsid w:val="053167DE"/>
    <w:rsid w:val="05356C4E"/>
    <w:rsid w:val="053B58B6"/>
    <w:rsid w:val="053F5158"/>
    <w:rsid w:val="05452EAD"/>
    <w:rsid w:val="0547389B"/>
    <w:rsid w:val="054B15AB"/>
    <w:rsid w:val="054E1C36"/>
    <w:rsid w:val="05533546"/>
    <w:rsid w:val="05542861"/>
    <w:rsid w:val="055A44DD"/>
    <w:rsid w:val="055D7977"/>
    <w:rsid w:val="0566197C"/>
    <w:rsid w:val="056652C0"/>
    <w:rsid w:val="056843E2"/>
    <w:rsid w:val="05685F23"/>
    <w:rsid w:val="056B26F3"/>
    <w:rsid w:val="057247B6"/>
    <w:rsid w:val="05791EDF"/>
    <w:rsid w:val="057F0120"/>
    <w:rsid w:val="058274C1"/>
    <w:rsid w:val="0585037A"/>
    <w:rsid w:val="058759EB"/>
    <w:rsid w:val="059143D7"/>
    <w:rsid w:val="0593004C"/>
    <w:rsid w:val="05A91FCE"/>
    <w:rsid w:val="05B51513"/>
    <w:rsid w:val="05B561EA"/>
    <w:rsid w:val="05BA594F"/>
    <w:rsid w:val="05BB5493"/>
    <w:rsid w:val="05C03C5B"/>
    <w:rsid w:val="05C32790"/>
    <w:rsid w:val="05CD0926"/>
    <w:rsid w:val="05D05F97"/>
    <w:rsid w:val="05D8225E"/>
    <w:rsid w:val="05DC638C"/>
    <w:rsid w:val="05DF5C99"/>
    <w:rsid w:val="05E239E4"/>
    <w:rsid w:val="05E331FC"/>
    <w:rsid w:val="05E86439"/>
    <w:rsid w:val="05EC5CFB"/>
    <w:rsid w:val="05EF01F3"/>
    <w:rsid w:val="05F01E32"/>
    <w:rsid w:val="05F06BFC"/>
    <w:rsid w:val="05F628AD"/>
    <w:rsid w:val="05F81055"/>
    <w:rsid w:val="06045D1C"/>
    <w:rsid w:val="060D49E4"/>
    <w:rsid w:val="060F5146"/>
    <w:rsid w:val="061679EF"/>
    <w:rsid w:val="061C5FE7"/>
    <w:rsid w:val="06277755"/>
    <w:rsid w:val="062F3250"/>
    <w:rsid w:val="06334592"/>
    <w:rsid w:val="063B0EB7"/>
    <w:rsid w:val="063B1ADB"/>
    <w:rsid w:val="063B26FE"/>
    <w:rsid w:val="0644429B"/>
    <w:rsid w:val="0663485B"/>
    <w:rsid w:val="06681E90"/>
    <w:rsid w:val="066842EA"/>
    <w:rsid w:val="066A55A9"/>
    <w:rsid w:val="066F0F20"/>
    <w:rsid w:val="06711284"/>
    <w:rsid w:val="067B3F8C"/>
    <w:rsid w:val="067C2836"/>
    <w:rsid w:val="06860DBC"/>
    <w:rsid w:val="06865733"/>
    <w:rsid w:val="068858C6"/>
    <w:rsid w:val="068C5C42"/>
    <w:rsid w:val="068D43AE"/>
    <w:rsid w:val="068F1527"/>
    <w:rsid w:val="0691130C"/>
    <w:rsid w:val="0692495D"/>
    <w:rsid w:val="0695319D"/>
    <w:rsid w:val="06976EFF"/>
    <w:rsid w:val="069E1362"/>
    <w:rsid w:val="06A40360"/>
    <w:rsid w:val="06AE3D97"/>
    <w:rsid w:val="06B10648"/>
    <w:rsid w:val="06B968CC"/>
    <w:rsid w:val="06BC58BA"/>
    <w:rsid w:val="06C25F5A"/>
    <w:rsid w:val="06C72CF1"/>
    <w:rsid w:val="06C80A70"/>
    <w:rsid w:val="06C8357C"/>
    <w:rsid w:val="06C9610C"/>
    <w:rsid w:val="06CA0B9C"/>
    <w:rsid w:val="06CD5CC9"/>
    <w:rsid w:val="06D07E7E"/>
    <w:rsid w:val="06D27AF8"/>
    <w:rsid w:val="06D7543E"/>
    <w:rsid w:val="06DB485A"/>
    <w:rsid w:val="06E148B6"/>
    <w:rsid w:val="06E31D05"/>
    <w:rsid w:val="06E84943"/>
    <w:rsid w:val="06E960AA"/>
    <w:rsid w:val="06EB7B36"/>
    <w:rsid w:val="06ED4762"/>
    <w:rsid w:val="06F65B1C"/>
    <w:rsid w:val="06FE19ED"/>
    <w:rsid w:val="070B2CD5"/>
    <w:rsid w:val="070C3AF0"/>
    <w:rsid w:val="070F2A67"/>
    <w:rsid w:val="07146D98"/>
    <w:rsid w:val="071B7372"/>
    <w:rsid w:val="071F0C3F"/>
    <w:rsid w:val="07286DC5"/>
    <w:rsid w:val="0729286A"/>
    <w:rsid w:val="072E6FC0"/>
    <w:rsid w:val="072F4F4B"/>
    <w:rsid w:val="07331A29"/>
    <w:rsid w:val="073836D3"/>
    <w:rsid w:val="07391E8A"/>
    <w:rsid w:val="07421FF0"/>
    <w:rsid w:val="0745644D"/>
    <w:rsid w:val="074F1FF7"/>
    <w:rsid w:val="074F63C0"/>
    <w:rsid w:val="07500389"/>
    <w:rsid w:val="07571DAC"/>
    <w:rsid w:val="07601A0C"/>
    <w:rsid w:val="076037A1"/>
    <w:rsid w:val="07634AE5"/>
    <w:rsid w:val="07694DC7"/>
    <w:rsid w:val="076B1B65"/>
    <w:rsid w:val="07741847"/>
    <w:rsid w:val="077C578D"/>
    <w:rsid w:val="07971F69"/>
    <w:rsid w:val="079E31F2"/>
    <w:rsid w:val="07A174CB"/>
    <w:rsid w:val="07A272F8"/>
    <w:rsid w:val="07A66248"/>
    <w:rsid w:val="07A74D8A"/>
    <w:rsid w:val="07AA637F"/>
    <w:rsid w:val="07AB2DAC"/>
    <w:rsid w:val="07AF30A6"/>
    <w:rsid w:val="07AF4222"/>
    <w:rsid w:val="07B21B2D"/>
    <w:rsid w:val="07B355E5"/>
    <w:rsid w:val="07B50006"/>
    <w:rsid w:val="07B74CA6"/>
    <w:rsid w:val="07B83A8A"/>
    <w:rsid w:val="07BD6D6B"/>
    <w:rsid w:val="07BE50B1"/>
    <w:rsid w:val="07C515D8"/>
    <w:rsid w:val="07D17F7D"/>
    <w:rsid w:val="07D54785"/>
    <w:rsid w:val="07DA46A3"/>
    <w:rsid w:val="07DC50D9"/>
    <w:rsid w:val="07E40A48"/>
    <w:rsid w:val="07EA4488"/>
    <w:rsid w:val="07EE2AB2"/>
    <w:rsid w:val="07FA7684"/>
    <w:rsid w:val="07FC7E04"/>
    <w:rsid w:val="07FD5ED5"/>
    <w:rsid w:val="080943F0"/>
    <w:rsid w:val="080C2CEA"/>
    <w:rsid w:val="080C31A0"/>
    <w:rsid w:val="080D6E38"/>
    <w:rsid w:val="0812209B"/>
    <w:rsid w:val="08153C1F"/>
    <w:rsid w:val="081754D8"/>
    <w:rsid w:val="08215C4C"/>
    <w:rsid w:val="0822151D"/>
    <w:rsid w:val="08262C13"/>
    <w:rsid w:val="083420ED"/>
    <w:rsid w:val="08343C51"/>
    <w:rsid w:val="08360872"/>
    <w:rsid w:val="08375C1E"/>
    <w:rsid w:val="083A3EB2"/>
    <w:rsid w:val="084C5A1B"/>
    <w:rsid w:val="085D04D3"/>
    <w:rsid w:val="0861620A"/>
    <w:rsid w:val="086504F8"/>
    <w:rsid w:val="086F168D"/>
    <w:rsid w:val="086F2DF0"/>
    <w:rsid w:val="08734B7A"/>
    <w:rsid w:val="087972AF"/>
    <w:rsid w:val="087E208C"/>
    <w:rsid w:val="088A38F9"/>
    <w:rsid w:val="088D76ED"/>
    <w:rsid w:val="08997FCA"/>
    <w:rsid w:val="089C6372"/>
    <w:rsid w:val="089F0E7D"/>
    <w:rsid w:val="08A63156"/>
    <w:rsid w:val="08A745B7"/>
    <w:rsid w:val="08AD14EA"/>
    <w:rsid w:val="08AD5BDC"/>
    <w:rsid w:val="08AE3092"/>
    <w:rsid w:val="08B03CD9"/>
    <w:rsid w:val="08B64CB1"/>
    <w:rsid w:val="08B85A97"/>
    <w:rsid w:val="08C34CE7"/>
    <w:rsid w:val="08C47661"/>
    <w:rsid w:val="08CA5385"/>
    <w:rsid w:val="08D64E5D"/>
    <w:rsid w:val="08D663C8"/>
    <w:rsid w:val="08D95CCC"/>
    <w:rsid w:val="08DA5446"/>
    <w:rsid w:val="08E04958"/>
    <w:rsid w:val="08E07D65"/>
    <w:rsid w:val="08E12F1C"/>
    <w:rsid w:val="08E92ED7"/>
    <w:rsid w:val="08EA4DFE"/>
    <w:rsid w:val="08EC649A"/>
    <w:rsid w:val="08F63995"/>
    <w:rsid w:val="08F657EC"/>
    <w:rsid w:val="08FB06AD"/>
    <w:rsid w:val="09037767"/>
    <w:rsid w:val="09080044"/>
    <w:rsid w:val="090C37B7"/>
    <w:rsid w:val="09172FB0"/>
    <w:rsid w:val="091838B9"/>
    <w:rsid w:val="091B7E20"/>
    <w:rsid w:val="091E5433"/>
    <w:rsid w:val="09220554"/>
    <w:rsid w:val="09220EB7"/>
    <w:rsid w:val="092376BD"/>
    <w:rsid w:val="09304F9F"/>
    <w:rsid w:val="09324404"/>
    <w:rsid w:val="0937213C"/>
    <w:rsid w:val="093D78FC"/>
    <w:rsid w:val="09446A0E"/>
    <w:rsid w:val="094543A5"/>
    <w:rsid w:val="09542EDC"/>
    <w:rsid w:val="09550057"/>
    <w:rsid w:val="09571B10"/>
    <w:rsid w:val="09641372"/>
    <w:rsid w:val="096B55C1"/>
    <w:rsid w:val="096D7830"/>
    <w:rsid w:val="096E6279"/>
    <w:rsid w:val="0972053F"/>
    <w:rsid w:val="09727BA4"/>
    <w:rsid w:val="09736C45"/>
    <w:rsid w:val="097C3526"/>
    <w:rsid w:val="097C4E2D"/>
    <w:rsid w:val="098855AD"/>
    <w:rsid w:val="098D5D0B"/>
    <w:rsid w:val="098F0C97"/>
    <w:rsid w:val="09905089"/>
    <w:rsid w:val="09A3577C"/>
    <w:rsid w:val="09AC1E04"/>
    <w:rsid w:val="09AE2CD5"/>
    <w:rsid w:val="09B87968"/>
    <w:rsid w:val="09BF1B9E"/>
    <w:rsid w:val="09C155A5"/>
    <w:rsid w:val="09C17DFA"/>
    <w:rsid w:val="09C23A09"/>
    <w:rsid w:val="09C65292"/>
    <w:rsid w:val="09C95E5D"/>
    <w:rsid w:val="09CE595E"/>
    <w:rsid w:val="09D03715"/>
    <w:rsid w:val="09D37535"/>
    <w:rsid w:val="09D506AC"/>
    <w:rsid w:val="09D5345C"/>
    <w:rsid w:val="09D817FC"/>
    <w:rsid w:val="09DE3D12"/>
    <w:rsid w:val="09E07659"/>
    <w:rsid w:val="09E64164"/>
    <w:rsid w:val="09E813E1"/>
    <w:rsid w:val="09EF276F"/>
    <w:rsid w:val="09FB3680"/>
    <w:rsid w:val="09FD75F9"/>
    <w:rsid w:val="0A021476"/>
    <w:rsid w:val="0A08213D"/>
    <w:rsid w:val="0A0A4B10"/>
    <w:rsid w:val="0A0B1BA8"/>
    <w:rsid w:val="0A18534B"/>
    <w:rsid w:val="0A1860A5"/>
    <w:rsid w:val="0A254303"/>
    <w:rsid w:val="0A2918D5"/>
    <w:rsid w:val="0A2A37A7"/>
    <w:rsid w:val="0A317994"/>
    <w:rsid w:val="0A322FFA"/>
    <w:rsid w:val="0A377A9A"/>
    <w:rsid w:val="0A42072D"/>
    <w:rsid w:val="0A495BAC"/>
    <w:rsid w:val="0A4A0473"/>
    <w:rsid w:val="0A581F41"/>
    <w:rsid w:val="0A590504"/>
    <w:rsid w:val="0A6009AC"/>
    <w:rsid w:val="0A647F47"/>
    <w:rsid w:val="0A6553BD"/>
    <w:rsid w:val="0A6D380D"/>
    <w:rsid w:val="0A6E2CA1"/>
    <w:rsid w:val="0A7661C6"/>
    <w:rsid w:val="0A7D1249"/>
    <w:rsid w:val="0A9B3827"/>
    <w:rsid w:val="0A9E2212"/>
    <w:rsid w:val="0AA15B1E"/>
    <w:rsid w:val="0AA417AC"/>
    <w:rsid w:val="0AA44D6C"/>
    <w:rsid w:val="0AA626E9"/>
    <w:rsid w:val="0AA6596B"/>
    <w:rsid w:val="0AA7161C"/>
    <w:rsid w:val="0AAA55B3"/>
    <w:rsid w:val="0AB219DF"/>
    <w:rsid w:val="0ABC1B74"/>
    <w:rsid w:val="0AC305F6"/>
    <w:rsid w:val="0ACE2E18"/>
    <w:rsid w:val="0AD90B78"/>
    <w:rsid w:val="0AE46C69"/>
    <w:rsid w:val="0AE53B72"/>
    <w:rsid w:val="0AEF112D"/>
    <w:rsid w:val="0AF54E47"/>
    <w:rsid w:val="0AF80C2F"/>
    <w:rsid w:val="0AF86CE8"/>
    <w:rsid w:val="0AF86F5E"/>
    <w:rsid w:val="0AFD0EBC"/>
    <w:rsid w:val="0AFD710E"/>
    <w:rsid w:val="0AFF64AD"/>
    <w:rsid w:val="0B032273"/>
    <w:rsid w:val="0B066570"/>
    <w:rsid w:val="0B075E16"/>
    <w:rsid w:val="0B0804DA"/>
    <w:rsid w:val="0B0B0223"/>
    <w:rsid w:val="0B0E3F61"/>
    <w:rsid w:val="0B0E46D0"/>
    <w:rsid w:val="0B1256F9"/>
    <w:rsid w:val="0B131869"/>
    <w:rsid w:val="0B196948"/>
    <w:rsid w:val="0B285BD3"/>
    <w:rsid w:val="0B2F34DD"/>
    <w:rsid w:val="0B301C8C"/>
    <w:rsid w:val="0B30303F"/>
    <w:rsid w:val="0B371C67"/>
    <w:rsid w:val="0B3C2F90"/>
    <w:rsid w:val="0B45498C"/>
    <w:rsid w:val="0B495EAF"/>
    <w:rsid w:val="0B4D424C"/>
    <w:rsid w:val="0B4F1EF7"/>
    <w:rsid w:val="0B50788A"/>
    <w:rsid w:val="0B525C59"/>
    <w:rsid w:val="0B5316C2"/>
    <w:rsid w:val="0B575BDD"/>
    <w:rsid w:val="0B5B3D8A"/>
    <w:rsid w:val="0B5E54A2"/>
    <w:rsid w:val="0B6B051B"/>
    <w:rsid w:val="0B6B4275"/>
    <w:rsid w:val="0B6C1F3E"/>
    <w:rsid w:val="0B6E449A"/>
    <w:rsid w:val="0B721771"/>
    <w:rsid w:val="0B770C6E"/>
    <w:rsid w:val="0B794655"/>
    <w:rsid w:val="0B85745E"/>
    <w:rsid w:val="0B8B22CF"/>
    <w:rsid w:val="0B944A05"/>
    <w:rsid w:val="0B995414"/>
    <w:rsid w:val="0B9C1B14"/>
    <w:rsid w:val="0BB23665"/>
    <w:rsid w:val="0BB53FB4"/>
    <w:rsid w:val="0BC37867"/>
    <w:rsid w:val="0BCC62FA"/>
    <w:rsid w:val="0BCD4D32"/>
    <w:rsid w:val="0BD20395"/>
    <w:rsid w:val="0BD55995"/>
    <w:rsid w:val="0BD65634"/>
    <w:rsid w:val="0BDA7E40"/>
    <w:rsid w:val="0BDE7039"/>
    <w:rsid w:val="0BE502CE"/>
    <w:rsid w:val="0BE54A5E"/>
    <w:rsid w:val="0BEA18D1"/>
    <w:rsid w:val="0BEA5E31"/>
    <w:rsid w:val="0BEF048C"/>
    <w:rsid w:val="0BF056CB"/>
    <w:rsid w:val="0BF27DDA"/>
    <w:rsid w:val="0C0844CE"/>
    <w:rsid w:val="0C0E654C"/>
    <w:rsid w:val="0C1870E5"/>
    <w:rsid w:val="0C23653F"/>
    <w:rsid w:val="0C296DC3"/>
    <w:rsid w:val="0C2A20A6"/>
    <w:rsid w:val="0C33536B"/>
    <w:rsid w:val="0C355092"/>
    <w:rsid w:val="0C3B04F5"/>
    <w:rsid w:val="0C48260B"/>
    <w:rsid w:val="0C504F19"/>
    <w:rsid w:val="0C577FD0"/>
    <w:rsid w:val="0C60219D"/>
    <w:rsid w:val="0C6311F3"/>
    <w:rsid w:val="0C744466"/>
    <w:rsid w:val="0C7D70DC"/>
    <w:rsid w:val="0C8D7E4F"/>
    <w:rsid w:val="0C924E66"/>
    <w:rsid w:val="0C945C86"/>
    <w:rsid w:val="0C963574"/>
    <w:rsid w:val="0C9F66CF"/>
    <w:rsid w:val="0CA04A7E"/>
    <w:rsid w:val="0CA348C2"/>
    <w:rsid w:val="0CA500B5"/>
    <w:rsid w:val="0CAE43B6"/>
    <w:rsid w:val="0CB16A61"/>
    <w:rsid w:val="0CB17195"/>
    <w:rsid w:val="0CBA3508"/>
    <w:rsid w:val="0CBB26A0"/>
    <w:rsid w:val="0CBF4A67"/>
    <w:rsid w:val="0CC26B10"/>
    <w:rsid w:val="0CC33225"/>
    <w:rsid w:val="0CC5770A"/>
    <w:rsid w:val="0CC82544"/>
    <w:rsid w:val="0CC872A8"/>
    <w:rsid w:val="0CCA1C47"/>
    <w:rsid w:val="0CCC2384"/>
    <w:rsid w:val="0CD35D24"/>
    <w:rsid w:val="0CD76FA0"/>
    <w:rsid w:val="0CE256DB"/>
    <w:rsid w:val="0CE41347"/>
    <w:rsid w:val="0CE85C09"/>
    <w:rsid w:val="0CEB1EAC"/>
    <w:rsid w:val="0CF76771"/>
    <w:rsid w:val="0CFC3FA8"/>
    <w:rsid w:val="0CFC5C28"/>
    <w:rsid w:val="0CFD6DD7"/>
    <w:rsid w:val="0D00538B"/>
    <w:rsid w:val="0D0354AF"/>
    <w:rsid w:val="0D0359D7"/>
    <w:rsid w:val="0D052656"/>
    <w:rsid w:val="0D0802C8"/>
    <w:rsid w:val="0D091D9A"/>
    <w:rsid w:val="0D0F1A79"/>
    <w:rsid w:val="0D102253"/>
    <w:rsid w:val="0D1947D4"/>
    <w:rsid w:val="0D213072"/>
    <w:rsid w:val="0D260E8A"/>
    <w:rsid w:val="0D2734E0"/>
    <w:rsid w:val="0D305579"/>
    <w:rsid w:val="0D3421E8"/>
    <w:rsid w:val="0D3A3D4E"/>
    <w:rsid w:val="0D4E4143"/>
    <w:rsid w:val="0D4F62B1"/>
    <w:rsid w:val="0D513305"/>
    <w:rsid w:val="0D5374B9"/>
    <w:rsid w:val="0D56479B"/>
    <w:rsid w:val="0D59788B"/>
    <w:rsid w:val="0D605732"/>
    <w:rsid w:val="0D6824F0"/>
    <w:rsid w:val="0D6F7B79"/>
    <w:rsid w:val="0D7336B7"/>
    <w:rsid w:val="0D7A4565"/>
    <w:rsid w:val="0D7D192B"/>
    <w:rsid w:val="0D867784"/>
    <w:rsid w:val="0D8B3BB4"/>
    <w:rsid w:val="0DA03CD4"/>
    <w:rsid w:val="0DA11D16"/>
    <w:rsid w:val="0DA25D4B"/>
    <w:rsid w:val="0DAD0D13"/>
    <w:rsid w:val="0DAD4E1B"/>
    <w:rsid w:val="0DBF4B4E"/>
    <w:rsid w:val="0DC2372A"/>
    <w:rsid w:val="0DC30C0E"/>
    <w:rsid w:val="0DC442AF"/>
    <w:rsid w:val="0DC90255"/>
    <w:rsid w:val="0DD26892"/>
    <w:rsid w:val="0DE256A6"/>
    <w:rsid w:val="0DE86B21"/>
    <w:rsid w:val="0DEA73DB"/>
    <w:rsid w:val="0DEC4810"/>
    <w:rsid w:val="0DEE18BD"/>
    <w:rsid w:val="0DF078A8"/>
    <w:rsid w:val="0E017783"/>
    <w:rsid w:val="0E097B78"/>
    <w:rsid w:val="0E190008"/>
    <w:rsid w:val="0E2230B3"/>
    <w:rsid w:val="0E252C04"/>
    <w:rsid w:val="0E253B2D"/>
    <w:rsid w:val="0E2875BB"/>
    <w:rsid w:val="0E320EDF"/>
    <w:rsid w:val="0E331B95"/>
    <w:rsid w:val="0E334D29"/>
    <w:rsid w:val="0E361387"/>
    <w:rsid w:val="0E3837AB"/>
    <w:rsid w:val="0E3A2A9D"/>
    <w:rsid w:val="0E3E12C3"/>
    <w:rsid w:val="0E432EC3"/>
    <w:rsid w:val="0E442353"/>
    <w:rsid w:val="0E48378E"/>
    <w:rsid w:val="0E4A64A3"/>
    <w:rsid w:val="0E4C4C9F"/>
    <w:rsid w:val="0E534CB5"/>
    <w:rsid w:val="0E5D24C7"/>
    <w:rsid w:val="0E6130DA"/>
    <w:rsid w:val="0E637F7A"/>
    <w:rsid w:val="0E641AA7"/>
    <w:rsid w:val="0E6510CD"/>
    <w:rsid w:val="0E693043"/>
    <w:rsid w:val="0E7012A2"/>
    <w:rsid w:val="0E7058B3"/>
    <w:rsid w:val="0E794CFD"/>
    <w:rsid w:val="0E843A70"/>
    <w:rsid w:val="0E8522F4"/>
    <w:rsid w:val="0E860B88"/>
    <w:rsid w:val="0E8D2557"/>
    <w:rsid w:val="0E8D32D3"/>
    <w:rsid w:val="0E8D53D7"/>
    <w:rsid w:val="0E9345E9"/>
    <w:rsid w:val="0E9353C9"/>
    <w:rsid w:val="0E9366F1"/>
    <w:rsid w:val="0E942A9C"/>
    <w:rsid w:val="0E9654A5"/>
    <w:rsid w:val="0E986CED"/>
    <w:rsid w:val="0E99714E"/>
    <w:rsid w:val="0E9E1CA8"/>
    <w:rsid w:val="0EA36836"/>
    <w:rsid w:val="0EA857AF"/>
    <w:rsid w:val="0EC20846"/>
    <w:rsid w:val="0EC251B7"/>
    <w:rsid w:val="0ECA56A3"/>
    <w:rsid w:val="0ECB21EA"/>
    <w:rsid w:val="0ECC307F"/>
    <w:rsid w:val="0ED26512"/>
    <w:rsid w:val="0EDE23EE"/>
    <w:rsid w:val="0EE57212"/>
    <w:rsid w:val="0EE7610B"/>
    <w:rsid w:val="0EEB3FA1"/>
    <w:rsid w:val="0EEF3211"/>
    <w:rsid w:val="0EF45369"/>
    <w:rsid w:val="0EF93080"/>
    <w:rsid w:val="0EFB0303"/>
    <w:rsid w:val="0EFC3704"/>
    <w:rsid w:val="0EFD3479"/>
    <w:rsid w:val="0F011F39"/>
    <w:rsid w:val="0F032FB9"/>
    <w:rsid w:val="0F073103"/>
    <w:rsid w:val="0F0E1587"/>
    <w:rsid w:val="0F1B0773"/>
    <w:rsid w:val="0F1C2EBA"/>
    <w:rsid w:val="0F2604AF"/>
    <w:rsid w:val="0F293C0A"/>
    <w:rsid w:val="0F2B5B9F"/>
    <w:rsid w:val="0F304D4B"/>
    <w:rsid w:val="0F3474D6"/>
    <w:rsid w:val="0F444F44"/>
    <w:rsid w:val="0F481072"/>
    <w:rsid w:val="0F486138"/>
    <w:rsid w:val="0F4C6E84"/>
    <w:rsid w:val="0F4F0AB4"/>
    <w:rsid w:val="0F501ECE"/>
    <w:rsid w:val="0F506B63"/>
    <w:rsid w:val="0F53065C"/>
    <w:rsid w:val="0F531BE8"/>
    <w:rsid w:val="0F5512C6"/>
    <w:rsid w:val="0F5520DD"/>
    <w:rsid w:val="0F5C3DDD"/>
    <w:rsid w:val="0F5F6723"/>
    <w:rsid w:val="0F650406"/>
    <w:rsid w:val="0F67724C"/>
    <w:rsid w:val="0F6815DE"/>
    <w:rsid w:val="0F73260B"/>
    <w:rsid w:val="0F735C5D"/>
    <w:rsid w:val="0F7D6388"/>
    <w:rsid w:val="0F862AF8"/>
    <w:rsid w:val="0F887092"/>
    <w:rsid w:val="0F894AE5"/>
    <w:rsid w:val="0F8971C2"/>
    <w:rsid w:val="0F8A6A96"/>
    <w:rsid w:val="0F8D1771"/>
    <w:rsid w:val="0F923468"/>
    <w:rsid w:val="0F985657"/>
    <w:rsid w:val="0F9E7106"/>
    <w:rsid w:val="0FA57602"/>
    <w:rsid w:val="0FA83AEC"/>
    <w:rsid w:val="0FA83B24"/>
    <w:rsid w:val="0FA945A8"/>
    <w:rsid w:val="0FAF0608"/>
    <w:rsid w:val="0FB339AB"/>
    <w:rsid w:val="0FBD0C1A"/>
    <w:rsid w:val="0FC31615"/>
    <w:rsid w:val="0FC81A7B"/>
    <w:rsid w:val="0FCF1EA9"/>
    <w:rsid w:val="0FD85FC0"/>
    <w:rsid w:val="0FD87C0B"/>
    <w:rsid w:val="0FDD6DAE"/>
    <w:rsid w:val="0FE70809"/>
    <w:rsid w:val="0FE91A0F"/>
    <w:rsid w:val="0FE92447"/>
    <w:rsid w:val="0FEA23CE"/>
    <w:rsid w:val="0FED3C0E"/>
    <w:rsid w:val="0FF544E3"/>
    <w:rsid w:val="0FF55E7A"/>
    <w:rsid w:val="0FF7412C"/>
    <w:rsid w:val="0FFC6AFC"/>
    <w:rsid w:val="10027266"/>
    <w:rsid w:val="100C7CC8"/>
    <w:rsid w:val="100F6284"/>
    <w:rsid w:val="10171463"/>
    <w:rsid w:val="101A5D7C"/>
    <w:rsid w:val="101B6A1A"/>
    <w:rsid w:val="102B3A15"/>
    <w:rsid w:val="102D1358"/>
    <w:rsid w:val="102D5D9F"/>
    <w:rsid w:val="102E36FB"/>
    <w:rsid w:val="10320ABA"/>
    <w:rsid w:val="10342F8F"/>
    <w:rsid w:val="1036329B"/>
    <w:rsid w:val="103F6A8A"/>
    <w:rsid w:val="105477D0"/>
    <w:rsid w:val="10551C83"/>
    <w:rsid w:val="105B3F2C"/>
    <w:rsid w:val="10632586"/>
    <w:rsid w:val="1063645C"/>
    <w:rsid w:val="106C2806"/>
    <w:rsid w:val="106C2876"/>
    <w:rsid w:val="10725EA8"/>
    <w:rsid w:val="107462E2"/>
    <w:rsid w:val="107C3286"/>
    <w:rsid w:val="10825E82"/>
    <w:rsid w:val="108A0C55"/>
    <w:rsid w:val="10914580"/>
    <w:rsid w:val="10954999"/>
    <w:rsid w:val="10983351"/>
    <w:rsid w:val="10A641ED"/>
    <w:rsid w:val="10A75649"/>
    <w:rsid w:val="10A867D5"/>
    <w:rsid w:val="10AD1D63"/>
    <w:rsid w:val="10AD6EE0"/>
    <w:rsid w:val="10B857EE"/>
    <w:rsid w:val="10B931D1"/>
    <w:rsid w:val="10B93FD7"/>
    <w:rsid w:val="10BF038B"/>
    <w:rsid w:val="10BF0D8A"/>
    <w:rsid w:val="10D21A9C"/>
    <w:rsid w:val="10DC54DD"/>
    <w:rsid w:val="10DC6F2F"/>
    <w:rsid w:val="10E0010E"/>
    <w:rsid w:val="10E33BB6"/>
    <w:rsid w:val="10E809BA"/>
    <w:rsid w:val="10E92721"/>
    <w:rsid w:val="10EA29A8"/>
    <w:rsid w:val="10F007C4"/>
    <w:rsid w:val="10F4112A"/>
    <w:rsid w:val="10FE5F70"/>
    <w:rsid w:val="110427CD"/>
    <w:rsid w:val="1104685A"/>
    <w:rsid w:val="110979A3"/>
    <w:rsid w:val="11120B59"/>
    <w:rsid w:val="11173C02"/>
    <w:rsid w:val="11285D91"/>
    <w:rsid w:val="112A3913"/>
    <w:rsid w:val="112B56B0"/>
    <w:rsid w:val="11302E0C"/>
    <w:rsid w:val="11384FE7"/>
    <w:rsid w:val="113901B9"/>
    <w:rsid w:val="11392171"/>
    <w:rsid w:val="11392A00"/>
    <w:rsid w:val="1142587A"/>
    <w:rsid w:val="11466227"/>
    <w:rsid w:val="11501BFB"/>
    <w:rsid w:val="115630D4"/>
    <w:rsid w:val="11583B77"/>
    <w:rsid w:val="115E35DD"/>
    <w:rsid w:val="11606281"/>
    <w:rsid w:val="116219F0"/>
    <w:rsid w:val="11693D65"/>
    <w:rsid w:val="11751FD9"/>
    <w:rsid w:val="11756527"/>
    <w:rsid w:val="117D2D56"/>
    <w:rsid w:val="117E1672"/>
    <w:rsid w:val="11816EEE"/>
    <w:rsid w:val="11845E93"/>
    <w:rsid w:val="118907DE"/>
    <w:rsid w:val="118A4858"/>
    <w:rsid w:val="118E286E"/>
    <w:rsid w:val="118F50EC"/>
    <w:rsid w:val="119105B0"/>
    <w:rsid w:val="1196222A"/>
    <w:rsid w:val="11965BC6"/>
    <w:rsid w:val="11967B73"/>
    <w:rsid w:val="119A3E5F"/>
    <w:rsid w:val="119A7C89"/>
    <w:rsid w:val="11A6504F"/>
    <w:rsid w:val="11A83E77"/>
    <w:rsid w:val="11A90681"/>
    <w:rsid w:val="11B30937"/>
    <w:rsid w:val="11B332B2"/>
    <w:rsid w:val="11BF6ECB"/>
    <w:rsid w:val="11C46970"/>
    <w:rsid w:val="11D12348"/>
    <w:rsid w:val="11D504D5"/>
    <w:rsid w:val="11D66E72"/>
    <w:rsid w:val="11DC27BF"/>
    <w:rsid w:val="11E118FC"/>
    <w:rsid w:val="11F315FE"/>
    <w:rsid w:val="11FD00BB"/>
    <w:rsid w:val="11FD6B44"/>
    <w:rsid w:val="12097A31"/>
    <w:rsid w:val="120A1857"/>
    <w:rsid w:val="120B5D34"/>
    <w:rsid w:val="12111C63"/>
    <w:rsid w:val="12156159"/>
    <w:rsid w:val="12193A3A"/>
    <w:rsid w:val="121A6C9D"/>
    <w:rsid w:val="121D74BC"/>
    <w:rsid w:val="121E5D7B"/>
    <w:rsid w:val="12232A9A"/>
    <w:rsid w:val="12391F53"/>
    <w:rsid w:val="123F24AA"/>
    <w:rsid w:val="12411258"/>
    <w:rsid w:val="12423D8C"/>
    <w:rsid w:val="12437D47"/>
    <w:rsid w:val="1247277C"/>
    <w:rsid w:val="12495CFE"/>
    <w:rsid w:val="124A1AFD"/>
    <w:rsid w:val="124E6D7F"/>
    <w:rsid w:val="12504DEF"/>
    <w:rsid w:val="12547B4C"/>
    <w:rsid w:val="125F44B6"/>
    <w:rsid w:val="12611B8F"/>
    <w:rsid w:val="126403CC"/>
    <w:rsid w:val="12651E4F"/>
    <w:rsid w:val="126B3D39"/>
    <w:rsid w:val="12753A40"/>
    <w:rsid w:val="127B4955"/>
    <w:rsid w:val="1286710E"/>
    <w:rsid w:val="128845A3"/>
    <w:rsid w:val="128B522F"/>
    <w:rsid w:val="12902616"/>
    <w:rsid w:val="12912E34"/>
    <w:rsid w:val="12931B0E"/>
    <w:rsid w:val="12943641"/>
    <w:rsid w:val="129B6061"/>
    <w:rsid w:val="12A10766"/>
    <w:rsid w:val="12A26615"/>
    <w:rsid w:val="12A33949"/>
    <w:rsid w:val="12A95555"/>
    <w:rsid w:val="12AA005C"/>
    <w:rsid w:val="12AA12B5"/>
    <w:rsid w:val="12AA5306"/>
    <w:rsid w:val="12AE1855"/>
    <w:rsid w:val="12AF089C"/>
    <w:rsid w:val="12AF59BF"/>
    <w:rsid w:val="12B401B6"/>
    <w:rsid w:val="12BD7579"/>
    <w:rsid w:val="12C15E77"/>
    <w:rsid w:val="12CB3069"/>
    <w:rsid w:val="12CF3415"/>
    <w:rsid w:val="12D62133"/>
    <w:rsid w:val="12D85C7A"/>
    <w:rsid w:val="12DE27EC"/>
    <w:rsid w:val="12DE7321"/>
    <w:rsid w:val="12E82687"/>
    <w:rsid w:val="13043059"/>
    <w:rsid w:val="1307039B"/>
    <w:rsid w:val="13071DBF"/>
    <w:rsid w:val="1310226E"/>
    <w:rsid w:val="13114098"/>
    <w:rsid w:val="13195DE4"/>
    <w:rsid w:val="1324007D"/>
    <w:rsid w:val="132463A8"/>
    <w:rsid w:val="132776BA"/>
    <w:rsid w:val="132D0AB9"/>
    <w:rsid w:val="1333188F"/>
    <w:rsid w:val="13345697"/>
    <w:rsid w:val="13352A2D"/>
    <w:rsid w:val="133944B4"/>
    <w:rsid w:val="13464386"/>
    <w:rsid w:val="134E6555"/>
    <w:rsid w:val="13531FC1"/>
    <w:rsid w:val="13562CEA"/>
    <w:rsid w:val="135A4632"/>
    <w:rsid w:val="135B55CE"/>
    <w:rsid w:val="13670252"/>
    <w:rsid w:val="13687903"/>
    <w:rsid w:val="137A0A03"/>
    <w:rsid w:val="137E0C88"/>
    <w:rsid w:val="137E11B4"/>
    <w:rsid w:val="138317A1"/>
    <w:rsid w:val="13900EDE"/>
    <w:rsid w:val="1392057A"/>
    <w:rsid w:val="13932890"/>
    <w:rsid w:val="13981371"/>
    <w:rsid w:val="139A199E"/>
    <w:rsid w:val="139E3EE8"/>
    <w:rsid w:val="139F44F0"/>
    <w:rsid w:val="13A24725"/>
    <w:rsid w:val="13A46184"/>
    <w:rsid w:val="13A64D99"/>
    <w:rsid w:val="13AB1B19"/>
    <w:rsid w:val="13AF4D8D"/>
    <w:rsid w:val="13B567D8"/>
    <w:rsid w:val="13B9324C"/>
    <w:rsid w:val="13B93B5C"/>
    <w:rsid w:val="13BD55DC"/>
    <w:rsid w:val="13C24A51"/>
    <w:rsid w:val="13D02023"/>
    <w:rsid w:val="13D1528B"/>
    <w:rsid w:val="13D62BF8"/>
    <w:rsid w:val="13DE21BF"/>
    <w:rsid w:val="13DF637D"/>
    <w:rsid w:val="13E74C4D"/>
    <w:rsid w:val="13E7556A"/>
    <w:rsid w:val="13E93015"/>
    <w:rsid w:val="13F605DA"/>
    <w:rsid w:val="13F90322"/>
    <w:rsid w:val="13FA11B9"/>
    <w:rsid w:val="13FC0BDE"/>
    <w:rsid w:val="14004E57"/>
    <w:rsid w:val="14067A24"/>
    <w:rsid w:val="140818EC"/>
    <w:rsid w:val="14261483"/>
    <w:rsid w:val="142B3DD2"/>
    <w:rsid w:val="142D79A2"/>
    <w:rsid w:val="142E5135"/>
    <w:rsid w:val="14332BE3"/>
    <w:rsid w:val="143376FC"/>
    <w:rsid w:val="14385731"/>
    <w:rsid w:val="143A37D5"/>
    <w:rsid w:val="14410270"/>
    <w:rsid w:val="144476A6"/>
    <w:rsid w:val="144A74C6"/>
    <w:rsid w:val="144E5403"/>
    <w:rsid w:val="145161F3"/>
    <w:rsid w:val="145422E8"/>
    <w:rsid w:val="1455423A"/>
    <w:rsid w:val="145E673A"/>
    <w:rsid w:val="146A192C"/>
    <w:rsid w:val="146C0CA3"/>
    <w:rsid w:val="14701E59"/>
    <w:rsid w:val="147409B1"/>
    <w:rsid w:val="14743E65"/>
    <w:rsid w:val="147A2F75"/>
    <w:rsid w:val="147A6014"/>
    <w:rsid w:val="147C18B5"/>
    <w:rsid w:val="147C72F5"/>
    <w:rsid w:val="148117F5"/>
    <w:rsid w:val="14837F7C"/>
    <w:rsid w:val="148C4B9C"/>
    <w:rsid w:val="149208C7"/>
    <w:rsid w:val="14927E49"/>
    <w:rsid w:val="14A250C9"/>
    <w:rsid w:val="14A44207"/>
    <w:rsid w:val="14A44EB1"/>
    <w:rsid w:val="14A932AB"/>
    <w:rsid w:val="14AE02DD"/>
    <w:rsid w:val="14B72092"/>
    <w:rsid w:val="14B848C0"/>
    <w:rsid w:val="14BF0043"/>
    <w:rsid w:val="14BF5370"/>
    <w:rsid w:val="14BF5CF1"/>
    <w:rsid w:val="14C238EF"/>
    <w:rsid w:val="14C43586"/>
    <w:rsid w:val="14CC1B88"/>
    <w:rsid w:val="14D100E0"/>
    <w:rsid w:val="14D7452C"/>
    <w:rsid w:val="14D9451A"/>
    <w:rsid w:val="14DC551C"/>
    <w:rsid w:val="14E44F5D"/>
    <w:rsid w:val="14E45150"/>
    <w:rsid w:val="14E6205C"/>
    <w:rsid w:val="14EA413B"/>
    <w:rsid w:val="14EF5154"/>
    <w:rsid w:val="14F20A38"/>
    <w:rsid w:val="14F910D4"/>
    <w:rsid w:val="14FC1468"/>
    <w:rsid w:val="150177FB"/>
    <w:rsid w:val="15023C9F"/>
    <w:rsid w:val="150A256E"/>
    <w:rsid w:val="150E3CE4"/>
    <w:rsid w:val="151267AE"/>
    <w:rsid w:val="15206202"/>
    <w:rsid w:val="15213D69"/>
    <w:rsid w:val="152959BA"/>
    <w:rsid w:val="152A12F9"/>
    <w:rsid w:val="154537CD"/>
    <w:rsid w:val="154B007F"/>
    <w:rsid w:val="154C6CC8"/>
    <w:rsid w:val="154D7E1F"/>
    <w:rsid w:val="155D4978"/>
    <w:rsid w:val="155E4C7A"/>
    <w:rsid w:val="155E7E67"/>
    <w:rsid w:val="15611DDC"/>
    <w:rsid w:val="15634437"/>
    <w:rsid w:val="15644BBD"/>
    <w:rsid w:val="15646E13"/>
    <w:rsid w:val="156F29B6"/>
    <w:rsid w:val="15701AE5"/>
    <w:rsid w:val="15746899"/>
    <w:rsid w:val="15766853"/>
    <w:rsid w:val="15794922"/>
    <w:rsid w:val="158B2AC0"/>
    <w:rsid w:val="159917A5"/>
    <w:rsid w:val="15B17473"/>
    <w:rsid w:val="15B5291C"/>
    <w:rsid w:val="15B74A18"/>
    <w:rsid w:val="15BE10D3"/>
    <w:rsid w:val="15C86EDB"/>
    <w:rsid w:val="15D00506"/>
    <w:rsid w:val="15D13E54"/>
    <w:rsid w:val="15D92785"/>
    <w:rsid w:val="15DE6610"/>
    <w:rsid w:val="15E14A6B"/>
    <w:rsid w:val="15E57D80"/>
    <w:rsid w:val="15E658D6"/>
    <w:rsid w:val="15E93766"/>
    <w:rsid w:val="15ED76B8"/>
    <w:rsid w:val="15EF55BD"/>
    <w:rsid w:val="15F70C46"/>
    <w:rsid w:val="15FC258B"/>
    <w:rsid w:val="16081B40"/>
    <w:rsid w:val="160937DE"/>
    <w:rsid w:val="16096967"/>
    <w:rsid w:val="160C28FB"/>
    <w:rsid w:val="161D1E70"/>
    <w:rsid w:val="163069CD"/>
    <w:rsid w:val="16337F9D"/>
    <w:rsid w:val="1638114C"/>
    <w:rsid w:val="16397B78"/>
    <w:rsid w:val="163C496D"/>
    <w:rsid w:val="16444D32"/>
    <w:rsid w:val="164675FA"/>
    <w:rsid w:val="164D3DCB"/>
    <w:rsid w:val="164E7E80"/>
    <w:rsid w:val="16522C10"/>
    <w:rsid w:val="165247B2"/>
    <w:rsid w:val="165338FE"/>
    <w:rsid w:val="16534086"/>
    <w:rsid w:val="16534FAD"/>
    <w:rsid w:val="165A712C"/>
    <w:rsid w:val="16612AC2"/>
    <w:rsid w:val="16640EAE"/>
    <w:rsid w:val="16775FC6"/>
    <w:rsid w:val="16784251"/>
    <w:rsid w:val="167A3D95"/>
    <w:rsid w:val="167B07F6"/>
    <w:rsid w:val="16826A74"/>
    <w:rsid w:val="16860A02"/>
    <w:rsid w:val="168A294D"/>
    <w:rsid w:val="1690657C"/>
    <w:rsid w:val="169222D2"/>
    <w:rsid w:val="16944547"/>
    <w:rsid w:val="169554A5"/>
    <w:rsid w:val="169B3D7C"/>
    <w:rsid w:val="16A7514A"/>
    <w:rsid w:val="16AF1306"/>
    <w:rsid w:val="16B0774D"/>
    <w:rsid w:val="16B1393D"/>
    <w:rsid w:val="16B41D43"/>
    <w:rsid w:val="16BB1E16"/>
    <w:rsid w:val="16BE2E80"/>
    <w:rsid w:val="16C44484"/>
    <w:rsid w:val="16CC29AD"/>
    <w:rsid w:val="16D34CDF"/>
    <w:rsid w:val="16D52C07"/>
    <w:rsid w:val="16D63E48"/>
    <w:rsid w:val="16D72F09"/>
    <w:rsid w:val="16DA0493"/>
    <w:rsid w:val="16DD4F4A"/>
    <w:rsid w:val="16DF6FD5"/>
    <w:rsid w:val="16E43624"/>
    <w:rsid w:val="16EB0762"/>
    <w:rsid w:val="16EB4628"/>
    <w:rsid w:val="16EC0D2F"/>
    <w:rsid w:val="16EE34AD"/>
    <w:rsid w:val="16FC5D73"/>
    <w:rsid w:val="16FD7459"/>
    <w:rsid w:val="170830C2"/>
    <w:rsid w:val="17087C79"/>
    <w:rsid w:val="170949E9"/>
    <w:rsid w:val="171157DD"/>
    <w:rsid w:val="17144413"/>
    <w:rsid w:val="17176526"/>
    <w:rsid w:val="171D7DE9"/>
    <w:rsid w:val="172137CC"/>
    <w:rsid w:val="172249FA"/>
    <w:rsid w:val="172A040E"/>
    <w:rsid w:val="172C01F6"/>
    <w:rsid w:val="172D035F"/>
    <w:rsid w:val="17310D4E"/>
    <w:rsid w:val="1733050F"/>
    <w:rsid w:val="17364679"/>
    <w:rsid w:val="17371406"/>
    <w:rsid w:val="173A7CF3"/>
    <w:rsid w:val="173D0A08"/>
    <w:rsid w:val="173D4AED"/>
    <w:rsid w:val="17422768"/>
    <w:rsid w:val="1744245F"/>
    <w:rsid w:val="174B1D9B"/>
    <w:rsid w:val="174C3818"/>
    <w:rsid w:val="174D4F79"/>
    <w:rsid w:val="17537DC3"/>
    <w:rsid w:val="177237ED"/>
    <w:rsid w:val="17791786"/>
    <w:rsid w:val="178017EC"/>
    <w:rsid w:val="17822E75"/>
    <w:rsid w:val="17872239"/>
    <w:rsid w:val="178D6B6D"/>
    <w:rsid w:val="178F2076"/>
    <w:rsid w:val="17942BA8"/>
    <w:rsid w:val="17956DDE"/>
    <w:rsid w:val="179A64BF"/>
    <w:rsid w:val="179C080A"/>
    <w:rsid w:val="179F6746"/>
    <w:rsid w:val="17AB16AF"/>
    <w:rsid w:val="17BC1FA7"/>
    <w:rsid w:val="17C65467"/>
    <w:rsid w:val="17C80C71"/>
    <w:rsid w:val="17CA0378"/>
    <w:rsid w:val="17CC205D"/>
    <w:rsid w:val="17CE1CB8"/>
    <w:rsid w:val="17DB0844"/>
    <w:rsid w:val="17E5636A"/>
    <w:rsid w:val="17E811D7"/>
    <w:rsid w:val="17EA379C"/>
    <w:rsid w:val="17EC4493"/>
    <w:rsid w:val="17ED08D5"/>
    <w:rsid w:val="17F0126D"/>
    <w:rsid w:val="17F52882"/>
    <w:rsid w:val="17F831BB"/>
    <w:rsid w:val="17F84EE5"/>
    <w:rsid w:val="17FF599A"/>
    <w:rsid w:val="1800362D"/>
    <w:rsid w:val="180105D8"/>
    <w:rsid w:val="180D05E1"/>
    <w:rsid w:val="18164305"/>
    <w:rsid w:val="1824303E"/>
    <w:rsid w:val="18296D41"/>
    <w:rsid w:val="182A7C38"/>
    <w:rsid w:val="182F1539"/>
    <w:rsid w:val="183526B5"/>
    <w:rsid w:val="18356E18"/>
    <w:rsid w:val="183D05E8"/>
    <w:rsid w:val="1841541F"/>
    <w:rsid w:val="18417618"/>
    <w:rsid w:val="184716EB"/>
    <w:rsid w:val="18506A75"/>
    <w:rsid w:val="18547E0B"/>
    <w:rsid w:val="18555AB7"/>
    <w:rsid w:val="1855658C"/>
    <w:rsid w:val="18652B72"/>
    <w:rsid w:val="186C1E21"/>
    <w:rsid w:val="18725DC3"/>
    <w:rsid w:val="18767282"/>
    <w:rsid w:val="187A2AF7"/>
    <w:rsid w:val="187A71CB"/>
    <w:rsid w:val="187E29D0"/>
    <w:rsid w:val="188444F7"/>
    <w:rsid w:val="18871048"/>
    <w:rsid w:val="18872F95"/>
    <w:rsid w:val="18890233"/>
    <w:rsid w:val="188D36DD"/>
    <w:rsid w:val="189118CC"/>
    <w:rsid w:val="189310B2"/>
    <w:rsid w:val="189C2FC1"/>
    <w:rsid w:val="189C3B32"/>
    <w:rsid w:val="18A46415"/>
    <w:rsid w:val="18A468F0"/>
    <w:rsid w:val="18A63AB4"/>
    <w:rsid w:val="18A70A60"/>
    <w:rsid w:val="18A87221"/>
    <w:rsid w:val="18A920E9"/>
    <w:rsid w:val="18AD3745"/>
    <w:rsid w:val="18B117B0"/>
    <w:rsid w:val="18B35C53"/>
    <w:rsid w:val="18B54021"/>
    <w:rsid w:val="18C14D71"/>
    <w:rsid w:val="18C23B5C"/>
    <w:rsid w:val="18DD7D30"/>
    <w:rsid w:val="18E325D3"/>
    <w:rsid w:val="18E65983"/>
    <w:rsid w:val="18E67433"/>
    <w:rsid w:val="18ED4079"/>
    <w:rsid w:val="18F11128"/>
    <w:rsid w:val="18F37FFC"/>
    <w:rsid w:val="18F5652D"/>
    <w:rsid w:val="18F735E8"/>
    <w:rsid w:val="18F97F4B"/>
    <w:rsid w:val="18FC6BB6"/>
    <w:rsid w:val="190206B8"/>
    <w:rsid w:val="1902246B"/>
    <w:rsid w:val="19032BB4"/>
    <w:rsid w:val="1903630A"/>
    <w:rsid w:val="19045B0B"/>
    <w:rsid w:val="19085DD3"/>
    <w:rsid w:val="19141A06"/>
    <w:rsid w:val="191B220D"/>
    <w:rsid w:val="191E1E99"/>
    <w:rsid w:val="19251B81"/>
    <w:rsid w:val="192B00AB"/>
    <w:rsid w:val="1938233D"/>
    <w:rsid w:val="194402ED"/>
    <w:rsid w:val="19443BF0"/>
    <w:rsid w:val="19452632"/>
    <w:rsid w:val="19475458"/>
    <w:rsid w:val="19491A4A"/>
    <w:rsid w:val="194F5513"/>
    <w:rsid w:val="195547AB"/>
    <w:rsid w:val="19596FC9"/>
    <w:rsid w:val="195B17A3"/>
    <w:rsid w:val="195E16BF"/>
    <w:rsid w:val="19622F5E"/>
    <w:rsid w:val="1968700C"/>
    <w:rsid w:val="196B7938"/>
    <w:rsid w:val="196E3837"/>
    <w:rsid w:val="19724B92"/>
    <w:rsid w:val="19731192"/>
    <w:rsid w:val="1976371A"/>
    <w:rsid w:val="198844A7"/>
    <w:rsid w:val="19896559"/>
    <w:rsid w:val="198A7DBF"/>
    <w:rsid w:val="198B4C3C"/>
    <w:rsid w:val="199924A0"/>
    <w:rsid w:val="199D0190"/>
    <w:rsid w:val="199D1B29"/>
    <w:rsid w:val="199E2ED8"/>
    <w:rsid w:val="19A07853"/>
    <w:rsid w:val="19A80EBA"/>
    <w:rsid w:val="19AB63E9"/>
    <w:rsid w:val="19AD1C87"/>
    <w:rsid w:val="19B117EF"/>
    <w:rsid w:val="19B80F6E"/>
    <w:rsid w:val="19C16ACD"/>
    <w:rsid w:val="19C5529B"/>
    <w:rsid w:val="19CB75F2"/>
    <w:rsid w:val="19CE32A9"/>
    <w:rsid w:val="19D646B9"/>
    <w:rsid w:val="19E778DA"/>
    <w:rsid w:val="19ED42A1"/>
    <w:rsid w:val="19EE43E7"/>
    <w:rsid w:val="19F02505"/>
    <w:rsid w:val="19F53EC5"/>
    <w:rsid w:val="19F55772"/>
    <w:rsid w:val="19F97A9D"/>
    <w:rsid w:val="1A0B266A"/>
    <w:rsid w:val="1A13397C"/>
    <w:rsid w:val="1A1370E6"/>
    <w:rsid w:val="1A176B88"/>
    <w:rsid w:val="1A1C1C43"/>
    <w:rsid w:val="1A1C4D11"/>
    <w:rsid w:val="1A1D352B"/>
    <w:rsid w:val="1A1D65E2"/>
    <w:rsid w:val="1A277086"/>
    <w:rsid w:val="1A294CEC"/>
    <w:rsid w:val="1A295829"/>
    <w:rsid w:val="1A30178C"/>
    <w:rsid w:val="1A312E6E"/>
    <w:rsid w:val="1A362739"/>
    <w:rsid w:val="1A39118F"/>
    <w:rsid w:val="1A41365D"/>
    <w:rsid w:val="1A442548"/>
    <w:rsid w:val="1A4B7457"/>
    <w:rsid w:val="1A4C2A37"/>
    <w:rsid w:val="1A4E2C7F"/>
    <w:rsid w:val="1A4E34E2"/>
    <w:rsid w:val="1A51591C"/>
    <w:rsid w:val="1A524B32"/>
    <w:rsid w:val="1A6055AF"/>
    <w:rsid w:val="1A6E647A"/>
    <w:rsid w:val="1A6E79B9"/>
    <w:rsid w:val="1A710F7F"/>
    <w:rsid w:val="1A7372AF"/>
    <w:rsid w:val="1A745F8A"/>
    <w:rsid w:val="1A7B3BAB"/>
    <w:rsid w:val="1A7D44BD"/>
    <w:rsid w:val="1A7F369B"/>
    <w:rsid w:val="1A814BE0"/>
    <w:rsid w:val="1A8803DC"/>
    <w:rsid w:val="1A8E70EB"/>
    <w:rsid w:val="1A945A68"/>
    <w:rsid w:val="1A9845D5"/>
    <w:rsid w:val="1A98478E"/>
    <w:rsid w:val="1A99741A"/>
    <w:rsid w:val="1A997708"/>
    <w:rsid w:val="1AA90718"/>
    <w:rsid w:val="1AAB161D"/>
    <w:rsid w:val="1AB10FBD"/>
    <w:rsid w:val="1AB764EA"/>
    <w:rsid w:val="1ABE5BCD"/>
    <w:rsid w:val="1ABE7BD7"/>
    <w:rsid w:val="1AC01D51"/>
    <w:rsid w:val="1AC020E9"/>
    <w:rsid w:val="1AC13CB4"/>
    <w:rsid w:val="1AC405B5"/>
    <w:rsid w:val="1AC52DB1"/>
    <w:rsid w:val="1AC67CAC"/>
    <w:rsid w:val="1AC72999"/>
    <w:rsid w:val="1AD3690E"/>
    <w:rsid w:val="1AD81DBA"/>
    <w:rsid w:val="1AE01BFB"/>
    <w:rsid w:val="1AE1442F"/>
    <w:rsid w:val="1AE509D3"/>
    <w:rsid w:val="1AF30D99"/>
    <w:rsid w:val="1AF34AE2"/>
    <w:rsid w:val="1AF47561"/>
    <w:rsid w:val="1B07426E"/>
    <w:rsid w:val="1B086E06"/>
    <w:rsid w:val="1B0B7B8D"/>
    <w:rsid w:val="1B0E5F4A"/>
    <w:rsid w:val="1B0F4095"/>
    <w:rsid w:val="1B133038"/>
    <w:rsid w:val="1B141D21"/>
    <w:rsid w:val="1B145AD1"/>
    <w:rsid w:val="1B1868FB"/>
    <w:rsid w:val="1B235FBD"/>
    <w:rsid w:val="1B2F2203"/>
    <w:rsid w:val="1B300412"/>
    <w:rsid w:val="1B300E3A"/>
    <w:rsid w:val="1B3061E5"/>
    <w:rsid w:val="1B316CF3"/>
    <w:rsid w:val="1B3546EB"/>
    <w:rsid w:val="1B357564"/>
    <w:rsid w:val="1B3748FD"/>
    <w:rsid w:val="1B3757A7"/>
    <w:rsid w:val="1B3B12E6"/>
    <w:rsid w:val="1B487518"/>
    <w:rsid w:val="1B49414F"/>
    <w:rsid w:val="1B4D379A"/>
    <w:rsid w:val="1B511169"/>
    <w:rsid w:val="1B55264E"/>
    <w:rsid w:val="1B59696D"/>
    <w:rsid w:val="1B5D1E8A"/>
    <w:rsid w:val="1B657AAA"/>
    <w:rsid w:val="1B687433"/>
    <w:rsid w:val="1B6D1AD6"/>
    <w:rsid w:val="1B7D382D"/>
    <w:rsid w:val="1B8028D0"/>
    <w:rsid w:val="1B8C09AE"/>
    <w:rsid w:val="1B99253B"/>
    <w:rsid w:val="1B992A5A"/>
    <w:rsid w:val="1B99660A"/>
    <w:rsid w:val="1B9B4FF0"/>
    <w:rsid w:val="1BA12039"/>
    <w:rsid w:val="1BA173AE"/>
    <w:rsid w:val="1BA46DD6"/>
    <w:rsid w:val="1BA934DD"/>
    <w:rsid w:val="1BAE6718"/>
    <w:rsid w:val="1BB128B1"/>
    <w:rsid w:val="1BB13D28"/>
    <w:rsid w:val="1BB60381"/>
    <w:rsid w:val="1BB60BB1"/>
    <w:rsid w:val="1BB94F54"/>
    <w:rsid w:val="1BBE727B"/>
    <w:rsid w:val="1BC03276"/>
    <w:rsid w:val="1BC11A92"/>
    <w:rsid w:val="1BC3243E"/>
    <w:rsid w:val="1BCB0F2F"/>
    <w:rsid w:val="1BCC24D9"/>
    <w:rsid w:val="1BDA702C"/>
    <w:rsid w:val="1BDD3F75"/>
    <w:rsid w:val="1BE0016A"/>
    <w:rsid w:val="1BE54039"/>
    <w:rsid w:val="1BEA0D29"/>
    <w:rsid w:val="1BEA4F4C"/>
    <w:rsid w:val="1BEC6B0F"/>
    <w:rsid w:val="1BF14E41"/>
    <w:rsid w:val="1BF45915"/>
    <w:rsid w:val="1C046E7D"/>
    <w:rsid w:val="1C097A3B"/>
    <w:rsid w:val="1C0E4591"/>
    <w:rsid w:val="1C116B25"/>
    <w:rsid w:val="1C194FD6"/>
    <w:rsid w:val="1C1E6EE4"/>
    <w:rsid w:val="1C236C3E"/>
    <w:rsid w:val="1C28730E"/>
    <w:rsid w:val="1C2942AF"/>
    <w:rsid w:val="1C2F06C6"/>
    <w:rsid w:val="1C42298D"/>
    <w:rsid w:val="1C4D315A"/>
    <w:rsid w:val="1C4D76B9"/>
    <w:rsid w:val="1C572BD3"/>
    <w:rsid w:val="1C5B5FA8"/>
    <w:rsid w:val="1C5D3828"/>
    <w:rsid w:val="1C5D6587"/>
    <w:rsid w:val="1C616521"/>
    <w:rsid w:val="1C64294F"/>
    <w:rsid w:val="1C715F75"/>
    <w:rsid w:val="1C733010"/>
    <w:rsid w:val="1C7563AB"/>
    <w:rsid w:val="1C775E92"/>
    <w:rsid w:val="1C787B9A"/>
    <w:rsid w:val="1C7F0ACA"/>
    <w:rsid w:val="1C89307D"/>
    <w:rsid w:val="1C89308C"/>
    <w:rsid w:val="1C8A6D4D"/>
    <w:rsid w:val="1C8F7FF4"/>
    <w:rsid w:val="1C950892"/>
    <w:rsid w:val="1C99052B"/>
    <w:rsid w:val="1C9C6787"/>
    <w:rsid w:val="1CA153F0"/>
    <w:rsid w:val="1CA63A34"/>
    <w:rsid w:val="1CA90EA4"/>
    <w:rsid w:val="1CBD66FD"/>
    <w:rsid w:val="1CC71586"/>
    <w:rsid w:val="1CCB6A6B"/>
    <w:rsid w:val="1CD512F2"/>
    <w:rsid w:val="1CD979A4"/>
    <w:rsid w:val="1CDF2ED4"/>
    <w:rsid w:val="1CDF44E2"/>
    <w:rsid w:val="1CE02090"/>
    <w:rsid w:val="1CE22FB4"/>
    <w:rsid w:val="1CE97F95"/>
    <w:rsid w:val="1CEB4382"/>
    <w:rsid w:val="1CF76C5B"/>
    <w:rsid w:val="1CF92E9A"/>
    <w:rsid w:val="1CFF0AC4"/>
    <w:rsid w:val="1D047A8E"/>
    <w:rsid w:val="1D08284B"/>
    <w:rsid w:val="1D08480C"/>
    <w:rsid w:val="1D0B0A10"/>
    <w:rsid w:val="1D125CB7"/>
    <w:rsid w:val="1D182ECB"/>
    <w:rsid w:val="1D1B23AC"/>
    <w:rsid w:val="1D216C8C"/>
    <w:rsid w:val="1D246914"/>
    <w:rsid w:val="1D277AD6"/>
    <w:rsid w:val="1D2B18B9"/>
    <w:rsid w:val="1D3119C4"/>
    <w:rsid w:val="1D3564DC"/>
    <w:rsid w:val="1D3D7008"/>
    <w:rsid w:val="1D44297A"/>
    <w:rsid w:val="1D59311E"/>
    <w:rsid w:val="1D603276"/>
    <w:rsid w:val="1D621D8D"/>
    <w:rsid w:val="1D641268"/>
    <w:rsid w:val="1D655E4B"/>
    <w:rsid w:val="1D660B43"/>
    <w:rsid w:val="1D665076"/>
    <w:rsid w:val="1D67661D"/>
    <w:rsid w:val="1D694675"/>
    <w:rsid w:val="1D6E0DA0"/>
    <w:rsid w:val="1D6F53B0"/>
    <w:rsid w:val="1D726A71"/>
    <w:rsid w:val="1D823B84"/>
    <w:rsid w:val="1D8415AD"/>
    <w:rsid w:val="1D8C29FC"/>
    <w:rsid w:val="1DA130A0"/>
    <w:rsid w:val="1DA13929"/>
    <w:rsid w:val="1DA45C29"/>
    <w:rsid w:val="1DA578BD"/>
    <w:rsid w:val="1DAB1A89"/>
    <w:rsid w:val="1DB82819"/>
    <w:rsid w:val="1DBD2DA2"/>
    <w:rsid w:val="1DBD3CD6"/>
    <w:rsid w:val="1DBF21FA"/>
    <w:rsid w:val="1DC02C18"/>
    <w:rsid w:val="1DC07338"/>
    <w:rsid w:val="1DC51CF1"/>
    <w:rsid w:val="1DCA747A"/>
    <w:rsid w:val="1DCD418D"/>
    <w:rsid w:val="1DCE319A"/>
    <w:rsid w:val="1DCF09BE"/>
    <w:rsid w:val="1DD033F2"/>
    <w:rsid w:val="1DDA3528"/>
    <w:rsid w:val="1DE00B78"/>
    <w:rsid w:val="1DE619D4"/>
    <w:rsid w:val="1DE6621B"/>
    <w:rsid w:val="1DE856B5"/>
    <w:rsid w:val="1DF170F4"/>
    <w:rsid w:val="1DFD08AD"/>
    <w:rsid w:val="1E0043C3"/>
    <w:rsid w:val="1E021E04"/>
    <w:rsid w:val="1E05210A"/>
    <w:rsid w:val="1E0C0080"/>
    <w:rsid w:val="1E153025"/>
    <w:rsid w:val="1E1572F5"/>
    <w:rsid w:val="1E18301F"/>
    <w:rsid w:val="1E192BF1"/>
    <w:rsid w:val="1E1C6DCE"/>
    <w:rsid w:val="1E233730"/>
    <w:rsid w:val="1E24378F"/>
    <w:rsid w:val="1E286F71"/>
    <w:rsid w:val="1E2E1F24"/>
    <w:rsid w:val="1E314A47"/>
    <w:rsid w:val="1E384DEF"/>
    <w:rsid w:val="1E391DB3"/>
    <w:rsid w:val="1E3A11A3"/>
    <w:rsid w:val="1E3B3CED"/>
    <w:rsid w:val="1E3B5065"/>
    <w:rsid w:val="1E3E47F2"/>
    <w:rsid w:val="1E41418D"/>
    <w:rsid w:val="1E42556E"/>
    <w:rsid w:val="1E46405D"/>
    <w:rsid w:val="1E4E1FB0"/>
    <w:rsid w:val="1E545A36"/>
    <w:rsid w:val="1E5F7313"/>
    <w:rsid w:val="1E6A6384"/>
    <w:rsid w:val="1E702CF9"/>
    <w:rsid w:val="1E703F8B"/>
    <w:rsid w:val="1E720CBE"/>
    <w:rsid w:val="1E770E85"/>
    <w:rsid w:val="1E845724"/>
    <w:rsid w:val="1E884421"/>
    <w:rsid w:val="1E8A6B5B"/>
    <w:rsid w:val="1E8F76B6"/>
    <w:rsid w:val="1E934E45"/>
    <w:rsid w:val="1E952C15"/>
    <w:rsid w:val="1E9545A8"/>
    <w:rsid w:val="1E9746B2"/>
    <w:rsid w:val="1E996652"/>
    <w:rsid w:val="1E9B38BD"/>
    <w:rsid w:val="1EA33DF1"/>
    <w:rsid w:val="1EA47E66"/>
    <w:rsid w:val="1EA53F38"/>
    <w:rsid w:val="1EAB630B"/>
    <w:rsid w:val="1EAD2E73"/>
    <w:rsid w:val="1EAF02C7"/>
    <w:rsid w:val="1EAF0B77"/>
    <w:rsid w:val="1EB1403F"/>
    <w:rsid w:val="1EB663BA"/>
    <w:rsid w:val="1EB66A20"/>
    <w:rsid w:val="1EB8252B"/>
    <w:rsid w:val="1EB96BD1"/>
    <w:rsid w:val="1EBC4F5A"/>
    <w:rsid w:val="1EBC5B59"/>
    <w:rsid w:val="1EC60AFD"/>
    <w:rsid w:val="1EC82C55"/>
    <w:rsid w:val="1ED25855"/>
    <w:rsid w:val="1ED51267"/>
    <w:rsid w:val="1ED63153"/>
    <w:rsid w:val="1ED91DA3"/>
    <w:rsid w:val="1EDB099F"/>
    <w:rsid w:val="1EE43CDE"/>
    <w:rsid w:val="1EED1A95"/>
    <w:rsid w:val="1EEFF17A"/>
    <w:rsid w:val="1EF70DE9"/>
    <w:rsid w:val="1EFA7794"/>
    <w:rsid w:val="1EFD7285"/>
    <w:rsid w:val="1EFF7282"/>
    <w:rsid w:val="1F05061F"/>
    <w:rsid w:val="1F112126"/>
    <w:rsid w:val="1F116AE3"/>
    <w:rsid w:val="1F152675"/>
    <w:rsid w:val="1F1B61AF"/>
    <w:rsid w:val="1F1D3ABD"/>
    <w:rsid w:val="1F206259"/>
    <w:rsid w:val="1F2107B9"/>
    <w:rsid w:val="1F21208C"/>
    <w:rsid w:val="1F242A63"/>
    <w:rsid w:val="1F260048"/>
    <w:rsid w:val="1F2913A9"/>
    <w:rsid w:val="1F2A0578"/>
    <w:rsid w:val="1F2B07B2"/>
    <w:rsid w:val="1F2B3EFC"/>
    <w:rsid w:val="1F3831CA"/>
    <w:rsid w:val="1F384CA6"/>
    <w:rsid w:val="1F387C51"/>
    <w:rsid w:val="1F45252C"/>
    <w:rsid w:val="1F491D3C"/>
    <w:rsid w:val="1F4C00F7"/>
    <w:rsid w:val="1F4E44EE"/>
    <w:rsid w:val="1F4F18D9"/>
    <w:rsid w:val="1F575082"/>
    <w:rsid w:val="1F5C47B7"/>
    <w:rsid w:val="1F5D72C8"/>
    <w:rsid w:val="1F5D7408"/>
    <w:rsid w:val="1F605325"/>
    <w:rsid w:val="1F635523"/>
    <w:rsid w:val="1F6735AF"/>
    <w:rsid w:val="1F6759AB"/>
    <w:rsid w:val="1F7144C0"/>
    <w:rsid w:val="1F726C2D"/>
    <w:rsid w:val="1F73730C"/>
    <w:rsid w:val="1F7374DC"/>
    <w:rsid w:val="1F816D32"/>
    <w:rsid w:val="1F83596E"/>
    <w:rsid w:val="1F875B07"/>
    <w:rsid w:val="1F893BAC"/>
    <w:rsid w:val="1F8F351A"/>
    <w:rsid w:val="1F91756E"/>
    <w:rsid w:val="1F985CC1"/>
    <w:rsid w:val="1F996FAD"/>
    <w:rsid w:val="1F9D7A66"/>
    <w:rsid w:val="1F9E3083"/>
    <w:rsid w:val="1F9F17A8"/>
    <w:rsid w:val="1FA1239C"/>
    <w:rsid w:val="1FA139FC"/>
    <w:rsid w:val="1FA238EF"/>
    <w:rsid w:val="1FA5433C"/>
    <w:rsid w:val="1FAC139E"/>
    <w:rsid w:val="1FAC3A79"/>
    <w:rsid w:val="1FAE2E99"/>
    <w:rsid w:val="1FB05366"/>
    <w:rsid w:val="1FB262C1"/>
    <w:rsid w:val="1FB47603"/>
    <w:rsid w:val="1FB67E9B"/>
    <w:rsid w:val="1FBC514A"/>
    <w:rsid w:val="1FD051E8"/>
    <w:rsid w:val="1FD12871"/>
    <w:rsid w:val="1FD62422"/>
    <w:rsid w:val="1FDF6409"/>
    <w:rsid w:val="1FE052B3"/>
    <w:rsid w:val="1FE219A2"/>
    <w:rsid w:val="1FE4066F"/>
    <w:rsid w:val="1FE5225E"/>
    <w:rsid w:val="1FEA7809"/>
    <w:rsid w:val="1FED2A60"/>
    <w:rsid w:val="1FF04AF5"/>
    <w:rsid w:val="1FF8379E"/>
    <w:rsid w:val="1FFF389A"/>
    <w:rsid w:val="200051AB"/>
    <w:rsid w:val="20046AA5"/>
    <w:rsid w:val="20052895"/>
    <w:rsid w:val="20136438"/>
    <w:rsid w:val="20174C20"/>
    <w:rsid w:val="201C373B"/>
    <w:rsid w:val="201D2EC4"/>
    <w:rsid w:val="201E2D71"/>
    <w:rsid w:val="20230F6D"/>
    <w:rsid w:val="20242C72"/>
    <w:rsid w:val="203302B4"/>
    <w:rsid w:val="203A6210"/>
    <w:rsid w:val="203B62B7"/>
    <w:rsid w:val="20496575"/>
    <w:rsid w:val="204C4020"/>
    <w:rsid w:val="20570DB0"/>
    <w:rsid w:val="205E1FAB"/>
    <w:rsid w:val="205F28E5"/>
    <w:rsid w:val="206A514A"/>
    <w:rsid w:val="206C6A87"/>
    <w:rsid w:val="2078529B"/>
    <w:rsid w:val="207C0EDB"/>
    <w:rsid w:val="207F2E87"/>
    <w:rsid w:val="20850BC5"/>
    <w:rsid w:val="20851D0B"/>
    <w:rsid w:val="208D2404"/>
    <w:rsid w:val="208D653E"/>
    <w:rsid w:val="20924ACB"/>
    <w:rsid w:val="20924B87"/>
    <w:rsid w:val="20924C7B"/>
    <w:rsid w:val="20935DBC"/>
    <w:rsid w:val="2094740C"/>
    <w:rsid w:val="209C4826"/>
    <w:rsid w:val="209E7A53"/>
    <w:rsid w:val="20A00DD5"/>
    <w:rsid w:val="20A262E8"/>
    <w:rsid w:val="20A54700"/>
    <w:rsid w:val="20A774A8"/>
    <w:rsid w:val="20A976C4"/>
    <w:rsid w:val="20AA7075"/>
    <w:rsid w:val="20B438CA"/>
    <w:rsid w:val="20B7490F"/>
    <w:rsid w:val="20B83463"/>
    <w:rsid w:val="20B91875"/>
    <w:rsid w:val="20C00EB0"/>
    <w:rsid w:val="20CD1665"/>
    <w:rsid w:val="20D34AB1"/>
    <w:rsid w:val="20E22BD6"/>
    <w:rsid w:val="20EE157B"/>
    <w:rsid w:val="20F97DF8"/>
    <w:rsid w:val="20FA112E"/>
    <w:rsid w:val="2100305C"/>
    <w:rsid w:val="21004E0A"/>
    <w:rsid w:val="21007405"/>
    <w:rsid w:val="21022930"/>
    <w:rsid w:val="21042A56"/>
    <w:rsid w:val="21091F11"/>
    <w:rsid w:val="210B4839"/>
    <w:rsid w:val="210C2ED1"/>
    <w:rsid w:val="210D48A9"/>
    <w:rsid w:val="210E39CB"/>
    <w:rsid w:val="21143EE5"/>
    <w:rsid w:val="21180B73"/>
    <w:rsid w:val="2121100E"/>
    <w:rsid w:val="212270F6"/>
    <w:rsid w:val="212735D1"/>
    <w:rsid w:val="212B34F7"/>
    <w:rsid w:val="213A4563"/>
    <w:rsid w:val="213E37D9"/>
    <w:rsid w:val="21457C57"/>
    <w:rsid w:val="21480168"/>
    <w:rsid w:val="214F147B"/>
    <w:rsid w:val="2152200F"/>
    <w:rsid w:val="215238B8"/>
    <w:rsid w:val="2154487F"/>
    <w:rsid w:val="21545BE4"/>
    <w:rsid w:val="215723B3"/>
    <w:rsid w:val="215725C0"/>
    <w:rsid w:val="21590687"/>
    <w:rsid w:val="215D168E"/>
    <w:rsid w:val="215E32D6"/>
    <w:rsid w:val="21643C21"/>
    <w:rsid w:val="216E2094"/>
    <w:rsid w:val="216F75C6"/>
    <w:rsid w:val="217E4766"/>
    <w:rsid w:val="21863E10"/>
    <w:rsid w:val="21881CE4"/>
    <w:rsid w:val="218D51B0"/>
    <w:rsid w:val="21922A08"/>
    <w:rsid w:val="219519F6"/>
    <w:rsid w:val="21993D87"/>
    <w:rsid w:val="219C4B33"/>
    <w:rsid w:val="21A70722"/>
    <w:rsid w:val="21AA2451"/>
    <w:rsid w:val="21AD46AA"/>
    <w:rsid w:val="21AE54C0"/>
    <w:rsid w:val="21B7404D"/>
    <w:rsid w:val="21B75CA3"/>
    <w:rsid w:val="21BD19B0"/>
    <w:rsid w:val="21C85B1A"/>
    <w:rsid w:val="21CB305B"/>
    <w:rsid w:val="21D511B3"/>
    <w:rsid w:val="21D70261"/>
    <w:rsid w:val="21D86594"/>
    <w:rsid w:val="21DD63A5"/>
    <w:rsid w:val="21E82D1F"/>
    <w:rsid w:val="21E83FC1"/>
    <w:rsid w:val="21ED13A9"/>
    <w:rsid w:val="21F10022"/>
    <w:rsid w:val="21F450B1"/>
    <w:rsid w:val="21F56CE4"/>
    <w:rsid w:val="22012302"/>
    <w:rsid w:val="22067572"/>
    <w:rsid w:val="220927F1"/>
    <w:rsid w:val="22194069"/>
    <w:rsid w:val="221A1EFC"/>
    <w:rsid w:val="222D75F2"/>
    <w:rsid w:val="2230667E"/>
    <w:rsid w:val="22316BFF"/>
    <w:rsid w:val="223B25A8"/>
    <w:rsid w:val="223C67F4"/>
    <w:rsid w:val="223F323C"/>
    <w:rsid w:val="224029DA"/>
    <w:rsid w:val="2245341D"/>
    <w:rsid w:val="22455F03"/>
    <w:rsid w:val="224A57FC"/>
    <w:rsid w:val="224C62C5"/>
    <w:rsid w:val="22544370"/>
    <w:rsid w:val="22547E7D"/>
    <w:rsid w:val="22562288"/>
    <w:rsid w:val="22586AAC"/>
    <w:rsid w:val="225E323A"/>
    <w:rsid w:val="225E370A"/>
    <w:rsid w:val="225E4836"/>
    <w:rsid w:val="2266488E"/>
    <w:rsid w:val="226E1CB6"/>
    <w:rsid w:val="22711954"/>
    <w:rsid w:val="22717BDD"/>
    <w:rsid w:val="227312C4"/>
    <w:rsid w:val="22737F8A"/>
    <w:rsid w:val="227B74E9"/>
    <w:rsid w:val="22841FC2"/>
    <w:rsid w:val="228817B3"/>
    <w:rsid w:val="228B7D11"/>
    <w:rsid w:val="2294262E"/>
    <w:rsid w:val="22996E04"/>
    <w:rsid w:val="229A3C77"/>
    <w:rsid w:val="229D6DB5"/>
    <w:rsid w:val="22A1529F"/>
    <w:rsid w:val="22A2455C"/>
    <w:rsid w:val="22B5788D"/>
    <w:rsid w:val="22B82743"/>
    <w:rsid w:val="22B849AA"/>
    <w:rsid w:val="22B96452"/>
    <w:rsid w:val="22BA23F0"/>
    <w:rsid w:val="22BE666C"/>
    <w:rsid w:val="22C24A6D"/>
    <w:rsid w:val="22C80936"/>
    <w:rsid w:val="22CA7187"/>
    <w:rsid w:val="22D5479A"/>
    <w:rsid w:val="22D73DE6"/>
    <w:rsid w:val="22D868D3"/>
    <w:rsid w:val="22D87D6C"/>
    <w:rsid w:val="22E1444A"/>
    <w:rsid w:val="22E2621C"/>
    <w:rsid w:val="22E542B8"/>
    <w:rsid w:val="22E64FE4"/>
    <w:rsid w:val="22F035E2"/>
    <w:rsid w:val="22F46702"/>
    <w:rsid w:val="2311750C"/>
    <w:rsid w:val="23146523"/>
    <w:rsid w:val="2317348D"/>
    <w:rsid w:val="23224442"/>
    <w:rsid w:val="232610F0"/>
    <w:rsid w:val="23283F46"/>
    <w:rsid w:val="232B4B18"/>
    <w:rsid w:val="232B7357"/>
    <w:rsid w:val="232C1EE7"/>
    <w:rsid w:val="23327738"/>
    <w:rsid w:val="23352DB5"/>
    <w:rsid w:val="233A483F"/>
    <w:rsid w:val="233E609C"/>
    <w:rsid w:val="234D1024"/>
    <w:rsid w:val="23584ABB"/>
    <w:rsid w:val="235A6A54"/>
    <w:rsid w:val="235D3039"/>
    <w:rsid w:val="23643272"/>
    <w:rsid w:val="236E4FBD"/>
    <w:rsid w:val="237B27A4"/>
    <w:rsid w:val="237B5274"/>
    <w:rsid w:val="238365D1"/>
    <w:rsid w:val="23865695"/>
    <w:rsid w:val="238C519F"/>
    <w:rsid w:val="238F3E16"/>
    <w:rsid w:val="23915349"/>
    <w:rsid w:val="23961786"/>
    <w:rsid w:val="23966EB9"/>
    <w:rsid w:val="2398619C"/>
    <w:rsid w:val="23A2646D"/>
    <w:rsid w:val="23A423C5"/>
    <w:rsid w:val="23AF14AC"/>
    <w:rsid w:val="23B50D21"/>
    <w:rsid w:val="23C142AF"/>
    <w:rsid w:val="23C93BD9"/>
    <w:rsid w:val="23C95718"/>
    <w:rsid w:val="23CC381F"/>
    <w:rsid w:val="23D12D6F"/>
    <w:rsid w:val="23D43508"/>
    <w:rsid w:val="23D877EB"/>
    <w:rsid w:val="23DE7685"/>
    <w:rsid w:val="23EC3B38"/>
    <w:rsid w:val="23FA2194"/>
    <w:rsid w:val="23FA556A"/>
    <w:rsid w:val="23FF09DB"/>
    <w:rsid w:val="240C5A30"/>
    <w:rsid w:val="241156D5"/>
    <w:rsid w:val="241C63FF"/>
    <w:rsid w:val="241D5C4D"/>
    <w:rsid w:val="24212293"/>
    <w:rsid w:val="24214518"/>
    <w:rsid w:val="24244CFC"/>
    <w:rsid w:val="24244D6C"/>
    <w:rsid w:val="24331291"/>
    <w:rsid w:val="2434791C"/>
    <w:rsid w:val="243C49AC"/>
    <w:rsid w:val="24433035"/>
    <w:rsid w:val="24454D19"/>
    <w:rsid w:val="244B4DDA"/>
    <w:rsid w:val="244D65B8"/>
    <w:rsid w:val="244F2331"/>
    <w:rsid w:val="2460497C"/>
    <w:rsid w:val="24646C29"/>
    <w:rsid w:val="246C3C96"/>
    <w:rsid w:val="248B7965"/>
    <w:rsid w:val="24976373"/>
    <w:rsid w:val="249A12EC"/>
    <w:rsid w:val="24A13EFA"/>
    <w:rsid w:val="24A44138"/>
    <w:rsid w:val="24A81BC2"/>
    <w:rsid w:val="24B47746"/>
    <w:rsid w:val="24B86A4C"/>
    <w:rsid w:val="24BB31B1"/>
    <w:rsid w:val="24BD7338"/>
    <w:rsid w:val="24C230C2"/>
    <w:rsid w:val="24C7754F"/>
    <w:rsid w:val="24C7785F"/>
    <w:rsid w:val="24C93605"/>
    <w:rsid w:val="24CA533C"/>
    <w:rsid w:val="24CB7930"/>
    <w:rsid w:val="24D306B6"/>
    <w:rsid w:val="24D34F6E"/>
    <w:rsid w:val="24D9609E"/>
    <w:rsid w:val="24E101A2"/>
    <w:rsid w:val="24E35BFC"/>
    <w:rsid w:val="24E4247E"/>
    <w:rsid w:val="24E51D1A"/>
    <w:rsid w:val="24EA4173"/>
    <w:rsid w:val="24EC4D28"/>
    <w:rsid w:val="24ED1C2F"/>
    <w:rsid w:val="24F070B2"/>
    <w:rsid w:val="24F13EE5"/>
    <w:rsid w:val="24F440E6"/>
    <w:rsid w:val="24F56777"/>
    <w:rsid w:val="24FB7DC2"/>
    <w:rsid w:val="25021AEE"/>
    <w:rsid w:val="250247D9"/>
    <w:rsid w:val="2503564D"/>
    <w:rsid w:val="25040A24"/>
    <w:rsid w:val="25090E5E"/>
    <w:rsid w:val="2509175C"/>
    <w:rsid w:val="25097F64"/>
    <w:rsid w:val="250C1FD0"/>
    <w:rsid w:val="2515745C"/>
    <w:rsid w:val="251A0B90"/>
    <w:rsid w:val="25207829"/>
    <w:rsid w:val="252136A5"/>
    <w:rsid w:val="252437BD"/>
    <w:rsid w:val="25247AC6"/>
    <w:rsid w:val="25256B46"/>
    <w:rsid w:val="25262DB9"/>
    <w:rsid w:val="252719A9"/>
    <w:rsid w:val="252D7737"/>
    <w:rsid w:val="252D7B95"/>
    <w:rsid w:val="25327D57"/>
    <w:rsid w:val="25387E2E"/>
    <w:rsid w:val="253E5015"/>
    <w:rsid w:val="253F23A5"/>
    <w:rsid w:val="25483FDA"/>
    <w:rsid w:val="25506B71"/>
    <w:rsid w:val="255319AC"/>
    <w:rsid w:val="25543D35"/>
    <w:rsid w:val="25587DE6"/>
    <w:rsid w:val="256242E5"/>
    <w:rsid w:val="2566235C"/>
    <w:rsid w:val="256F17CE"/>
    <w:rsid w:val="25702E0F"/>
    <w:rsid w:val="257E5554"/>
    <w:rsid w:val="25822292"/>
    <w:rsid w:val="258F3F22"/>
    <w:rsid w:val="25954530"/>
    <w:rsid w:val="25992F1E"/>
    <w:rsid w:val="259957D0"/>
    <w:rsid w:val="259A07DC"/>
    <w:rsid w:val="259D0438"/>
    <w:rsid w:val="25A03FF7"/>
    <w:rsid w:val="25A20B86"/>
    <w:rsid w:val="25A22F91"/>
    <w:rsid w:val="25A658D3"/>
    <w:rsid w:val="25A87965"/>
    <w:rsid w:val="25AB3597"/>
    <w:rsid w:val="25BD76A6"/>
    <w:rsid w:val="25CA6E09"/>
    <w:rsid w:val="25CB59E7"/>
    <w:rsid w:val="25CE7E9E"/>
    <w:rsid w:val="25D64848"/>
    <w:rsid w:val="25D81287"/>
    <w:rsid w:val="25E1520A"/>
    <w:rsid w:val="25E25630"/>
    <w:rsid w:val="25E36A75"/>
    <w:rsid w:val="25E62821"/>
    <w:rsid w:val="25E97BEA"/>
    <w:rsid w:val="25EA0057"/>
    <w:rsid w:val="25EC3BAF"/>
    <w:rsid w:val="25F005BB"/>
    <w:rsid w:val="25F05314"/>
    <w:rsid w:val="25F93317"/>
    <w:rsid w:val="25FA451E"/>
    <w:rsid w:val="25FC2409"/>
    <w:rsid w:val="25FF7BB1"/>
    <w:rsid w:val="26085F51"/>
    <w:rsid w:val="26091CA6"/>
    <w:rsid w:val="26146A45"/>
    <w:rsid w:val="261778DB"/>
    <w:rsid w:val="26195D00"/>
    <w:rsid w:val="261C7128"/>
    <w:rsid w:val="261E5451"/>
    <w:rsid w:val="262A17FF"/>
    <w:rsid w:val="262D4E7A"/>
    <w:rsid w:val="262F265C"/>
    <w:rsid w:val="263078A5"/>
    <w:rsid w:val="26396809"/>
    <w:rsid w:val="263B2526"/>
    <w:rsid w:val="26513CF5"/>
    <w:rsid w:val="265771B1"/>
    <w:rsid w:val="265978AB"/>
    <w:rsid w:val="265C69A7"/>
    <w:rsid w:val="265E627C"/>
    <w:rsid w:val="26603243"/>
    <w:rsid w:val="266858B0"/>
    <w:rsid w:val="26721F14"/>
    <w:rsid w:val="2675293A"/>
    <w:rsid w:val="26780AF4"/>
    <w:rsid w:val="26792AF5"/>
    <w:rsid w:val="267D4FAC"/>
    <w:rsid w:val="267E47AB"/>
    <w:rsid w:val="268275B8"/>
    <w:rsid w:val="26871982"/>
    <w:rsid w:val="2692136F"/>
    <w:rsid w:val="2693654D"/>
    <w:rsid w:val="26996DAE"/>
    <w:rsid w:val="269C5FB5"/>
    <w:rsid w:val="269E30FB"/>
    <w:rsid w:val="269F1C2E"/>
    <w:rsid w:val="26A0178E"/>
    <w:rsid w:val="26A37A59"/>
    <w:rsid w:val="26A57F23"/>
    <w:rsid w:val="26A97B73"/>
    <w:rsid w:val="26C012C4"/>
    <w:rsid w:val="26CB3438"/>
    <w:rsid w:val="26D223A2"/>
    <w:rsid w:val="26D82637"/>
    <w:rsid w:val="26DF7C14"/>
    <w:rsid w:val="26E01C71"/>
    <w:rsid w:val="26E154C3"/>
    <w:rsid w:val="26E74873"/>
    <w:rsid w:val="26E8572C"/>
    <w:rsid w:val="26EB4ACF"/>
    <w:rsid w:val="26EE03F8"/>
    <w:rsid w:val="26EF1BA9"/>
    <w:rsid w:val="26EF2245"/>
    <w:rsid w:val="26EF7DFB"/>
    <w:rsid w:val="26F615DD"/>
    <w:rsid w:val="26FD374B"/>
    <w:rsid w:val="27035654"/>
    <w:rsid w:val="27075144"/>
    <w:rsid w:val="270D0281"/>
    <w:rsid w:val="2710233C"/>
    <w:rsid w:val="271027C9"/>
    <w:rsid w:val="27116E80"/>
    <w:rsid w:val="27133AE9"/>
    <w:rsid w:val="271E09F9"/>
    <w:rsid w:val="27277331"/>
    <w:rsid w:val="27283316"/>
    <w:rsid w:val="272D25FF"/>
    <w:rsid w:val="272E26D1"/>
    <w:rsid w:val="273D0B66"/>
    <w:rsid w:val="27406E6F"/>
    <w:rsid w:val="27497346"/>
    <w:rsid w:val="27582121"/>
    <w:rsid w:val="275E5EB1"/>
    <w:rsid w:val="27667509"/>
    <w:rsid w:val="27681809"/>
    <w:rsid w:val="276A5E9A"/>
    <w:rsid w:val="276F7798"/>
    <w:rsid w:val="277349C2"/>
    <w:rsid w:val="27745479"/>
    <w:rsid w:val="27787DF0"/>
    <w:rsid w:val="27806CA5"/>
    <w:rsid w:val="27816C71"/>
    <w:rsid w:val="278316C8"/>
    <w:rsid w:val="278462E3"/>
    <w:rsid w:val="27872002"/>
    <w:rsid w:val="278A009D"/>
    <w:rsid w:val="278D2658"/>
    <w:rsid w:val="278E3554"/>
    <w:rsid w:val="27907B87"/>
    <w:rsid w:val="279305AE"/>
    <w:rsid w:val="27957B98"/>
    <w:rsid w:val="27A931C5"/>
    <w:rsid w:val="27AD617E"/>
    <w:rsid w:val="27BA7CA3"/>
    <w:rsid w:val="27BD5803"/>
    <w:rsid w:val="27D0129C"/>
    <w:rsid w:val="27D86DAA"/>
    <w:rsid w:val="27E51C1A"/>
    <w:rsid w:val="27EA0F8B"/>
    <w:rsid w:val="27EE3B4B"/>
    <w:rsid w:val="27F218A3"/>
    <w:rsid w:val="27FA0805"/>
    <w:rsid w:val="27FC48A1"/>
    <w:rsid w:val="27FE58EC"/>
    <w:rsid w:val="28017DE6"/>
    <w:rsid w:val="280671AA"/>
    <w:rsid w:val="280B1269"/>
    <w:rsid w:val="280C3010"/>
    <w:rsid w:val="280F7047"/>
    <w:rsid w:val="28107E0D"/>
    <w:rsid w:val="28142030"/>
    <w:rsid w:val="281775CE"/>
    <w:rsid w:val="28185F06"/>
    <w:rsid w:val="281D3E77"/>
    <w:rsid w:val="281F0F54"/>
    <w:rsid w:val="28202540"/>
    <w:rsid w:val="28285159"/>
    <w:rsid w:val="28306FBE"/>
    <w:rsid w:val="28311D49"/>
    <w:rsid w:val="283179B8"/>
    <w:rsid w:val="283562A0"/>
    <w:rsid w:val="283650EF"/>
    <w:rsid w:val="283D6944"/>
    <w:rsid w:val="283E3104"/>
    <w:rsid w:val="28403F79"/>
    <w:rsid w:val="28534D45"/>
    <w:rsid w:val="28564D32"/>
    <w:rsid w:val="28595F30"/>
    <w:rsid w:val="285A5B5B"/>
    <w:rsid w:val="285B5EC7"/>
    <w:rsid w:val="28610884"/>
    <w:rsid w:val="286430B4"/>
    <w:rsid w:val="28673A57"/>
    <w:rsid w:val="2872315D"/>
    <w:rsid w:val="287A712B"/>
    <w:rsid w:val="288217D0"/>
    <w:rsid w:val="288B5901"/>
    <w:rsid w:val="288F7A15"/>
    <w:rsid w:val="28973FD2"/>
    <w:rsid w:val="28986D67"/>
    <w:rsid w:val="289A33D0"/>
    <w:rsid w:val="289B61D5"/>
    <w:rsid w:val="289C1AC0"/>
    <w:rsid w:val="289F74FC"/>
    <w:rsid w:val="28A75EB2"/>
    <w:rsid w:val="28A857C9"/>
    <w:rsid w:val="28AC2DE2"/>
    <w:rsid w:val="28AD2BD7"/>
    <w:rsid w:val="28B057FA"/>
    <w:rsid w:val="28C229C4"/>
    <w:rsid w:val="28C942A1"/>
    <w:rsid w:val="28D72A03"/>
    <w:rsid w:val="28D77F90"/>
    <w:rsid w:val="28DB0637"/>
    <w:rsid w:val="28DD6DAD"/>
    <w:rsid w:val="28E05B40"/>
    <w:rsid w:val="28E43569"/>
    <w:rsid w:val="28E92A77"/>
    <w:rsid w:val="28EA49FD"/>
    <w:rsid w:val="28F1728F"/>
    <w:rsid w:val="28F61A62"/>
    <w:rsid w:val="2903531E"/>
    <w:rsid w:val="29073217"/>
    <w:rsid w:val="29086876"/>
    <w:rsid w:val="291161A5"/>
    <w:rsid w:val="29180290"/>
    <w:rsid w:val="291D5A5E"/>
    <w:rsid w:val="291E4123"/>
    <w:rsid w:val="291E63F4"/>
    <w:rsid w:val="291F4379"/>
    <w:rsid w:val="29211080"/>
    <w:rsid w:val="292A511A"/>
    <w:rsid w:val="292B5169"/>
    <w:rsid w:val="292C21F4"/>
    <w:rsid w:val="293374F6"/>
    <w:rsid w:val="293472BF"/>
    <w:rsid w:val="2939580A"/>
    <w:rsid w:val="29412E8E"/>
    <w:rsid w:val="294343DE"/>
    <w:rsid w:val="29451F54"/>
    <w:rsid w:val="29484A97"/>
    <w:rsid w:val="294B459F"/>
    <w:rsid w:val="294E66FD"/>
    <w:rsid w:val="29533BC4"/>
    <w:rsid w:val="29560197"/>
    <w:rsid w:val="29577B1E"/>
    <w:rsid w:val="295B6F73"/>
    <w:rsid w:val="295C768E"/>
    <w:rsid w:val="295E6B72"/>
    <w:rsid w:val="29635FDC"/>
    <w:rsid w:val="2964062C"/>
    <w:rsid w:val="29651004"/>
    <w:rsid w:val="296714B7"/>
    <w:rsid w:val="29741E0E"/>
    <w:rsid w:val="29763EBB"/>
    <w:rsid w:val="297C0BEE"/>
    <w:rsid w:val="297D25A4"/>
    <w:rsid w:val="2982060B"/>
    <w:rsid w:val="298736A5"/>
    <w:rsid w:val="298E2054"/>
    <w:rsid w:val="298E4BFD"/>
    <w:rsid w:val="299045CD"/>
    <w:rsid w:val="2997573E"/>
    <w:rsid w:val="29993832"/>
    <w:rsid w:val="2999739E"/>
    <w:rsid w:val="299C4A65"/>
    <w:rsid w:val="299D6000"/>
    <w:rsid w:val="299F2C66"/>
    <w:rsid w:val="29A038D3"/>
    <w:rsid w:val="29A20FDC"/>
    <w:rsid w:val="29A53D33"/>
    <w:rsid w:val="29A615B1"/>
    <w:rsid w:val="29A71810"/>
    <w:rsid w:val="29A97E6C"/>
    <w:rsid w:val="29AC55DD"/>
    <w:rsid w:val="29AD6C59"/>
    <w:rsid w:val="29B43C2A"/>
    <w:rsid w:val="29B775B4"/>
    <w:rsid w:val="29BF3AB4"/>
    <w:rsid w:val="29C00BBB"/>
    <w:rsid w:val="29C54E43"/>
    <w:rsid w:val="29C83B1F"/>
    <w:rsid w:val="29CA5CAE"/>
    <w:rsid w:val="29D13752"/>
    <w:rsid w:val="29D92FF7"/>
    <w:rsid w:val="29DF1BDF"/>
    <w:rsid w:val="29E23D99"/>
    <w:rsid w:val="29E51041"/>
    <w:rsid w:val="29EB1204"/>
    <w:rsid w:val="29EF26BD"/>
    <w:rsid w:val="29F72A90"/>
    <w:rsid w:val="29F946AB"/>
    <w:rsid w:val="2A052C11"/>
    <w:rsid w:val="2A081FB9"/>
    <w:rsid w:val="2A086987"/>
    <w:rsid w:val="2A1577E3"/>
    <w:rsid w:val="2A1C0F07"/>
    <w:rsid w:val="2A1C3F0A"/>
    <w:rsid w:val="2A1C442B"/>
    <w:rsid w:val="2A1E5C2A"/>
    <w:rsid w:val="2A224043"/>
    <w:rsid w:val="2A225B7B"/>
    <w:rsid w:val="2A2530C5"/>
    <w:rsid w:val="2A3224D8"/>
    <w:rsid w:val="2A372261"/>
    <w:rsid w:val="2A385BE6"/>
    <w:rsid w:val="2A395837"/>
    <w:rsid w:val="2A3B7000"/>
    <w:rsid w:val="2A3F14CA"/>
    <w:rsid w:val="2A3F319D"/>
    <w:rsid w:val="2A450B36"/>
    <w:rsid w:val="2A48718E"/>
    <w:rsid w:val="2A5213D8"/>
    <w:rsid w:val="2A5225F6"/>
    <w:rsid w:val="2A591747"/>
    <w:rsid w:val="2A6B4FC7"/>
    <w:rsid w:val="2A6E24FB"/>
    <w:rsid w:val="2A6F1145"/>
    <w:rsid w:val="2A7000F8"/>
    <w:rsid w:val="2A706CFE"/>
    <w:rsid w:val="2A707A61"/>
    <w:rsid w:val="2A7101ED"/>
    <w:rsid w:val="2A73664D"/>
    <w:rsid w:val="2A7C78CC"/>
    <w:rsid w:val="2A837488"/>
    <w:rsid w:val="2A8874CB"/>
    <w:rsid w:val="2A916C90"/>
    <w:rsid w:val="2A9A26D1"/>
    <w:rsid w:val="2A9A6728"/>
    <w:rsid w:val="2A9D0A0A"/>
    <w:rsid w:val="2A9E7ACF"/>
    <w:rsid w:val="2AA67D27"/>
    <w:rsid w:val="2AA778D4"/>
    <w:rsid w:val="2AAA396B"/>
    <w:rsid w:val="2ABC535A"/>
    <w:rsid w:val="2AC70B7D"/>
    <w:rsid w:val="2AC74132"/>
    <w:rsid w:val="2ACF6763"/>
    <w:rsid w:val="2AD545A6"/>
    <w:rsid w:val="2AD61031"/>
    <w:rsid w:val="2AD94AE7"/>
    <w:rsid w:val="2AD967E3"/>
    <w:rsid w:val="2ADB491E"/>
    <w:rsid w:val="2ADB49DF"/>
    <w:rsid w:val="2ADB7BB4"/>
    <w:rsid w:val="2AE14C8D"/>
    <w:rsid w:val="2AEB09DE"/>
    <w:rsid w:val="2AF163C6"/>
    <w:rsid w:val="2AF77F91"/>
    <w:rsid w:val="2AFB05C0"/>
    <w:rsid w:val="2B000FC3"/>
    <w:rsid w:val="2B014903"/>
    <w:rsid w:val="2B026391"/>
    <w:rsid w:val="2B0E58B3"/>
    <w:rsid w:val="2B1122B4"/>
    <w:rsid w:val="2B1240B8"/>
    <w:rsid w:val="2B285D1E"/>
    <w:rsid w:val="2B2C6567"/>
    <w:rsid w:val="2B2F6A18"/>
    <w:rsid w:val="2B380E05"/>
    <w:rsid w:val="2B3C5FA6"/>
    <w:rsid w:val="2B406E77"/>
    <w:rsid w:val="2B421E23"/>
    <w:rsid w:val="2B435C33"/>
    <w:rsid w:val="2B462DCC"/>
    <w:rsid w:val="2B4728B9"/>
    <w:rsid w:val="2B4B7150"/>
    <w:rsid w:val="2B4E4C9C"/>
    <w:rsid w:val="2B512FE4"/>
    <w:rsid w:val="2B516B3B"/>
    <w:rsid w:val="2B555426"/>
    <w:rsid w:val="2B566AF5"/>
    <w:rsid w:val="2B626052"/>
    <w:rsid w:val="2B6B3D0A"/>
    <w:rsid w:val="2B6D2315"/>
    <w:rsid w:val="2B731CA4"/>
    <w:rsid w:val="2B7A1D63"/>
    <w:rsid w:val="2B7D2627"/>
    <w:rsid w:val="2B8419BB"/>
    <w:rsid w:val="2B9653CB"/>
    <w:rsid w:val="2B9772D5"/>
    <w:rsid w:val="2BA053B9"/>
    <w:rsid w:val="2BA333D8"/>
    <w:rsid w:val="2BA50693"/>
    <w:rsid w:val="2BA80578"/>
    <w:rsid w:val="2BAE2033"/>
    <w:rsid w:val="2BB055D7"/>
    <w:rsid w:val="2BBC1488"/>
    <w:rsid w:val="2BBF168D"/>
    <w:rsid w:val="2BBF5FEE"/>
    <w:rsid w:val="2BCA4992"/>
    <w:rsid w:val="2BD61589"/>
    <w:rsid w:val="2BDB74AD"/>
    <w:rsid w:val="2BDE7C37"/>
    <w:rsid w:val="2BE03D68"/>
    <w:rsid w:val="2BE63586"/>
    <w:rsid w:val="2BEE77ED"/>
    <w:rsid w:val="2BF14D65"/>
    <w:rsid w:val="2BF5104E"/>
    <w:rsid w:val="2BF61DD6"/>
    <w:rsid w:val="2BFC502E"/>
    <w:rsid w:val="2C01464C"/>
    <w:rsid w:val="2C016BF2"/>
    <w:rsid w:val="2C0D515F"/>
    <w:rsid w:val="2C100F39"/>
    <w:rsid w:val="2C176492"/>
    <w:rsid w:val="2C187C02"/>
    <w:rsid w:val="2C1A3B43"/>
    <w:rsid w:val="2C1E1CFD"/>
    <w:rsid w:val="2C2422F5"/>
    <w:rsid w:val="2C38793F"/>
    <w:rsid w:val="2C487FD5"/>
    <w:rsid w:val="2C4A141C"/>
    <w:rsid w:val="2C563E99"/>
    <w:rsid w:val="2C58072E"/>
    <w:rsid w:val="2C58086E"/>
    <w:rsid w:val="2C5A220A"/>
    <w:rsid w:val="2C602C01"/>
    <w:rsid w:val="2C624271"/>
    <w:rsid w:val="2C665D4F"/>
    <w:rsid w:val="2C673F8F"/>
    <w:rsid w:val="2C6E080E"/>
    <w:rsid w:val="2C74376C"/>
    <w:rsid w:val="2C756321"/>
    <w:rsid w:val="2C76065F"/>
    <w:rsid w:val="2C79158F"/>
    <w:rsid w:val="2C806734"/>
    <w:rsid w:val="2C8135EE"/>
    <w:rsid w:val="2C8331B5"/>
    <w:rsid w:val="2C8336BD"/>
    <w:rsid w:val="2C8678F0"/>
    <w:rsid w:val="2C9A4365"/>
    <w:rsid w:val="2C9B7ADD"/>
    <w:rsid w:val="2C9D61C0"/>
    <w:rsid w:val="2CA13945"/>
    <w:rsid w:val="2CA22032"/>
    <w:rsid w:val="2CA30A94"/>
    <w:rsid w:val="2CBE62A5"/>
    <w:rsid w:val="2CD30128"/>
    <w:rsid w:val="2CD409F1"/>
    <w:rsid w:val="2CD84A93"/>
    <w:rsid w:val="2CD90E53"/>
    <w:rsid w:val="2CD96A90"/>
    <w:rsid w:val="2CE5724D"/>
    <w:rsid w:val="2CF40CE2"/>
    <w:rsid w:val="2CF5070F"/>
    <w:rsid w:val="2D067C4C"/>
    <w:rsid w:val="2D0B0E95"/>
    <w:rsid w:val="2D104D7E"/>
    <w:rsid w:val="2D1972E8"/>
    <w:rsid w:val="2D1C355A"/>
    <w:rsid w:val="2D2535C6"/>
    <w:rsid w:val="2D265A0A"/>
    <w:rsid w:val="2D32425D"/>
    <w:rsid w:val="2D382F2D"/>
    <w:rsid w:val="2D3E6CB6"/>
    <w:rsid w:val="2D3E7E16"/>
    <w:rsid w:val="2D3F26B3"/>
    <w:rsid w:val="2D401716"/>
    <w:rsid w:val="2D4700DA"/>
    <w:rsid w:val="2D4759E9"/>
    <w:rsid w:val="2D57032A"/>
    <w:rsid w:val="2D5A30FD"/>
    <w:rsid w:val="2D600851"/>
    <w:rsid w:val="2D6860FF"/>
    <w:rsid w:val="2D696EB4"/>
    <w:rsid w:val="2D7527CD"/>
    <w:rsid w:val="2D756933"/>
    <w:rsid w:val="2D7D6B19"/>
    <w:rsid w:val="2D80214C"/>
    <w:rsid w:val="2D820DFF"/>
    <w:rsid w:val="2D856392"/>
    <w:rsid w:val="2D877507"/>
    <w:rsid w:val="2D884A94"/>
    <w:rsid w:val="2D8C19AF"/>
    <w:rsid w:val="2D972FEB"/>
    <w:rsid w:val="2D984ED9"/>
    <w:rsid w:val="2D9F7218"/>
    <w:rsid w:val="2DAD32F9"/>
    <w:rsid w:val="2DB44996"/>
    <w:rsid w:val="2DB74470"/>
    <w:rsid w:val="2DBE000D"/>
    <w:rsid w:val="2DBE4083"/>
    <w:rsid w:val="2DBF1492"/>
    <w:rsid w:val="2DC52FA8"/>
    <w:rsid w:val="2DCC2C44"/>
    <w:rsid w:val="2DCF2226"/>
    <w:rsid w:val="2DD77A18"/>
    <w:rsid w:val="2DE018AE"/>
    <w:rsid w:val="2DF16CE5"/>
    <w:rsid w:val="2DF6182E"/>
    <w:rsid w:val="2DF61F25"/>
    <w:rsid w:val="2DFE6127"/>
    <w:rsid w:val="2E075A2A"/>
    <w:rsid w:val="2E0A7CEF"/>
    <w:rsid w:val="2E16100E"/>
    <w:rsid w:val="2E1660EB"/>
    <w:rsid w:val="2E176326"/>
    <w:rsid w:val="2E1A0219"/>
    <w:rsid w:val="2E1C074C"/>
    <w:rsid w:val="2E1D3A94"/>
    <w:rsid w:val="2E27591C"/>
    <w:rsid w:val="2E344345"/>
    <w:rsid w:val="2E384BC8"/>
    <w:rsid w:val="2E3E4A46"/>
    <w:rsid w:val="2E3F4A16"/>
    <w:rsid w:val="2E400DA5"/>
    <w:rsid w:val="2E47051C"/>
    <w:rsid w:val="2E4836F6"/>
    <w:rsid w:val="2E4949A2"/>
    <w:rsid w:val="2E4B15C3"/>
    <w:rsid w:val="2E4C7B77"/>
    <w:rsid w:val="2E553C28"/>
    <w:rsid w:val="2E555E95"/>
    <w:rsid w:val="2E56250D"/>
    <w:rsid w:val="2E5938B7"/>
    <w:rsid w:val="2E5D564A"/>
    <w:rsid w:val="2E5F13C2"/>
    <w:rsid w:val="2E637353"/>
    <w:rsid w:val="2E6852E2"/>
    <w:rsid w:val="2E714C2A"/>
    <w:rsid w:val="2E71718F"/>
    <w:rsid w:val="2E7425EC"/>
    <w:rsid w:val="2E7D55C6"/>
    <w:rsid w:val="2E8846CB"/>
    <w:rsid w:val="2E8A241A"/>
    <w:rsid w:val="2E8A67CE"/>
    <w:rsid w:val="2E8A7A54"/>
    <w:rsid w:val="2E8D047B"/>
    <w:rsid w:val="2E8D3FCA"/>
    <w:rsid w:val="2E8D4B93"/>
    <w:rsid w:val="2E9549AE"/>
    <w:rsid w:val="2E9818BC"/>
    <w:rsid w:val="2E9869EE"/>
    <w:rsid w:val="2EA91005"/>
    <w:rsid w:val="2EAD549F"/>
    <w:rsid w:val="2EAE6C4B"/>
    <w:rsid w:val="2EB5143F"/>
    <w:rsid w:val="2EB537C1"/>
    <w:rsid w:val="2EB746A1"/>
    <w:rsid w:val="2EB830B3"/>
    <w:rsid w:val="2EB93863"/>
    <w:rsid w:val="2EC04BED"/>
    <w:rsid w:val="2EC20A38"/>
    <w:rsid w:val="2EC64F0D"/>
    <w:rsid w:val="2EC80548"/>
    <w:rsid w:val="2EC80E9A"/>
    <w:rsid w:val="2ECC3790"/>
    <w:rsid w:val="2ECF2785"/>
    <w:rsid w:val="2EDC3096"/>
    <w:rsid w:val="2EE26091"/>
    <w:rsid w:val="2EE2703D"/>
    <w:rsid w:val="2EE7658A"/>
    <w:rsid w:val="2EED2E72"/>
    <w:rsid w:val="2EEE2746"/>
    <w:rsid w:val="2EEE63BB"/>
    <w:rsid w:val="2EEF554E"/>
    <w:rsid w:val="2EF04732"/>
    <w:rsid w:val="2EF64AAC"/>
    <w:rsid w:val="2EF92C88"/>
    <w:rsid w:val="2F184679"/>
    <w:rsid w:val="2F2736CD"/>
    <w:rsid w:val="2F292A94"/>
    <w:rsid w:val="2F2C018A"/>
    <w:rsid w:val="2F364819"/>
    <w:rsid w:val="2F387ADE"/>
    <w:rsid w:val="2F424DBE"/>
    <w:rsid w:val="2F4504F1"/>
    <w:rsid w:val="2F4C5299"/>
    <w:rsid w:val="2F4F1EA8"/>
    <w:rsid w:val="2F542EF1"/>
    <w:rsid w:val="2F562335"/>
    <w:rsid w:val="2F5E2951"/>
    <w:rsid w:val="2F603644"/>
    <w:rsid w:val="2F786B12"/>
    <w:rsid w:val="2F7C1E6F"/>
    <w:rsid w:val="2F7F4032"/>
    <w:rsid w:val="2F84561C"/>
    <w:rsid w:val="2F8866DB"/>
    <w:rsid w:val="2F8D1F5F"/>
    <w:rsid w:val="2F8D6403"/>
    <w:rsid w:val="2F944970"/>
    <w:rsid w:val="2F9506C7"/>
    <w:rsid w:val="2F95451C"/>
    <w:rsid w:val="2F976D21"/>
    <w:rsid w:val="2FA462C9"/>
    <w:rsid w:val="2FA92857"/>
    <w:rsid w:val="2FAA018F"/>
    <w:rsid w:val="2FB0795B"/>
    <w:rsid w:val="2FBA669F"/>
    <w:rsid w:val="2FBD4D02"/>
    <w:rsid w:val="2FC433F6"/>
    <w:rsid w:val="2FC54288"/>
    <w:rsid w:val="2FC766A9"/>
    <w:rsid w:val="2FCC3367"/>
    <w:rsid w:val="2FCD13DA"/>
    <w:rsid w:val="2FCD58A2"/>
    <w:rsid w:val="2FD03ECC"/>
    <w:rsid w:val="2FD951A4"/>
    <w:rsid w:val="2FD960EE"/>
    <w:rsid w:val="2FDE1F8A"/>
    <w:rsid w:val="2FE253A0"/>
    <w:rsid w:val="2FE809C3"/>
    <w:rsid w:val="2FE94AE6"/>
    <w:rsid w:val="2FEC55CA"/>
    <w:rsid w:val="2FF90215"/>
    <w:rsid w:val="2FFD448D"/>
    <w:rsid w:val="2FFF0C6D"/>
    <w:rsid w:val="30046763"/>
    <w:rsid w:val="3004782D"/>
    <w:rsid w:val="30095747"/>
    <w:rsid w:val="300F24CD"/>
    <w:rsid w:val="301216BA"/>
    <w:rsid w:val="301323E4"/>
    <w:rsid w:val="30136908"/>
    <w:rsid w:val="301A3A66"/>
    <w:rsid w:val="301B0ECA"/>
    <w:rsid w:val="301C5E13"/>
    <w:rsid w:val="301D44AA"/>
    <w:rsid w:val="301E4FFC"/>
    <w:rsid w:val="30201025"/>
    <w:rsid w:val="30292001"/>
    <w:rsid w:val="302A67CD"/>
    <w:rsid w:val="303464B4"/>
    <w:rsid w:val="304F36B8"/>
    <w:rsid w:val="30506842"/>
    <w:rsid w:val="30550CCF"/>
    <w:rsid w:val="305E46DB"/>
    <w:rsid w:val="30627D62"/>
    <w:rsid w:val="30693238"/>
    <w:rsid w:val="306E4EE1"/>
    <w:rsid w:val="3071156C"/>
    <w:rsid w:val="3075353C"/>
    <w:rsid w:val="30795312"/>
    <w:rsid w:val="307D1FD3"/>
    <w:rsid w:val="3085186C"/>
    <w:rsid w:val="30871D32"/>
    <w:rsid w:val="30894D74"/>
    <w:rsid w:val="308D164B"/>
    <w:rsid w:val="309E2EE2"/>
    <w:rsid w:val="30A310D8"/>
    <w:rsid w:val="30AA495D"/>
    <w:rsid w:val="30AB1564"/>
    <w:rsid w:val="30B044DD"/>
    <w:rsid w:val="30B60B6B"/>
    <w:rsid w:val="30B73FBF"/>
    <w:rsid w:val="30D0735E"/>
    <w:rsid w:val="30DF67EA"/>
    <w:rsid w:val="30E21F7C"/>
    <w:rsid w:val="30EB518F"/>
    <w:rsid w:val="30F027A5"/>
    <w:rsid w:val="30F63AA6"/>
    <w:rsid w:val="30FB7D0C"/>
    <w:rsid w:val="31027AA2"/>
    <w:rsid w:val="31096052"/>
    <w:rsid w:val="310B4935"/>
    <w:rsid w:val="31124E12"/>
    <w:rsid w:val="31184ED1"/>
    <w:rsid w:val="311A57AA"/>
    <w:rsid w:val="312D58DE"/>
    <w:rsid w:val="31387621"/>
    <w:rsid w:val="313B156A"/>
    <w:rsid w:val="31440FA5"/>
    <w:rsid w:val="31471E23"/>
    <w:rsid w:val="314B7DDD"/>
    <w:rsid w:val="31544543"/>
    <w:rsid w:val="31587F11"/>
    <w:rsid w:val="315C1316"/>
    <w:rsid w:val="31670983"/>
    <w:rsid w:val="3167268D"/>
    <w:rsid w:val="316832D9"/>
    <w:rsid w:val="31707DDD"/>
    <w:rsid w:val="31736551"/>
    <w:rsid w:val="3174565B"/>
    <w:rsid w:val="31774461"/>
    <w:rsid w:val="317F63E6"/>
    <w:rsid w:val="318D4356"/>
    <w:rsid w:val="318F479A"/>
    <w:rsid w:val="319677F1"/>
    <w:rsid w:val="31A0108C"/>
    <w:rsid w:val="31A12A9B"/>
    <w:rsid w:val="31B646F4"/>
    <w:rsid w:val="31BA0AAC"/>
    <w:rsid w:val="31BD221C"/>
    <w:rsid w:val="31BE1A9A"/>
    <w:rsid w:val="31BF3648"/>
    <w:rsid w:val="31BF6A53"/>
    <w:rsid w:val="31C0661C"/>
    <w:rsid w:val="31C205E6"/>
    <w:rsid w:val="31C45A64"/>
    <w:rsid w:val="31C81974"/>
    <w:rsid w:val="31CB763F"/>
    <w:rsid w:val="31CE2C3D"/>
    <w:rsid w:val="31CF303A"/>
    <w:rsid w:val="31D21985"/>
    <w:rsid w:val="31D25707"/>
    <w:rsid w:val="31DA2ABB"/>
    <w:rsid w:val="31DD4104"/>
    <w:rsid w:val="31E247E4"/>
    <w:rsid w:val="31E975E9"/>
    <w:rsid w:val="31EA6F2B"/>
    <w:rsid w:val="31F30A35"/>
    <w:rsid w:val="31F52043"/>
    <w:rsid w:val="31F82498"/>
    <w:rsid w:val="31FB540E"/>
    <w:rsid w:val="320242DB"/>
    <w:rsid w:val="32071509"/>
    <w:rsid w:val="320A3D3B"/>
    <w:rsid w:val="320D506E"/>
    <w:rsid w:val="320E466C"/>
    <w:rsid w:val="32104786"/>
    <w:rsid w:val="32164007"/>
    <w:rsid w:val="3218343C"/>
    <w:rsid w:val="321E3342"/>
    <w:rsid w:val="321F4ACB"/>
    <w:rsid w:val="322150A3"/>
    <w:rsid w:val="3226536B"/>
    <w:rsid w:val="3228645B"/>
    <w:rsid w:val="322873BD"/>
    <w:rsid w:val="322A52C5"/>
    <w:rsid w:val="322C5A5F"/>
    <w:rsid w:val="323731A8"/>
    <w:rsid w:val="32396775"/>
    <w:rsid w:val="323D694A"/>
    <w:rsid w:val="32432DA9"/>
    <w:rsid w:val="32470124"/>
    <w:rsid w:val="324C55A8"/>
    <w:rsid w:val="324C7B84"/>
    <w:rsid w:val="324F4B2E"/>
    <w:rsid w:val="3251196A"/>
    <w:rsid w:val="32536380"/>
    <w:rsid w:val="32537BFF"/>
    <w:rsid w:val="325460CA"/>
    <w:rsid w:val="32570832"/>
    <w:rsid w:val="32594F8C"/>
    <w:rsid w:val="326D211E"/>
    <w:rsid w:val="326E06BF"/>
    <w:rsid w:val="327112A8"/>
    <w:rsid w:val="32717916"/>
    <w:rsid w:val="3278254A"/>
    <w:rsid w:val="327A60D9"/>
    <w:rsid w:val="327C1D79"/>
    <w:rsid w:val="327F4174"/>
    <w:rsid w:val="32803FFD"/>
    <w:rsid w:val="3284301D"/>
    <w:rsid w:val="328F50DD"/>
    <w:rsid w:val="329559D9"/>
    <w:rsid w:val="32A253B4"/>
    <w:rsid w:val="32A711EF"/>
    <w:rsid w:val="32B617CD"/>
    <w:rsid w:val="32B82438"/>
    <w:rsid w:val="32BB196D"/>
    <w:rsid w:val="32BD0DAD"/>
    <w:rsid w:val="32BE5735"/>
    <w:rsid w:val="32BE6D77"/>
    <w:rsid w:val="32C04EBC"/>
    <w:rsid w:val="32D25FE9"/>
    <w:rsid w:val="32DA3E99"/>
    <w:rsid w:val="32E07A34"/>
    <w:rsid w:val="32E1603D"/>
    <w:rsid w:val="32E465A7"/>
    <w:rsid w:val="32F33F0A"/>
    <w:rsid w:val="32F72511"/>
    <w:rsid w:val="32FD630E"/>
    <w:rsid w:val="330615ED"/>
    <w:rsid w:val="33081FD0"/>
    <w:rsid w:val="33084AF6"/>
    <w:rsid w:val="330A76DF"/>
    <w:rsid w:val="33144F9D"/>
    <w:rsid w:val="33162E27"/>
    <w:rsid w:val="33194D3D"/>
    <w:rsid w:val="331C574B"/>
    <w:rsid w:val="33202DCF"/>
    <w:rsid w:val="332903BC"/>
    <w:rsid w:val="332C7BFB"/>
    <w:rsid w:val="3333342A"/>
    <w:rsid w:val="333604F0"/>
    <w:rsid w:val="333B6885"/>
    <w:rsid w:val="333F3E87"/>
    <w:rsid w:val="33421230"/>
    <w:rsid w:val="33437E45"/>
    <w:rsid w:val="334574F7"/>
    <w:rsid w:val="33463C80"/>
    <w:rsid w:val="33475C2C"/>
    <w:rsid w:val="33510801"/>
    <w:rsid w:val="33572001"/>
    <w:rsid w:val="336F4E4B"/>
    <w:rsid w:val="33717C35"/>
    <w:rsid w:val="337249A0"/>
    <w:rsid w:val="337A2CF7"/>
    <w:rsid w:val="337E245C"/>
    <w:rsid w:val="3384600A"/>
    <w:rsid w:val="33973E93"/>
    <w:rsid w:val="33994FD7"/>
    <w:rsid w:val="339D187F"/>
    <w:rsid w:val="33B74164"/>
    <w:rsid w:val="33BC56DC"/>
    <w:rsid w:val="33C060AC"/>
    <w:rsid w:val="33C06DA7"/>
    <w:rsid w:val="33C15FE1"/>
    <w:rsid w:val="33C17D51"/>
    <w:rsid w:val="33C2297E"/>
    <w:rsid w:val="33C2508E"/>
    <w:rsid w:val="33CD7D5C"/>
    <w:rsid w:val="33D425ED"/>
    <w:rsid w:val="33D47975"/>
    <w:rsid w:val="33DE722D"/>
    <w:rsid w:val="33E16D1D"/>
    <w:rsid w:val="33EA6597"/>
    <w:rsid w:val="33EE4D61"/>
    <w:rsid w:val="33F5303F"/>
    <w:rsid w:val="33F6479C"/>
    <w:rsid w:val="33F67FDB"/>
    <w:rsid w:val="33F8190D"/>
    <w:rsid w:val="33FA63D8"/>
    <w:rsid w:val="33FC7983"/>
    <w:rsid w:val="33FE52B9"/>
    <w:rsid w:val="3402760A"/>
    <w:rsid w:val="34050C5E"/>
    <w:rsid w:val="340622E0"/>
    <w:rsid w:val="34093F0C"/>
    <w:rsid w:val="34103CFB"/>
    <w:rsid w:val="341072EC"/>
    <w:rsid w:val="34143BC7"/>
    <w:rsid w:val="341D0BAF"/>
    <w:rsid w:val="341E587B"/>
    <w:rsid w:val="34210A10"/>
    <w:rsid w:val="34211D1B"/>
    <w:rsid w:val="34246C6E"/>
    <w:rsid w:val="34256C0A"/>
    <w:rsid w:val="343038E6"/>
    <w:rsid w:val="34304EAA"/>
    <w:rsid w:val="3436357F"/>
    <w:rsid w:val="343706EB"/>
    <w:rsid w:val="343A5C36"/>
    <w:rsid w:val="343B642D"/>
    <w:rsid w:val="343C0283"/>
    <w:rsid w:val="34420E78"/>
    <w:rsid w:val="344E216C"/>
    <w:rsid w:val="34565511"/>
    <w:rsid w:val="34573026"/>
    <w:rsid w:val="345A7984"/>
    <w:rsid w:val="34615EA1"/>
    <w:rsid w:val="34625FE3"/>
    <w:rsid w:val="346A0DA9"/>
    <w:rsid w:val="346C630D"/>
    <w:rsid w:val="346E419B"/>
    <w:rsid w:val="34737195"/>
    <w:rsid w:val="347941EC"/>
    <w:rsid w:val="34864FE8"/>
    <w:rsid w:val="34945B3E"/>
    <w:rsid w:val="34961C33"/>
    <w:rsid w:val="34993154"/>
    <w:rsid w:val="34A932FF"/>
    <w:rsid w:val="34B44B53"/>
    <w:rsid w:val="34B55708"/>
    <w:rsid w:val="34BC5779"/>
    <w:rsid w:val="34C00A1B"/>
    <w:rsid w:val="34C1147D"/>
    <w:rsid w:val="34C17280"/>
    <w:rsid w:val="34C2174B"/>
    <w:rsid w:val="34C610D2"/>
    <w:rsid w:val="34C90DAB"/>
    <w:rsid w:val="34CA4F44"/>
    <w:rsid w:val="34CB6A33"/>
    <w:rsid w:val="34CB6E3C"/>
    <w:rsid w:val="34D5171A"/>
    <w:rsid w:val="34D753F0"/>
    <w:rsid w:val="34DB6019"/>
    <w:rsid w:val="34DE68A1"/>
    <w:rsid w:val="34E26B88"/>
    <w:rsid w:val="34EA7899"/>
    <w:rsid w:val="34ED47D6"/>
    <w:rsid w:val="34F34F5A"/>
    <w:rsid w:val="34F36FC1"/>
    <w:rsid w:val="34F8431E"/>
    <w:rsid w:val="35010F95"/>
    <w:rsid w:val="35054CFD"/>
    <w:rsid w:val="35077DFC"/>
    <w:rsid w:val="35113350"/>
    <w:rsid w:val="351705A2"/>
    <w:rsid w:val="3518170D"/>
    <w:rsid w:val="3524019F"/>
    <w:rsid w:val="352819EC"/>
    <w:rsid w:val="35301D0A"/>
    <w:rsid w:val="353D2A57"/>
    <w:rsid w:val="353F3CFB"/>
    <w:rsid w:val="35402BED"/>
    <w:rsid w:val="35444D73"/>
    <w:rsid w:val="354E2190"/>
    <w:rsid w:val="3551172D"/>
    <w:rsid w:val="355D3E83"/>
    <w:rsid w:val="35665BA0"/>
    <w:rsid w:val="35684F0E"/>
    <w:rsid w:val="356B5993"/>
    <w:rsid w:val="356B7981"/>
    <w:rsid w:val="357145D6"/>
    <w:rsid w:val="357339A5"/>
    <w:rsid w:val="35743583"/>
    <w:rsid w:val="357A1882"/>
    <w:rsid w:val="357C52AD"/>
    <w:rsid w:val="357D45CC"/>
    <w:rsid w:val="357F7F4A"/>
    <w:rsid w:val="3583585A"/>
    <w:rsid w:val="358C68A7"/>
    <w:rsid w:val="35902B8D"/>
    <w:rsid w:val="35994470"/>
    <w:rsid w:val="35994CE9"/>
    <w:rsid w:val="35A404E5"/>
    <w:rsid w:val="35AD33E8"/>
    <w:rsid w:val="35AE4745"/>
    <w:rsid w:val="35B34FEF"/>
    <w:rsid w:val="35B54174"/>
    <w:rsid w:val="35B73D9C"/>
    <w:rsid w:val="35B93AAE"/>
    <w:rsid w:val="35BA15D4"/>
    <w:rsid w:val="35BE589B"/>
    <w:rsid w:val="35C557C9"/>
    <w:rsid w:val="35C80195"/>
    <w:rsid w:val="35CF6C68"/>
    <w:rsid w:val="35D36543"/>
    <w:rsid w:val="35D4488A"/>
    <w:rsid w:val="35D933E2"/>
    <w:rsid w:val="35DB7EC8"/>
    <w:rsid w:val="35E0242F"/>
    <w:rsid w:val="35E47CE8"/>
    <w:rsid w:val="35E6061B"/>
    <w:rsid w:val="35EB2319"/>
    <w:rsid w:val="360016DD"/>
    <w:rsid w:val="36001AA9"/>
    <w:rsid w:val="36037515"/>
    <w:rsid w:val="360711C1"/>
    <w:rsid w:val="360D312F"/>
    <w:rsid w:val="360D743A"/>
    <w:rsid w:val="360E074F"/>
    <w:rsid w:val="361651B9"/>
    <w:rsid w:val="361D4671"/>
    <w:rsid w:val="36251CCA"/>
    <w:rsid w:val="36257DAA"/>
    <w:rsid w:val="36273249"/>
    <w:rsid w:val="36323860"/>
    <w:rsid w:val="36323BDD"/>
    <w:rsid w:val="36433C2F"/>
    <w:rsid w:val="36496982"/>
    <w:rsid w:val="364C16CE"/>
    <w:rsid w:val="364D41F6"/>
    <w:rsid w:val="364E0A18"/>
    <w:rsid w:val="3651249E"/>
    <w:rsid w:val="36535DF8"/>
    <w:rsid w:val="36557D57"/>
    <w:rsid w:val="3663302B"/>
    <w:rsid w:val="36665D36"/>
    <w:rsid w:val="366A106C"/>
    <w:rsid w:val="366B28CE"/>
    <w:rsid w:val="367324D4"/>
    <w:rsid w:val="36733395"/>
    <w:rsid w:val="36736ACF"/>
    <w:rsid w:val="36743AFA"/>
    <w:rsid w:val="36763189"/>
    <w:rsid w:val="367F10AE"/>
    <w:rsid w:val="36800034"/>
    <w:rsid w:val="36806379"/>
    <w:rsid w:val="368D5206"/>
    <w:rsid w:val="368D581C"/>
    <w:rsid w:val="369E658C"/>
    <w:rsid w:val="369F5689"/>
    <w:rsid w:val="36A165F4"/>
    <w:rsid w:val="36A31DCE"/>
    <w:rsid w:val="36A74218"/>
    <w:rsid w:val="36A81A04"/>
    <w:rsid w:val="36BF6F41"/>
    <w:rsid w:val="36C074C4"/>
    <w:rsid w:val="36C24CBE"/>
    <w:rsid w:val="36C53298"/>
    <w:rsid w:val="36CE7245"/>
    <w:rsid w:val="36D0097D"/>
    <w:rsid w:val="36D5394A"/>
    <w:rsid w:val="36DB7A54"/>
    <w:rsid w:val="36DF4330"/>
    <w:rsid w:val="36E67476"/>
    <w:rsid w:val="36EF397F"/>
    <w:rsid w:val="36F62AE0"/>
    <w:rsid w:val="37023232"/>
    <w:rsid w:val="37070849"/>
    <w:rsid w:val="3707794F"/>
    <w:rsid w:val="370D2B5C"/>
    <w:rsid w:val="37105528"/>
    <w:rsid w:val="37136968"/>
    <w:rsid w:val="371C7AB8"/>
    <w:rsid w:val="37294FB3"/>
    <w:rsid w:val="372A1F5E"/>
    <w:rsid w:val="373B67AE"/>
    <w:rsid w:val="374238C9"/>
    <w:rsid w:val="374A117F"/>
    <w:rsid w:val="374B183B"/>
    <w:rsid w:val="374F663D"/>
    <w:rsid w:val="375B40A3"/>
    <w:rsid w:val="375E2A17"/>
    <w:rsid w:val="375F7915"/>
    <w:rsid w:val="37640908"/>
    <w:rsid w:val="3765532A"/>
    <w:rsid w:val="37716A4E"/>
    <w:rsid w:val="37750EE1"/>
    <w:rsid w:val="377E7401"/>
    <w:rsid w:val="377F3B3C"/>
    <w:rsid w:val="37840664"/>
    <w:rsid w:val="37846691"/>
    <w:rsid w:val="37915FEB"/>
    <w:rsid w:val="379245B6"/>
    <w:rsid w:val="379C3687"/>
    <w:rsid w:val="379F04AB"/>
    <w:rsid w:val="37A47C0A"/>
    <w:rsid w:val="37A75B88"/>
    <w:rsid w:val="37AB1AB6"/>
    <w:rsid w:val="37AE5871"/>
    <w:rsid w:val="37B3277F"/>
    <w:rsid w:val="37B572BB"/>
    <w:rsid w:val="37BA4AB0"/>
    <w:rsid w:val="37C316D3"/>
    <w:rsid w:val="37C417AA"/>
    <w:rsid w:val="37CA3683"/>
    <w:rsid w:val="37D22ED3"/>
    <w:rsid w:val="37D300C0"/>
    <w:rsid w:val="37D46668"/>
    <w:rsid w:val="37E6203A"/>
    <w:rsid w:val="37E92CFD"/>
    <w:rsid w:val="37EB5754"/>
    <w:rsid w:val="37F261A2"/>
    <w:rsid w:val="37F343F6"/>
    <w:rsid w:val="37F92887"/>
    <w:rsid w:val="37FD09F1"/>
    <w:rsid w:val="37FE7050"/>
    <w:rsid w:val="38042125"/>
    <w:rsid w:val="380A0C7A"/>
    <w:rsid w:val="380E3B8D"/>
    <w:rsid w:val="380F37D7"/>
    <w:rsid w:val="38166099"/>
    <w:rsid w:val="38241E7D"/>
    <w:rsid w:val="38243FD7"/>
    <w:rsid w:val="382701F5"/>
    <w:rsid w:val="3834303F"/>
    <w:rsid w:val="383452C0"/>
    <w:rsid w:val="383507AB"/>
    <w:rsid w:val="383B019C"/>
    <w:rsid w:val="383C6CC7"/>
    <w:rsid w:val="38426591"/>
    <w:rsid w:val="38494CA3"/>
    <w:rsid w:val="385008F5"/>
    <w:rsid w:val="38511F24"/>
    <w:rsid w:val="38547FDF"/>
    <w:rsid w:val="386832A6"/>
    <w:rsid w:val="386B727B"/>
    <w:rsid w:val="386C2BC6"/>
    <w:rsid w:val="386C4014"/>
    <w:rsid w:val="387A7688"/>
    <w:rsid w:val="387B1840"/>
    <w:rsid w:val="38892804"/>
    <w:rsid w:val="388B0172"/>
    <w:rsid w:val="38941822"/>
    <w:rsid w:val="389F7C3A"/>
    <w:rsid w:val="38A81375"/>
    <w:rsid w:val="38AB713F"/>
    <w:rsid w:val="38B03B00"/>
    <w:rsid w:val="38B64CC2"/>
    <w:rsid w:val="38BD3C65"/>
    <w:rsid w:val="38C075B5"/>
    <w:rsid w:val="38C435DA"/>
    <w:rsid w:val="38C54AA3"/>
    <w:rsid w:val="38C56F28"/>
    <w:rsid w:val="38DE5E5B"/>
    <w:rsid w:val="38E04A9F"/>
    <w:rsid w:val="38E373F7"/>
    <w:rsid w:val="38E928FC"/>
    <w:rsid w:val="38EE1497"/>
    <w:rsid w:val="38F71927"/>
    <w:rsid w:val="38F914AE"/>
    <w:rsid w:val="390D48A5"/>
    <w:rsid w:val="39134161"/>
    <w:rsid w:val="39276F80"/>
    <w:rsid w:val="39294987"/>
    <w:rsid w:val="39297D6D"/>
    <w:rsid w:val="392A6947"/>
    <w:rsid w:val="392E2DE3"/>
    <w:rsid w:val="393B0601"/>
    <w:rsid w:val="393C3A93"/>
    <w:rsid w:val="393D55D6"/>
    <w:rsid w:val="39414D1E"/>
    <w:rsid w:val="394577CD"/>
    <w:rsid w:val="394A4DFF"/>
    <w:rsid w:val="394F632C"/>
    <w:rsid w:val="3959656F"/>
    <w:rsid w:val="395C4132"/>
    <w:rsid w:val="39611474"/>
    <w:rsid w:val="3962620A"/>
    <w:rsid w:val="39676BED"/>
    <w:rsid w:val="39693679"/>
    <w:rsid w:val="396E4BAF"/>
    <w:rsid w:val="397D344A"/>
    <w:rsid w:val="398064B0"/>
    <w:rsid w:val="398A2E42"/>
    <w:rsid w:val="39932C48"/>
    <w:rsid w:val="39973FDB"/>
    <w:rsid w:val="39A13B2E"/>
    <w:rsid w:val="39A81897"/>
    <w:rsid w:val="39AD08EF"/>
    <w:rsid w:val="39AD0CE5"/>
    <w:rsid w:val="39B050B0"/>
    <w:rsid w:val="39B527E6"/>
    <w:rsid w:val="39B60304"/>
    <w:rsid w:val="39B62251"/>
    <w:rsid w:val="39B93563"/>
    <w:rsid w:val="39BA4298"/>
    <w:rsid w:val="39C42CF3"/>
    <w:rsid w:val="39D117A4"/>
    <w:rsid w:val="39D45F4C"/>
    <w:rsid w:val="39D53986"/>
    <w:rsid w:val="39DA2245"/>
    <w:rsid w:val="39DA7FF2"/>
    <w:rsid w:val="39DB4D3F"/>
    <w:rsid w:val="39DD11A6"/>
    <w:rsid w:val="39DD26CE"/>
    <w:rsid w:val="39DE0DF1"/>
    <w:rsid w:val="39E33A55"/>
    <w:rsid w:val="39EF477B"/>
    <w:rsid w:val="39FA4695"/>
    <w:rsid w:val="39FD5710"/>
    <w:rsid w:val="3A045864"/>
    <w:rsid w:val="3A08550A"/>
    <w:rsid w:val="3A11136A"/>
    <w:rsid w:val="3A1209FF"/>
    <w:rsid w:val="3A1413DB"/>
    <w:rsid w:val="3A146B76"/>
    <w:rsid w:val="3A181B3D"/>
    <w:rsid w:val="3A257964"/>
    <w:rsid w:val="3A267B91"/>
    <w:rsid w:val="3A2711FA"/>
    <w:rsid w:val="3A2A5325"/>
    <w:rsid w:val="3A2C2DD7"/>
    <w:rsid w:val="3A2D0989"/>
    <w:rsid w:val="3A2E2884"/>
    <w:rsid w:val="3A2E513D"/>
    <w:rsid w:val="3A2E6789"/>
    <w:rsid w:val="3A317479"/>
    <w:rsid w:val="3A331955"/>
    <w:rsid w:val="3A3455FA"/>
    <w:rsid w:val="3A4144F3"/>
    <w:rsid w:val="3A436EC2"/>
    <w:rsid w:val="3A4C35D7"/>
    <w:rsid w:val="3A5706CA"/>
    <w:rsid w:val="3A576258"/>
    <w:rsid w:val="3A5B49CF"/>
    <w:rsid w:val="3A614714"/>
    <w:rsid w:val="3A643C09"/>
    <w:rsid w:val="3A775BC4"/>
    <w:rsid w:val="3A7812A0"/>
    <w:rsid w:val="3A7E1B0F"/>
    <w:rsid w:val="3A7E4AF1"/>
    <w:rsid w:val="3A8409A3"/>
    <w:rsid w:val="3A8A77C7"/>
    <w:rsid w:val="3A9B7C32"/>
    <w:rsid w:val="3AA13620"/>
    <w:rsid w:val="3AA24E77"/>
    <w:rsid w:val="3AA54160"/>
    <w:rsid w:val="3AAB7081"/>
    <w:rsid w:val="3AB12502"/>
    <w:rsid w:val="3AC31180"/>
    <w:rsid w:val="3AC51F20"/>
    <w:rsid w:val="3AC52F10"/>
    <w:rsid w:val="3AC93414"/>
    <w:rsid w:val="3ACB67B3"/>
    <w:rsid w:val="3ACB69E7"/>
    <w:rsid w:val="3AD06540"/>
    <w:rsid w:val="3AD817DA"/>
    <w:rsid w:val="3AD969A0"/>
    <w:rsid w:val="3AD96CB8"/>
    <w:rsid w:val="3ADE540F"/>
    <w:rsid w:val="3AE0557F"/>
    <w:rsid w:val="3AE63B5C"/>
    <w:rsid w:val="3AF13073"/>
    <w:rsid w:val="3AF2399B"/>
    <w:rsid w:val="3AFD40D9"/>
    <w:rsid w:val="3B032D85"/>
    <w:rsid w:val="3B054997"/>
    <w:rsid w:val="3B07667C"/>
    <w:rsid w:val="3B084B8F"/>
    <w:rsid w:val="3B0A0908"/>
    <w:rsid w:val="3B1604D6"/>
    <w:rsid w:val="3B1E7DC8"/>
    <w:rsid w:val="3B2605EA"/>
    <w:rsid w:val="3B294FB0"/>
    <w:rsid w:val="3B332AE7"/>
    <w:rsid w:val="3B335519"/>
    <w:rsid w:val="3B347912"/>
    <w:rsid w:val="3B3C15FE"/>
    <w:rsid w:val="3B3E03FD"/>
    <w:rsid w:val="3B3F45FC"/>
    <w:rsid w:val="3B42010B"/>
    <w:rsid w:val="3B431AB8"/>
    <w:rsid w:val="3B492429"/>
    <w:rsid w:val="3B4C3783"/>
    <w:rsid w:val="3B5B5607"/>
    <w:rsid w:val="3B5C66D6"/>
    <w:rsid w:val="3B6228E3"/>
    <w:rsid w:val="3B627F35"/>
    <w:rsid w:val="3B650AB9"/>
    <w:rsid w:val="3B684FCB"/>
    <w:rsid w:val="3B844B5E"/>
    <w:rsid w:val="3B892DA3"/>
    <w:rsid w:val="3B8F2138"/>
    <w:rsid w:val="3B9207EF"/>
    <w:rsid w:val="3B930D62"/>
    <w:rsid w:val="3B93292F"/>
    <w:rsid w:val="3B9771AE"/>
    <w:rsid w:val="3B9E2469"/>
    <w:rsid w:val="3B9F5695"/>
    <w:rsid w:val="3BAC0311"/>
    <w:rsid w:val="3BB56FAC"/>
    <w:rsid w:val="3BC0048C"/>
    <w:rsid w:val="3BC40150"/>
    <w:rsid w:val="3BC52515"/>
    <w:rsid w:val="3BC61C43"/>
    <w:rsid w:val="3BC6556C"/>
    <w:rsid w:val="3BC74A4B"/>
    <w:rsid w:val="3BC76033"/>
    <w:rsid w:val="3BC903EA"/>
    <w:rsid w:val="3BCB0097"/>
    <w:rsid w:val="3BCE40AE"/>
    <w:rsid w:val="3BD32A56"/>
    <w:rsid w:val="3BD50D1B"/>
    <w:rsid w:val="3BD80A06"/>
    <w:rsid w:val="3BE86E9B"/>
    <w:rsid w:val="3BEB3004"/>
    <w:rsid w:val="3BFE6198"/>
    <w:rsid w:val="3C006244"/>
    <w:rsid w:val="3C0161AE"/>
    <w:rsid w:val="3C025D84"/>
    <w:rsid w:val="3C0341BC"/>
    <w:rsid w:val="3C061124"/>
    <w:rsid w:val="3C0F798F"/>
    <w:rsid w:val="3C10584D"/>
    <w:rsid w:val="3C1078F1"/>
    <w:rsid w:val="3C1213D0"/>
    <w:rsid w:val="3C19751E"/>
    <w:rsid w:val="3C1A1220"/>
    <w:rsid w:val="3C1F6635"/>
    <w:rsid w:val="3C212F19"/>
    <w:rsid w:val="3C24797A"/>
    <w:rsid w:val="3C275118"/>
    <w:rsid w:val="3C2B4FD9"/>
    <w:rsid w:val="3C3155D2"/>
    <w:rsid w:val="3C326368"/>
    <w:rsid w:val="3C3A7F4E"/>
    <w:rsid w:val="3C3D5B7A"/>
    <w:rsid w:val="3C4433A8"/>
    <w:rsid w:val="3C446D8B"/>
    <w:rsid w:val="3C47049B"/>
    <w:rsid w:val="3C486B37"/>
    <w:rsid w:val="3C4A3ABB"/>
    <w:rsid w:val="3C4D4A00"/>
    <w:rsid w:val="3C533828"/>
    <w:rsid w:val="3C573A8F"/>
    <w:rsid w:val="3C5B70B9"/>
    <w:rsid w:val="3C682D30"/>
    <w:rsid w:val="3C6A3D54"/>
    <w:rsid w:val="3C721D5A"/>
    <w:rsid w:val="3C762107"/>
    <w:rsid w:val="3C8841DA"/>
    <w:rsid w:val="3C8E4303"/>
    <w:rsid w:val="3C8E62D0"/>
    <w:rsid w:val="3C95085F"/>
    <w:rsid w:val="3C9A14EB"/>
    <w:rsid w:val="3C9D2FA5"/>
    <w:rsid w:val="3CA739E5"/>
    <w:rsid w:val="3CA90F65"/>
    <w:rsid w:val="3CB10852"/>
    <w:rsid w:val="3CB7280F"/>
    <w:rsid w:val="3CC51310"/>
    <w:rsid w:val="3CC54397"/>
    <w:rsid w:val="3CC701F0"/>
    <w:rsid w:val="3CC92A7A"/>
    <w:rsid w:val="3CCB67E4"/>
    <w:rsid w:val="3CCD6C33"/>
    <w:rsid w:val="3CD45671"/>
    <w:rsid w:val="3CD65AAE"/>
    <w:rsid w:val="3CE3439C"/>
    <w:rsid w:val="3CE50817"/>
    <w:rsid w:val="3CEA225F"/>
    <w:rsid w:val="3CEA4CFE"/>
    <w:rsid w:val="3CF26926"/>
    <w:rsid w:val="3CFC0724"/>
    <w:rsid w:val="3D06321A"/>
    <w:rsid w:val="3D070F8C"/>
    <w:rsid w:val="3D0727E2"/>
    <w:rsid w:val="3D09356D"/>
    <w:rsid w:val="3D0A5706"/>
    <w:rsid w:val="3D0C753E"/>
    <w:rsid w:val="3D126D6D"/>
    <w:rsid w:val="3D1312D0"/>
    <w:rsid w:val="3D15583B"/>
    <w:rsid w:val="3D167A38"/>
    <w:rsid w:val="3D1727F1"/>
    <w:rsid w:val="3D195C8C"/>
    <w:rsid w:val="3D1B7B7D"/>
    <w:rsid w:val="3D1E67F3"/>
    <w:rsid w:val="3D1F42B3"/>
    <w:rsid w:val="3D1F6B0B"/>
    <w:rsid w:val="3D233F03"/>
    <w:rsid w:val="3D250C0C"/>
    <w:rsid w:val="3D271C45"/>
    <w:rsid w:val="3D295A61"/>
    <w:rsid w:val="3D333800"/>
    <w:rsid w:val="3D3D5892"/>
    <w:rsid w:val="3D515A85"/>
    <w:rsid w:val="3D577FF7"/>
    <w:rsid w:val="3D69335B"/>
    <w:rsid w:val="3D6D0913"/>
    <w:rsid w:val="3D6D6874"/>
    <w:rsid w:val="3D7B5306"/>
    <w:rsid w:val="3D7D035D"/>
    <w:rsid w:val="3D7D11D3"/>
    <w:rsid w:val="3D89020A"/>
    <w:rsid w:val="3D8C6ADA"/>
    <w:rsid w:val="3D8D39C2"/>
    <w:rsid w:val="3D912F47"/>
    <w:rsid w:val="3D97683D"/>
    <w:rsid w:val="3D986795"/>
    <w:rsid w:val="3DA72E38"/>
    <w:rsid w:val="3DB07EB1"/>
    <w:rsid w:val="3DB12299"/>
    <w:rsid w:val="3DB94A57"/>
    <w:rsid w:val="3DBC3F4F"/>
    <w:rsid w:val="3DC00139"/>
    <w:rsid w:val="3DCB6ED1"/>
    <w:rsid w:val="3DD02315"/>
    <w:rsid w:val="3DD34F93"/>
    <w:rsid w:val="3DD65D2B"/>
    <w:rsid w:val="3DD73AB7"/>
    <w:rsid w:val="3DD829AF"/>
    <w:rsid w:val="3DD95197"/>
    <w:rsid w:val="3DE04451"/>
    <w:rsid w:val="3DF758E6"/>
    <w:rsid w:val="3E06151A"/>
    <w:rsid w:val="3E067483"/>
    <w:rsid w:val="3E084E4D"/>
    <w:rsid w:val="3E0C19EB"/>
    <w:rsid w:val="3E0E12D4"/>
    <w:rsid w:val="3E147231"/>
    <w:rsid w:val="3E1E24A7"/>
    <w:rsid w:val="3E253D79"/>
    <w:rsid w:val="3E39655E"/>
    <w:rsid w:val="3E4A48E1"/>
    <w:rsid w:val="3E4E7E7B"/>
    <w:rsid w:val="3E4F5F52"/>
    <w:rsid w:val="3E572706"/>
    <w:rsid w:val="3E5A3967"/>
    <w:rsid w:val="3E5B76A8"/>
    <w:rsid w:val="3E5C7D5E"/>
    <w:rsid w:val="3E602137"/>
    <w:rsid w:val="3E6622F9"/>
    <w:rsid w:val="3E6D5059"/>
    <w:rsid w:val="3E7154DB"/>
    <w:rsid w:val="3E7277C4"/>
    <w:rsid w:val="3E762E96"/>
    <w:rsid w:val="3E782701"/>
    <w:rsid w:val="3E7D07FF"/>
    <w:rsid w:val="3E7D4701"/>
    <w:rsid w:val="3E7F5258"/>
    <w:rsid w:val="3E83486D"/>
    <w:rsid w:val="3E8E05FB"/>
    <w:rsid w:val="3E8E6A05"/>
    <w:rsid w:val="3E931489"/>
    <w:rsid w:val="3E933499"/>
    <w:rsid w:val="3E966274"/>
    <w:rsid w:val="3E97231C"/>
    <w:rsid w:val="3E972CD7"/>
    <w:rsid w:val="3E9A4845"/>
    <w:rsid w:val="3EA0270D"/>
    <w:rsid w:val="3EA46C9B"/>
    <w:rsid w:val="3EAA1996"/>
    <w:rsid w:val="3EAB41B0"/>
    <w:rsid w:val="3EAC63EF"/>
    <w:rsid w:val="3EAD7799"/>
    <w:rsid w:val="3EB239AC"/>
    <w:rsid w:val="3EB419A5"/>
    <w:rsid w:val="3EB52864"/>
    <w:rsid w:val="3EB70A1A"/>
    <w:rsid w:val="3EB82C9D"/>
    <w:rsid w:val="3EBD425D"/>
    <w:rsid w:val="3EBE2B46"/>
    <w:rsid w:val="3EBF4C58"/>
    <w:rsid w:val="3EC57784"/>
    <w:rsid w:val="3EC84D62"/>
    <w:rsid w:val="3ECB5E6A"/>
    <w:rsid w:val="3ED07704"/>
    <w:rsid w:val="3EDE4585"/>
    <w:rsid w:val="3EDE747D"/>
    <w:rsid w:val="3EE644CE"/>
    <w:rsid w:val="3EF208A5"/>
    <w:rsid w:val="3EF43CA7"/>
    <w:rsid w:val="3EFD6405"/>
    <w:rsid w:val="3EFE1953"/>
    <w:rsid w:val="3F02642A"/>
    <w:rsid w:val="3F086F2C"/>
    <w:rsid w:val="3F087854"/>
    <w:rsid w:val="3F095E1B"/>
    <w:rsid w:val="3F106EAC"/>
    <w:rsid w:val="3F180FD3"/>
    <w:rsid w:val="3F1A0E6C"/>
    <w:rsid w:val="3F1E121F"/>
    <w:rsid w:val="3F222D16"/>
    <w:rsid w:val="3F2A0B09"/>
    <w:rsid w:val="3F2A1578"/>
    <w:rsid w:val="3F2F4B09"/>
    <w:rsid w:val="3F3B531D"/>
    <w:rsid w:val="3F407578"/>
    <w:rsid w:val="3F434078"/>
    <w:rsid w:val="3F444BF2"/>
    <w:rsid w:val="3F47212A"/>
    <w:rsid w:val="3F477701"/>
    <w:rsid w:val="3F4C4A65"/>
    <w:rsid w:val="3F55440B"/>
    <w:rsid w:val="3F5C0FCD"/>
    <w:rsid w:val="3F6329E4"/>
    <w:rsid w:val="3F651ADC"/>
    <w:rsid w:val="3F6C2118"/>
    <w:rsid w:val="3F725A1C"/>
    <w:rsid w:val="3F7272F6"/>
    <w:rsid w:val="3F73566E"/>
    <w:rsid w:val="3F774685"/>
    <w:rsid w:val="3F7C1DF6"/>
    <w:rsid w:val="3F7E7AC8"/>
    <w:rsid w:val="3F850307"/>
    <w:rsid w:val="3F88629F"/>
    <w:rsid w:val="3F8B72DF"/>
    <w:rsid w:val="3F8C2BFA"/>
    <w:rsid w:val="3F8F1F95"/>
    <w:rsid w:val="3F9026E2"/>
    <w:rsid w:val="3FA05CDE"/>
    <w:rsid w:val="3FA26F5B"/>
    <w:rsid w:val="3FA42F82"/>
    <w:rsid w:val="3FA51CED"/>
    <w:rsid w:val="3FA728A2"/>
    <w:rsid w:val="3FA81EFA"/>
    <w:rsid w:val="3FA94DCC"/>
    <w:rsid w:val="3FA95165"/>
    <w:rsid w:val="3FBB6674"/>
    <w:rsid w:val="3FBC2029"/>
    <w:rsid w:val="3FBE3E20"/>
    <w:rsid w:val="3FBF1534"/>
    <w:rsid w:val="3FCC0881"/>
    <w:rsid w:val="3FCD1871"/>
    <w:rsid w:val="3FDA54F7"/>
    <w:rsid w:val="3FDF0772"/>
    <w:rsid w:val="3FEE30E8"/>
    <w:rsid w:val="3FF07F10"/>
    <w:rsid w:val="400242A3"/>
    <w:rsid w:val="400B4B91"/>
    <w:rsid w:val="400F2098"/>
    <w:rsid w:val="40127195"/>
    <w:rsid w:val="40146D6B"/>
    <w:rsid w:val="40164BCF"/>
    <w:rsid w:val="40194C00"/>
    <w:rsid w:val="401F3597"/>
    <w:rsid w:val="40213B39"/>
    <w:rsid w:val="4024421A"/>
    <w:rsid w:val="4025656C"/>
    <w:rsid w:val="40277FE9"/>
    <w:rsid w:val="40283A09"/>
    <w:rsid w:val="40304FD9"/>
    <w:rsid w:val="403311B0"/>
    <w:rsid w:val="403547DB"/>
    <w:rsid w:val="40367A44"/>
    <w:rsid w:val="403B201E"/>
    <w:rsid w:val="403B495E"/>
    <w:rsid w:val="403F5DA5"/>
    <w:rsid w:val="40480F29"/>
    <w:rsid w:val="404C5BE8"/>
    <w:rsid w:val="40504B09"/>
    <w:rsid w:val="405D0709"/>
    <w:rsid w:val="407668ED"/>
    <w:rsid w:val="4077361F"/>
    <w:rsid w:val="408D7BAA"/>
    <w:rsid w:val="409D04C1"/>
    <w:rsid w:val="409F5F96"/>
    <w:rsid w:val="40A4535A"/>
    <w:rsid w:val="40A77B1B"/>
    <w:rsid w:val="40AC4616"/>
    <w:rsid w:val="40AE52C3"/>
    <w:rsid w:val="40B325D3"/>
    <w:rsid w:val="40B838E7"/>
    <w:rsid w:val="40BA18C8"/>
    <w:rsid w:val="40C11341"/>
    <w:rsid w:val="40C90FC4"/>
    <w:rsid w:val="40C96B6F"/>
    <w:rsid w:val="40CD2F3F"/>
    <w:rsid w:val="40D64521"/>
    <w:rsid w:val="40D850CB"/>
    <w:rsid w:val="40DD5C6B"/>
    <w:rsid w:val="40E21755"/>
    <w:rsid w:val="40E8577D"/>
    <w:rsid w:val="40EC59E9"/>
    <w:rsid w:val="40F75ADF"/>
    <w:rsid w:val="40F97454"/>
    <w:rsid w:val="40FF1CE7"/>
    <w:rsid w:val="4104731D"/>
    <w:rsid w:val="4107592F"/>
    <w:rsid w:val="410F7001"/>
    <w:rsid w:val="41161732"/>
    <w:rsid w:val="41170FCD"/>
    <w:rsid w:val="41197960"/>
    <w:rsid w:val="411C1948"/>
    <w:rsid w:val="411E04AF"/>
    <w:rsid w:val="41236941"/>
    <w:rsid w:val="413143F1"/>
    <w:rsid w:val="413621AC"/>
    <w:rsid w:val="41385227"/>
    <w:rsid w:val="41387ED1"/>
    <w:rsid w:val="414638D3"/>
    <w:rsid w:val="414A74EA"/>
    <w:rsid w:val="414B27F7"/>
    <w:rsid w:val="414E21CB"/>
    <w:rsid w:val="414F6CFC"/>
    <w:rsid w:val="415C1304"/>
    <w:rsid w:val="415E6CE6"/>
    <w:rsid w:val="4163698C"/>
    <w:rsid w:val="41642AA7"/>
    <w:rsid w:val="41664443"/>
    <w:rsid w:val="416B38CC"/>
    <w:rsid w:val="41727EB0"/>
    <w:rsid w:val="41777932"/>
    <w:rsid w:val="41790489"/>
    <w:rsid w:val="41791A31"/>
    <w:rsid w:val="417A1850"/>
    <w:rsid w:val="417E22C1"/>
    <w:rsid w:val="418235ED"/>
    <w:rsid w:val="4189189E"/>
    <w:rsid w:val="418C7967"/>
    <w:rsid w:val="419521E1"/>
    <w:rsid w:val="419B0E80"/>
    <w:rsid w:val="419D300F"/>
    <w:rsid w:val="41A151D1"/>
    <w:rsid w:val="41A35873"/>
    <w:rsid w:val="41A62DA8"/>
    <w:rsid w:val="41AA2E44"/>
    <w:rsid w:val="41AF5B2B"/>
    <w:rsid w:val="41B16CE2"/>
    <w:rsid w:val="41B26E08"/>
    <w:rsid w:val="41B33AA7"/>
    <w:rsid w:val="41B77470"/>
    <w:rsid w:val="41BB6908"/>
    <w:rsid w:val="41C537BF"/>
    <w:rsid w:val="41CB3FF4"/>
    <w:rsid w:val="41CE4BB2"/>
    <w:rsid w:val="41D729B3"/>
    <w:rsid w:val="41DB7648"/>
    <w:rsid w:val="41DD4D60"/>
    <w:rsid w:val="41E01715"/>
    <w:rsid w:val="41E71A95"/>
    <w:rsid w:val="41F06E9B"/>
    <w:rsid w:val="41F16934"/>
    <w:rsid w:val="41F26F7A"/>
    <w:rsid w:val="41F31996"/>
    <w:rsid w:val="41F45E6E"/>
    <w:rsid w:val="41F57F7A"/>
    <w:rsid w:val="41FA1F07"/>
    <w:rsid w:val="41FF06D0"/>
    <w:rsid w:val="421B3B6D"/>
    <w:rsid w:val="421F5CFF"/>
    <w:rsid w:val="42244AB4"/>
    <w:rsid w:val="422E0DB5"/>
    <w:rsid w:val="422F715E"/>
    <w:rsid w:val="42336467"/>
    <w:rsid w:val="42371C2B"/>
    <w:rsid w:val="423F358D"/>
    <w:rsid w:val="423F4D79"/>
    <w:rsid w:val="42453340"/>
    <w:rsid w:val="42461F7F"/>
    <w:rsid w:val="4249440B"/>
    <w:rsid w:val="424C7A58"/>
    <w:rsid w:val="424F06E8"/>
    <w:rsid w:val="42601367"/>
    <w:rsid w:val="426223B3"/>
    <w:rsid w:val="42692625"/>
    <w:rsid w:val="42695500"/>
    <w:rsid w:val="426A511D"/>
    <w:rsid w:val="426C0C47"/>
    <w:rsid w:val="426F2128"/>
    <w:rsid w:val="4271002E"/>
    <w:rsid w:val="4274258B"/>
    <w:rsid w:val="42760D90"/>
    <w:rsid w:val="427A13B2"/>
    <w:rsid w:val="428B585B"/>
    <w:rsid w:val="42A473F3"/>
    <w:rsid w:val="42B12A15"/>
    <w:rsid w:val="42B21BA0"/>
    <w:rsid w:val="42B865D5"/>
    <w:rsid w:val="42C54E7E"/>
    <w:rsid w:val="42C5749C"/>
    <w:rsid w:val="42C83C9E"/>
    <w:rsid w:val="42CC1372"/>
    <w:rsid w:val="42CC6FE5"/>
    <w:rsid w:val="42D068DB"/>
    <w:rsid w:val="42D27E70"/>
    <w:rsid w:val="42D9753D"/>
    <w:rsid w:val="42DA4FA4"/>
    <w:rsid w:val="42DA57DF"/>
    <w:rsid w:val="42F17120"/>
    <w:rsid w:val="42F8373B"/>
    <w:rsid w:val="430428C5"/>
    <w:rsid w:val="430F5837"/>
    <w:rsid w:val="43102FE9"/>
    <w:rsid w:val="43136632"/>
    <w:rsid w:val="431E31A2"/>
    <w:rsid w:val="432D5ADB"/>
    <w:rsid w:val="432E1EAC"/>
    <w:rsid w:val="43372A7E"/>
    <w:rsid w:val="433A0C9C"/>
    <w:rsid w:val="433B01F8"/>
    <w:rsid w:val="433C58A7"/>
    <w:rsid w:val="433F444D"/>
    <w:rsid w:val="43416B84"/>
    <w:rsid w:val="4346042F"/>
    <w:rsid w:val="43521DE4"/>
    <w:rsid w:val="43542F81"/>
    <w:rsid w:val="435E62BB"/>
    <w:rsid w:val="43642E1E"/>
    <w:rsid w:val="43684182"/>
    <w:rsid w:val="436F4DD9"/>
    <w:rsid w:val="43791079"/>
    <w:rsid w:val="437F2D89"/>
    <w:rsid w:val="43843A68"/>
    <w:rsid w:val="4384623E"/>
    <w:rsid w:val="43877FB6"/>
    <w:rsid w:val="4389216D"/>
    <w:rsid w:val="439746F0"/>
    <w:rsid w:val="439843F5"/>
    <w:rsid w:val="43994F1E"/>
    <w:rsid w:val="439D00F9"/>
    <w:rsid w:val="439F53E9"/>
    <w:rsid w:val="43A475FF"/>
    <w:rsid w:val="43A72BCF"/>
    <w:rsid w:val="43AD0561"/>
    <w:rsid w:val="43BA1887"/>
    <w:rsid w:val="43BA5CB2"/>
    <w:rsid w:val="43BB74E9"/>
    <w:rsid w:val="43BC57F0"/>
    <w:rsid w:val="43BE1126"/>
    <w:rsid w:val="43C43EA0"/>
    <w:rsid w:val="43C83F79"/>
    <w:rsid w:val="43CF1924"/>
    <w:rsid w:val="43D55384"/>
    <w:rsid w:val="43DB5537"/>
    <w:rsid w:val="43E6158D"/>
    <w:rsid w:val="43E701CB"/>
    <w:rsid w:val="43EA6AA7"/>
    <w:rsid w:val="43ED3230"/>
    <w:rsid w:val="43F802D9"/>
    <w:rsid w:val="43F976FA"/>
    <w:rsid w:val="43FF30AC"/>
    <w:rsid w:val="43FF4A32"/>
    <w:rsid w:val="440525B4"/>
    <w:rsid w:val="440720CD"/>
    <w:rsid w:val="440A0339"/>
    <w:rsid w:val="440C13F8"/>
    <w:rsid w:val="440D0697"/>
    <w:rsid w:val="441831E8"/>
    <w:rsid w:val="44197CD5"/>
    <w:rsid w:val="441D5B50"/>
    <w:rsid w:val="441F05BA"/>
    <w:rsid w:val="441F2B43"/>
    <w:rsid w:val="4421208B"/>
    <w:rsid w:val="442A3D14"/>
    <w:rsid w:val="442A5BD9"/>
    <w:rsid w:val="443351CC"/>
    <w:rsid w:val="443536AF"/>
    <w:rsid w:val="44377703"/>
    <w:rsid w:val="443A745B"/>
    <w:rsid w:val="443F1622"/>
    <w:rsid w:val="44413AFF"/>
    <w:rsid w:val="444A66FC"/>
    <w:rsid w:val="44520623"/>
    <w:rsid w:val="44537D49"/>
    <w:rsid w:val="445C19BB"/>
    <w:rsid w:val="44661919"/>
    <w:rsid w:val="4467501D"/>
    <w:rsid w:val="446957A4"/>
    <w:rsid w:val="4469669F"/>
    <w:rsid w:val="44732EAF"/>
    <w:rsid w:val="44775260"/>
    <w:rsid w:val="447A634B"/>
    <w:rsid w:val="44936A2D"/>
    <w:rsid w:val="44941CAD"/>
    <w:rsid w:val="44953504"/>
    <w:rsid w:val="44967F79"/>
    <w:rsid w:val="449B1FB7"/>
    <w:rsid w:val="449C3F3C"/>
    <w:rsid w:val="44A23EE3"/>
    <w:rsid w:val="44B2001A"/>
    <w:rsid w:val="44B334F5"/>
    <w:rsid w:val="44B6296D"/>
    <w:rsid w:val="44C75E5F"/>
    <w:rsid w:val="44C93934"/>
    <w:rsid w:val="44E00B36"/>
    <w:rsid w:val="44E04FCD"/>
    <w:rsid w:val="44E07AE5"/>
    <w:rsid w:val="44E84739"/>
    <w:rsid w:val="44E906E3"/>
    <w:rsid w:val="44F14363"/>
    <w:rsid w:val="44F94AD0"/>
    <w:rsid w:val="44FB7F31"/>
    <w:rsid w:val="450241CA"/>
    <w:rsid w:val="45064C67"/>
    <w:rsid w:val="45092283"/>
    <w:rsid w:val="450A4F6B"/>
    <w:rsid w:val="45105A67"/>
    <w:rsid w:val="45117A4E"/>
    <w:rsid w:val="451526B8"/>
    <w:rsid w:val="45191600"/>
    <w:rsid w:val="451A4083"/>
    <w:rsid w:val="451D1C20"/>
    <w:rsid w:val="451F4766"/>
    <w:rsid w:val="452137A8"/>
    <w:rsid w:val="452336FE"/>
    <w:rsid w:val="45237005"/>
    <w:rsid w:val="452565BA"/>
    <w:rsid w:val="45292A82"/>
    <w:rsid w:val="45297C62"/>
    <w:rsid w:val="452B2216"/>
    <w:rsid w:val="452F5601"/>
    <w:rsid w:val="45383FA5"/>
    <w:rsid w:val="453942C3"/>
    <w:rsid w:val="453F429A"/>
    <w:rsid w:val="45420378"/>
    <w:rsid w:val="45457A04"/>
    <w:rsid w:val="45587386"/>
    <w:rsid w:val="455B75C1"/>
    <w:rsid w:val="455D1C73"/>
    <w:rsid w:val="456357E4"/>
    <w:rsid w:val="4566467E"/>
    <w:rsid w:val="45767B60"/>
    <w:rsid w:val="45783405"/>
    <w:rsid w:val="457C0EFB"/>
    <w:rsid w:val="4585496B"/>
    <w:rsid w:val="45890C85"/>
    <w:rsid w:val="458E4348"/>
    <w:rsid w:val="45947D37"/>
    <w:rsid w:val="459800D3"/>
    <w:rsid w:val="459978C4"/>
    <w:rsid w:val="45A507FC"/>
    <w:rsid w:val="45A907CE"/>
    <w:rsid w:val="45AB2C34"/>
    <w:rsid w:val="45AD2935"/>
    <w:rsid w:val="45AE54CB"/>
    <w:rsid w:val="45B231FF"/>
    <w:rsid w:val="45B45CF0"/>
    <w:rsid w:val="45BB4542"/>
    <w:rsid w:val="45C07A37"/>
    <w:rsid w:val="45C16D8A"/>
    <w:rsid w:val="45C2753B"/>
    <w:rsid w:val="45C77855"/>
    <w:rsid w:val="45CA13BF"/>
    <w:rsid w:val="45D15F60"/>
    <w:rsid w:val="45D87004"/>
    <w:rsid w:val="45DB537A"/>
    <w:rsid w:val="45DC2F49"/>
    <w:rsid w:val="45DF0C25"/>
    <w:rsid w:val="45E0774E"/>
    <w:rsid w:val="45E324F1"/>
    <w:rsid w:val="45E83934"/>
    <w:rsid w:val="45ED1B7A"/>
    <w:rsid w:val="45EE5989"/>
    <w:rsid w:val="45F46D03"/>
    <w:rsid w:val="45FC3972"/>
    <w:rsid w:val="45FD1795"/>
    <w:rsid w:val="460B65FD"/>
    <w:rsid w:val="460E483B"/>
    <w:rsid w:val="460F3BEB"/>
    <w:rsid w:val="4610156C"/>
    <w:rsid w:val="46115CF7"/>
    <w:rsid w:val="461372AA"/>
    <w:rsid w:val="461C5640"/>
    <w:rsid w:val="46220201"/>
    <w:rsid w:val="46243EAF"/>
    <w:rsid w:val="462447F2"/>
    <w:rsid w:val="46266A8D"/>
    <w:rsid w:val="463D789F"/>
    <w:rsid w:val="4641493A"/>
    <w:rsid w:val="46460F21"/>
    <w:rsid w:val="46484899"/>
    <w:rsid w:val="46494DC3"/>
    <w:rsid w:val="464A534D"/>
    <w:rsid w:val="464C0026"/>
    <w:rsid w:val="464F4558"/>
    <w:rsid w:val="465B64BB"/>
    <w:rsid w:val="4662583A"/>
    <w:rsid w:val="466333FD"/>
    <w:rsid w:val="466B0621"/>
    <w:rsid w:val="46703CDF"/>
    <w:rsid w:val="4675088B"/>
    <w:rsid w:val="467970CA"/>
    <w:rsid w:val="467A62A2"/>
    <w:rsid w:val="467F13E2"/>
    <w:rsid w:val="46852E53"/>
    <w:rsid w:val="468C3DDE"/>
    <w:rsid w:val="46907AD5"/>
    <w:rsid w:val="469B2CB1"/>
    <w:rsid w:val="46A234C7"/>
    <w:rsid w:val="46A31106"/>
    <w:rsid w:val="46AB2F56"/>
    <w:rsid w:val="46AC6D17"/>
    <w:rsid w:val="46B169F7"/>
    <w:rsid w:val="46B50A37"/>
    <w:rsid w:val="46B84055"/>
    <w:rsid w:val="46B9051E"/>
    <w:rsid w:val="46B96A82"/>
    <w:rsid w:val="46C574DF"/>
    <w:rsid w:val="46CE4F42"/>
    <w:rsid w:val="46D52711"/>
    <w:rsid w:val="46D62443"/>
    <w:rsid w:val="46DF14B9"/>
    <w:rsid w:val="46E13566"/>
    <w:rsid w:val="46E54C91"/>
    <w:rsid w:val="46EA5EEC"/>
    <w:rsid w:val="46F02F77"/>
    <w:rsid w:val="46F7061D"/>
    <w:rsid w:val="46F75CCC"/>
    <w:rsid w:val="46FA5AF3"/>
    <w:rsid w:val="46FF153C"/>
    <w:rsid w:val="46FF6E60"/>
    <w:rsid w:val="47054161"/>
    <w:rsid w:val="470B020C"/>
    <w:rsid w:val="470B38B4"/>
    <w:rsid w:val="470E5B90"/>
    <w:rsid w:val="47137AA6"/>
    <w:rsid w:val="471918E8"/>
    <w:rsid w:val="47195DE5"/>
    <w:rsid w:val="471D1DD1"/>
    <w:rsid w:val="471E4985"/>
    <w:rsid w:val="472114B3"/>
    <w:rsid w:val="47215C41"/>
    <w:rsid w:val="472911AE"/>
    <w:rsid w:val="47295241"/>
    <w:rsid w:val="472D49DD"/>
    <w:rsid w:val="47417594"/>
    <w:rsid w:val="474673F8"/>
    <w:rsid w:val="474E6020"/>
    <w:rsid w:val="474F4272"/>
    <w:rsid w:val="47540C0E"/>
    <w:rsid w:val="4758063C"/>
    <w:rsid w:val="476060E7"/>
    <w:rsid w:val="4761004F"/>
    <w:rsid w:val="476A2EA0"/>
    <w:rsid w:val="477B4BF8"/>
    <w:rsid w:val="477D6FD2"/>
    <w:rsid w:val="47806686"/>
    <w:rsid w:val="47806AF1"/>
    <w:rsid w:val="478E736C"/>
    <w:rsid w:val="47906D29"/>
    <w:rsid w:val="47A63038"/>
    <w:rsid w:val="47B1755E"/>
    <w:rsid w:val="47B634D7"/>
    <w:rsid w:val="47B81236"/>
    <w:rsid w:val="47BE0112"/>
    <w:rsid w:val="47C0167F"/>
    <w:rsid w:val="47C7770C"/>
    <w:rsid w:val="47C94BC2"/>
    <w:rsid w:val="47D374EE"/>
    <w:rsid w:val="47D5062C"/>
    <w:rsid w:val="47D75B8A"/>
    <w:rsid w:val="47DC5CD8"/>
    <w:rsid w:val="47DD3E88"/>
    <w:rsid w:val="47DF6F38"/>
    <w:rsid w:val="47E40D57"/>
    <w:rsid w:val="47E52EFC"/>
    <w:rsid w:val="47EF4316"/>
    <w:rsid w:val="47F03A44"/>
    <w:rsid w:val="47F43496"/>
    <w:rsid w:val="47F606A9"/>
    <w:rsid w:val="47F9077A"/>
    <w:rsid w:val="47F97EC3"/>
    <w:rsid w:val="47FD262C"/>
    <w:rsid w:val="48046F93"/>
    <w:rsid w:val="481071F3"/>
    <w:rsid w:val="481943B8"/>
    <w:rsid w:val="4822738B"/>
    <w:rsid w:val="482B0DAF"/>
    <w:rsid w:val="482B3D0A"/>
    <w:rsid w:val="482B50EB"/>
    <w:rsid w:val="48307903"/>
    <w:rsid w:val="48331CB3"/>
    <w:rsid w:val="483D056E"/>
    <w:rsid w:val="483F42E6"/>
    <w:rsid w:val="48460C2A"/>
    <w:rsid w:val="4847319B"/>
    <w:rsid w:val="48474F49"/>
    <w:rsid w:val="48481167"/>
    <w:rsid w:val="484B0F8C"/>
    <w:rsid w:val="484B6BDE"/>
    <w:rsid w:val="484C1923"/>
    <w:rsid w:val="484C2C75"/>
    <w:rsid w:val="48535D91"/>
    <w:rsid w:val="48567D93"/>
    <w:rsid w:val="485B5FC7"/>
    <w:rsid w:val="48626EE5"/>
    <w:rsid w:val="48650222"/>
    <w:rsid w:val="486B76C5"/>
    <w:rsid w:val="486D23E8"/>
    <w:rsid w:val="486D3519"/>
    <w:rsid w:val="486D4423"/>
    <w:rsid w:val="48774226"/>
    <w:rsid w:val="48797831"/>
    <w:rsid w:val="487A5B9D"/>
    <w:rsid w:val="487B52E0"/>
    <w:rsid w:val="487C5CC1"/>
    <w:rsid w:val="48812E9A"/>
    <w:rsid w:val="488223CF"/>
    <w:rsid w:val="48896100"/>
    <w:rsid w:val="4891509B"/>
    <w:rsid w:val="48A112E0"/>
    <w:rsid w:val="48A31080"/>
    <w:rsid w:val="48A42D0E"/>
    <w:rsid w:val="48A948F5"/>
    <w:rsid w:val="48B44AD9"/>
    <w:rsid w:val="48B5010B"/>
    <w:rsid w:val="48B56357"/>
    <w:rsid w:val="48BD520B"/>
    <w:rsid w:val="48C20A74"/>
    <w:rsid w:val="48C37BEB"/>
    <w:rsid w:val="48C43E22"/>
    <w:rsid w:val="48C60A64"/>
    <w:rsid w:val="48C844AF"/>
    <w:rsid w:val="48CB5C28"/>
    <w:rsid w:val="48DA0EA3"/>
    <w:rsid w:val="48E52A77"/>
    <w:rsid w:val="48E64762"/>
    <w:rsid w:val="48E66F9D"/>
    <w:rsid w:val="48F14B5B"/>
    <w:rsid w:val="48F3199D"/>
    <w:rsid w:val="490177EE"/>
    <w:rsid w:val="490D0FD9"/>
    <w:rsid w:val="49143C78"/>
    <w:rsid w:val="49155F87"/>
    <w:rsid w:val="49193219"/>
    <w:rsid w:val="49195D8A"/>
    <w:rsid w:val="491D1E84"/>
    <w:rsid w:val="49226246"/>
    <w:rsid w:val="492360B3"/>
    <w:rsid w:val="492944EA"/>
    <w:rsid w:val="49331971"/>
    <w:rsid w:val="49372A72"/>
    <w:rsid w:val="493B3975"/>
    <w:rsid w:val="493E3F64"/>
    <w:rsid w:val="494264B9"/>
    <w:rsid w:val="494A5E17"/>
    <w:rsid w:val="495A0A26"/>
    <w:rsid w:val="495B07EF"/>
    <w:rsid w:val="495E079C"/>
    <w:rsid w:val="495F6608"/>
    <w:rsid w:val="496C2B82"/>
    <w:rsid w:val="49723FDE"/>
    <w:rsid w:val="497556A7"/>
    <w:rsid w:val="4976105D"/>
    <w:rsid w:val="497955D6"/>
    <w:rsid w:val="49805E42"/>
    <w:rsid w:val="49880D58"/>
    <w:rsid w:val="498C182D"/>
    <w:rsid w:val="498E4EBE"/>
    <w:rsid w:val="49941F85"/>
    <w:rsid w:val="49955F4E"/>
    <w:rsid w:val="49A4175F"/>
    <w:rsid w:val="49A53C3B"/>
    <w:rsid w:val="49B20AE8"/>
    <w:rsid w:val="49B274AE"/>
    <w:rsid w:val="49B42426"/>
    <w:rsid w:val="49DC7359"/>
    <w:rsid w:val="49DF7481"/>
    <w:rsid w:val="49E12059"/>
    <w:rsid w:val="49E432C1"/>
    <w:rsid w:val="49F0791D"/>
    <w:rsid w:val="49F20EE5"/>
    <w:rsid w:val="49F40846"/>
    <w:rsid w:val="49F8402B"/>
    <w:rsid w:val="49FA426A"/>
    <w:rsid w:val="4A0313BF"/>
    <w:rsid w:val="4A043996"/>
    <w:rsid w:val="4A057F23"/>
    <w:rsid w:val="4A062BE2"/>
    <w:rsid w:val="4A177B8A"/>
    <w:rsid w:val="4A187509"/>
    <w:rsid w:val="4A2348E8"/>
    <w:rsid w:val="4A26136D"/>
    <w:rsid w:val="4A280A90"/>
    <w:rsid w:val="4A282B58"/>
    <w:rsid w:val="4A2B22DF"/>
    <w:rsid w:val="4A324E38"/>
    <w:rsid w:val="4A363AF9"/>
    <w:rsid w:val="4A3C1D1B"/>
    <w:rsid w:val="4A407FF5"/>
    <w:rsid w:val="4A487993"/>
    <w:rsid w:val="4A494F5F"/>
    <w:rsid w:val="4A4C7554"/>
    <w:rsid w:val="4A5513D1"/>
    <w:rsid w:val="4A563073"/>
    <w:rsid w:val="4A57286A"/>
    <w:rsid w:val="4A5C4640"/>
    <w:rsid w:val="4A5D10F2"/>
    <w:rsid w:val="4A5D7B41"/>
    <w:rsid w:val="4A603C19"/>
    <w:rsid w:val="4A6873F9"/>
    <w:rsid w:val="4A722216"/>
    <w:rsid w:val="4A757473"/>
    <w:rsid w:val="4A773411"/>
    <w:rsid w:val="4A782ADD"/>
    <w:rsid w:val="4A813151"/>
    <w:rsid w:val="4A865358"/>
    <w:rsid w:val="4A8D0038"/>
    <w:rsid w:val="4A8E558A"/>
    <w:rsid w:val="4A903B90"/>
    <w:rsid w:val="4A93407E"/>
    <w:rsid w:val="4A9B39C6"/>
    <w:rsid w:val="4AA42A6F"/>
    <w:rsid w:val="4AA525FA"/>
    <w:rsid w:val="4AA85D4F"/>
    <w:rsid w:val="4ABB577A"/>
    <w:rsid w:val="4ACB68D8"/>
    <w:rsid w:val="4AD23FBA"/>
    <w:rsid w:val="4AD36F68"/>
    <w:rsid w:val="4AD44EC3"/>
    <w:rsid w:val="4AD51400"/>
    <w:rsid w:val="4AE12CD8"/>
    <w:rsid w:val="4AE447B6"/>
    <w:rsid w:val="4AEA3AB6"/>
    <w:rsid w:val="4AEA59A9"/>
    <w:rsid w:val="4AEE40E9"/>
    <w:rsid w:val="4AF001F5"/>
    <w:rsid w:val="4AF2278F"/>
    <w:rsid w:val="4AF246BA"/>
    <w:rsid w:val="4AF35168"/>
    <w:rsid w:val="4AF41157"/>
    <w:rsid w:val="4AF52148"/>
    <w:rsid w:val="4B0215FB"/>
    <w:rsid w:val="4B0A5209"/>
    <w:rsid w:val="4B0B6702"/>
    <w:rsid w:val="4B0F3E2D"/>
    <w:rsid w:val="4B115DA6"/>
    <w:rsid w:val="4B162FDF"/>
    <w:rsid w:val="4B180B90"/>
    <w:rsid w:val="4B1F5770"/>
    <w:rsid w:val="4B201B4E"/>
    <w:rsid w:val="4B282865"/>
    <w:rsid w:val="4B2931F4"/>
    <w:rsid w:val="4B2C4394"/>
    <w:rsid w:val="4B36751C"/>
    <w:rsid w:val="4B384573"/>
    <w:rsid w:val="4B3D2CF7"/>
    <w:rsid w:val="4B3F6FB7"/>
    <w:rsid w:val="4B3F7F11"/>
    <w:rsid w:val="4B401AE9"/>
    <w:rsid w:val="4B413437"/>
    <w:rsid w:val="4B4C4C06"/>
    <w:rsid w:val="4B4D0232"/>
    <w:rsid w:val="4B506E75"/>
    <w:rsid w:val="4B543232"/>
    <w:rsid w:val="4B5C4769"/>
    <w:rsid w:val="4B6344A7"/>
    <w:rsid w:val="4B636AF4"/>
    <w:rsid w:val="4B64095C"/>
    <w:rsid w:val="4B645E01"/>
    <w:rsid w:val="4B6563CF"/>
    <w:rsid w:val="4B6C6187"/>
    <w:rsid w:val="4B730565"/>
    <w:rsid w:val="4B737A05"/>
    <w:rsid w:val="4B742DA0"/>
    <w:rsid w:val="4B76446E"/>
    <w:rsid w:val="4B9363AA"/>
    <w:rsid w:val="4B940FDE"/>
    <w:rsid w:val="4B9C1A50"/>
    <w:rsid w:val="4BA0744D"/>
    <w:rsid w:val="4BA077F2"/>
    <w:rsid w:val="4BA34863"/>
    <w:rsid w:val="4BA65934"/>
    <w:rsid w:val="4BA85D14"/>
    <w:rsid w:val="4BAD52B0"/>
    <w:rsid w:val="4BAE3B9F"/>
    <w:rsid w:val="4BB82350"/>
    <w:rsid w:val="4BB87B9B"/>
    <w:rsid w:val="4BB97F8B"/>
    <w:rsid w:val="4BBA1ED6"/>
    <w:rsid w:val="4BBC418D"/>
    <w:rsid w:val="4BC766E8"/>
    <w:rsid w:val="4BCC59CB"/>
    <w:rsid w:val="4BCD7632"/>
    <w:rsid w:val="4BCD79DA"/>
    <w:rsid w:val="4BCE2302"/>
    <w:rsid w:val="4BD755BD"/>
    <w:rsid w:val="4BDA5D2F"/>
    <w:rsid w:val="4BE17DC5"/>
    <w:rsid w:val="4BE31EB8"/>
    <w:rsid w:val="4BE6383D"/>
    <w:rsid w:val="4BEE3962"/>
    <w:rsid w:val="4C0058DC"/>
    <w:rsid w:val="4C04290E"/>
    <w:rsid w:val="4C05459B"/>
    <w:rsid w:val="4C0B44E0"/>
    <w:rsid w:val="4C1F4D3B"/>
    <w:rsid w:val="4C23669C"/>
    <w:rsid w:val="4C272CA8"/>
    <w:rsid w:val="4C2A705C"/>
    <w:rsid w:val="4C3505F8"/>
    <w:rsid w:val="4C3B2762"/>
    <w:rsid w:val="4C4611EE"/>
    <w:rsid w:val="4C4A2717"/>
    <w:rsid w:val="4C557323"/>
    <w:rsid w:val="4C6373D9"/>
    <w:rsid w:val="4C6E4C8D"/>
    <w:rsid w:val="4C716338"/>
    <w:rsid w:val="4C723B7E"/>
    <w:rsid w:val="4C724920"/>
    <w:rsid w:val="4C752ACE"/>
    <w:rsid w:val="4C7B3B97"/>
    <w:rsid w:val="4C7E4D6B"/>
    <w:rsid w:val="4C8B2099"/>
    <w:rsid w:val="4C8E73AC"/>
    <w:rsid w:val="4C8F3363"/>
    <w:rsid w:val="4C981B21"/>
    <w:rsid w:val="4C9B4035"/>
    <w:rsid w:val="4CA127D4"/>
    <w:rsid w:val="4CA20F3E"/>
    <w:rsid w:val="4CA565EE"/>
    <w:rsid w:val="4CA95D94"/>
    <w:rsid w:val="4CA975CC"/>
    <w:rsid w:val="4CB82F5B"/>
    <w:rsid w:val="4CBE0CCC"/>
    <w:rsid w:val="4CC748AA"/>
    <w:rsid w:val="4CD35319"/>
    <w:rsid w:val="4CDB5E9D"/>
    <w:rsid w:val="4CE10AA7"/>
    <w:rsid w:val="4CE465E2"/>
    <w:rsid w:val="4CF149F0"/>
    <w:rsid w:val="4CF26484"/>
    <w:rsid w:val="4CF652FB"/>
    <w:rsid w:val="4CFA3DF7"/>
    <w:rsid w:val="4CFA7FCF"/>
    <w:rsid w:val="4D000125"/>
    <w:rsid w:val="4D05280E"/>
    <w:rsid w:val="4D0931F8"/>
    <w:rsid w:val="4D0E6F18"/>
    <w:rsid w:val="4D133137"/>
    <w:rsid w:val="4D194D02"/>
    <w:rsid w:val="4D1B0908"/>
    <w:rsid w:val="4D1C3C25"/>
    <w:rsid w:val="4D206088"/>
    <w:rsid w:val="4D261D72"/>
    <w:rsid w:val="4D297A1A"/>
    <w:rsid w:val="4D376A14"/>
    <w:rsid w:val="4D3A1520"/>
    <w:rsid w:val="4D406653"/>
    <w:rsid w:val="4D436639"/>
    <w:rsid w:val="4D451931"/>
    <w:rsid w:val="4D497020"/>
    <w:rsid w:val="4D4B7BD3"/>
    <w:rsid w:val="4D4D597D"/>
    <w:rsid w:val="4D514B1E"/>
    <w:rsid w:val="4D5262C9"/>
    <w:rsid w:val="4D53613A"/>
    <w:rsid w:val="4D5A0899"/>
    <w:rsid w:val="4D5B3873"/>
    <w:rsid w:val="4D5C6CA0"/>
    <w:rsid w:val="4D5E5793"/>
    <w:rsid w:val="4D673F17"/>
    <w:rsid w:val="4D6F0071"/>
    <w:rsid w:val="4D736443"/>
    <w:rsid w:val="4D751C6A"/>
    <w:rsid w:val="4D84018A"/>
    <w:rsid w:val="4D8669BE"/>
    <w:rsid w:val="4D87607A"/>
    <w:rsid w:val="4D8C33FE"/>
    <w:rsid w:val="4D8D24D7"/>
    <w:rsid w:val="4D975404"/>
    <w:rsid w:val="4D9849A9"/>
    <w:rsid w:val="4D992CBB"/>
    <w:rsid w:val="4DA1334D"/>
    <w:rsid w:val="4DAB7E8F"/>
    <w:rsid w:val="4DAD2E41"/>
    <w:rsid w:val="4DB02A97"/>
    <w:rsid w:val="4DB318A6"/>
    <w:rsid w:val="4DB67A1F"/>
    <w:rsid w:val="4DC0501B"/>
    <w:rsid w:val="4DC134BA"/>
    <w:rsid w:val="4DC43266"/>
    <w:rsid w:val="4DC66910"/>
    <w:rsid w:val="4DCA15C8"/>
    <w:rsid w:val="4DCB4CA4"/>
    <w:rsid w:val="4DCF4938"/>
    <w:rsid w:val="4DD65D56"/>
    <w:rsid w:val="4DD71537"/>
    <w:rsid w:val="4DD84783"/>
    <w:rsid w:val="4DDA2731"/>
    <w:rsid w:val="4DDE00FE"/>
    <w:rsid w:val="4DE07AC2"/>
    <w:rsid w:val="4DE545BB"/>
    <w:rsid w:val="4DE77B61"/>
    <w:rsid w:val="4DF03347"/>
    <w:rsid w:val="4DF1078E"/>
    <w:rsid w:val="4DF166CB"/>
    <w:rsid w:val="4DF31545"/>
    <w:rsid w:val="4DF711BF"/>
    <w:rsid w:val="4DF755E4"/>
    <w:rsid w:val="4DFA5D5B"/>
    <w:rsid w:val="4DFB2037"/>
    <w:rsid w:val="4DFC2FC7"/>
    <w:rsid w:val="4DFF3EAF"/>
    <w:rsid w:val="4E084538"/>
    <w:rsid w:val="4E100781"/>
    <w:rsid w:val="4E102C9C"/>
    <w:rsid w:val="4E116FBE"/>
    <w:rsid w:val="4E137203"/>
    <w:rsid w:val="4E174170"/>
    <w:rsid w:val="4E264E4D"/>
    <w:rsid w:val="4E34390A"/>
    <w:rsid w:val="4E4322CC"/>
    <w:rsid w:val="4E470206"/>
    <w:rsid w:val="4E477A6A"/>
    <w:rsid w:val="4E480809"/>
    <w:rsid w:val="4E4D747A"/>
    <w:rsid w:val="4E4F3FC5"/>
    <w:rsid w:val="4E4F68D0"/>
    <w:rsid w:val="4E501E3E"/>
    <w:rsid w:val="4E5403C0"/>
    <w:rsid w:val="4E616639"/>
    <w:rsid w:val="4E675AFF"/>
    <w:rsid w:val="4E690072"/>
    <w:rsid w:val="4E6A7ED2"/>
    <w:rsid w:val="4E6B254F"/>
    <w:rsid w:val="4E6E318C"/>
    <w:rsid w:val="4E714928"/>
    <w:rsid w:val="4E730CEB"/>
    <w:rsid w:val="4E734C85"/>
    <w:rsid w:val="4E745421"/>
    <w:rsid w:val="4E790E2E"/>
    <w:rsid w:val="4E79587A"/>
    <w:rsid w:val="4E7A678B"/>
    <w:rsid w:val="4E7F5B2F"/>
    <w:rsid w:val="4E810A89"/>
    <w:rsid w:val="4E834801"/>
    <w:rsid w:val="4E835EB0"/>
    <w:rsid w:val="4E85078E"/>
    <w:rsid w:val="4E8D40D0"/>
    <w:rsid w:val="4E901BE3"/>
    <w:rsid w:val="4E930FEA"/>
    <w:rsid w:val="4E97798B"/>
    <w:rsid w:val="4E9E03F3"/>
    <w:rsid w:val="4EAE4800"/>
    <w:rsid w:val="4EB16B02"/>
    <w:rsid w:val="4EB26079"/>
    <w:rsid w:val="4EB5497F"/>
    <w:rsid w:val="4EB73356"/>
    <w:rsid w:val="4EB91190"/>
    <w:rsid w:val="4EC613E7"/>
    <w:rsid w:val="4ECC749F"/>
    <w:rsid w:val="4ED20154"/>
    <w:rsid w:val="4ED340E1"/>
    <w:rsid w:val="4ED432AF"/>
    <w:rsid w:val="4ED51FCD"/>
    <w:rsid w:val="4ED978C8"/>
    <w:rsid w:val="4EDE274E"/>
    <w:rsid w:val="4EDF5C69"/>
    <w:rsid w:val="4EE07693"/>
    <w:rsid w:val="4EE806DB"/>
    <w:rsid w:val="4EEB2B46"/>
    <w:rsid w:val="4EEE3186"/>
    <w:rsid w:val="4EEE7BD2"/>
    <w:rsid w:val="4EF134ED"/>
    <w:rsid w:val="4EF670ED"/>
    <w:rsid w:val="4EFE54D1"/>
    <w:rsid w:val="4F040265"/>
    <w:rsid w:val="4F0E6C6A"/>
    <w:rsid w:val="4F150B12"/>
    <w:rsid w:val="4F29776D"/>
    <w:rsid w:val="4F2D3A35"/>
    <w:rsid w:val="4F3373D7"/>
    <w:rsid w:val="4F355398"/>
    <w:rsid w:val="4F392C26"/>
    <w:rsid w:val="4F3A672A"/>
    <w:rsid w:val="4F3D7158"/>
    <w:rsid w:val="4F4F0B87"/>
    <w:rsid w:val="4F520049"/>
    <w:rsid w:val="4F531492"/>
    <w:rsid w:val="4F545330"/>
    <w:rsid w:val="4F56388E"/>
    <w:rsid w:val="4F5A7C58"/>
    <w:rsid w:val="4F5E7D77"/>
    <w:rsid w:val="4F6B5987"/>
    <w:rsid w:val="4F6D7589"/>
    <w:rsid w:val="4F6E141B"/>
    <w:rsid w:val="4F6F5FCD"/>
    <w:rsid w:val="4F723152"/>
    <w:rsid w:val="4F72403A"/>
    <w:rsid w:val="4F7B7B8C"/>
    <w:rsid w:val="4F835447"/>
    <w:rsid w:val="4F876573"/>
    <w:rsid w:val="4F922083"/>
    <w:rsid w:val="4F9A3A14"/>
    <w:rsid w:val="4F9A7F75"/>
    <w:rsid w:val="4F9E2F1E"/>
    <w:rsid w:val="4FA11D8F"/>
    <w:rsid w:val="4FB07F85"/>
    <w:rsid w:val="4FB530E0"/>
    <w:rsid w:val="4FBA5444"/>
    <w:rsid w:val="4FBC5F0F"/>
    <w:rsid w:val="4FC7696F"/>
    <w:rsid w:val="4FCC1F17"/>
    <w:rsid w:val="4FDF015D"/>
    <w:rsid w:val="4FE46C32"/>
    <w:rsid w:val="4FE97086"/>
    <w:rsid w:val="4FEA3ABE"/>
    <w:rsid w:val="4FEF02FA"/>
    <w:rsid w:val="4FFC5670"/>
    <w:rsid w:val="4FFE2274"/>
    <w:rsid w:val="4FFF70D0"/>
    <w:rsid w:val="500100D3"/>
    <w:rsid w:val="50061FA8"/>
    <w:rsid w:val="500B2115"/>
    <w:rsid w:val="500B32A2"/>
    <w:rsid w:val="50117E50"/>
    <w:rsid w:val="501644DA"/>
    <w:rsid w:val="501871CB"/>
    <w:rsid w:val="501A5596"/>
    <w:rsid w:val="50241EA8"/>
    <w:rsid w:val="50281F13"/>
    <w:rsid w:val="502A1B84"/>
    <w:rsid w:val="502C6B9C"/>
    <w:rsid w:val="502F715E"/>
    <w:rsid w:val="503B514F"/>
    <w:rsid w:val="50425A87"/>
    <w:rsid w:val="50452743"/>
    <w:rsid w:val="504C236F"/>
    <w:rsid w:val="504E0EE3"/>
    <w:rsid w:val="5050185A"/>
    <w:rsid w:val="5063306A"/>
    <w:rsid w:val="506904AF"/>
    <w:rsid w:val="50697854"/>
    <w:rsid w:val="506B4987"/>
    <w:rsid w:val="506D5769"/>
    <w:rsid w:val="506D7517"/>
    <w:rsid w:val="50704501"/>
    <w:rsid w:val="507B7A0A"/>
    <w:rsid w:val="507C1E50"/>
    <w:rsid w:val="50823AA3"/>
    <w:rsid w:val="50827CBB"/>
    <w:rsid w:val="50886B55"/>
    <w:rsid w:val="5090054F"/>
    <w:rsid w:val="50941BD0"/>
    <w:rsid w:val="50952ECB"/>
    <w:rsid w:val="50996C91"/>
    <w:rsid w:val="50A34D0F"/>
    <w:rsid w:val="50A640EA"/>
    <w:rsid w:val="50AB18F0"/>
    <w:rsid w:val="50AD7492"/>
    <w:rsid w:val="50AF4F2C"/>
    <w:rsid w:val="50B213CE"/>
    <w:rsid w:val="50B404AC"/>
    <w:rsid w:val="50B414C1"/>
    <w:rsid w:val="50BA00B4"/>
    <w:rsid w:val="50BB64D4"/>
    <w:rsid w:val="50C061EF"/>
    <w:rsid w:val="50C45049"/>
    <w:rsid w:val="50C60329"/>
    <w:rsid w:val="50CA0F81"/>
    <w:rsid w:val="50CB2DB2"/>
    <w:rsid w:val="50D650BC"/>
    <w:rsid w:val="50D86F9C"/>
    <w:rsid w:val="50DA5AD9"/>
    <w:rsid w:val="50DC7510"/>
    <w:rsid w:val="50E36529"/>
    <w:rsid w:val="50E82A42"/>
    <w:rsid w:val="50EA1342"/>
    <w:rsid w:val="50F14F38"/>
    <w:rsid w:val="50F25F5F"/>
    <w:rsid w:val="50FA12B5"/>
    <w:rsid w:val="51085492"/>
    <w:rsid w:val="510D0C3A"/>
    <w:rsid w:val="5110348C"/>
    <w:rsid w:val="51111154"/>
    <w:rsid w:val="511527F6"/>
    <w:rsid w:val="51160D84"/>
    <w:rsid w:val="511B4C13"/>
    <w:rsid w:val="511F4F59"/>
    <w:rsid w:val="51200A2D"/>
    <w:rsid w:val="512A7CE8"/>
    <w:rsid w:val="512E53BC"/>
    <w:rsid w:val="513B1E51"/>
    <w:rsid w:val="513F4335"/>
    <w:rsid w:val="51505F79"/>
    <w:rsid w:val="51566671"/>
    <w:rsid w:val="5157796D"/>
    <w:rsid w:val="51593E6F"/>
    <w:rsid w:val="515945DA"/>
    <w:rsid w:val="515A656E"/>
    <w:rsid w:val="515E70FD"/>
    <w:rsid w:val="5161150F"/>
    <w:rsid w:val="5161523B"/>
    <w:rsid w:val="516A7EFA"/>
    <w:rsid w:val="516F2716"/>
    <w:rsid w:val="516F5E76"/>
    <w:rsid w:val="51742FF0"/>
    <w:rsid w:val="517B036B"/>
    <w:rsid w:val="518670D6"/>
    <w:rsid w:val="518A2634"/>
    <w:rsid w:val="5199563C"/>
    <w:rsid w:val="519A64A4"/>
    <w:rsid w:val="51A27600"/>
    <w:rsid w:val="51A65DF5"/>
    <w:rsid w:val="51A746C9"/>
    <w:rsid w:val="51AB7BCF"/>
    <w:rsid w:val="51B57E04"/>
    <w:rsid w:val="51B6799E"/>
    <w:rsid w:val="51B86304"/>
    <w:rsid w:val="51BA6743"/>
    <w:rsid w:val="51C55131"/>
    <w:rsid w:val="51CC4530"/>
    <w:rsid w:val="51D23B6A"/>
    <w:rsid w:val="51D42184"/>
    <w:rsid w:val="51D92FDD"/>
    <w:rsid w:val="51E045FA"/>
    <w:rsid w:val="51E93749"/>
    <w:rsid w:val="51F652FB"/>
    <w:rsid w:val="51FC7EC1"/>
    <w:rsid w:val="520029F0"/>
    <w:rsid w:val="5200380D"/>
    <w:rsid w:val="52096DEC"/>
    <w:rsid w:val="520A56A8"/>
    <w:rsid w:val="520C13AD"/>
    <w:rsid w:val="520E3C22"/>
    <w:rsid w:val="52113CCD"/>
    <w:rsid w:val="522A67AC"/>
    <w:rsid w:val="52314E7D"/>
    <w:rsid w:val="52361755"/>
    <w:rsid w:val="523C588C"/>
    <w:rsid w:val="523D4DF3"/>
    <w:rsid w:val="523D5C1B"/>
    <w:rsid w:val="524A7E3E"/>
    <w:rsid w:val="524B7C72"/>
    <w:rsid w:val="52586E1C"/>
    <w:rsid w:val="52596D05"/>
    <w:rsid w:val="525C4F6A"/>
    <w:rsid w:val="525F66AE"/>
    <w:rsid w:val="52613CD6"/>
    <w:rsid w:val="52623FC3"/>
    <w:rsid w:val="5265443D"/>
    <w:rsid w:val="526C02CA"/>
    <w:rsid w:val="52720BF9"/>
    <w:rsid w:val="52732C0B"/>
    <w:rsid w:val="5273485C"/>
    <w:rsid w:val="527731B6"/>
    <w:rsid w:val="52780D76"/>
    <w:rsid w:val="5281560E"/>
    <w:rsid w:val="52831F41"/>
    <w:rsid w:val="52844DF2"/>
    <w:rsid w:val="52925F83"/>
    <w:rsid w:val="529A65BD"/>
    <w:rsid w:val="529E50B3"/>
    <w:rsid w:val="52AC5C4A"/>
    <w:rsid w:val="52B9455B"/>
    <w:rsid w:val="52C10D51"/>
    <w:rsid w:val="52C6512E"/>
    <w:rsid w:val="52D42C78"/>
    <w:rsid w:val="52D570E2"/>
    <w:rsid w:val="52DD3F14"/>
    <w:rsid w:val="52E02222"/>
    <w:rsid w:val="52E45D35"/>
    <w:rsid w:val="52E4753F"/>
    <w:rsid w:val="52E54CCA"/>
    <w:rsid w:val="52E7106C"/>
    <w:rsid w:val="52F32B14"/>
    <w:rsid w:val="52F537F4"/>
    <w:rsid w:val="52F60A01"/>
    <w:rsid w:val="53033D79"/>
    <w:rsid w:val="53034162"/>
    <w:rsid w:val="53052687"/>
    <w:rsid w:val="5317125D"/>
    <w:rsid w:val="5318552A"/>
    <w:rsid w:val="531B14AC"/>
    <w:rsid w:val="531B332C"/>
    <w:rsid w:val="531E3DE3"/>
    <w:rsid w:val="53257CB7"/>
    <w:rsid w:val="53264BEF"/>
    <w:rsid w:val="532A16EF"/>
    <w:rsid w:val="532F6D06"/>
    <w:rsid w:val="533A0528"/>
    <w:rsid w:val="533A4B08"/>
    <w:rsid w:val="533C1349"/>
    <w:rsid w:val="533E53A8"/>
    <w:rsid w:val="53442F42"/>
    <w:rsid w:val="53461619"/>
    <w:rsid w:val="53466B1F"/>
    <w:rsid w:val="534D1653"/>
    <w:rsid w:val="5351533A"/>
    <w:rsid w:val="53582700"/>
    <w:rsid w:val="53626B0C"/>
    <w:rsid w:val="53640B20"/>
    <w:rsid w:val="53667B13"/>
    <w:rsid w:val="5371089E"/>
    <w:rsid w:val="53716B22"/>
    <w:rsid w:val="537312E8"/>
    <w:rsid w:val="537A7363"/>
    <w:rsid w:val="537E661C"/>
    <w:rsid w:val="538F7097"/>
    <w:rsid w:val="53914297"/>
    <w:rsid w:val="53952E53"/>
    <w:rsid w:val="539607E1"/>
    <w:rsid w:val="53975773"/>
    <w:rsid w:val="53B10C27"/>
    <w:rsid w:val="53B965B7"/>
    <w:rsid w:val="53BA6146"/>
    <w:rsid w:val="53BA66BC"/>
    <w:rsid w:val="53C9703F"/>
    <w:rsid w:val="53C97710"/>
    <w:rsid w:val="53D94152"/>
    <w:rsid w:val="53D95409"/>
    <w:rsid w:val="53DF5F6C"/>
    <w:rsid w:val="53E13D0F"/>
    <w:rsid w:val="53E84E1B"/>
    <w:rsid w:val="53ED722A"/>
    <w:rsid w:val="53F015B4"/>
    <w:rsid w:val="53F25F72"/>
    <w:rsid w:val="53F35659"/>
    <w:rsid w:val="53F646E2"/>
    <w:rsid w:val="53FD5056"/>
    <w:rsid w:val="54042861"/>
    <w:rsid w:val="540D3098"/>
    <w:rsid w:val="541505F1"/>
    <w:rsid w:val="54155C32"/>
    <w:rsid w:val="54175832"/>
    <w:rsid w:val="541859EC"/>
    <w:rsid w:val="541A310E"/>
    <w:rsid w:val="541B15B6"/>
    <w:rsid w:val="54216182"/>
    <w:rsid w:val="54224ABC"/>
    <w:rsid w:val="542258CB"/>
    <w:rsid w:val="5422686A"/>
    <w:rsid w:val="5437467A"/>
    <w:rsid w:val="54392A94"/>
    <w:rsid w:val="543D36A4"/>
    <w:rsid w:val="543E05DD"/>
    <w:rsid w:val="544113E6"/>
    <w:rsid w:val="54442272"/>
    <w:rsid w:val="54520E62"/>
    <w:rsid w:val="54577DDA"/>
    <w:rsid w:val="54591580"/>
    <w:rsid w:val="545937E4"/>
    <w:rsid w:val="54613F17"/>
    <w:rsid w:val="54617393"/>
    <w:rsid w:val="54624EF6"/>
    <w:rsid w:val="54646E83"/>
    <w:rsid w:val="546654E7"/>
    <w:rsid w:val="546A2608"/>
    <w:rsid w:val="546B0211"/>
    <w:rsid w:val="5479526F"/>
    <w:rsid w:val="5481307E"/>
    <w:rsid w:val="548254AD"/>
    <w:rsid w:val="548428A7"/>
    <w:rsid w:val="548A2B09"/>
    <w:rsid w:val="548B70B6"/>
    <w:rsid w:val="54982D60"/>
    <w:rsid w:val="54985F14"/>
    <w:rsid w:val="54A7604A"/>
    <w:rsid w:val="54A7675F"/>
    <w:rsid w:val="54AA0877"/>
    <w:rsid w:val="54B0411C"/>
    <w:rsid w:val="54B30B99"/>
    <w:rsid w:val="54B57261"/>
    <w:rsid w:val="54C120D0"/>
    <w:rsid w:val="54C5048D"/>
    <w:rsid w:val="54CC5781"/>
    <w:rsid w:val="54CF40AD"/>
    <w:rsid w:val="54D856FD"/>
    <w:rsid w:val="54D96D20"/>
    <w:rsid w:val="54E348AB"/>
    <w:rsid w:val="54E433E7"/>
    <w:rsid w:val="54EC17C0"/>
    <w:rsid w:val="54EF2F18"/>
    <w:rsid w:val="54EF5BA8"/>
    <w:rsid w:val="54F01344"/>
    <w:rsid w:val="54F41901"/>
    <w:rsid w:val="54F762FF"/>
    <w:rsid w:val="54F76BAE"/>
    <w:rsid w:val="54FD2274"/>
    <w:rsid w:val="54FE2064"/>
    <w:rsid w:val="550146D2"/>
    <w:rsid w:val="55124B31"/>
    <w:rsid w:val="55156D12"/>
    <w:rsid w:val="55160698"/>
    <w:rsid w:val="551C646D"/>
    <w:rsid w:val="55256612"/>
    <w:rsid w:val="552C7DB4"/>
    <w:rsid w:val="552E7643"/>
    <w:rsid w:val="553305D4"/>
    <w:rsid w:val="553426F7"/>
    <w:rsid w:val="553524E9"/>
    <w:rsid w:val="55356EA1"/>
    <w:rsid w:val="5541273A"/>
    <w:rsid w:val="55427E39"/>
    <w:rsid w:val="55470F5C"/>
    <w:rsid w:val="554D16C3"/>
    <w:rsid w:val="5559633B"/>
    <w:rsid w:val="555B4C57"/>
    <w:rsid w:val="555D2250"/>
    <w:rsid w:val="5560764A"/>
    <w:rsid w:val="5574034D"/>
    <w:rsid w:val="5577389C"/>
    <w:rsid w:val="557F36A9"/>
    <w:rsid w:val="55805F3E"/>
    <w:rsid w:val="5581164B"/>
    <w:rsid w:val="55817059"/>
    <w:rsid w:val="55820C36"/>
    <w:rsid w:val="55834DC3"/>
    <w:rsid w:val="55912F66"/>
    <w:rsid w:val="55983288"/>
    <w:rsid w:val="559D4E5A"/>
    <w:rsid w:val="559F2ADE"/>
    <w:rsid w:val="559F7D5D"/>
    <w:rsid w:val="55A579AB"/>
    <w:rsid w:val="55B31E70"/>
    <w:rsid w:val="55BE3590"/>
    <w:rsid w:val="55C37A3D"/>
    <w:rsid w:val="55C96E25"/>
    <w:rsid w:val="55CB5E7B"/>
    <w:rsid w:val="55E34E5F"/>
    <w:rsid w:val="55E40E8A"/>
    <w:rsid w:val="55E475A7"/>
    <w:rsid w:val="55E53938"/>
    <w:rsid w:val="55E93AE3"/>
    <w:rsid w:val="55EA0DC4"/>
    <w:rsid w:val="55EB0E02"/>
    <w:rsid w:val="55F825F2"/>
    <w:rsid w:val="55F90990"/>
    <w:rsid w:val="55FA69A5"/>
    <w:rsid w:val="55FF4B9F"/>
    <w:rsid w:val="55FF5CE0"/>
    <w:rsid w:val="56025C18"/>
    <w:rsid w:val="56096F3F"/>
    <w:rsid w:val="56122979"/>
    <w:rsid w:val="5613290E"/>
    <w:rsid w:val="561E350D"/>
    <w:rsid w:val="56210514"/>
    <w:rsid w:val="56252583"/>
    <w:rsid w:val="56254392"/>
    <w:rsid w:val="5625767E"/>
    <w:rsid w:val="563112FA"/>
    <w:rsid w:val="56327787"/>
    <w:rsid w:val="56355A32"/>
    <w:rsid w:val="56373C27"/>
    <w:rsid w:val="56392392"/>
    <w:rsid w:val="563E235D"/>
    <w:rsid w:val="56505C46"/>
    <w:rsid w:val="56576543"/>
    <w:rsid w:val="56594AC4"/>
    <w:rsid w:val="565A5B32"/>
    <w:rsid w:val="565C201F"/>
    <w:rsid w:val="565E45DE"/>
    <w:rsid w:val="56682C5A"/>
    <w:rsid w:val="566A2F21"/>
    <w:rsid w:val="566C081E"/>
    <w:rsid w:val="566D0CE3"/>
    <w:rsid w:val="567B7F1F"/>
    <w:rsid w:val="567F71CE"/>
    <w:rsid w:val="568B3B27"/>
    <w:rsid w:val="56952F9B"/>
    <w:rsid w:val="56956887"/>
    <w:rsid w:val="569E4083"/>
    <w:rsid w:val="569F3E99"/>
    <w:rsid w:val="56A03D4E"/>
    <w:rsid w:val="56A17F1A"/>
    <w:rsid w:val="56A6046F"/>
    <w:rsid w:val="56AD4474"/>
    <w:rsid w:val="56AD5734"/>
    <w:rsid w:val="56AD72AB"/>
    <w:rsid w:val="56AE286A"/>
    <w:rsid w:val="56AF28A0"/>
    <w:rsid w:val="56B50AE4"/>
    <w:rsid w:val="56BB5272"/>
    <w:rsid w:val="56BD0981"/>
    <w:rsid w:val="56BE5ABA"/>
    <w:rsid w:val="56C44B23"/>
    <w:rsid w:val="56C55419"/>
    <w:rsid w:val="56C648E9"/>
    <w:rsid w:val="56CA713C"/>
    <w:rsid w:val="56D35468"/>
    <w:rsid w:val="56DF14D7"/>
    <w:rsid w:val="56E13BB2"/>
    <w:rsid w:val="56F315ED"/>
    <w:rsid w:val="56F7435F"/>
    <w:rsid w:val="56F75051"/>
    <w:rsid w:val="56FB473F"/>
    <w:rsid w:val="56FC0479"/>
    <w:rsid w:val="57004D88"/>
    <w:rsid w:val="57031702"/>
    <w:rsid w:val="570A089A"/>
    <w:rsid w:val="570A7387"/>
    <w:rsid w:val="57120E18"/>
    <w:rsid w:val="571957A0"/>
    <w:rsid w:val="57201795"/>
    <w:rsid w:val="572104A9"/>
    <w:rsid w:val="57235AE8"/>
    <w:rsid w:val="5726041F"/>
    <w:rsid w:val="572A12D9"/>
    <w:rsid w:val="573066C0"/>
    <w:rsid w:val="57353DF9"/>
    <w:rsid w:val="573D4778"/>
    <w:rsid w:val="573E39BB"/>
    <w:rsid w:val="573F66BB"/>
    <w:rsid w:val="57476390"/>
    <w:rsid w:val="574D09F7"/>
    <w:rsid w:val="574D51D7"/>
    <w:rsid w:val="57545446"/>
    <w:rsid w:val="57562A5A"/>
    <w:rsid w:val="57595CC3"/>
    <w:rsid w:val="576B406E"/>
    <w:rsid w:val="57706B2E"/>
    <w:rsid w:val="57774D9D"/>
    <w:rsid w:val="577F6FDF"/>
    <w:rsid w:val="5781428E"/>
    <w:rsid w:val="57833109"/>
    <w:rsid w:val="57861C50"/>
    <w:rsid w:val="578735B4"/>
    <w:rsid w:val="579317E8"/>
    <w:rsid w:val="579932E7"/>
    <w:rsid w:val="579F612F"/>
    <w:rsid w:val="57A4240B"/>
    <w:rsid w:val="57A43C97"/>
    <w:rsid w:val="57AC603B"/>
    <w:rsid w:val="57AD4520"/>
    <w:rsid w:val="57AD5B66"/>
    <w:rsid w:val="57C43F8B"/>
    <w:rsid w:val="57CC65FF"/>
    <w:rsid w:val="57DF678D"/>
    <w:rsid w:val="57E6008B"/>
    <w:rsid w:val="57EA36C0"/>
    <w:rsid w:val="57EA3E26"/>
    <w:rsid w:val="57EB652E"/>
    <w:rsid w:val="57F34514"/>
    <w:rsid w:val="57F8380F"/>
    <w:rsid w:val="58000470"/>
    <w:rsid w:val="580040C2"/>
    <w:rsid w:val="580441CA"/>
    <w:rsid w:val="580A3D1F"/>
    <w:rsid w:val="58105864"/>
    <w:rsid w:val="58150BC0"/>
    <w:rsid w:val="58156A61"/>
    <w:rsid w:val="581B1F4E"/>
    <w:rsid w:val="581E531D"/>
    <w:rsid w:val="58222864"/>
    <w:rsid w:val="58224033"/>
    <w:rsid w:val="58240E03"/>
    <w:rsid w:val="583F1A2E"/>
    <w:rsid w:val="5846521D"/>
    <w:rsid w:val="584777FD"/>
    <w:rsid w:val="58494A0D"/>
    <w:rsid w:val="584F4BF1"/>
    <w:rsid w:val="58560F88"/>
    <w:rsid w:val="585B35D0"/>
    <w:rsid w:val="585D40C1"/>
    <w:rsid w:val="585E0801"/>
    <w:rsid w:val="58655033"/>
    <w:rsid w:val="58673778"/>
    <w:rsid w:val="586D09FC"/>
    <w:rsid w:val="5870229A"/>
    <w:rsid w:val="58705326"/>
    <w:rsid w:val="58707EFD"/>
    <w:rsid w:val="587651AC"/>
    <w:rsid w:val="5878114F"/>
    <w:rsid w:val="587F24DD"/>
    <w:rsid w:val="5881275B"/>
    <w:rsid w:val="5882090E"/>
    <w:rsid w:val="58827DAF"/>
    <w:rsid w:val="588626B2"/>
    <w:rsid w:val="588703E0"/>
    <w:rsid w:val="588748F7"/>
    <w:rsid w:val="58881CA7"/>
    <w:rsid w:val="5889613F"/>
    <w:rsid w:val="58900185"/>
    <w:rsid w:val="589203D0"/>
    <w:rsid w:val="5893127C"/>
    <w:rsid w:val="58946BF8"/>
    <w:rsid w:val="58966BE5"/>
    <w:rsid w:val="589A5BB1"/>
    <w:rsid w:val="58A3441E"/>
    <w:rsid w:val="58A46C66"/>
    <w:rsid w:val="58A62685"/>
    <w:rsid w:val="58B633A9"/>
    <w:rsid w:val="58B71E24"/>
    <w:rsid w:val="58B73BCB"/>
    <w:rsid w:val="58BA51F8"/>
    <w:rsid w:val="58C35A71"/>
    <w:rsid w:val="58CF252E"/>
    <w:rsid w:val="58D128C8"/>
    <w:rsid w:val="58D425E1"/>
    <w:rsid w:val="58D50923"/>
    <w:rsid w:val="58DB7E59"/>
    <w:rsid w:val="58E21857"/>
    <w:rsid w:val="58E71CFD"/>
    <w:rsid w:val="58E80082"/>
    <w:rsid w:val="58ED5699"/>
    <w:rsid w:val="58F16973"/>
    <w:rsid w:val="59001004"/>
    <w:rsid w:val="5902026F"/>
    <w:rsid w:val="590915DA"/>
    <w:rsid w:val="590B14CD"/>
    <w:rsid w:val="591010F2"/>
    <w:rsid w:val="591B6A84"/>
    <w:rsid w:val="5938149A"/>
    <w:rsid w:val="59395182"/>
    <w:rsid w:val="59435C10"/>
    <w:rsid w:val="5944063D"/>
    <w:rsid w:val="59504344"/>
    <w:rsid w:val="59520B33"/>
    <w:rsid w:val="59624059"/>
    <w:rsid w:val="596646CD"/>
    <w:rsid w:val="596C6F71"/>
    <w:rsid w:val="59712DCA"/>
    <w:rsid w:val="597148FB"/>
    <w:rsid w:val="59727992"/>
    <w:rsid w:val="59745273"/>
    <w:rsid w:val="5976438D"/>
    <w:rsid w:val="59785DA8"/>
    <w:rsid w:val="597B5BF3"/>
    <w:rsid w:val="597D27A7"/>
    <w:rsid w:val="597E2E4F"/>
    <w:rsid w:val="5981056A"/>
    <w:rsid w:val="598D6A55"/>
    <w:rsid w:val="59904264"/>
    <w:rsid w:val="59964628"/>
    <w:rsid w:val="599A70E4"/>
    <w:rsid w:val="599C0826"/>
    <w:rsid w:val="59A4179F"/>
    <w:rsid w:val="59A913B1"/>
    <w:rsid w:val="59B8401E"/>
    <w:rsid w:val="59C06909"/>
    <w:rsid w:val="59C822C5"/>
    <w:rsid w:val="59CB681D"/>
    <w:rsid w:val="59CE2795"/>
    <w:rsid w:val="59CE44A5"/>
    <w:rsid w:val="59D5451F"/>
    <w:rsid w:val="59D711A0"/>
    <w:rsid w:val="59D95B1E"/>
    <w:rsid w:val="59DB41B6"/>
    <w:rsid w:val="59ED6801"/>
    <w:rsid w:val="59F47B53"/>
    <w:rsid w:val="59F83CE3"/>
    <w:rsid w:val="59F907EB"/>
    <w:rsid w:val="59F914E4"/>
    <w:rsid w:val="59FC36CE"/>
    <w:rsid w:val="5A025174"/>
    <w:rsid w:val="5A026063"/>
    <w:rsid w:val="5A034707"/>
    <w:rsid w:val="5A065CDE"/>
    <w:rsid w:val="5A096A5E"/>
    <w:rsid w:val="5A0C69CB"/>
    <w:rsid w:val="5A0E3E92"/>
    <w:rsid w:val="5A102F20"/>
    <w:rsid w:val="5A1A070F"/>
    <w:rsid w:val="5A1C2398"/>
    <w:rsid w:val="5A1D059F"/>
    <w:rsid w:val="5A2A4069"/>
    <w:rsid w:val="5A3115B5"/>
    <w:rsid w:val="5A346C89"/>
    <w:rsid w:val="5A3A1C71"/>
    <w:rsid w:val="5A3B3219"/>
    <w:rsid w:val="5A3B683E"/>
    <w:rsid w:val="5A3E3CD2"/>
    <w:rsid w:val="5A444CFD"/>
    <w:rsid w:val="5A4A6167"/>
    <w:rsid w:val="5A4C66BA"/>
    <w:rsid w:val="5A4F5B4D"/>
    <w:rsid w:val="5A537929"/>
    <w:rsid w:val="5A5608F3"/>
    <w:rsid w:val="5A596455"/>
    <w:rsid w:val="5A5A5B18"/>
    <w:rsid w:val="5A5E1E64"/>
    <w:rsid w:val="5A604A46"/>
    <w:rsid w:val="5A687DD5"/>
    <w:rsid w:val="5A6965A5"/>
    <w:rsid w:val="5A6F26D5"/>
    <w:rsid w:val="5A706581"/>
    <w:rsid w:val="5A776736"/>
    <w:rsid w:val="5A7B6CD4"/>
    <w:rsid w:val="5A7D0C9E"/>
    <w:rsid w:val="5A866076"/>
    <w:rsid w:val="5A8B2407"/>
    <w:rsid w:val="5A8C09CF"/>
    <w:rsid w:val="5A9A3EC7"/>
    <w:rsid w:val="5A9E0DF8"/>
    <w:rsid w:val="5AA0340F"/>
    <w:rsid w:val="5AA77AAC"/>
    <w:rsid w:val="5AB31D0A"/>
    <w:rsid w:val="5AB710F8"/>
    <w:rsid w:val="5AC762F1"/>
    <w:rsid w:val="5ACA76A6"/>
    <w:rsid w:val="5ACE5056"/>
    <w:rsid w:val="5AD1331A"/>
    <w:rsid w:val="5AD14067"/>
    <w:rsid w:val="5AD62DF7"/>
    <w:rsid w:val="5ADC32EB"/>
    <w:rsid w:val="5AE168E5"/>
    <w:rsid w:val="5AEA1E6B"/>
    <w:rsid w:val="5AF61216"/>
    <w:rsid w:val="5AF745AD"/>
    <w:rsid w:val="5AF7587D"/>
    <w:rsid w:val="5AF820D3"/>
    <w:rsid w:val="5AFA270F"/>
    <w:rsid w:val="5AFE1277"/>
    <w:rsid w:val="5B026C8B"/>
    <w:rsid w:val="5B0417C2"/>
    <w:rsid w:val="5B051D92"/>
    <w:rsid w:val="5B073095"/>
    <w:rsid w:val="5B0B1E06"/>
    <w:rsid w:val="5B150CF9"/>
    <w:rsid w:val="5B15254E"/>
    <w:rsid w:val="5B1976CE"/>
    <w:rsid w:val="5B1F1DFE"/>
    <w:rsid w:val="5B29068F"/>
    <w:rsid w:val="5B3E6EE9"/>
    <w:rsid w:val="5B513A98"/>
    <w:rsid w:val="5B515C88"/>
    <w:rsid w:val="5B5633E6"/>
    <w:rsid w:val="5B573318"/>
    <w:rsid w:val="5B583ACA"/>
    <w:rsid w:val="5B5C0DF0"/>
    <w:rsid w:val="5B5E0630"/>
    <w:rsid w:val="5B5F503A"/>
    <w:rsid w:val="5B6D74DA"/>
    <w:rsid w:val="5B723C39"/>
    <w:rsid w:val="5B735539"/>
    <w:rsid w:val="5B7420A1"/>
    <w:rsid w:val="5B784FB1"/>
    <w:rsid w:val="5B7934F9"/>
    <w:rsid w:val="5B8114E5"/>
    <w:rsid w:val="5B8449BF"/>
    <w:rsid w:val="5B865931"/>
    <w:rsid w:val="5B886318"/>
    <w:rsid w:val="5B896C23"/>
    <w:rsid w:val="5B8D57A4"/>
    <w:rsid w:val="5B953DC6"/>
    <w:rsid w:val="5B9639F8"/>
    <w:rsid w:val="5B9D4B14"/>
    <w:rsid w:val="5BA20C45"/>
    <w:rsid w:val="5BA257EC"/>
    <w:rsid w:val="5BA6536C"/>
    <w:rsid w:val="5BA9470C"/>
    <w:rsid w:val="5BAA45A0"/>
    <w:rsid w:val="5BB00572"/>
    <w:rsid w:val="5BB57D85"/>
    <w:rsid w:val="5BBE5883"/>
    <w:rsid w:val="5BC038CD"/>
    <w:rsid w:val="5BC07D94"/>
    <w:rsid w:val="5BC61EB4"/>
    <w:rsid w:val="5BC7714B"/>
    <w:rsid w:val="5BE02924"/>
    <w:rsid w:val="5BE346F7"/>
    <w:rsid w:val="5BE40E7D"/>
    <w:rsid w:val="5BE80399"/>
    <w:rsid w:val="5BEF629D"/>
    <w:rsid w:val="5BF16E18"/>
    <w:rsid w:val="5BF40968"/>
    <w:rsid w:val="5BF42A44"/>
    <w:rsid w:val="5BFF079B"/>
    <w:rsid w:val="5C016541"/>
    <w:rsid w:val="5C040663"/>
    <w:rsid w:val="5C082C42"/>
    <w:rsid w:val="5C093617"/>
    <w:rsid w:val="5C102EEA"/>
    <w:rsid w:val="5C146454"/>
    <w:rsid w:val="5C163A67"/>
    <w:rsid w:val="5C1D6784"/>
    <w:rsid w:val="5C1E24BE"/>
    <w:rsid w:val="5C2B35AB"/>
    <w:rsid w:val="5C2E7662"/>
    <w:rsid w:val="5C313AEE"/>
    <w:rsid w:val="5C334313"/>
    <w:rsid w:val="5C367357"/>
    <w:rsid w:val="5C3972AC"/>
    <w:rsid w:val="5C3D2F32"/>
    <w:rsid w:val="5C3E43DA"/>
    <w:rsid w:val="5C412E25"/>
    <w:rsid w:val="5C433F2D"/>
    <w:rsid w:val="5C486ADF"/>
    <w:rsid w:val="5C52446F"/>
    <w:rsid w:val="5C5C6D78"/>
    <w:rsid w:val="5C5D3243"/>
    <w:rsid w:val="5C620224"/>
    <w:rsid w:val="5C644A30"/>
    <w:rsid w:val="5C6A0DAE"/>
    <w:rsid w:val="5C6E303D"/>
    <w:rsid w:val="5C804F76"/>
    <w:rsid w:val="5C844087"/>
    <w:rsid w:val="5C866161"/>
    <w:rsid w:val="5C9522CF"/>
    <w:rsid w:val="5C976F40"/>
    <w:rsid w:val="5C981B6F"/>
    <w:rsid w:val="5C987B0F"/>
    <w:rsid w:val="5C9F7FFA"/>
    <w:rsid w:val="5CA057CB"/>
    <w:rsid w:val="5CA46B88"/>
    <w:rsid w:val="5CB1239F"/>
    <w:rsid w:val="5CBB0910"/>
    <w:rsid w:val="5CC55F62"/>
    <w:rsid w:val="5CCB5E32"/>
    <w:rsid w:val="5CCB5FE3"/>
    <w:rsid w:val="5CD16737"/>
    <w:rsid w:val="5CD54DC2"/>
    <w:rsid w:val="5CD97003"/>
    <w:rsid w:val="5CDE65BD"/>
    <w:rsid w:val="5CE45520"/>
    <w:rsid w:val="5CE77658"/>
    <w:rsid w:val="5CEA3BD2"/>
    <w:rsid w:val="5CFB713E"/>
    <w:rsid w:val="5CFE7C43"/>
    <w:rsid w:val="5D0163F1"/>
    <w:rsid w:val="5D054615"/>
    <w:rsid w:val="5D095553"/>
    <w:rsid w:val="5D0B51AD"/>
    <w:rsid w:val="5D0D115F"/>
    <w:rsid w:val="5D1B4CE4"/>
    <w:rsid w:val="5D1C176A"/>
    <w:rsid w:val="5D1C4595"/>
    <w:rsid w:val="5D1E5492"/>
    <w:rsid w:val="5D20412B"/>
    <w:rsid w:val="5D2D6CA6"/>
    <w:rsid w:val="5D327002"/>
    <w:rsid w:val="5D3B6F2A"/>
    <w:rsid w:val="5D4724B9"/>
    <w:rsid w:val="5D490EBB"/>
    <w:rsid w:val="5D4930BA"/>
    <w:rsid w:val="5D5A4787"/>
    <w:rsid w:val="5D5B54A7"/>
    <w:rsid w:val="5D5B6592"/>
    <w:rsid w:val="5D5C0005"/>
    <w:rsid w:val="5D617C60"/>
    <w:rsid w:val="5D647465"/>
    <w:rsid w:val="5D654B38"/>
    <w:rsid w:val="5D691457"/>
    <w:rsid w:val="5D6A1052"/>
    <w:rsid w:val="5D7516E2"/>
    <w:rsid w:val="5D76018A"/>
    <w:rsid w:val="5D787CE3"/>
    <w:rsid w:val="5D7933EF"/>
    <w:rsid w:val="5D79412E"/>
    <w:rsid w:val="5D7E0FB5"/>
    <w:rsid w:val="5D8511E1"/>
    <w:rsid w:val="5D856610"/>
    <w:rsid w:val="5D8A6F80"/>
    <w:rsid w:val="5D8D6B95"/>
    <w:rsid w:val="5D8E2262"/>
    <w:rsid w:val="5D9420F8"/>
    <w:rsid w:val="5D973099"/>
    <w:rsid w:val="5DAA4A5C"/>
    <w:rsid w:val="5DAE4A39"/>
    <w:rsid w:val="5DAF3AB8"/>
    <w:rsid w:val="5DB47C23"/>
    <w:rsid w:val="5DB47EE1"/>
    <w:rsid w:val="5DB9023F"/>
    <w:rsid w:val="5DC12D10"/>
    <w:rsid w:val="5DC7392C"/>
    <w:rsid w:val="5DC95AD4"/>
    <w:rsid w:val="5DD71F55"/>
    <w:rsid w:val="5DD85DC5"/>
    <w:rsid w:val="5DE30E18"/>
    <w:rsid w:val="5DE43210"/>
    <w:rsid w:val="5DE5254C"/>
    <w:rsid w:val="5DE54F94"/>
    <w:rsid w:val="5DE778DB"/>
    <w:rsid w:val="5DE86327"/>
    <w:rsid w:val="5DF10AEF"/>
    <w:rsid w:val="5DF23751"/>
    <w:rsid w:val="5DF80B99"/>
    <w:rsid w:val="5E0330DD"/>
    <w:rsid w:val="5E044605"/>
    <w:rsid w:val="5E1804D5"/>
    <w:rsid w:val="5E18467C"/>
    <w:rsid w:val="5E1B711D"/>
    <w:rsid w:val="5E207A91"/>
    <w:rsid w:val="5E262CB3"/>
    <w:rsid w:val="5E277C09"/>
    <w:rsid w:val="5E281102"/>
    <w:rsid w:val="5E2A166D"/>
    <w:rsid w:val="5E386014"/>
    <w:rsid w:val="5E3C313B"/>
    <w:rsid w:val="5E405ABB"/>
    <w:rsid w:val="5E435D5B"/>
    <w:rsid w:val="5E486581"/>
    <w:rsid w:val="5E493581"/>
    <w:rsid w:val="5E4F1AC9"/>
    <w:rsid w:val="5E56281B"/>
    <w:rsid w:val="5E595086"/>
    <w:rsid w:val="5E597429"/>
    <w:rsid w:val="5E5E4A9C"/>
    <w:rsid w:val="5E6309CB"/>
    <w:rsid w:val="5E6963A1"/>
    <w:rsid w:val="5E6C3131"/>
    <w:rsid w:val="5E745516"/>
    <w:rsid w:val="5E7457CA"/>
    <w:rsid w:val="5E7559F9"/>
    <w:rsid w:val="5E783498"/>
    <w:rsid w:val="5E79647D"/>
    <w:rsid w:val="5E7D7636"/>
    <w:rsid w:val="5E7E57CD"/>
    <w:rsid w:val="5E8614A9"/>
    <w:rsid w:val="5E8752C3"/>
    <w:rsid w:val="5E8E6FD6"/>
    <w:rsid w:val="5E937783"/>
    <w:rsid w:val="5E9B1A40"/>
    <w:rsid w:val="5E9D011A"/>
    <w:rsid w:val="5E9D32BB"/>
    <w:rsid w:val="5EAC61E7"/>
    <w:rsid w:val="5EAD3458"/>
    <w:rsid w:val="5EAE55B8"/>
    <w:rsid w:val="5EB44459"/>
    <w:rsid w:val="5EB629D1"/>
    <w:rsid w:val="5EB82BFD"/>
    <w:rsid w:val="5EBD3A80"/>
    <w:rsid w:val="5EC9107F"/>
    <w:rsid w:val="5ECC74E1"/>
    <w:rsid w:val="5ECD3F84"/>
    <w:rsid w:val="5ED53EE5"/>
    <w:rsid w:val="5ED83D93"/>
    <w:rsid w:val="5EDC149C"/>
    <w:rsid w:val="5EE0394E"/>
    <w:rsid w:val="5EE06B06"/>
    <w:rsid w:val="5EE321FC"/>
    <w:rsid w:val="5EE90C49"/>
    <w:rsid w:val="5EED00D0"/>
    <w:rsid w:val="5EF70F21"/>
    <w:rsid w:val="5EF81904"/>
    <w:rsid w:val="5EFC1D29"/>
    <w:rsid w:val="5EFE3356"/>
    <w:rsid w:val="5F0439DA"/>
    <w:rsid w:val="5F0C15E3"/>
    <w:rsid w:val="5F0E2F20"/>
    <w:rsid w:val="5F141E41"/>
    <w:rsid w:val="5F150EF2"/>
    <w:rsid w:val="5F1716FC"/>
    <w:rsid w:val="5F192375"/>
    <w:rsid w:val="5F197FA0"/>
    <w:rsid w:val="5F1D68AB"/>
    <w:rsid w:val="5F2D2C93"/>
    <w:rsid w:val="5F2F55D5"/>
    <w:rsid w:val="5F2F6E79"/>
    <w:rsid w:val="5F30051C"/>
    <w:rsid w:val="5F3A644C"/>
    <w:rsid w:val="5F3C6E79"/>
    <w:rsid w:val="5F3D27AA"/>
    <w:rsid w:val="5F3F6CC4"/>
    <w:rsid w:val="5F4312C1"/>
    <w:rsid w:val="5F442DD2"/>
    <w:rsid w:val="5F497094"/>
    <w:rsid w:val="5F4F3972"/>
    <w:rsid w:val="5F50371B"/>
    <w:rsid w:val="5F535959"/>
    <w:rsid w:val="5F640166"/>
    <w:rsid w:val="5F656483"/>
    <w:rsid w:val="5F693D64"/>
    <w:rsid w:val="5F7046B5"/>
    <w:rsid w:val="5F752E69"/>
    <w:rsid w:val="5F7E1843"/>
    <w:rsid w:val="5F805915"/>
    <w:rsid w:val="5F832BE3"/>
    <w:rsid w:val="5F8403D9"/>
    <w:rsid w:val="5F8671DF"/>
    <w:rsid w:val="5F874069"/>
    <w:rsid w:val="5F8908E8"/>
    <w:rsid w:val="5F893499"/>
    <w:rsid w:val="5F893FE2"/>
    <w:rsid w:val="5F945523"/>
    <w:rsid w:val="5F9958C6"/>
    <w:rsid w:val="5F9A4F61"/>
    <w:rsid w:val="5FA021DF"/>
    <w:rsid w:val="5FA6465C"/>
    <w:rsid w:val="5FAD2170"/>
    <w:rsid w:val="5FB301BE"/>
    <w:rsid w:val="5FB95458"/>
    <w:rsid w:val="5FC62F24"/>
    <w:rsid w:val="5FD6518C"/>
    <w:rsid w:val="5FD70DD8"/>
    <w:rsid w:val="5FDE1FC7"/>
    <w:rsid w:val="5FF40209"/>
    <w:rsid w:val="5FF50BE3"/>
    <w:rsid w:val="5FF520B5"/>
    <w:rsid w:val="5FFA0CA0"/>
    <w:rsid w:val="5FFC233A"/>
    <w:rsid w:val="5FFE12FA"/>
    <w:rsid w:val="60003E70"/>
    <w:rsid w:val="60015A68"/>
    <w:rsid w:val="600546D1"/>
    <w:rsid w:val="60114C79"/>
    <w:rsid w:val="601A235F"/>
    <w:rsid w:val="601D72A7"/>
    <w:rsid w:val="602135EA"/>
    <w:rsid w:val="60231F5C"/>
    <w:rsid w:val="602C1022"/>
    <w:rsid w:val="60377838"/>
    <w:rsid w:val="603D3E32"/>
    <w:rsid w:val="60415537"/>
    <w:rsid w:val="604B0A34"/>
    <w:rsid w:val="60502EF5"/>
    <w:rsid w:val="60532412"/>
    <w:rsid w:val="60616E76"/>
    <w:rsid w:val="60657FB2"/>
    <w:rsid w:val="606B6FEE"/>
    <w:rsid w:val="606B7E95"/>
    <w:rsid w:val="606C52E9"/>
    <w:rsid w:val="607448F1"/>
    <w:rsid w:val="60747DB6"/>
    <w:rsid w:val="607664CF"/>
    <w:rsid w:val="607D004F"/>
    <w:rsid w:val="608129B4"/>
    <w:rsid w:val="6088560E"/>
    <w:rsid w:val="608D6F28"/>
    <w:rsid w:val="608D702F"/>
    <w:rsid w:val="608F2CCC"/>
    <w:rsid w:val="608F3BA3"/>
    <w:rsid w:val="609225A9"/>
    <w:rsid w:val="60956D42"/>
    <w:rsid w:val="60964052"/>
    <w:rsid w:val="60982EFD"/>
    <w:rsid w:val="609F16B5"/>
    <w:rsid w:val="60A13EA9"/>
    <w:rsid w:val="60A3745F"/>
    <w:rsid w:val="60A952CA"/>
    <w:rsid w:val="60B2161A"/>
    <w:rsid w:val="60B47011"/>
    <w:rsid w:val="60C16B06"/>
    <w:rsid w:val="60C44F10"/>
    <w:rsid w:val="60C64185"/>
    <w:rsid w:val="60C93B9B"/>
    <w:rsid w:val="60D158A0"/>
    <w:rsid w:val="60D50ABE"/>
    <w:rsid w:val="60D57758"/>
    <w:rsid w:val="60D75E62"/>
    <w:rsid w:val="60DA00AE"/>
    <w:rsid w:val="60E11378"/>
    <w:rsid w:val="60E56855"/>
    <w:rsid w:val="60E86186"/>
    <w:rsid w:val="60F31CBA"/>
    <w:rsid w:val="60F872D1"/>
    <w:rsid w:val="60F921A0"/>
    <w:rsid w:val="610024C7"/>
    <w:rsid w:val="61076A8F"/>
    <w:rsid w:val="610905DF"/>
    <w:rsid w:val="611051D5"/>
    <w:rsid w:val="61395F99"/>
    <w:rsid w:val="614122AB"/>
    <w:rsid w:val="614E5143"/>
    <w:rsid w:val="6151078F"/>
    <w:rsid w:val="61521DCC"/>
    <w:rsid w:val="61586CF3"/>
    <w:rsid w:val="61657524"/>
    <w:rsid w:val="6167159D"/>
    <w:rsid w:val="616F6F42"/>
    <w:rsid w:val="61722BDF"/>
    <w:rsid w:val="61790944"/>
    <w:rsid w:val="617D634E"/>
    <w:rsid w:val="61875CA7"/>
    <w:rsid w:val="618A0ACD"/>
    <w:rsid w:val="619009AF"/>
    <w:rsid w:val="619332C0"/>
    <w:rsid w:val="61953A80"/>
    <w:rsid w:val="6196163A"/>
    <w:rsid w:val="61975F57"/>
    <w:rsid w:val="61996FB6"/>
    <w:rsid w:val="61A22D98"/>
    <w:rsid w:val="61A466ED"/>
    <w:rsid w:val="61B05787"/>
    <w:rsid w:val="61B11480"/>
    <w:rsid w:val="61B444C1"/>
    <w:rsid w:val="61B52ACC"/>
    <w:rsid w:val="61B57BF4"/>
    <w:rsid w:val="61BA613A"/>
    <w:rsid w:val="61BB29B6"/>
    <w:rsid w:val="61C66A31"/>
    <w:rsid w:val="61CD250B"/>
    <w:rsid w:val="61D169E7"/>
    <w:rsid w:val="61D30385"/>
    <w:rsid w:val="61D57E6A"/>
    <w:rsid w:val="61D92AC8"/>
    <w:rsid w:val="61D977DD"/>
    <w:rsid w:val="61EB6143"/>
    <w:rsid w:val="61F35782"/>
    <w:rsid w:val="61F41E32"/>
    <w:rsid w:val="61F65A66"/>
    <w:rsid w:val="62015DB4"/>
    <w:rsid w:val="62025C62"/>
    <w:rsid w:val="620267D6"/>
    <w:rsid w:val="620632A8"/>
    <w:rsid w:val="620852F1"/>
    <w:rsid w:val="620B5F51"/>
    <w:rsid w:val="621A31D0"/>
    <w:rsid w:val="621A4EB5"/>
    <w:rsid w:val="6222423F"/>
    <w:rsid w:val="622338B8"/>
    <w:rsid w:val="62290C7F"/>
    <w:rsid w:val="622B613E"/>
    <w:rsid w:val="622E2E60"/>
    <w:rsid w:val="623235AD"/>
    <w:rsid w:val="6234751E"/>
    <w:rsid w:val="623A4956"/>
    <w:rsid w:val="623C143F"/>
    <w:rsid w:val="62454A9C"/>
    <w:rsid w:val="62507CF9"/>
    <w:rsid w:val="6251294B"/>
    <w:rsid w:val="625C78C1"/>
    <w:rsid w:val="626A09ED"/>
    <w:rsid w:val="626F155D"/>
    <w:rsid w:val="626F2D4C"/>
    <w:rsid w:val="6272605C"/>
    <w:rsid w:val="627428D8"/>
    <w:rsid w:val="627702F5"/>
    <w:rsid w:val="627E7362"/>
    <w:rsid w:val="62862A5E"/>
    <w:rsid w:val="62880827"/>
    <w:rsid w:val="6289479F"/>
    <w:rsid w:val="628D6188"/>
    <w:rsid w:val="62901750"/>
    <w:rsid w:val="6292619A"/>
    <w:rsid w:val="62927CA4"/>
    <w:rsid w:val="629D37BB"/>
    <w:rsid w:val="62A0765A"/>
    <w:rsid w:val="62A579B9"/>
    <w:rsid w:val="62A73445"/>
    <w:rsid w:val="62A82E63"/>
    <w:rsid w:val="62AF1ABD"/>
    <w:rsid w:val="62BC6A6A"/>
    <w:rsid w:val="62BE3CFF"/>
    <w:rsid w:val="62BF5B8A"/>
    <w:rsid w:val="62C466C8"/>
    <w:rsid w:val="62C5540B"/>
    <w:rsid w:val="62C67D92"/>
    <w:rsid w:val="62CE2E03"/>
    <w:rsid w:val="62D41E60"/>
    <w:rsid w:val="62D5636D"/>
    <w:rsid w:val="62D8250E"/>
    <w:rsid w:val="62D961F4"/>
    <w:rsid w:val="62E418BB"/>
    <w:rsid w:val="62EA584A"/>
    <w:rsid w:val="62EC076F"/>
    <w:rsid w:val="62F30C76"/>
    <w:rsid w:val="62FE5788"/>
    <w:rsid w:val="630116AD"/>
    <w:rsid w:val="6301211C"/>
    <w:rsid w:val="63041883"/>
    <w:rsid w:val="630B7B37"/>
    <w:rsid w:val="630D1636"/>
    <w:rsid w:val="63110640"/>
    <w:rsid w:val="631732F9"/>
    <w:rsid w:val="631E37FD"/>
    <w:rsid w:val="63256DD7"/>
    <w:rsid w:val="632E48D9"/>
    <w:rsid w:val="633332B9"/>
    <w:rsid w:val="633405B1"/>
    <w:rsid w:val="63362CFE"/>
    <w:rsid w:val="633B09B7"/>
    <w:rsid w:val="633F4A98"/>
    <w:rsid w:val="63440CF9"/>
    <w:rsid w:val="634B7B8C"/>
    <w:rsid w:val="634C4477"/>
    <w:rsid w:val="63620A31"/>
    <w:rsid w:val="63636C04"/>
    <w:rsid w:val="63640C4D"/>
    <w:rsid w:val="636634E7"/>
    <w:rsid w:val="637013A0"/>
    <w:rsid w:val="63703C6E"/>
    <w:rsid w:val="63712D78"/>
    <w:rsid w:val="63744190"/>
    <w:rsid w:val="6379488C"/>
    <w:rsid w:val="637D1D0F"/>
    <w:rsid w:val="63811F35"/>
    <w:rsid w:val="638B2118"/>
    <w:rsid w:val="638E1181"/>
    <w:rsid w:val="639B14F1"/>
    <w:rsid w:val="639D7D7A"/>
    <w:rsid w:val="63A23AAB"/>
    <w:rsid w:val="63A76A89"/>
    <w:rsid w:val="63AA61F0"/>
    <w:rsid w:val="63B2759E"/>
    <w:rsid w:val="63B50B3D"/>
    <w:rsid w:val="63B8053A"/>
    <w:rsid w:val="63B8115E"/>
    <w:rsid w:val="63C70914"/>
    <w:rsid w:val="63CA5825"/>
    <w:rsid w:val="63CF7B5D"/>
    <w:rsid w:val="63D022EC"/>
    <w:rsid w:val="63D151FD"/>
    <w:rsid w:val="63D76E7A"/>
    <w:rsid w:val="63DC4AC1"/>
    <w:rsid w:val="63E658E8"/>
    <w:rsid w:val="6401124D"/>
    <w:rsid w:val="6406165C"/>
    <w:rsid w:val="64103DA1"/>
    <w:rsid w:val="64175CC0"/>
    <w:rsid w:val="64192DD1"/>
    <w:rsid w:val="641B1A19"/>
    <w:rsid w:val="641E41A9"/>
    <w:rsid w:val="641E704E"/>
    <w:rsid w:val="64240BF1"/>
    <w:rsid w:val="642735EE"/>
    <w:rsid w:val="64281C7B"/>
    <w:rsid w:val="642910AB"/>
    <w:rsid w:val="64296C4C"/>
    <w:rsid w:val="642D21DF"/>
    <w:rsid w:val="642F4AD8"/>
    <w:rsid w:val="64345F64"/>
    <w:rsid w:val="64363D58"/>
    <w:rsid w:val="64390DD2"/>
    <w:rsid w:val="643A1EB9"/>
    <w:rsid w:val="643D760B"/>
    <w:rsid w:val="644042CC"/>
    <w:rsid w:val="64414620"/>
    <w:rsid w:val="644545DB"/>
    <w:rsid w:val="644C7258"/>
    <w:rsid w:val="644D7933"/>
    <w:rsid w:val="644F0FB6"/>
    <w:rsid w:val="64506B1E"/>
    <w:rsid w:val="645379B5"/>
    <w:rsid w:val="64540CC2"/>
    <w:rsid w:val="645D6156"/>
    <w:rsid w:val="646104FA"/>
    <w:rsid w:val="646619F8"/>
    <w:rsid w:val="646A0425"/>
    <w:rsid w:val="64723DDE"/>
    <w:rsid w:val="647409CC"/>
    <w:rsid w:val="6477309A"/>
    <w:rsid w:val="64773D90"/>
    <w:rsid w:val="647B5FD3"/>
    <w:rsid w:val="647E49D7"/>
    <w:rsid w:val="64823F78"/>
    <w:rsid w:val="64825250"/>
    <w:rsid w:val="648303F7"/>
    <w:rsid w:val="64865074"/>
    <w:rsid w:val="648E53E4"/>
    <w:rsid w:val="64903239"/>
    <w:rsid w:val="649124B1"/>
    <w:rsid w:val="649737BE"/>
    <w:rsid w:val="64990483"/>
    <w:rsid w:val="649F6D51"/>
    <w:rsid w:val="64A132A0"/>
    <w:rsid w:val="64A97036"/>
    <w:rsid w:val="64AE5A49"/>
    <w:rsid w:val="64AE7AFB"/>
    <w:rsid w:val="64AF1055"/>
    <w:rsid w:val="64B17884"/>
    <w:rsid w:val="64C24A27"/>
    <w:rsid w:val="64C474F3"/>
    <w:rsid w:val="64CE2822"/>
    <w:rsid w:val="64D872E5"/>
    <w:rsid w:val="64D911C7"/>
    <w:rsid w:val="64DA246F"/>
    <w:rsid w:val="64DD5188"/>
    <w:rsid w:val="64DE145D"/>
    <w:rsid w:val="64E20D38"/>
    <w:rsid w:val="64E4310C"/>
    <w:rsid w:val="64E57C49"/>
    <w:rsid w:val="64F45989"/>
    <w:rsid w:val="64F60BA5"/>
    <w:rsid w:val="64F94B01"/>
    <w:rsid w:val="64FA5DD7"/>
    <w:rsid w:val="650161D5"/>
    <w:rsid w:val="65083668"/>
    <w:rsid w:val="65085050"/>
    <w:rsid w:val="650B0DEA"/>
    <w:rsid w:val="65120A2F"/>
    <w:rsid w:val="651826ED"/>
    <w:rsid w:val="65182A18"/>
    <w:rsid w:val="651C776A"/>
    <w:rsid w:val="652516A6"/>
    <w:rsid w:val="652655CC"/>
    <w:rsid w:val="652A56EB"/>
    <w:rsid w:val="652E5108"/>
    <w:rsid w:val="65314B5F"/>
    <w:rsid w:val="653421B5"/>
    <w:rsid w:val="65377536"/>
    <w:rsid w:val="65404477"/>
    <w:rsid w:val="65431917"/>
    <w:rsid w:val="655245E4"/>
    <w:rsid w:val="655606C2"/>
    <w:rsid w:val="65565C8F"/>
    <w:rsid w:val="6565687E"/>
    <w:rsid w:val="65660CAD"/>
    <w:rsid w:val="656632BF"/>
    <w:rsid w:val="657018F9"/>
    <w:rsid w:val="65745B8D"/>
    <w:rsid w:val="65752629"/>
    <w:rsid w:val="658A0400"/>
    <w:rsid w:val="65963A75"/>
    <w:rsid w:val="65964750"/>
    <w:rsid w:val="65A11CE5"/>
    <w:rsid w:val="65A3462D"/>
    <w:rsid w:val="65AA3473"/>
    <w:rsid w:val="65B65064"/>
    <w:rsid w:val="65B84436"/>
    <w:rsid w:val="65C41DFB"/>
    <w:rsid w:val="65C50FC8"/>
    <w:rsid w:val="65C616EC"/>
    <w:rsid w:val="65CE0970"/>
    <w:rsid w:val="65CE446A"/>
    <w:rsid w:val="65E54F51"/>
    <w:rsid w:val="65E6222A"/>
    <w:rsid w:val="65E932FA"/>
    <w:rsid w:val="65F206FF"/>
    <w:rsid w:val="65F47948"/>
    <w:rsid w:val="65FA6802"/>
    <w:rsid w:val="65FB1F67"/>
    <w:rsid w:val="65FB57AC"/>
    <w:rsid w:val="65FC717A"/>
    <w:rsid w:val="65FE7137"/>
    <w:rsid w:val="66021ABF"/>
    <w:rsid w:val="66042A75"/>
    <w:rsid w:val="660633B9"/>
    <w:rsid w:val="660C20BF"/>
    <w:rsid w:val="661D0145"/>
    <w:rsid w:val="66263F98"/>
    <w:rsid w:val="662F7E8A"/>
    <w:rsid w:val="663A2237"/>
    <w:rsid w:val="663A6837"/>
    <w:rsid w:val="663B1447"/>
    <w:rsid w:val="663C7C74"/>
    <w:rsid w:val="664360ED"/>
    <w:rsid w:val="66471C44"/>
    <w:rsid w:val="664803B2"/>
    <w:rsid w:val="664D024B"/>
    <w:rsid w:val="665D2FBD"/>
    <w:rsid w:val="66641D46"/>
    <w:rsid w:val="666421AC"/>
    <w:rsid w:val="66654036"/>
    <w:rsid w:val="667447B3"/>
    <w:rsid w:val="667629E0"/>
    <w:rsid w:val="667A4DB8"/>
    <w:rsid w:val="6682722E"/>
    <w:rsid w:val="66840D99"/>
    <w:rsid w:val="668D6FEB"/>
    <w:rsid w:val="668E1599"/>
    <w:rsid w:val="669178F2"/>
    <w:rsid w:val="66A10F03"/>
    <w:rsid w:val="66A414A8"/>
    <w:rsid w:val="66A42E45"/>
    <w:rsid w:val="66B4160D"/>
    <w:rsid w:val="66B52364"/>
    <w:rsid w:val="66B8412D"/>
    <w:rsid w:val="66B94F27"/>
    <w:rsid w:val="66BB0856"/>
    <w:rsid w:val="66C23717"/>
    <w:rsid w:val="66C32B06"/>
    <w:rsid w:val="66C42766"/>
    <w:rsid w:val="66CB2145"/>
    <w:rsid w:val="66CC0F56"/>
    <w:rsid w:val="66D0617C"/>
    <w:rsid w:val="66D159F9"/>
    <w:rsid w:val="66D90493"/>
    <w:rsid w:val="66DF606F"/>
    <w:rsid w:val="66E437FF"/>
    <w:rsid w:val="66E71B4B"/>
    <w:rsid w:val="66F15B52"/>
    <w:rsid w:val="66F35B14"/>
    <w:rsid w:val="66FA1138"/>
    <w:rsid w:val="66FB497C"/>
    <w:rsid w:val="66FC317D"/>
    <w:rsid w:val="670537D3"/>
    <w:rsid w:val="670A39C6"/>
    <w:rsid w:val="670C1A11"/>
    <w:rsid w:val="670C45C1"/>
    <w:rsid w:val="670F0ED0"/>
    <w:rsid w:val="67226EF0"/>
    <w:rsid w:val="67235FA1"/>
    <w:rsid w:val="672B7E9F"/>
    <w:rsid w:val="672F2209"/>
    <w:rsid w:val="672F41F6"/>
    <w:rsid w:val="6731607C"/>
    <w:rsid w:val="673372DA"/>
    <w:rsid w:val="673F0C9C"/>
    <w:rsid w:val="67441BF9"/>
    <w:rsid w:val="6746785B"/>
    <w:rsid w:val="67500045"/>
    <w:rsid w:val="675039C2"/>
    <w:rsid w:val="675158C2"/>
    <w:rsid w:val="67531A62"/>
    <w:rsid w:val="67537323"/>
    <w:rsid w:val="675B07A3"/>
    <w:rsid w:val="675B13D5"/>
    <w:rsid w:val="675E3894"/>
    <w:rsid w:val="676B747A"/>
    <w:rsid w:val="676F4B55"/>
    <w:rsid w:val="67734619"/>
    <w:rsid w:val="67761A2F"/>
    <w:rsid w:val="677C76EE"/>
    <w:rsid w:val="67806D98"/>
    <w:rsid w:val="678810D0"/>
    <w:rsid w:val="67936CBD"/>
    <w:rsid w:val="67954233"/>
    <w:rsid w:val="67971032"/>
    <w:rsid w:val="67A75813"/>
    <w:rsid w:val="67A7688A"/>
    <w:rsid w:val="67B04461"/>
    <w:rsid w:val="67C51EA2"/>
    <w:rsid w:val="67C6312D"/>
    <w:rsid w:val="67CA20B7"/>
    <w:rsid w:val="67CC3603"/>
    <w:rsid w:val="67D31EFE"/>
    <w:rsid w:val="67D94286"/>
    <w:rsid w:val="67DA2EAE"/>
    <w:rsid w:val="67DD02E5"/>
    <w:rsid w:val="67EC79E0"/>
    <w:rsid w:val="67F4155F"/>
    <w:rsid w:val="67F51FEE"/>
    <w:rsid w:val="67F81F23"/>
    <w:rsid w:val="67FA1B80"/>
    <w:rsid w:val="67FB6A44"/>
    <w:rsid w:val="67FD532A"/>
    <w:rsid w:val="67FE214D"/>
    <w:rsid w:val="680754E9"/>
    <w:rsid w:val="680C5BF5"/>
    <w:rsid w:val="680C68DF"/>
    <w:rsid w:val="680F6CDD"/>
    <w:rsid w:val="68136366"/>
    <w:rsid w:val="681B436F"/>
    <w:rsid w:val="681F2A7E"/>
    <w:rsid w:val="682044A1"/>
    <w:rsid w:val="682232F6"/>
    <w:rsid w:val="682366E5"/>
    <w:rsid w:val="68273E11"/>
    <w:rsid w:val="68290BE7"/>
    <w:rsid w:val="68294213"/>
    <w:rsid w:val="682C66D6"/>
    <w:rsid w:val="68394C10"/>
    <w:rsid w:val="68402481"/>
    <w:rsid w:val="68492CA5"/>
    <w:rsid w:val="68514324"/>
    <w:rsid w:val="6853707F"/>
    <w:rsid w:val="68550FE8"/>
    <w:rsid w:val="68640AB1"/>
    <w:rsid w:val="68683B4A"/>
    <w:rsid w:val="68694610"/>
    <w:rsid w:val="686D490F"/>
    <w:rsid w:val="686E3FED"/>
    <w:rsid w:val="686F751F"/>
    <w:rsid w:val="6870397B"/>
    <w:rsid w:val="687151D7"/>
    <w:rsid w:val="687A1766"/>
    <w:rsid w:val="687A53F0"/>
    <w:rsid w:val="68841D5B"/>
    <w:rsid w:val="68866B0F"/>
    <w:rsid w:val="68885987"/>
    <w:rsid w:val="688A55FA"/>
    <w:rsid w:val="688B1BF3"/>
    <w:rsid w:val="68947537"/>
    <w:rsid w:val="68960F9C"/>
    <w:rsid w:val="68981051"/>
    <w:rsid w:val="68A575F8"/>
    <w:rsid w:val="68AB7066"/>
    <w:rsid w:val="68AC218B"/>
    <w:rsid w:val="68B473F9"/>
    <w:rsid w:val="68B7484C"/>
    <w:rsid w:val="68B907BE"/>
    <w:rsid w:val="68B910F3"/>
    <w:rsid w:val="68BD7BB4"/>
    <w:rsid w:val="68C005DE"/>
    <w:rsid w:val="68C06926"/>
    <w:rsid w:val="68C46880"/>
    <w:rsid w:val="68C51A40"/>
    <w:rsid w:val="68C71738"/>
    <w:rsid w:val="68C97D90"/>
    <w:rsid w:val="68CC3359"/>
    <w:rsid w:val="68D6764E"/>
    <w:rsid w:val="68DF15C1"/>
    <w:rsid w:val="68E048D2"/>
    <w:rsid w:val="68E07312"/>
    <w:rsid w:val="68E13EB5"/>
    <w:rsid w:val="68EE6029"/>
    <w:rsid w:val="68EF26C2"/>
    <w:rsid w:val="68F006CD"/>
    <w:rsid w:val="68FD48EE"/>
    <w:rsid w:val="69006D22"/>
    <w:rsid w:val="69085BD7"/>
    <w:rsid w:val="690A3EED"/>
    <w:rsid w:val="690B00FF"/>
    <w:rsid w:val="690E58E3"/>
    <w:rsid w:val="691102DE"/>
    <w:rsid w:val="69110F2F"/>
    <w:rsid w:val="69112BF5"/>
    <w:rsid w:val="69141BAF"/>
    <w:rsid w:val="69162463"/>
    <w:rsid w:val="6917135A"/>
    <w:rsid w:val="69222494"/>
    <w:rsid w:val="6925529E"/>
    <w:rsid w:val="692865B6"/>
    <w:rsid w:val="692A3C2B"/>
    <w:rsid w:val="692B0A88"/>
    <w:rsid w:val="692E7D33"/>
    <w:rsid w:val="69351573"/>
    <w:rsid w:val="69364F30"/>
    <w:rsid w:val="69365F48"/>
    <w:rsid w:val="693754A4"/>
    <w:rsid w:val="693A32EC"/>
    <w:rsid w:val="69414E41"/>
    <w:rsid w:val="694A7164"/>
    <w:rsid w:val="694F14C3"/>
    <w:rsid w:val="694F3806"/>
    <w:rsid w:val="69560740"/>
    <w:rsid w:val="69590DB6"/>
    <w:rsid w:val="695A2B23"/>
    <w:rsid w:val="69637EFF"/>
    <w:rsid w:val="69644E17"/>
    <w:rsid w:val="69710167"/>
    <w:rsid w:val="69744BF1"/>
    <w:rsid w:val="69765268"/>
    <w:rsid w:val="69780837"/>
    <w:rsid w:val="697933D9"/>
    <w:rsid w:val="697A7C87"/>
    <w:rsid w:val="697E66F5"/>
    <w:rsid w:val="69817B62"/>
    <w:rsid w:val="698755F5"/>
    <w:rsid w:val="69880B41"/>
    <w:rsid w:val="69886A89"/>
    <w:rsid w:val="698C6808"/>
    <w:rsid w:val="69901BAA"/>
    <w:rsid w:val="69925649"/>
    <w:rsid w:val="69990BA1"/>
    <w:rsid w:val="69994D37"/>
    <w:rsid w:val="699E7587"/>
    <w:rsid w:val="69A36E31"/>
    <w:rsid w:val="69B06269"/>
    <w:rsid w:val="69B51F43"/>
    <w:rsid w:val="69B75111"/>
    <w:rsid w:val="69B813AB"/>
    <w:rsid w:val="69BB1D1F"/>
    <w:rsid w:val="69BB7793"/>
    <w:rsid w:val="69C00657"/>
    <w:rsid w:val="69C560EB"/>
    <w:rsid w:val="69D039FF"/>
    <w:rsid w:val="69D2308E"/>
    <w:rsid w:val="69D86BE7"/>
    <w:rsid w:val="69DA217A"/>
    <w:rsid w:val="69E50E27"/>
    <w:rsid w:val="69E55FA5"/>
    <w:rsid w:val="69ED2CBB"/>
    <w:rsid w:val="69EF1796"/>
    <w:rsid w:val="69FA2229"/>
    <w:rsid w:val="69FD11C2"/>
    <w:rsid w:val="6A0235B7"/>
    <w:rsid w:val="6A033400"/>
    <w:rsid w:val="6A0C7949"/>
    <w:rsid w:val="6A170B8F"/>
    <w:rsid w:val="6A1C7BA3"/>
    <w:rsid w:val="6A1D4B9A"/>
    <w:rsid w:val="6A1E1971"/>
    <w:rsid w:val="6A1E46AB"/>
    <w:rsid w:val="6A234FFD"/>
    <w:rsid w:val="6A274783"/>
    <w:rsid w:val="6A295D2C"/>
    <w:rsid w:val="6A2C0629"/>
    <w:rsid w:val="6A2D7A9D"/>
    <w:rsid w:val="6A30127F"/>
    <w:rsid w:val="6A30232D"/>
    <w:rsid w:val="6A32409A"/>
    <w:rsid w:val="6A331315"/>
    <w:rsid w:val="6A3E1C4F"/>
    <w:rsid w:val="6A411085"/>
    <w:rsid w:val="6A432F0A"/>
    <w:rsid w:val="6A4741BF"/>
    <w:rsid w:val="6A475399"/>
    <w:rsid w:val="6A512521"/>
    <w:rsid w:val="6A56380A"/>
    <w:rsid w:val="6A576E16"/>
    <w:rsid w:val="6A5A42C5"/>
    <w:rsid w:val="6A5C0D00"/>
    <w:rsid w:val="6A65616F"/>
    <w:rsid w:val="6A6E5867"/>
    <w:rsid w:val="6A7B25F3"/>
    <w:rsid w:val="6A7E0847"/>
    <w:rsid w:val="6A7E25F5"/>
    <w:rsid w:val="6A825A00"/>
    <w:rsid w:val="6A835244"/>
    <w:rsid w:val="6A8462DC"/>
    <w:rsid w:val="6A89186A"/>
    <w:rsid w:val="6A8A71EB"/>
    <w:rsid w:val="6A8C3DE5"/>
    <w:rsid w:val="6A906196"/>
    <w:rsid w:val="6A953306"/>
    <w:rsid w:val="6AA560DB"/>
    <w:rsid w:val="6AA8523E"/>
    <w:rsid w:val="6AAD4CC8"/>
    <w:rsid w:val="6AB02858"/>
    <w:rsid w:val="6AB3235D"/>
    <w:rsid w:val="6AB701CA"/>
    <w:rsid w:val="6ABA3241"/>
    <w:rsid w:val="6ABE1C62"/>
    <w:rsid w:val="6ACC688A"/>
    <w:rsid w:val="6AD0590A"/>
    <w:rsid w:val="6AD06BC8"/>
    <w:rsid w:val="6AD2649C"/>
    <w:rsid w:val="6ADE0BE1"/>
    <w:rsid w:val="6ADE1EA6"/>
    <w:rsid w:val="6AE21919"/>
    <w:rsid w:val="6AE46D52"/>
    <w:rsid w:val="6AE55348"/>
    <w:rsid w:val="6AF532AF"/>
    <w:rsid w:val="6AF72DE6"/>
    <w:rsid w:val="6AFD7627"/>
    <w:rsid w:val="6B0155C6"/>
    <w:rsid w:val="6B0B19AE"/>
    <w:rsid w:val="6B0E444D"/>
    <w:rsid w:val="6B10486E"/>
    <w:rsid w:val="6B161090"/>
    <w:rsid w:val="6B19733C"/>
    <w:rsid w:val="6B2B284A"/>
    <w:rsid w:val="6B2D5529"/>
    <w:rsid w:val="6B34678C"/>
    <w:rsid w:val="6B393020"/>
    <w:rsid w:val="6B3978E5"/>
    <w:rsid w:val="6B3A1A71"/>
    <w:rsid w:val="6B40458F"/>
    <w:rsid w:val="6B4D207A"/>
    <w:rsid w:val="6B551584"/>
    <w:rsid w:val="6B570EC0"/>
    <w:rsid w:val="6B580621"/>
    <w:rsid w:val="6B5A25D4"/>
    <w:rsid w:val="6B5F73CB"/>
    <w:rsid w:val="6B620C02"/>
    <w:rsid w:val="6B63086B"/>
    <w:rsid w:val="6B6E14E6"/>
    <w:rsid w:val="6B6F34BB"/>
    <w:rsid w:val="6B702EC7"/>
    <w:rsid w:val="6B76291A"/>
    <w:rsid w:val="6B79572D"/>
    <w:rsid w:val="6B7C4061"/>
    <w:rsid w:val="6B93053B"/>
    <w:rsid w:val="6B986889"/>
    <w:rsid w:val="6B992ED8"/>
    <w:rsid w:val="6B9A6EAE"/>
    <w:rsid w:val="6B9C6EE1"/>
    <w:rsid w:val="6BAA51A1"/>
    <w:rsid w:val="6BB05E1A"/>
    <w:rsid w:val="6BB12C87"/>
    <w:rsid w:val="6BC03837"/>
    <w:rsid w:val="6BC26B3B"/>
    <w:rsid w:val="6BC90CA9"/>
    <w:rsid w:val="6BC93D43"/>
    <w:rsid w:val="6BCA1CB1"/>
    <w:rsid w:val="6BCB0C6B"/>
    <w:rsid w:val="6BCE3108"/>
    <w:rsid w:val="6BD36970"/>
    <w:rsid w:val="6BD63B2D"/>
    <w:rsid w:val="6BD73442"/>
    <w:rsid w:val="6BE7671C"/>
    <w:rsid w:val="6BEB169A"/>
    <w:rsid w:val="6BEE2C86"/>
    <w:rsid w:val="6BF57E54"/>
    <w:rsid w:val="6BF73D5E"/>
    <w:rsid w:val="6BF76B46"/>
    <w:rsid w:val="6BF83483"/>
    <w:rsid w:val="6C004EC7"/>
    <w:rsid w:val="6C0C4B05"/>
    <w:rsid w:val="6C10344F"/>
    <w:rsid w:val="6C114F9C"/>
    <w:rsid w:val="6C1247F0"/>
    <w:rsid w:val="6C1E1822"/>
    <w:rsid w:val="6C20148A"/>
    <w:rsid w:val="6C212F35"/>
    <w:rsid w:val="6C21333E"/>
    <w:rsid w:val="6C223F7B"/>
    <w:rsid w:val="6C2373DC"/>
    <w:rsid w:val="6C287C78"/>
    <w:rsid w:val="6C2D31DE"/>
    <w:rsid w:val="6C2D7D3D"/>
    <w:rsid w:val="6C30791F"/>
    <w:rsid w:val="6C3337F4"/>
    <w:rsid w:val="6C3A4BA9"/>
    <w:rsid w:val="6C4623E6"/>
    <w:rsid w:val="6C4A7161"/>
    <w:rsid w:val="6C4F6B5B"/>
    <w:rsid w:val="6C532EE4"/>
    <w:rsid w:val="6C53360D"/>
    <w:rsid w:val="6C5A0918"/>
    <w:rsid w:val="6C5B6FED"/>
    <w:rsid w:val="6C5D07D7"/>
    <w:rsid w:val="6C5D2FCA"/>
    <w:rsid w:val="6C604695"/>
    <w:rsid w:val="6C615D2A"/>
    <w:rsid w:val="6C632C7F"/>
    <w:rsid w:val="6C672AB0"/>
    <w:rsid w:val="6C710257"/>
    <w:rsid w:val="6C7930E8"/>
    <w:rsid w:val="6C7A4636"/>
    <w:rsid w:val="6C7C7A14"/>
    <w:rsid w:val="6C7E3A0F"/>
    <w:rsid w:val="6C821DC9"/>
    <w:rsid w:val="6C846928"/>
    <w:rsid w:val="6C851CCF"/>
    <w:rsid w:val="6C8A68B4"/>
    <w:rsid w:val="6C922387"/>
    <w:rsid w:val="6C930A13"/>
    <w:rsid w:val="6C945E7B"/>
    <w:rsid w:val="6C953C26"/>
    <w:rsid w:val="6C976054"/>
    <w:rsid w:val="6C9D4BBD"/>
    <w:rsid w:val="6CA0625E"/>
    <w:rsid w:val="6CA945DF"/>
    <w:rsid w:val="6CAD3F5D"/>
    <w:rsid w:val="6CB22ACD"/>
    <w:rsid w:val="6CB73B9C"/>
    <w:rsid w:val="6CC21212"/>
    <w:rsid w:val="6CC2435C"/>
    <w:rsid w:val="6CC6118D"/>
    <w:rsid w:val="6CC62AD0"/>
    <w:rsid w:val="6CC77B7C"/>
    <w:rsid w:val="6CD109DA"/>
    <w:rsid w:val="6CD503BA"/>
    <w:rsid w:val="6CDC3602"/>
    <w:rsid w:val="6CDE737B"/>
    <w:rsid w:val="6CE04AA9"/>
    <w:rsid w:val="6CE3397A"/>
    <w:rsid w:val="6CE36AAC"/>
    <w:rsid w:val="6CE77559"/>
    <w:rsid w:val="6CE93F71"/>
    <w:rsid w:val="6CEE4880"/>
    <w:rsid w:val="6CF34FF6"/>
    <w:rsid w:val="6CF40785"/>
    <w:rsid w:val="6CF429B2"/>
    <w:rsid w:val="6CFC710B"/>
    <w:rsid w:val="6D004047"/>
    <w:rsid w:val="6D004EBA"/>
    <w:rsid w:val="6D071A78"/>
    <w:rsid w:val="6D082743"/>
    <w:rsid w:val="6D0E31A9"/>
    <w:rsid w:val="6D0F3924"/>
    <w:rsid w:val="6D11537B"/>
    <w:rsid w:val="6D1278CF"/>
    <w:rsid w:val="6D176D30"/>
    <w:rsid w:val="6D1B0D24"/>
    <w:rsid w:val="6D1D5A62"/>
    <w:rsid w:val="6D225E63"/>
    <w:rsid w:val="6D246B10"/>
    <w:rsid w:val="6D25144D"/>
    <w:rsid w:val="6D266F73"/>
    <w:rsid w:val="6D283D50"/>
    <w:rsid w:val="6D286848"/>
    <w:rsid w:val="6D2A6A64"/>
    <w:rsid w:val="6D2D3039"/>
    <w:rsid w:val="6D2F5237"/>
    <w:rsid w:val="6D350292"/>
    <w:rsid w:val="6D351BC8"/>
    <w:rsid w:val="6D3C26AA"/>
    <w:rsid w:val="6D4117DE"/>
    <w:rsid w:val="6D45202F"/>
    <w:rsid w:val="6D4B1CD0"/>
    <w:rsid w:val="6D4E4F8E"/>
    <w:rsid w:val="6D4E541C"/>
    <w:rsid w:val="6D4F67B8"/>
    <w:rsid w:val="6D5535C3"/>
    <w:rsid w:val="6D64712F"/>
    <w:rsid w:val="6D656128"/>
    <w:rsid w:val="6D66273C"/>
    <w:rsid w:val="6D6764E4"/>
    <w:rsid w:val="6D744F2B"/>
    <w:rsid w:val="6D781A16"/>
    <w:rsid w:val="6D7F460B"/>
    <w:rsid w:val="6D832BA4"/>
    <w:rsid w:val="6D883583"/>
    <w:rsid w:val="6D9005E6"/>
    <w:rsid w:val="6D936015"/>
    <w:rsid w:val="6D98149C"/>
    <w:rsid w:val="6D9A6AE4"/>
    <w:rsid w:val="6D9C0B83"/>
    <w:rsid w:val="6DA90135"/>
    <w:rsid w:val="6DAF7572"/>
    <w:rsid w:val="6DB85452"/>
    <w:rsid w:val="6DC17362"/>
    <w:rsid w:val="6DC20E49"/>
    <w:rsid w:val="6DC43284"/>
    <w:rsid w:val="6DC54ACD"/>
    <w:rsid w:val="6DCF654B"/>
    <w:rsid w:val="6DD50D28"/>
    <w:rsid w:val="6DDC6062"/>
    <w:rsid w:val="6DE0480B"/>
    <w:rsid w:val="6DE149AF"/>
    <w:rsid w:val="6DEA6AEB"/>
    <w:rsid w:val="6DEB6B57"/>
    <w:rsid w:val="6DEC6C44"/>
    <w:rsid w:val="6DED0E50"/>
    <w:rsid w:val="6DF13DBA"/>
    <w:rsid w:val="6DF618C1"/>
    <w:rsid w:val="6DF63F9D"/>
    <w:rsid w:val="6DF95F1D"/>
    <w:rsid w:val="6E03726A"/>
    <w:rsid w:val="6E0C6E60"/>
    <w:rsid w:val="6E0D0036"/>
    <w:rsid w:val="6E0D1551"/>
    <w:rsid w:val="6E0D6B47"/>
    <w:rsid w:val="6E193413"/>
    <w:rsid w:val="6E1B63AC"/>
    <w:rsid w:val="6E203EF6"/>
    <w:rsid w:val="6E240D84"/>
    <w:rsid w:val="6E2C03AA"/>
    <w:rsid w:val="6E3277EF"/>
    <w:rsid w:val="6E3361DC"/>
    <w:rsid w:val="6E3556C0"/>
    <w:rsid w:val="6E405A9B"/>
    <w:rsid w:val="6E450DBC"/>
    <w:rsid w:val="6E492BB0"/>
    <w:rsid w:val="6E4A02E7"/>
    <w:rsid w:val="6E522AC7"/>
    <w:rsid w:val="6E553D92"/>
    <w:rsid w:val="6E5C0E9F"/>
    <w:rsid w:val="6E6013DB"/>
    <w:rsid w:val="6E61776F"/>
    <w:rsid w:val="6E692BD2"/>
    <w:rsid w:val="6E6B2E90"/>
    <w:rsid w:val="6E6E2B03"/>
    <w:rsid w:val="6E6E4B92"/>
    <w:rsid w:val="6E7066F8"/>
    <w:rsid w:val="6E720F02"/>
    <w:rsid w:val="6E74002F"/>
    <w:rsid w:val="6E74363E"/>
    <w:rsid w:val="6E75235C"/>
    <w:rsid w:val="6E775CD9"/>
    <w:rsid w:val="6E777BD3"/>
    <w:rsid w:val="6E7C24F0"/>
    <w:rsid w:val="6E82066B"/>
    <w:rsid w:val="6E8423DB"/>
    <w:rsid w:val="6E8C64A2"/>
    <w:rsid w:val="6E8E7AB6"/>
    <w:rsid w:val="6E902963"/>
    <w:rsid w:val="6E91666F"/>
    <w:rsid w:val="6E92169B"/>
    <w:rsid w:val="6E92685C"/>
    <w:rsid w:val="6E936C9D"/>
    <w:rsid w:val="6E960096"/>
    <w:rsid w:val="6E971E62"/>
    <w:rsid w:val="6EAB74ED"/>
    <w:rsid w:val="6EB354DC"/>
    <w:rsid w:val="6EB859D4"/>
    <w:rsid w:val="6EBC7C03"/>
    <w:rsid w:val="6EBF24B5"/>
    <w:rsid w:val="6EBF7C57"/>
    <w:rsid w:val="6ECF62A2"/>
    <w:rsid w:val="6ED121B7"/>
    <w:rsid w:val="6EE92BDF"/>
    <w:rsid w:val="6EEC2F5B"/>
    <w:rsid w:val="6EEF769D"/>
    <w:rsid w:val="6EF72978"/>
    <w:rsid w:val="6EFB5485"/>
    <w:rsid w:val="6EFE3E93"/>
    <w:rsid w:val="6F0070DE"/>
    <w:rsid w:val="6F020914"/>
    <w:rsid w:val="6F072869"/>
    <w:rsid w:val="6F073C50"/>
    <w:rsid w:val="6F0A7BFB"/>
    <w:rsid w:val="6F0F0EBF"/>
    <w:rsid w:val="6F146B46"/>
    <w:rsid w:val="6F160E18"/>
    <w:rsid w:val="6F1C4DC3"/>
    <w:rsid w:val="6F2119AA"/>
    <w:rsid w:val="6F2B1B3A"/>
    <w:rsid w:val="6F2C7085"/>
    <w:rsid w:val="6F305E87"/>
    <w:rsid w:val="6F3C43AC"/>
    <w:rsid w:val="6F3E05A4"/>
    <w:rsid w:val="6F40431D"/>
    <w:rsid w:val="6F4058FE"/>
    <w:rsid w:val="6F41556E"/>
    <w:rsid w:val="6F444FE9"/>
    <w:rsid w:val="6F475D81"/>
    <w:rsid w:val="6F525A57"/>
    <w:rsid w:val="6F5D2896"/>
    <w:rsid w:val="6F5E0C32"/>
    <w:rsid w:val="6F5E641D"/>
    <w:rsid w:val="6F5F5387"/>
    <w:rsid w:val="6F643717"/>
    <w:rsid w:val="6F656188"/>
    <w:rsid w:val="6F6649B1"/>
    <w:rsid w:val="6F690D07"/>
    <w:rsid w:val="6F727148"/>
    <w:rsid w:val="6F740EA5"/>
    <w:rsid w:val="6F77738F"/>
    <w:rsid w:val="6F7915DC"/>
    <w:rsid w:val="6F7B4BDC"/>
    <w:rsid w:val="6F7F0361"/>
    <w:rsid w:val="6F824FED"/>
    <w:rsid w:val="6F952937"/>
    <w:rsid w:val="6F967E3F"/>
    <w:rsid w:val="6FA06921"/>
    <w:rsid w:val="6FA33146"/>
    <w:rsid w:val="6FA44375"/>
    <w:rsid w:val="6FA649F3"/>
    <w:rsid w:val="6FA74AC1"/>
    <w:rsid w:val="6FB04846"/>
    <w:rsid w:val="6FB25371"/>
    <w:rsid w:val="6FB70357"/>
    <w:rsid w:val="6FB9646E"/>
    <w:rsid w:val="6FBA22ED"/>
    <w:rsid w:val="6FBB5F96"/>
    <w:rsid w:val="6FBE7937"/>
    <w:rsid w:val="6FC504D0"/>
    <w:rsid w:val="6FC53FCE"/>
    <w:rsid w:val="6FC549DB"/>
    <w:rsid w:val="6FC62469"/>
    <w:rsid w:val="6FC869B5"/>
    <w:rsid w:val="6FD3272D"/>
    <w:rsid w:val="6FDA3F81"/>
    <w:rsid w:val="6FDA70F9"/>
    <w:rsid w:val="6FE02C6C"/>
    <w:rsid w:val="6FE27CE1"/>
    <w:rsid w:val="6FE43733"/>
    <w:rsid w:val="6FE72581"/>
    <w:rsid w:val="6FEC7878"/>
    <w:rsid w:val="6FF2313D"/>
    <w:rsid w:val="6FF55D26"/>
    <w:rsid w:val="6FF84BF7"/>
    <w:rsid w:val="6FFB7673"/>
    <w:rsid w:val="70026742"/>
    <w:rsid w:val="700418E7"/>
    <w:rsid w:val="700839B7"/>
    <w:rsid w:val="70123DAD"/>
    <w:rsid w:val="70194B6E"/>
    <w:rsid w:val="701A472D"/>
    <w:rsid w:val="701E1BF1"/>
    <w:rsid w:val="702529F7"/>
    <w:rsid w:val="702B137A"/>
    <w:rsid w:val="70455963"/>
    <w:rsid w:val="7048070A"/>
    <w:rsid w:val="704D58B1"/>
    <w:rsid w:val="704F1D34"/>
    <w:rsid w:val="70595347"/>
    <w:rsid w:val="706B6ECE"/>
    <w:rsid w:val="706D5FD1"/>
    <w:rsid w:val="707024BD"/>
    <w:rsid w:val="70716758"/>
    <w:rsid w:val="707649EE"/>
    <w:rsid w:val="70785ED4"/>
    <w:rsid w:val="70827584"/>
    <w:rsid w:val="708A3693"/>
    <w:rsid w:val="709138BD"/>
    <w:rsid w:val="70942993"/>
    <w:rsid w:val="709D13EE"/>
    <w:rsid w:val="70A1703D"/>
    <w:rsid w:val="70AA78FB"/>
    <w:rsid w:val="70B26F93"/>
    <w:rsid w:val="70B57D43"/>
    <w:rsid w:val="70B91BB5"/>
    <w:rsid w:val="70B96C2C"/>
    <w:rsid w:val="70C361E2"/>
    <w:rsid w:val="70C51379"/>
    <w:rsid w:val="70C557E1"/>
    <w:rsid w:val="70C726E8"/>
    <w:rsid w:val="70CA2510"/>
    <w:rsid w:val="70CA663D"/>
    <w:rsid w:val="70CC3108"/>
    <w:rsid w:val="70CE694A"/>
    <w:rsid w:val="70D14095"/>
    <w:rsid w:val="70D36BE5"/>
    <w:rsid w:val="70D86B01"/>
    <w:rsid w:val="70ED721E"/>
    <w:rsid w:val="70F00C58"/>
    <w:rsid w:val="70F353BF"/>
    <w:rsid w:val="70F724C4"/>
    <w:rsid w:val="70F967FA"/>
    <w:rsid w:val="71077921"/>
    <w:rsid w:val="71083E61"/>
    <w:rsid w:val="710B4CA5"/>
    <w:rsid w:val="710C3E7E"/>
    <w:rsid w:val="710D1EAF"/>
    <w:rsid w:val="71110B0E"/>
    <w:rsid w:val="71145FE4"/>
    <w:rsid w:val="711A0B9D"/>
    <w:rsid w:val="711A733D"/>
    <w:rsid w:val="711F0571"/>
    <w:rsid w:val="71200B13"/>
    <w:rsid w:val="71210FBA"/>
    <w:rsid w:val="71290E6F"/>
    <w:rsid w:val="712A2F9D"/>
    <w:rsid w:val="712B3BA9"/>
    <w:rsid w:val="712E64A2"/>
    <w:rsid w:val="712F0F58"/>
    <w:rsid w:val="713779A1"/>
    <w:rsid w:val="7141381D"/>
    <w:rsid w:val="71461BDB"/>
    <w:rsid w:val="714C20FA"/>
    <w:rsid w:val="714D0F73"/>
    <w:rsid w:val="715037F7"/>
    <w:rsid w:val="71525AFF"/>
    <w:rsid w:val="71553388"/>
    <w:rsid w:val="71560D9D"/>
    <w:rsid w:val="715643B7"/>
    <w:rsid w:val="715A3821"/>
    <w:rsid w:val="7161560D"/>
    <w:rsid w:val="7163442E"/>
    <w:rsid w:val="71664000"/>
    <w:rsid w:val="71665B90"/>
    <w:rsid w:val="716756F1"/>
    <w:rsid w:val="716C6A98"/>
    <w:rsid w:val="716F7D77"/>
    <w:rsid w:val="717010B0"/>
    <w:rsid w:val="7170382E"/>
    <w:rsid w:val="71775D4C"/>
    <w:rsid w:val="7183791B"/>
    <w:rsid w:val="718B55F7"/>
    <w:rsid w:val="718F6E95"/>
    <w:rsid w:val="719A3479"/>
    <w:rsid w:val="719D12CC"/>
    <w:rsid w:val="719D6311"/>
    <w:rsid w:val="71A14BCB"/>
    <w:rsid w:val="71A47A2D"/>
    <w:rsid w:val="71A87217"/>
    <w:rsid w:val="71AA067C"/>
    <w:rsid w:val="71AB7A47"/>
    <w:rsid w:val="71AC6C31"/>
    <w:rsid w:val="71B0334B"/>
    <w:rsid w:val="71B27028"/>
    <w:rsid w:val="71C141F7"/>
    <w:rsid w:val="71C302C1"/>
    <w:rsid w:val="71C66B63"/>
    <w:rsid w:val="71C971CF"/>
    <w:rsid w:val="71CC2A22"/>
    <w:rsid w:val="71CE3C33"/>
    <w:rsid w:val="71CF3F9D"/>
    <w:rsid w:val="71D1450C"/>
    <w:rsid w:val="71D241EF"/>
    <w:rsid w:val="71E24C44"/>
    <w:rsid w:val="71F162AC"/>
    <w:rsid w:val="71F45129"/>
    <w:rsid w:val="71F80EDE"/>
    <w:rsid w:val="7203677B"/>
    <w:rsid w:val="72043CCB"/>
    <w:rsid w:val="720F6228"/>
    <w:rsid w:val="72171306"/>
    <w:rsid w:val="721A7D20"/>
    <w:rsid w:val="72231CD3"/>
    <w:rsid w:val="722A0EF4"/>
    <w:rsid w:val="722B5EB5"/>
    <w:rsid w:val="722E6995"/>
    <w:rsid w:val="723C4DB9"/>
    <w:rsid w:val="723C62EB"/>
    <w:rsid w:val="724D67C9"/>
    <w:rsid w:val="724E5335"/>
    <w:rsid w:val="72512341"/>
    <w:rsid w:val="7251239D"/>
    <w:rsid w:val="72520376"/>
    <w:rsid w:val="7253164E"/>
    <w:rsid w:val="72541EB4"/>
    <w:rsid w:val="725427F0"/>
    <w:rsid w:val="72587BCF"/>
    <w:rsid w:val="725E6B92"/>
    <w:rsid w:val="726019D2"/>
    <w:rsid w:val="7263738C"/>
    <w:rsid w:val="726A4710"/>
    <w:rsid w:val="726E06C3"/>
    <w:rsid w:val="72723293"/>
    <w:rsid w:val="72886439"/>
    <w:rsid w:val="728F4353"/>
    <w:rsid w:val="72971170"/>
    <w:rsid w:val="729A4984"/>
    <w:rsid w:val="72A12302"/>
    <w:rsid w:val="72A36FD8"/>
    <w:rsid w:val="72A532CD"/>
    <w:rsid w:val="72AB6A5F"/>
    <w:rsid w:val="72B362DD"/>
    <w:rsid w:val="72B73EB2"/>
    <w:rsid w:val="72C319EE"/>
    <w:rsid w:val="72C708F5"/>
    <w:rsid w:val="72D401EB"/>
    <w:rsid w:val="72D51220"/>
    <w:rsid w:val="72D81C70"/>
    <w:rsid w:val="72DA6A22"/>
    <w:rsid w:val="72E32E84"/>
    <w:rsid w:val="72E571EE"/>
    <w:rsid w:val="72E70279"/>
    <w:rsid w:val="72E83FEC"/>
    <w:rsid w:val="72ED2DC7"/>
    <w:rsid w:val="72F12550"/>
    <w:rsid w:val="72F3460C"/>
    <w:rsid w:val="72F906B3"/>
    <w:rsid w:val="72F94DF5"/>
    <w:rsid w:val="73020DCB"/>
    <w:rsid w:val="73042B56"/>
    <w:rsid w:val="73093A50"/>
    <w:rsid w:val="730A2955"/>
    <w:rsid w:val="730D09BA"/>
    <w:rsid w:val="730D1526"/>
    <w:rsid w:val="73162F5C"/>
    <w:rsid w:val="731729EE"/>
    <w:rsid w:val="731739B4"/>
    <w:rsid w:val="731A07AF"/>
    <w:rsid w:val="731F2CD8"/>
    <w:rsid w:val="73271FB1"/>
    <w:rsid w:val="73276853"/>
    <w:rsid w:val="732B25B2"/>
    <w:rsid w:val="732E63FE"/>
    <w:rsid w:val="732F4F86"/>
    <w:rsid w:val="73355F0F"/>
    <w:rsid w:val="733D10E6"/>
    <w:rsid w:val="733E62A4"/>
    <w:rsid w:val="73437797"/>
    <w:rsid w:val="734E3771"/>
    <w:rsid w:val="73523EFB"/>
    <w:rsid w:val="7356031E"/>
    <w:rsid w:val="73593BFF"/>
    <w:rsid w:val="73614861"/>
    <w:rsid w:val="73621D19"/>
    <w:rsid w:val="73634DF7"/>
    <w:rsid w:val="736423DB"/>
    <w:rsid w:val="736B3932"/>
    <w:rsid w:val="736E2347"/>
    <w:rsid w:val="736F16D5"/>
    <w:rsid w:val="73705EF4"/>
    <w:rsid w:val="737E1CF6"/>
    <w:rsid w:val="73876DFD"/>
    <w:rsid w:val="73885B0B"/>
    <w:rsid w:val="738D53D8"/>
    <w:rsid w:val="738E0D20"/>
    <w:rsid w:val="739229C8"/>
    <w:rsid w:val="739567AF"/>
    <w:rsid w:val="739873A2"/>
    <w:rsid w:val="739B3DA5"/>
    <w:rsid w:val="739C3532"/>
    <w:rsid w:val="739F6A57"/>
    <w:rsid w:val="73A57105"/>
    <w:rsid w:val="73A864D7"/>
    <w:rsid w:val="73AA6D91"/>
    <w:rsid w:val="73AC3271"/>
    <w:rsid w:val="73AD18F6"/>
    <w:rsid w:val="73B34B1C"/>
    <w:rsid w:val="73B75086"/>
    <w:rsid w:val="73BB1663"/>
    <w:rsid w:val="73BD014B"/>
    <w:rsid w:val="73C41AFA"/>
    <w:rsid w:val="73C51B92"/>
    <w:rsid w:val="73C60E10"/>
    <w:rsid w:val="73C66A22"/>
    <w:rsid w:val="73C73171"/>
    <w:rsid w:val="73D7426C"/>
    <w:rsid w:val="73DA0CAB"/>
    <w:rsid w:val="73DE4104"/>
    <w:rsid w:val="73E238FF"/>
    <w:rsid w:val="73E5505E"/>
    <w:rsid w:val="73E5763A"/>
    <w:rsid w:val="73E84B95"/>
    <w:rsid w:val="73F42D7C"/>
    <w:rsid w:val="73F6097E"/>
    <w:rsid w:val="73F711A6"/>
    <w:rsid w:val="73F959A5"/>
    <w:rsid w:val="7405230A"/>
    <w:rsid w:val="740A314B"/>
    <w:rsid w:val="7411780C"/>
    <w:rsid w:val="741E2752"/>
    <w:rsid w:val="74265B73"/>
    <w:rsid w:val="74274039"/>
    <w:rsid w:val="74290773"/>
    <w:rsid w:val="742B746E"/>
    <w:rsid w:val="742D1D9A"/>
    <w:rsid w:val="743151DE"/>
    <w:rsid w:val="7438294E"/>
    <w:rsid w:val="743B5870"/>
    <w:rsid w:val="7443012E"/>
    <w:rsid w:val="74452D42"/>
    <w:rsid w:val="744C45E8"/>
    <w:rsid w:val="744D5E61"/>
    <w:rsid w:val="74543F13"/>
    <w:rsid w:val="74561CD0"/>
    <w:rsid w:val="74563498"/>
    <w:rsid w:val="745805C5"/>
    <w:rsid w:val="745919DD"/>
    <w:rsid w:val="745A7F35"/>
    <w:rsid w:val="745D4997"/>
    <w:rsid w:val="74617257"/>
    <w:rsid w:val="7466165B"/>
    <w:rsid w:val="746A5998"/>
    <w:rsid w:val="746E7115"/>
    <w:rsid w:val="74750310"/>
    <w:rsid w:val="747C0E37"/>
    <w:rsid w:val="74803925"/>
    <w:rsid w:val="74816ABB"/>
    <w:rsid w:val="74885AE1"/>
    <w:rsid w:val="7489577F"/>
    <w:rsid w:val="748A6F8E"/>
    <w:rsid w:val="748B25AE"/>
    <w:rsid w:val="74923913"/>
    <w:rsid w:val="749913BC"/>
    <w:rsid w:val="749C18A4"/>
    <w:rsid w:val="749E3893"/>
    <w:rsid w:val="74A569D0"/>
    <w:rsid w:val="74AC7D5E"/>
    <w:rsid w:val="74B239E9"/>
    <w:rsid w:val="74BC065E"/>
    <w:rsid w:val="74C92D40"/>
    <w:rsid w:val="74CC0E69"/>
    <w:rsid w:val="74D76F7A"/>
    <w:rsid w:val="74D8394A"/>
    <w:rsid w:val="74ED2B8C"/>
    <w:rsid w:val="74F61E9A"/>
    <w:rsid w:val="74F6450E"/>
    <w:rsid w:val="74F811F5"/>
    <w:rsid w:val="74FA645E"/>
    <w:rsid w:val="74FC0CE6"/>
    <w:rsid w:val="750220C9"/>
    <w:rsid w:val="750804F9"/>
    <w:rsid w:val="75120509"/>
    <w:rsid w:val="75134281"/>
    <w:rsid w:val="751C4C7D"/>
    <w:rsid w:val="751D7233"/>
    <w:rsid w:val="751E2BA7"/>
    <w:rsid w:val="75211D09"/>
    <w:rsid w:val="752124FA"/>
    <w:rsid w:val="7522557B"/>
    <w:rsid w:val="75226272"/>
    <w:rsid w:val="752A2DD5"/>
    <w:rsid w:val="752D705D"/>
    <w:rsid w:val="7533413A"/>
    <w:rsid w:val="753B6321"/>
    <w:rsid w:val="754D199A"/>
    <w:rsid w:val="7557252F"/>
    <w:rsid w:val="755C4B1E"/>
    <w:rsid w:val="755C71A8"/>
    <w:rsid w:val="756248C1"/>
    <w:rsid w:val="7564244E"/>
    <w:rsid w:val="75686922"/>
    <w:rsid w:val="75721835"/>
    <w:rsid w:val="75763252"/>
    <w:rsid w:val="757D205B"/>
    <w:rsid w:val="758065B0"/>
    <w:rsid w:val="75811530"/>
    <w:rsid w:val="758777A8"/>
    <w:rsid w:val="758A24B2"/>
    <w:rsid w:val="75943004"/>
    <w:rsid w:val="75A3343A"/>
    <w:rsid w:val="75A373B3"/>
    <w:rsid w:val="75AB61EF"/>
    <w:rsid w:val="75BA542C"/>
    <w:rsid w:val="75BD0103"/>
    <w:rsid w:val="75C612F4"/>
    <w:rsid w:val="75CC4DAF"/>
    <w:rsid w:val="75D147B8"/>
    <w:rsid w:val="75D175A2"/>
    <w:rsid w:val="75D62329"/>
    <w:rsid w:val="75DA1120"/>
    <w:rsid w:val="75E04A92"/>
    <w:rsid w:val="75EA210B"/>
    <w:rsid w:val="75EE15C4"/>
    <w:rsid w:val="75F53F1A"/>
    <w:rsid w:val="75FA28F6"/>
    <w:rsid w:val="761364A1"/>
    <w:rsid w:val="76142D94"/>
    <w:rsid w:val="76180B08"/>
    <w:rsid w:val="76204FF6"/>
    <w:rsid w:val="762A7723"/>
    <w:rsid w:val="762F7F83"/>
    <w:rsid w:val="763314B3"/>
    <w:rsid w:val="7641097A"/>
    <w:rsid w:val="76431932"/>
    <w:rsid w:val="76434ADE"/>
    <w:rsid w:val="76467535"/>
    <w:rsid w:val="764B63CE"/>
    <w:rsid w:val="764C17F9"/>
    <w:rsid w:val="764D0E7C"/>
    <w:rsid w:val="76522F33"/>
    <w:rsid w:val="76530A5D"/>
    <w:rsid w:val="76553877"/>
    <w:rsid w:val="76561E38"/>
    <w:rsid w:val="76591D5A"/>
    <w:rsid w:val="766910E0"/>
    <w:rsid w:val="766E77A6"/>
    <w:rsid w:val="7671645D"/>
    <w:rsid w:val="767D375B"/>
    <w:rsid w:val="76825F45"/>
    <w:rsid w:val="768A6DAD"/>
    <w:rsid w:val="7693003E"/>
    <w:rsid w:val="76937428"/>
    <w:rsid w:val="76A64435"/>
    <w:rsid w:val="76A917D8"/>
    <w:rsid w:val="76AF5EF5"/>
    <w:rsid w:val="76B871F4"/>
    <w:rsid w:val="76BC6D48"/>
    <w:rsid w:val="76BE3CB7"/>
    <w:rsid w:val="76C42B65"/>
    <w:rsid w:val="76C42C85"/>
    <w:rsid w:val="76C9197B"/>
    <w:rsid w:val="76CC1E7F"/>
    <w:rsid w:val="76CD35CB"/>
    <w:rsid w:val="76DB492B"/>
    <w:rsid w:val="76DE79B7"/>
    <w:rsid w:val="76E57CE4"/>
    <w:rsid w:val="76E618C8"/>
    <w:rsid w:val="76E91EB9"/>
    <w:rsid w:val="76E97B76"/>
    <w:rsid w:val="76EF00BC"/>
    <w:rsid w:val="76EF6628"/>
    <w:rsid w:val="76FF2D0F"/>
    <w:rsid w:val="76FF70B9"/>
    <w:rsid w:val="7703131B"/>
    <w:rsid w:val="770316D4"/>
    <w:rsid w:val="770A0C99"/>
    <w:rsid w:val="770C0F88"/>
    <w:rsid w:val="770D739E"/>
    <w:rsid w:val="7720194F"/>
    <w:rsid w:val="77293B4A"/>
    <w:rsid w:val="772F05CC"/>
    <w:rsid w:val="77303A20"/>
    <w:rsid w:val="773334CE"/>
    <w:rsid w:val="77385865"/>
    <w:rsid w:val="773869D8"/>
    <w:rsid w:val="774700FC"/>
    <w:rsid w:val="774A4784"/>
    <w:rsid w:val="7762504C"/>
    <w:rsid w:val="77651A9D"/>
    <w:rsid w:val="77687484"/>
    <w:rsid w:val="776F3C10"/>
    <w:rsid w:val="777047B1"/>
    <w:rsid w:val="777209A8"/>
    <w:rsid w:val="77734070"/>
    <w:rsid w:val="778832B2"/>
    <w:rsid w:val="779001A9"/>
    <w:rsid w:val="779004E1"/>
    <w:rsid w:val="77906E24"/>
    <w:rsid w:val="77925931"/>
    <w:rsid w:val="77935205"/>
    <w:rsid w:val="77942C96"/>
    <w:rsid w:val="77950673"/>
    <w:rsid w:val="779A47E6"/>
    <w:rsid w:val="779F6E1B"/>
    <w:rsid w:val="77A477F5"/>
    <w:rsid w:val="77A6364A"/>
    <w:rsid w:val="77A72407"/>
    <w:rsid w:val="77A73445"/>
    <w:rsid w:val="77A738AB"/>
    <w:rsid w:val="77A82527"/>
    <w:rsid w:val="77AD0A6A"/>
    <w:rsid w:val="77B03B50"/>
    <w:rsid w:val="77B1707B"/>
    <w:rsid w:val="77B454DE"/>
    <w:rsid w:val="77BD585A"/>
    <w:rsid w:val="77BF424C"/>
    <w:rsid w:val="77BF4B39"/>
    <w:rsid w:val="77C517E3"/>
    <w:rsid w:val="77CB0F32"/>
    <w:rsid w:val="77CC5559"/>
    <w:rsid w:val="77CE2EA7"/>
    <w:rsid w:val="77D45658"/>
    <w:rsid w:val="77D72A16"/>
    <w:rsid w:val="77DD1DFB"/>
    <w:rsid w:val="77DE0515"/>
    <w:rsid w:val="77E031AA"/>
    <w:rsid w:val="77E26095"/>
    <w:rsid w:val="77E8017E"/>
    <w:rsid w:val="77E862CD"/>
    <w:rsid w:val="77E87D58"/>
    <w:rsid w:val="77E97449"/>
    <w:rsid w:val="77EC01B3"/>
    <w:rsid w:val="77ED30CD"/>
    <w:rsid w:val="77F14919"/>
    <w:rsid w:val="77F87A50"/>
    <w:rsid w:val="77FB41C9"/>
    <w:rsid w:val="77FE267E"/>
    <w:rsid w:val="78003F82"/>
    <w:rsid w:val="78006E67"/>
    <w:rsid w:val="7808150B"/>
    <w:rsid w:val="780D6005"/>
    <w:rsid w:val="780E4CA2"/>
    <w:rsid w:val="7810242C"/>
    <w:rsid w:val="78120536"/>
    <w:rsid w:val="781D165B"/>
    <w:rsid w:val="781D7A64"/>
    <w:rsid w:val="781E0CC6"/>
    <w:rsid w:val="781F7F97"/>
    <w:rsid w:val="78262341"/>
    <w:rsid w:val="78287CC6"/>
    <w:rsid w:val="782D71DD"/>
    <w:rsid w:val="782E2696"/>
    <w:rsid w:val="783111B7"/>
    <w:rsid w:val="78324A1E"/>
    <w:rsid w:val="78355234"/>
    <w:rsid w:val="78372827"/>
    <w:rsid w:val="7839160A"/>
    <w:rsid w:val="784B674F"/>
    <w:rsid w:val="7851484D"/>
    <w:rsid w:val="7858084F"/>
    <w:rsid w:val="78583490"/>
    <w:rsid w:val="785B22C0"/>
    <w:rsid w:val="785E7A14"/>
    <w:rsid w:val="785F51D3"/>
    <w:rsid w:val="7860333A"/>
    <w:rsid w:val="78680440"/>
    <w:rsid w:val="786961BA"/>
    <w:rsid w:val="78746401"/>
    <w:rsid w:val="78747450"/>
    <w:rsid w:val="787D150D"/>
    <w:rsid w:val="78874D6A"/>
    <w:rsid w:val="78875BE6"/>
    <w:rsid w:val="788D2783"/>
    <w:rsid w:val="78995EFC"/>
    <w:rsid w:val="789C1508"/>
    <w:rsid w:val="789F2118"/>
    <w:rsid w:val="78A00AA9"/>
    <w:rsid w:val="78A53A59"/>
    <w:rsid w:val="78AC2786"/>
    <w:rsid w:val="78AC2D7B"/>
    <w:rsid w:val="78AF121B"/>
    <w:rsid w:val="78B27E30"/>
    <w:rsid w:val="78B574CE"/>
    <w:rsid w:val="78B864E3"/>
    <w:rsid w:val="78B922BD"/>
    <w:rsid w:val="78BA015C"/>
    <w:rsid w:val="78BB5CB4"/>
    <w:rsid w:val="78BC0AF2"/>
    <w:rsid w:val="78C15583"/>
    <w:rsid w:val="78C231B3"/>
    <w:rsid w:val="78C733B9"/>
    <w:rsid w:val="78C769A8"/>
    <w:rsid w:val="78C87934"/>
    <w:rsid w:val="78C87DFA"/>
    <w:rsid w:val="78CA1E86"/>
    <w:rsid w:val="78CE58CB"/>
    <w:rsid w:val="78D10AAC"/>
    <w:rsid w:val="78D61857"/>
    <w:rsid w:val="78D71749"/>
    <w:rsid w:val="78DA6689"/>
    <w:rsid w:val="78E17139"/>
    <w:rsid w:val="78E22076"/>
    <w:rsid w:val="78E61FA6"/>
    <w:rsid w:val="78EE6B97"/>
    <w:rsid w:val="78F11482"/>
    <w:rsid w:val="78F17E14"/>
    <w:rsid w:val="78F85C68"/>
    <w:rsid w:val="78F91C78"/>
    <w:rsid w:val="78FA52B9"/>
    <w:rsid w:val="78FD4950"/>
    <w:rsid w:val="790074AF"/>
    <w:rsid w:val="79052274"/>
    <w:rsid w:val="79073671"/>
    <w:rsid w:val="790A2AE6"/>
    <w:rsid w:val="790B3E5A"/>
    <w:rsid w:val="790F6BB5"/>
    <w:rsid w:val="7910069E"/>
    <w:rsid w:val="791A1006"/>
    <w:rsid w:val="791A3E30"/>
    <w:rsid w:val="792021EA"/>
    <w:rsid w:val="79206FB5"/>
    <w:rsid w:val="79212029"/>
    <w:rsid w:val="79235954"/>
    <w:rsid w:val="792570E7"/>
    <w:rsid w:val="79280A93"/>
    <w:rsid w:val="79320844"/>
    <w:rsid w:val="793633D6"/>
    <w:rsid w:val="793B41D1"/>
    <w:rsid w:val="793D2DD2"/>
    <w:rsid w:val="79440EAD"/>
    <w:rsid w:val="794A70CC"/>
    <w:rsid w:val="79504F53"/>
    <w:rsid w:val="79507852"/>
    <w:rsid w:val="79507E21"/>
    <w:rsid w:val="795413AF"/>
    <w:rsid w:val="79562D13"/>
    <w:rsid w:val="79613FD1"/>
    <w:rsid w:val="7962019C"/>
    <w:rsid w:val="796C0D7E"/>
    <w:rsid w:val="79724879"/>
    <w:rsid w:val="7972646E"/>
    <w:rsid w:val="797703F3"/>
    <w:rsid w:val="79805F00"/>
    <w:rsid w:val="79860E04"/>
    <w:rsid w:val="7988332F"/>
    <w:rsid w:val="798F7243"/>
    <w:rsid w:val="79973843"/>
    <w:rsid w:val="799E2799"/>
    <w:rsid w:val="79A33BBA"/>
    <w:rsid w:val="79A61220"/>
    <w:rsid w:val="79B20CB8"/>
    <w:rsid w:val="79B3393D"/>
    <w:rsid w:val="79BA69D4"/>
    <w:rsid w:val="79BB2CA9"/>
    <w:rsid w:val="79BD6142"/>
    <w:rsid w:val="79BF0DAF"/>
    <w:rsid w:val="79C11947"/>
    <w:rsid w:val="79C74F18"/>
    <w:rsid w:val="79C97604"/>
    <w:rsid w:val="79CE462E"/>
    <w:rsid w:val="79D1234D"/>
    <w:rsid w:val="79D867AF"/>
    <w:rsid w:val="79E13F3E"/>
    <w:rsid w:val="79E30E8C"/>
    <w:rsid w:val="79E80649"/>
    <w:rsid w:val="79ED371A"/>
    <w:rsid w:val="79FA2DCB"/>
    <w:rsid w:val="7A0E571B"/>
    <w:rsid w:val="7A113E35"/>
    <w:rsid w:val="7A117AED"/>
    <w:rsid w:val="7A121919"/>
    <w:rsid w:val="7A126383"/>
    <w:rsid w:val="7A1514C9"/>
    <w:rsid w:val="7A1976CE"/>
    <w:rsid w:val="7A1D6DCF"/>
    <w:rsid w:val="7A232B99"/>
    <w:rsid w:val="7A24307E"/>
    <w:rsid w:val="7A2C2826"/>
    <w:rsid w:val="7A2E7D08"/>
    <w:rsid w:val="7A371BA5"/>
    <w:rsid w:val="7A3C753C"/>
    <w:rsid w:val="7A3D7E72"/>
    <w:rsid w:val="7A4822D7"/>
    <w:rsid w:val="7A5433B2"/>
    <w:rsid w:val="7A596FBE"/>
    <w:rsid w:val="7A5F7E01"/>
    <w:rsid w:val="7A60222B"/>
    <w:rsid w:val="7A6412E3"/>
    <w:rsid w:val="7A685F70"/>
    <w:rsid w:val="7A6A11D9"/>
    <w:rsid w:val="7A6D4434"/>
    <w:rsid w:val="7A6F3F13"/>
    <w:rsid w:val="7A750BD8"/>
    <w:rsid w:val="7A777060"/>
    <w:rsid w:val="7A780E3C"/>
    <w:rsid w:val="7A79215A"/>
    <w:rsid w:val="7A797F94"/>
    <w:rsid w:val="7A7A3C78"/>
    <w:rsid w:val="7A7F7C39"/>
    <w:rsid w:val="7A861229"/>
    <w:rsid w:val="7A8C44D3"/>
    <w:rsid w:val="7A8F67EF"/>
    <w:rsid w:val="7A91596F"/>
    <w:rsid w:val="7AA07DDB"/>
    <w:rsid w:val="7AA11299"/>
    <w:rsid w:val="7AA20EE0"/>
    <w:rsid w:val="7AA66192"/>
    <w:rsid w:val="7AA92326"/>
    <w:rsid w:val="7AB12572"/>
    <w:rsid w:val="7AB16063"/>
    <w:rsid w:val="7ABA0C78"/>
    <w:rsid w:val="7AC479CF"/>
    <w:rsid w:val="7AC76D93"/>
    <w:rsid w:val="7ACA5D7E"/>
    <w:rsid w:val="7ACF0CF3"/>
    <w:rsid w:val="7ACF3AFC"/>
    <w:rsid w:val="7ADD109C"/>
    <w:rsid w:val="7ADE7FBC"/>
    <w:rsid w:val="7AF26748"/>
    <w:rsid w:val="7AFC6058"/>
    <w:rsid w:val="7AFE0331"/>
    <w:rsid w:val="7B055C1E"/>
    <w:rsid w:val="7B10480D"/>
    <w:rsid w:val="7B133A12"/>
    <w:rsid w:val="7B184170"/>
    <w:rsid w:val="7B2A2E85"/>
    <w:rsid w:val="7B2C31E8"/>
    <w:rsid w:val="7B2D4237"/>
    <w:rsid w:val="7B2E56D4"/>
    <w:rsid w:val="7B38059E"/>
    <w:rsid w:val="7B383E27"/>
    <w:rsid w:val="7B445469"/>
    <w:rsid w:val="7B474C85"/>
    <w:rsid w:val="7B4B4CEF"/>
    <w:rsid w:val="7B4C0C41"/>
    <w:rsid w:val="7B4D7F67"/>
    <w:rsid w:val="7B4E0760"/>
    <w:rsid w:val="7B5048DD"/>
    <w:rsid w:val="7B5B445D"/>
    <w:rsid w:val="7B642B1F"/>
    <w:rsid w:val="7B665A9D"/>
    <w:rsid w:val="7B7A4F03"/>
    <w:rsid w:val="7B8467F2"/>
    <w:rsid w:val="7B87474E"/>
    <w:rsid w:val="7B8D17E1"/>
    <w:rsid w:val="7B9045EF"/>
    <w:rsid w:val="7B912B0B"/>
    <w:rsid w:val="7B995294"/>
    <w:rsid w:val="7B9A05A5"/>
    <w:rsid w:val="7B9E33D6"/>
    <w:rsid w:val="7BAE34BE"/>
    <w:rsid w:val="7BAE43DB"/>
    <w:rsid w:val="7BB16230"/>
    <w:rsid w:val="7BB21CB6"/>
    <w:rsid w:val="7BB66976"/>
    <w:rsid w:val="7BB9282F"/>
    <w:rsid w:val="7BBA38DA"/>
    <w:rsid w:val="7BC534B5"/>
    <w:rsid w:val="7BC82526"/>
    <w:rsid w:val="7BC9792D"/>
    <w:rsid w:val="7BCC2E57"/>
    <w:rsid w:val="7BD458FF"/>
    <w:rsid w:val="7BD872A4"/>
    <w:rsid w:val="7BDD6891"/>
    <w:rsid w:val="7BDF7F5A"/>
    <w:rsid w:val="7BE17423"/>
    <w:rsid w:val="7BE40416"/>
    <w:rsid w:val="7BE40DE4"/>
    <w:rsid w:val="7BF47271"/>
    <w:rsid w:val="7BFA5EE7"/>
    <w:rsid w:val="7BFC0A60"/>
    <w:rsid w:val="7BFF07F5"/>
    <w:rsid w:val="7BFF6159"/>
    <w:rsid w:val="7C04032E"/>
    <w:rsid w:val="7C046812"/>
    <w:rsid w:val="7C0C417E"/>
    <w:rsid w:val="7C0D107D"/>
    <w:rsid w:val="7C0E1C6B"/>
    <w:rsid w:val="7C103C8F"/>
    <w:rsid w:val="7C122B9D"/>
    <w:rsid w:val="7C137C33"/>
    <w:rsid w:val="7C151FF6"/>
    <w:rsid w:val="7C2409D4"/>
    <w:rsid w:val="7C247DD5"/>
    <w:rsid w:val="7C2654C8"/>
    <w:rsid w:val="7C2F7ACB"/>
    <w:rsid w:val="7C313EBD"/>
    <w:rsid w:val="7C331792"/>
    <w:rsid w:val="7C371AA0"/>
    <w:rsid w:val="7C434F54"/>
    <w:rsid w:val="7C48077E"/>
    <w:rsid w:val="7C484225"/>
    <w:rsid w:val="7C486F1F"/>
    <w:rsid w:val="7C4F41B8"/>
    <w:rsid w:val="7C507B69"/>
    <w:rsid w:val="7C52036A"/>
    <w:rsid w:val="7C5A0344"/>
    <w:rsid w:val="7C5A373B"/>
    <w:rsid w:val="7C6453C2"/>
    <w:rsid w:val="7C675A1D"/>
    <w:rsid w:val="7C6906EF"/>
    <w:rsid w:val="7C6A15B3"/>
    <w:rsid w:val="7C76619B"/>
    <w:rsid w:val="7C7A110B"/>
    <w:rsid w:val="7C7B618A"/>
    <w:rsid w:val="7C8A4E29"/>
    <w:rsid w:val="7C9158CA"/>
    <w:rsid w:val="7C945592"/>
    <w:rsid w:val="7C972D0E"/>
    <w:rsid w:val="7C993E71"/>
    <w:rsid w:val="7C9E2682"/>
    <w:rsid w:val="7CAC07D5"/>
    <w:rsid w:val="7CAC0903"/>
    <w:rsid w:val="7CAF4DE1"/>
    <w:rsid w:val="7CB2343C"/>
    <w:rsid w:val="7CB35B6A"/>
    <w:rsid w:val="7CB85B52"/>
    <w:rsid w:val="7CBB76D8"/>
    <w:rsid w:val="7CBD0E7E"/>
    <w:rsid w:val="7CCC03A8"/>
    <w:rsid w:val="7CCD740C"/>
    <w:rsid w:val="7CD46054"/>
    <w:rsid w:val="7CD53D93"/>
    <w:rsid w:val="7CD64FA3"/>
    <w:rsid w:val="7CD92DDE"/>
    <w:rsid w:val="7CDB38D7"/>
    <w:rsid w:val="7CE01B89"/>
    <w:rsid w:val="7CE060DA"/>
    <w:rsid w:val="7CE1346B"/>
    <w:rsid w:val="7CE2014E"/>
    <w:rsid w:val="7CE23B85"/>
    <w:rsid w:val="7CE8346C"/>
    <w:rsid w:val="7CEC5AE4"/>
    <w:rsid w:val="7CF037FD"/>
    <w:rsid w:val="7CF159D9"/>
    <w:rsid w:val="7CFD7CDB"/>
    <w:rsid w:val="7D08168E"/>
    <w:rsid w:val="7D0857F6"/>
    <w:rsid w:val="7D0A5F6A"/>
    <w:rsid w:val="7D101CB5"/>
    <w:rsid w:val="7D113A55"/>
    <w:rsid w:val="7D124895"/>
    <w:rsid w:val="7D1248C6"/>
    <w:rsid w:val="7D1B2772"/>
    <w:rsid w:val="7D1C7A4B"/>
    <w:rsid w:val="7D1D6045"/>
    <w:rsid w:val="7D20450B"/>
    <w:rsid w:val="7D2708CA"/>
    <w:rsid w:val="7D292CA2"/>
    <w:rsid w:val="7D2D2E90"/>
    <w:rsid w:val="7D3431DD"/>
    <w:rsid w:val="7D3D1664"/>
    <w:rsid w:val="7D40496E"/>
    <w:rsid w:val="7D48207C"/>
    <w:rsid w:val="7D50405D"/>
    <w:rsid w:val="7D511D51"/>
    <w:rsid w:val="7D532D46"/>
    <w:rsid w:val="7D5B4A17"/>
    <w:rsid w:val="7D5D07AB"/>
    <w:rsid w:val="7D6417AF"/>
    <w:rsid w:val="7D6B687F"/>
    <w:rsid w:val="7D6D587D"/>
    <w:rsid w:val="7D723DBE"/>
    <w:rsid w:val="7D730B4C"/>
    <w:rsid w:val="7D7753FC"/>
    <w:rsid w:val="7D7940F9"/>
    <w:rsid w:val="7D7F2797"/>
    <w:rsid w:val="7D7F2D5A"/>
    <w:rsid w:val="7D826F3A"/>
    <w:rsid w:val="7D8442CA"/>
    <w:rsid w:val="7D8E7678"/>
    <w:rsid w:val="7D906646"/>
    <w:rsid w:val="7D91738E"/>
    <w:rsid w:val="7DA12416"/>
    <w:rsid w:val="7DA77C5D"/>
    <w:rsid w:val="7DA910D7"/>
    <w:rsid w:val="7DB16675"/>
    <w:rsid w:val="7DB20F1E"/>
    <w:rsid w:val="7DBA3CA6"/>
    <w:rsid w:val="7DBB6D5E"/>
    <w:rsid w:val="7DC23BEA"/>
    <w:rsid w:val="7DC40D4A"/>
    <w:rsid w:val="7DDA593C"/>
    <w:rsid w:val="7DDF46E6"/>
    <w:rsid w:val="7DE0456D"/>
    <w:rsid w:val="7DE10FB0"/>
    <w:rsid w:val="7DE13219"/>
    <w:rsid w:val="7DE66C5C"/>
    <w:rsid w:val="7DEF658E"/>
    <w:rsid w:val="7DF85B02"/>
    <w:rsid w:val="7DF86D11"/>
    <w:rsid w:val="7DFD4C6F"/>
    <w:rsid w:val="7DFF6883"/>
    <w:rsid w:val="7E001EE1"/>
    <w:rsid w:val="7E04594E"/>
    <w:rsid w:val="7E0473AC"/>
    <w:rsid w:val="7E0650D5"/>
    <w:rsid w:val="7E0659D9"/>
    <w:rsid w:val="7E080AE1"/>
    <w:rsid w:val="7E0B01EB"/>
    <w:rsid w:val="7E1147BD"/>
    <w:rsid w:val="7E127AE1"/>
    <w:rsid w:val="7E1329D5"/>
    <w:rsid w:val="7E1A45D6"/>
    <w:rsid w:val="7E1E2A32"/>
    <w:rsid w:val="7E2117BD"/>
    <w:rsid w:val="7E2E4B93"/>
    <w:rsid w:val="7E2F5D8F"/>
    <w:rsid w:val="7E300291"/>
    <w:rsid w:val="7E365875"/>
    <w:rsid w:val="7E3F1C43"/>
    <w:rsid w:val="7E3F2ED6"/>
    <w:rsid w:val="7E4651FF"/>
    <w:rsid w:val="7E48330B"/>
    <w:rsid w:val="7E4A545F"/>
    <w:rsid w:val="7E4E2645"/>
    <w:rsid w:val="7E513924"/>
    <w:rsid w:val="7E5612CB"/>
    <w:rsid w:val="7E56399B"/>
    <w:rsid w:val="7E5E5C24"/>
    <w:rsid w:val="7E622852"/>
    <w:rsid w:val="7E687E82"/>
    <w:rsid w:val="7E6C785F"/>
    <w:rsid w:val="7E6D404B"/>
    <w:rsid w:val="7E6F688A"/>
    <w:rsid w:val="7E803C99"/>
    <w:rsid w:val="7E8413EE"/>
    <w:rsid w:val="7E850D7B"/>
    <w:rsid w:val="7E864400"/>
    <w:rsid w:val="7E8D1859"/>
    <w:rsid w:val="7E8D73C7"/>
    <w:rsid w:val="7E9419D3"/>
    <w:rsid w:val="7E9D21AC"/>
    <w:rsid w:val="7EA965A2"/>
    <w:rsid w:val="7EB1784D"/>
    <w:rsid w:val="7EB45EFD"/>
    <w:rsid w:val="7EB74FE8"/>
    <w:rsid w:val="7EBA57A5"/>
    <w:rsid w:val="7EC004E3"/>
    <w:rsid w:val="7EC93702"/>
    <w:rsid w:val="7ECC7971"/>
    <w:rsid w:val="7ED032B9"/>
    <w:rsid w:val="7ED279DB"/>
    <w:rsid w:val="7EDE1CAB"/>
    <w:rsid w:val="7EDF39AB"/>
    <w:rsid w:val="7EE26E6E"/>
    <w:rsid w:val="7EE414E6"/>
    <w:rsid w:val="7EE56BD4"/>
    <w:rsid w:val="7EE670DC"/>
    <w:rsid w:val="7EED6D9D"/>
    <w:rsid w:val="7EEF54C2"/>
    <w:rsid w:val="7EF17EEE"/>
    <w:rsid w:val="7EF43DE6"/>
    <w:rsid w:val="7EF652CA"/>
    <w:rsid w:val="7EF906FC"/>
    <w:rsid w:val="7EFE32A6"/>
    <w:rsid w:val="7F0356FD"/>
    <w:rsid w:val="7F0F0B20"/>
    <w:rsid w:val="7F114E48"/>
    <w:rsid w:val="7F14562A"/>
    <w:rsid w:val="7F1B3017"/>
    <w:rsid w:val="7F1B3638"/>
    <w:rsid w:val="7F237600"/>
    <w:rsid w:val="7F2C663B"/>
    <w:rsid w:val="7F3379FA"/>
    <w:rsid w:val="7F34467C"/>
    <w:rsid w:val="7F360588"/>
    <w:rsid w:val="7F3D3B02"/>
    <w:rsid w:val="7F40215A"/>
    <w:rsid w:val="7F402C51"/>
    <w:rsid w:val="7F4949F2"/>
    <w:rsid w:val="7F4A23F0"/>
    <w:rsid w:val="7F4B03F8"/>
    <w:rsid w:val="7F524FCB"/>
    <w:rsid w:val="7F540BA0"/>
    <w:rsid w:val="7F556E2A"/>
    <w:rsid w:val="7F571AC4"/>
    <w:rsid w:val="7F5E2FB6"/>
    <w:rsid w:val="7F5F359B"/>
    <w:rsid w:val="7F8518D8"/>
    <w:rsid w:val="7F85752B"/>
    <w:rsid w:val="7F871AF4"/>
    <w:rsid w:val="7F9A3F19"/>
    <w:rsid w:val="7F9D30C5"/>
    <w:rsid w:val="7F9F4D28"/>
    <w:rsid w:val="7FA36202"/>
    <w:rsid w:val="7FAB5AF8"/>
    <w:rsid w:val="7FAE3EEC"/>
    <w:rsid w:val="7FB000B0"/>
    <w:rsid w:val="7FB2376C"/>
    <w:rsid w:val="7FC00B62"/>
    <w:rsid w:val="7FCD4F0C"/>
    <w:rsid w:val="7FCD69C4"/>
    <w:rsid w:val="7FD166E7"/>
    <w:rsid w:val="7FD81014"/>
    <w:rsid w:val="7FD94BE3"/>
    <w:rsid w:val="7FDB4847"/>
    <w:rsid w:val="7FE46E9E"/>
    <w:rsid w:val="7FEF35E7"/>
    <w:rsid w:val="7FF22886"/>
    <w:rsid w:val="7FF77040"/>
    <w:rsid w:val="7FF877D2"/>
    <w:rsid w:val="7FF97424"/>
    <w:rsid w:val="7FFD507D"/>
    <w:rsid w:val="7FFF4CBE"/>
    <w:rsid w:val="DFF3B8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name="envelope address"/>
    <w:lsdException w:qFormat="1" w:unhideWhenUsed="0" w:uiPriority="0" w:semiHidden="0" w:name="envelope return"/>
    <w:lsdException w:qFormat="1"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name="table of authorities"/>
    <w:lsdException w:uiPriority="0" w:name="macro"/>
    <w:lsdException w:qFormat="1" w:unhideWhenUsed="0" w:uiPriority="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99"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99" w:semiHidden="0" w:name="Plain Text"/>
    <w:lsdException w:qFormat="1" w:unhideWhenUsed="0" w:uiPriority="0" w:name="E-mail Signature"/>
    <w:lsdException w:qFormat="1" w:unhideWhenUsed="0" w:uiPriority="0" w:semiHidden="0" w:name="Normal (Web)"/>
    <w:lsdException w:qFormat="1" w:unhideWhenUsed="0" w:uiPriority="0" w:name="HTML Acronym"/>
    <w:lsdException w:qFormat="1" w:unhideWhenUsed="0" w:uiPriority="0" w:name="HTML Address"/>
    <w:lsdException w:qFormat="1" w:unhideWhenUsed="0" w:uiPriority="0" w:name="HTML Cite"/>
    <w:lsdException w:qFormat="1" w:unhideWhenUsed="0" w:uiPriority="0" w:semiHidden="0" w:name="HTML Code"/>
    <w:lsdException w:qFormat="1" w:unhideWhenUsed="0" w:uiPriority="0" w:semiHidden="0" w:name="HTML Definition"/>
    <w:lsdException w:qFormat="1" w:unhideWhenUsed="0" w:uiPriority="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name="HTML Variable"/>
    <w:lsdException w:qFormat="1" w:uiPriority="99" w:name="Normal Table"/>
    <w:lsdException w:qFormat="1" w:unhideWhenUsed="0" w:uiPriority="99" w:semiHidden="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99" w:semiHidden="0" w:name="Balloon Text"/>
    <w:lsdException w:qFormat="1" w:unhideWhenUsed="0" w:uiPriority="39" w:semiHidden="0" w:name="Table Grid"/>
    <w:lsdException w:qFormat="1" w:unhideWhenUsed="0" w:uiPriority="0" w:name="Table Theme"/>
    <w:lsdException w:qFormat="1" w:unhideWhenUsed="0" w:uiPriority="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tabs>
        <w:tab w:val="left" w:pos="480"/>
      </w:tabs>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95"/>
    <w:qFormat/>
    <w:uiPriority w:val="9"/>
    <w:pPr>
      <w:keepNext/>
      <w:keepLines/>
      <w:spacing w:before="340" w:after="330"/>
      <w:ind w:firstLine="0" w:firstLineChars="0"/>
      <w:outlineLvl w:val="0"/>
    </w:pPr>
    <w:rPr>
      <w:rFonts w:ascii="仿宋_GB2312" w:eastAsia="仿宋_GB2312"/>
      <w:b/>
      <w:bCs/>
      <w:kern w:val="44"/>
      <w:sz w:val="36"/>
      <w:szCs w:val="44"/>
      <w:lang w:val="zh-CN"/>
    </w:rPr>
  </w:style>
  <w:style w:type="paragraph" w:styleId="4">
    <w:name w:val="heading 2"/>
    <w:basedOn w:val="1"/>
    <w:next w:val="1"/>
    <w:link w:val="1866"/>
    <w:qFormat/>
    <w:uiPriority w:val="9"/>
    <w:pPr>
      <w:keepNext/>
      <w:keepLines/>
      <w:tabs>
        <w:tab w:val="left" w:pos="630"/>
      </w:tabs>
      <w:spacing w:before="260" w:after="120"/>
      <w:ind w:firstLine="0" w:firstLineChars="0"/>
      <w:outlineLvl w:val="1"/>
    </w:pPr>
    <w:rPr>
      <w:b/>
      <w:bCs/>
      <w:sz w:val="32"/>
      <w:szCs w:val="32"/>
      <w:lang w:val="zh-CN"/>
    </w:rPr>
  </w:style>
  <w:style w:type="paragraph" w:styleId="5">
    <w:name w:val="heading 3"/>
    <w:basedOn w:val="1"/>
    <w:next w:val="1"/>
    <w:link w:val="481"/>
    <w:qFormat/>
    <w:uiPriority w:val="9"/>
    <w:pPr>
      <w:keepNext/>
      <w:keepLines/>
      <w:tabs>
        <w:tab w:val="left" w:pos="840"/>
      </w:tabs>
      <w:spacing w:before="120" w:after="260" w:line="416" w:lineRule="auto"/>
      <w:ind w:firstLine="0" w:firstLineChars="0"/>
      <w:outlineLvl w:val="2"/>
    </w:pPr>
    <w:rPr>
      <w:rFonts w:ascii="仿宋_GB2312" w:eastAsia="仿宋_GB2312"/>
      <w:b/>
      <w:bCs/>
      <w:sz w:val="30"/>
      <w:szCs w:val="32"/>
      <w:lang w:val="zh-CN"/>
    </w:rPr>
  </w:style>
  <w:style w:type="paragraph" w:styleId="6">
    <w:name w:val="heading 4"/>
    <w:basedOn w:val="1"/>
    <w:next w:val="1"/>
    <w:link w:val="157"/>
    <w:qFormat/>
    <w:uiPriority w:val="9"/>
    <w:pPr>
      <w:keepNext/>
      <w:keepLines/>
      <w:numPr>
        <w:ilvl w:val="3"/>
        <w:numId w:val="1"/>
      </w:numPr>
      <w:spacing w:before="240" w:after="240"/>
      <w:outlineLvl w:val="3"/>
    </w:pPr>
    <w:rPr>
      <w:rFonts w:ascii="仿宋_GB2312" w:hAnsi="宋体" w:eastAsia="仿宋_GB2312"/>
      <w:b/>
      <w:bCs/>
      <w:sz w:val="28"/>
      <w:szCs w:val="28"/>
      <w:lang w:val="zh-CN"/>
    </w:rPr>
  </w:style>
  <w:style w:type="paragraph" w:styleId="7">
    <w:name w:val="heading 5"/>
    <w:basedOn w:val="1"/>
    <w:next w:val="1"/>
    <w:link w:val="482"/>
    <w:qFormat/>
    <w:uiPriority w:val="0"/>
    <w:pPr>
      <w:keepNext/>
      <w:keepLines/>
      <w:numPr>
        <w:ilvl w:val="4"/>
        <w:numId w:val="1"/>
      </w:numPr>
      <w:spacing w:before="60" w:after="60"/>
      <w:ind w:firstLine="0" w:firstLineChars="0"/>
      <w:outlineLvl w:val="4"/>
    </w:pPr>
    <w:rPr>
      <w:rFonts w:ascii="宋体" w:hAnsi="Impact" w:eastAsia="楷体_GB2312"/>
      <w:b/>
      <w:szCs w:val="20"/>
      <w:lang w:val="zh-CN"/>
    </w:rPr>
  </w:style>
  <w:style w:type="paragraph" w:styleId="8">
    <w:name w:val="heading 6"/>
    <w:basedOn w:val="1"/>
    <w:next w:val="1"/>
    <w:link w:val="483"/>
    <w:qFormat/>
    <w:uiPriority w:val="0"/>
    <w:pPr>
      <w:keepNext/>
      <w:keepLines/>
      <w:numPr>
        <w:ilvl w:val="5"/>
        <w:numId w:val="1"/>
      </w:numPr>
      <w:autoSpaceDE w:val="0"/>
      <w:autoSpaceDN w:val="0"/>
      <w:adjustRightInd w:val="0"/>
      <w:spacing w:before="120" w:after="64" w:line="319" w:lineRule="auto"/>
      <w:textAlignment w:val="baseline"/>
      <w:outlineLvl w:val="5"/>
    </w:pPr>
    <w:rPr>
      <w:rFonts w:ascii="Arial" w:hAnsi="Arial" w:eastAsia="楷体_GB2312"/>
      <w:b/>
      <w:kern w:val="24"/>
      <w:szCs w:val="20"/>
      <w:lang w:val="zh-CN"/>
    </w:rPr>
  </w:style>
  <w:style w:type="paragraph" w:styleId="9">
    <w:name w:val="heading 7"/>
    <w:basedOn w:val="1"/>
    <w:next w:val="1"/>
    <w:link w:val="484"/>
    <w:qFormat/>
    <w:uiPriority w:val="0"/>
    <w:pPr>
      <w:keepNext/>
      <w:keepLines/>
      <w:numPr>
        <w:ilvl w:val="6"/>
        <w:numId w:val="1"/>
      </w:numPr>
      <w:autoSpaceDE w:val="0"/>
      <w:autoSpaceDN w:val="0"/>
      <w:adjustRightInd w:val="0"/>
      <w:spacing w:before="240" w:after="64" w:line="320" w:lineRule="auto"/>
      <w:textAlignment w:val="baseline"/>
      <w:outlineLvl w:val="6"/>
    </w:pPr>
    <w:rPr>
      <w:rFonts w:ascii="宋体" w:hAnsi="Impact" w:eastAsia="楷体_GB2312"/>
      <w:b/>
      <w:kern w:val="24"/>
      <w:szCs w:val="20"/>
      <w:lang w:val="zh-CN"/>
    </w:rPr>
  </w:style>
  <w:style w:type="paragraph" w:styleId="10">
    <w:name w:val="heading 8"/>
    <w:basedOn w:val="1"/>
    <w:next w:val="1"/>
    <w:link w:val="485"/>
    <w:qFormat/>
    <w:uiPriority w:val="0"/>
    <w:pPr>
      <w:keepNext/>
      <w:keepLines/>
      <w:numPr>
        <w:ilvl w:val="7"/>
        <w:numId w:val="1"/>
      </w:numPr>
      <w:autoSpaceDE w:val="0"/>
      <w:autoSpaceDN w:val="0"/>
      <w:adjustRightInd w:val="0"/>
      <w:spacing w:before="240" w:after="64" w:line="320" w:lineRule="auto"/>
      <w:textAlignment w:val="baseline"/>
      <w:outlineLvl w:val="7"/>
    </w:pPr>
    <w:rPr>
      <w:rFonts w:ascii="Arial" w:hAnsi="Arial" w:eastAsia="黑体"/>
      <w:kern w:val="24"/>
      <w:szCs w:val="20"/>
      <w:lang w:val="zh-CN"/>
    </w:rPr>
  </w:style>
  <w:style w:type="paragraph" w:styleId="11">
    <w:name w:val="heading 9"/>
    <w:basedOn w:val="1"/>
    <w:next w:val="1"/>
    <w:link w:val="486"/>
    <w:qFormat/>
    <w:uiPriority w:val="0"/>
    <w:pPr>
      <w:keepNext/>
      <w:keepLines/>
      <w:numPr>
        <w:ilvl w:val="8"/>
        <w:numId w:val="1"/>
      </w:numPr>
      <w:autoSpaceDE w:val="0"/>
      <w:autoSpaceDN w:val="0"/>
      <w:adjustRightInd w:val="0"/>
      <w:spacing w:before="240" w:after="64" w:line="320" w:lineRule="auto"/>
      <w:textAlignment w:val="baseline"/>
      <w:outlineLvl w:val="8"/>
    </w:pPr>
    <w:rPr>
      <w:rFonts w:ascii="Arial" w:hAnsi="Arial" w:eastAsia="黑体"/>
      <w:kern w:val="24"/>
      <w:sz w:val="28"/>
      <w:szCs w:val="20"/>
      <w:lang w:val="zh-CN"/>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167"/>
    <w:qFormat/>
    <w:uiPriority w:val="0"/>
    <w:pPr>
      <w:tabs>
        <w:tab w:val="clear" w:pos="480"/>
      </w:tabs>
      <w:spacing w:line="240" w:lineRule="auto"/>
    </w:pPr>
    <w:rPr>
      <w:rFonts w:ascii="宋体" w:hAnsi="宋体"/>
      <w:sz w:val="21"/>
      <w:szCs w:val="20"/>
    </w:rPr>
  </w:style>
  <w:style w:type="paragraph" w:styleId="12">
    <w:name w:val="List 3"/>
    <w:basedOn w:val="1"/>
    <w:qFormat/>
    <w:uiPriority w:val="0"/>
    <w:pPr>
      <w:ind w:left="100" w:leftChars="400" w:hanging="200" w:hangingChars="200"/>
    </w:pPr>
  </w:style>
  <w:style w:type="paragraph" w:styleId="13">
    <w:name w:val="toc 7"/>
    <w:basedOn w:val="1"/>
    <w:next w:val="1"/>
    <w:qFormat/>
    <w:uiPriority w:val="39"/>
    <w:pPr>
      <w:tabs>
        <w:tab w:val="clear" w:pos="480"/>
      </w:tabs>
      <w:ind w:left="1440"/>
      <w:jc w:val="left"/>
    </w:pPr>
    <w:rPr>
      <w:sz w:val="18"/>
      <w:szCs w:val="18"/>
    </w:rPr>
  </w:style>
  <w:style w:type="paragraph" w:styleId="14">
    <w:name w:val="List Number 2"/>
    <w:basedOn w:val="1"/>
    <w:qFormat/>
    <w:uiPriority w:val="0"/>
    <w:pPr>
      <w:tabs>
        <w:tab w:val="left" w:pos="780"/>
      </w:tabs>
      <w:ind w:left="780" w:leftChars="200" w:hanging="360" w:hangingChars="200"/>
    </w:pPr>
  </w:style>
  <w:style w:type="paragraph" w:styleId="15">
    <w:name w:val="table of authorities"/>
    <w:basedOn w:val="1"/>
    <w:next w:val="1"/>
    <w:semiHidden/>
    <w:qFormat/>
    <w:uiPriority w:val="0"/>
    <w:pPr>
      <w:tabs>
        <w:tab w:val="clear" w:pos="480"/>
      </w:tabs>
      <w:spacing w:line="240" w:lineRule="auto"/>
      <w:ind w:left="420" w:leftChars="200"/>
    </w:pPr>
    <w:rPr>
      <w:sz w:val="21"/>
    </w:rPr>
  </w:style>
  <w:style w:type="paragraph" w:styleId="16">
    <w:name w:val="Note Heading"/>
    <w:basedOn w:val="1"/>
    <w:next w:val="1"/>
    <w:link w:val="2316"/>
    <w:qFormat/>
    <w:uiPriority w:val="0"/>
    <w:pPr>
      <w:tabs>
        <w:tab w:val="clear" w:pos="480"/>
      </w:tabs>
      <w:jc w:val="center"/>
    </w:pPr>
    <w:rPr>
      <w:rFonts w:ascii="黑体" w:hAnsi="宋体" w:eastAsia="黑体"/>
      <w:sz w:val="21"/>
      <w:szCs w:val="20"/>
    </w:rPr>
  </w:style>
  <w:style w:type="paragraph" w:styleId="17">
    <w:name w:val="List Bullet 4"/>
    <w:basedOn w:val="1"/>
    <w:qFormat/>
    <w:uiPriority w:val="0"/>
    <w:pPr>
      <w:numPr>
        <w:ilvl w:val="0"/>
        <w:numId w:val="2"/>
      </w:numPr>
    </w:pPr>
  </w:style>
  <w:style w:type="paragraph" w:styleId="18">
    <w:name w:val="index 8"/>
    <w:basedOn w:val="1"/>
    <w:next w:val="1"/>
    <w:qFormat/>
    <w:uiPriority w:val="0"/>
    <w:pPr>
      <w:tabs>
        <w:tab w:val="clear" w:pos="480"/>
      </w:tabs>
      <w:spacing w:line="240" w:lineRule="auto"/>
      <w:ind w:left="1400" w:leftChars="1400"/>
    </w:pPr>
    <w:rPr>
      <w:sz w:val="21"/>
    </w:rPr>
  </w:style>
  <w:style w:type="paragraph" w:styleId="19">
    <w:name w:val="E-mail Signature"/>
    <w:basedOn w:val="1"/>
    <w:semiHidden/>
    <w:qFormat/>
    <w:uiPriority w:val="0"/>
  </w:style>
  <w:style w:type="paragraph" w:styleId="20">
    <w:name w:val="List Number"/>
    <w:basedOn w:val="1"/>
    <w:qFormat/>
    <w:uiPriority w:val="0"/>
    <w:pPr>
      <w:numPr>
        <w:ilvl w:val="0"/>
        <w:numId w:val="3"/>
      </w:numPr>
    </w:pPr>
  </w:style>
  <w:style w:type="paragraph" w:styleId="21">
    <w:name w:val="Normal Indent"/>
    <w:basedOn w:val="1"/>
    <w:next w:val="22"/>
    <w:link w:val="162"/>
    <w:qFormat/>
    <w:uiPriority w:val="0"/>
    <w:pPr>
      <w:ind w:firstLine="420"/>
    </w:pPr>
  </w:style>
  <w:style w:type="paragraph" w:customStyle="1" w:styleId="22">
    <w:name w:val="正文首行缩进2个字 Char"/>
    <w:basedOn w:val="1"/>
    <w:qFormat/>
    <w:uiPriority w:val="0"/>
    <w:rPr>
      <w:rFonts w:eastAsia="楷体"/>
    </w:rPr>
  </w:style>
  <w:style w:type="paragraph" w:styleId="23">
    <w:name w:val="caption"/>
    <w:basedOn w:val="1"/>
    <w:next w:val="1"/>
    <w:link w:val="168"/>
    <w:qFormat/>
    <w:uiPriority w:val="0"/>
    <w:pPr>
      <w:widowControl/>
      <w:tabs>
        <w:tab w:val="clear" w:pos="480"/>
      </w:tabs>
      <w:adjustRightInd w:val="0"/>
      <w:snapToGrid w:val="0"/>
      <w:spacing w:before="152" w:after="160"/>
      <w:ind w:firstLine="480"/>
      <w:jc w:val="center"/>
    </w:pPr>
    <w:rPr>
      <w:rFonts w:ascii="Arial" w:hAnsi="Arial" w:cs="Arial"/>
      <w:color w:val="000000"/>
      <w:szCs w:val="20"/>
    </w:rPr>
  </w:style>
  <w:style w:type="paragraph" w:styleId="24">
    <w:name w:val="index 5"/>
    <w:basedOn w:val="1"/>
    <w:next w:val="1"/>
    <w:qFormat/>
    <w:uiPriority w:val="0"/>
    <w:pPr>
      <w:tabs>
        <w:tab w:val="clear" w:pos="480"/>
      </w:tabs>
      <w:spacing w:line="240" w:lineRule="auto"/>
      <w:ind w:left="800" w:leftChars="800"/>
    </w:pPr>
    <w:rPr>
      <w:sz w:val="21"/>
    </w:rPr>
  </w:style>
  <w:style w:type="paragraph" w:styleId="25">
    <w:name w:val="List Bullet"/>
    <w:basedOn w:val="1"/>
    <w:qFormat/>
    <w:uiPriority w:val="0"/>
    <w:pPr>
      <w:tabs>
        <w:tab w:val="left" w:pos="720"/>
        <w:tab w:val="clear" w:pos="480"/>
      </w:tabs>
      <w:spacing w:line="240" w:lineRule="auto"/>
      <w:ind w:left="720" w:hanging="720"/>
    </w:pPr>
    <w:rPr>
      <w:sz w:val="21"/>
      <w:szCs w:val="20"/>
    </w:rPr>
  </w:style>
  <w:style w:type="paragraph" w:styleId="26">
    <w:name w:val="envelope address"/>
    <w:basedOn w:val="1"/>
    <w:semiHidden/>
    <w:qFormat/>
    <w:uiPriority w:val="0"/>
    <w:pPr>
      <w:framePr w:w="7920" w:h="1980" w:hRule="exact" w:hSpace="180" w:wrap="around" w:vAnchor="margin" w:hAnchor="page" w:xAlign="center" w:yAlign="bottom"/>
      <w:snapToGrid w:val="0"/>
      <w:ind w:left="100" w:leftChars="1400"/>
    </w:pPr>
    <w:rPr>
      <w:rFonts w:ascii="Arial" w:hAnsi="Arial" w:cs="Arial"/>
    </w:rPr>
  </w:style>
  <w:style w:type="paragraph" w:styleId="27">
    <w:name w:val="Document Map"/>
    <w:basedOn w:val="1"/>
    <w:link w:val="487"/>
    <w:qFormat/>
    <w:uiPriority w:val="99"/>
    <w:pPr>
      <w:shd w:val="clear" w:color="auto" w:fill="000080"/>
      <w:tabs>
        <w:tab w:val="clear" w:pos="480"/>
      </w:tabs>
      <w:spacing w:line="240" w:lineRule="auto"/>
    </w:pPr>
    <w:rPr>
      <w:sz w:val="21"/>
    </w:rPr>
  </w:style>
  <w:style w:type="paragraph" w:styleId="28">
    <w:name w:val="toa heading"/>
    <w:basedOn w:val="1"/>
    <w:next w:val="1"/>
    <w:semiHidden/>
    <w:qFormat/>
    <w:uiPriority w:val="0"/>
    <w:pPr>
      <w:tabs>
        <w:tab w:val="clear" w:pos="480"/>
      </w:tabs>
      <w:spacing w:before="120" w:line="240" w:lineRule="auto"/>
    </w:pPr>
    <w:rPr>
      <w:rFonts w:ascii="Arial" w:hAnsi="Arial" w:cs="Arial"/>
    </w:rPr>
  </w:style>
  <w:style w:type="paragraph" w:styleId="29">
    <w:name w:val="annotation text"/>
    <w:basedOn w:val="1"/>
    <w:link w:val="199"/>
    <w:qFormat/>
    <w:uiPriority w:val="99"/>
    <w:pPr>
      <w:tabs>
        <w:tab w:val="clear" w:pos="480"/>
      </w:tabs>
      <w:adjustRightInd w:val="0"/>
      <w:spacing w:line="360" w:lineRule="atLeast"/>
      <w:jc w:val="left"/>
      <w:textAlignment w:val="baseline"/>
    </w:pPr>
    <w:rPr>
      <w:kern w:val="0"/>
      <w:szCs w:val="20"/>
    </w:rPr>
  </w:style>
  <w:style w:type="paragraph" w:styleId="30">
    <w:name w:val="index 6"/>
    <w:basedOn w:val="1"/>
    <w:next w:val="1"/>
    <w:qFormat/>
    <w:uiPriority w:val="0"/>
    <w:pPr>
      <w:tabs>
        <w:tab w:val="clear" w:pos="480"/>
      </w:tabs>
      <w:spacing w:line="240" w:lineRule="auto"/>
      <w:ind w:left="1000" w:leftChars="1000"/>
    </w:pPr>
    <w:rPr>
      <w:sz w:val="21"/>
    </w:rPr>
  </w:style>
  <w:style w:type="paragraph" w:styleId="31">
    <w:name w:val="Salutation"/>
    <w:basedOn w:val="1"/>
    <w:next w:val="1"/>
    <w:link w:val="921"/>
    <w:qFormat/>
    <w:uiPriority w:val="0"/>
  </w:style>
  <w:style w:type="paragraph" w:styleId="32">
    <w:name w:val="Body Text 3"/>
    <w:basedOn w:val="1"/>
    <w:link w:val="773"/>
    <w:qFormat/>
    <w:uiPriority w:val="0"/>
    <w:pPr>
      <w:tabs>
        <w:tab w:val="clear" w:pos="480"/>
      </w:tabs>
      <w:spacing w:line="240" w:lineRule="auto"/>
      <w:jc w:val="center"/>
    </w:pPr>
    <w:rPr>
      <w:rFonts w:eastAsia="仿宋_GB2312"/>
      <w:sz w:val="21"/>
      <w:szCs w:val="20"/>
    </w:rPr>
  </w:style>
  <w:style w:type="paragraph" w:styleId="33">
    <w:name w:val="Closing"/>
    <w:basedOn w:val="1"/>
    <w:semiHidden/>
    <w:qFormat/>
    <w:uiPriority w:val="0"/>
    <w:pPr>
      <w:widowControl/>
      <w:tabs>
        <w:tab w:val="clear" w:pos="480"/>
      </w:tabs>
      <w:spacing w:line="240" w:lineRule="auto"/>
      <w:ind w:left="4252"/>
      <w:jc w:val="left"/>
    </w:pPr>
    <w:rPr>
      <w:rFonts w:ascii="Arial" w:hAnsi="Arial" w:eastAsia="MS Gothic"/>
      <w:spacing w:val="-5"/>
      <w:kern w:val="0"/>
      <w:sz w:val="21"/>
      <w:szCs w:val="20"/>
      <w:lang w:eastAsia="ja-JP" w:bidi="he-IL"/>
    </w:rPr>
  </w:style>
  <w:style w:type="paragraph" w:styleId="34">
    <w:name w:val="List Bullet 3"/>
    <w:basedOn w:val="1"/>
    <w:qFormat/>
    <w:uiPriority w:val="0"/>
    <w:pPr>
      <w:numPr>
        <w:ilvl w:val="0"/>
        <w:numId w:val="4"/>
      </w:numPr>
    </w:pPr>
  </w:style>
  <w:style w:type="paragraph" w:styleId="35">
    <w:name w:val="Body Text Indent"/>
    <w:basedOn w:val="1"/>
    <w:link w:val="158"/>
    <w:qFormat/>
    <w:uiPriority w:val="0"/>
    <w:pPr>
      <w:ind w:firstLine="480"/>
    </w:pPr>
  </w:style>
  <w:style w:type="paragraph" w:styleId="36">
    <w:name w:val="List Number 3"/>
    <w:basedOn w:val="1"/>
    <w:semiHidden/>
    <w:qFormat/>
    <w:uiPriority w:val="0"/>
    <w:pPr>
      <w:numPr>
        <w:ilvl w:val="0"/>
        <w:numId w:val="5"/>
      </w:numPr>
    </w:pPr>
  </w:style>
  <w:style w:type="paragraph" w:styleId="37">
    <w:name w:val="List 2"/>
    <w:basedOn w:val="1"/>
    <w:qFormat/>
    <w:uiPriority w:val="0"/>
    <w:pPr>
      <w:tabs>
        <w:tab w:val="clear" w:pos="480"/>
      </w:tabs>
      <w:ind w:left="840" w:hanging="420"/>
    </w:pPr>
    <w:rPr>
      <w:szCs w:val="20"/>
    </w:rPr>
  </w:style>
  <w:style w:type="paragraph" w:styleId="38">
    <w:name w:val="List Continue"/>
    <w:basedOn w:val="1"/>
    <w:qFormat/>
    <w:uiPriority w:val="0"/>
    <w:pPr>
      <w:spacing w:after="120"/>
      <w:ind w:left="420" w:leftChars="200"/>
    </w:pPr>
  </w:style>
  <w:style w:type="paragraph" w:styleId="39">
    <w:name w:val="Block Text"/>
    <w:basedOn w:val="1"/>
    <w:qFormat/>
    <w:uiPriority w:val="0"/>
    <w:pPr>
      <w:widowControl/>
      <w:tabs>
        <w:tab w:val="clear" w:pos="480"/>
      </w:tabs>
      <w:adjustRightInd w:val="0"/>
      <w:snapToGrid w:val="0"/>
      <w:ind w:left="-48" w:leftChars="-20" w:right="-48" w:rightChars="-20" w:firstLine="480"/>
    </w:pPr>
    <w:rPr>
      <w:rFonts w:ascii="宋体" w:hAnsi="宋体"/>
      <w:color w:val="0000FF"/>
    </w:rPr>
  </w:style>
  <w:style w:type="paragraph" w:styleId="40">
    <w:name w:val="List Bullet 2"/>
    <w:basedOn w:val="1"/>
    <w:qFormat/>
    <w:uiPriority w:val="0"/>
    <w:pPr>
      <w:numPr>
        <w:ilvl w:val="0"/>
        <w:numId w:val="6"/>
      </w:numPr>
      <w:tabs>
        <w:tab w:val="left" w:pos="360"/>
        <w:tab w:val="clear" w:pos="780"/>
      </w:tabs>
      <w:ind w:left="0" w:leftChars="0" w:firstLine="200" w:firstLineChars="200"/>
    </w:pPr>
  </w:style>
  <w:style w:type="paragraph" w:styleId="41">
    <w:name w:val="HTML Address"/>
    <w:basedOn w:val="1"/>
    <w:semiHidden/>
    <w:qFormat/>
    <w:uiPriority w:val="0"/>
    <w:rPr>
      <w:i/>
      <w:iCs/>
    </w:rPr>
  </w:style>
  <w:style w:type="paragraph" w:styleId="42">
    <w:name w:val="index 4"/>
    <w:basedOn w:val="1"/>
    <w:next w:val="1"/>
    <w:qFormat/>
    <w:uiPriority w:val="0"/>
    <w:pPr>
      <w:tabs>
        <w:tab w:val="clear" w:pos="480"/>
      </w:tabs>
      <w:spacing w:line="240" w:lineRule="auto"/>
      <w:ind w:left="840" w:hanging="210"/>
      <w:jc w:val="left"/>
    </w:pPr>
    <w:rPr>
      <w:sz w:val="21"/>
      <w:szCs w:val="21"/>
    </w:rPr>
  </w:style>
  <w:style w:type="paragraph" w:styleId="43">
    <w:name w:val="toc 5"/>
    <w:basedOn w:val="1"/>
    <w:next w:val="1"/>
    <w:qFormat/>
    <w:uiPriority w:val="39"/>
    <w:pPr>
      <w:tabs>
        <w:tab w:val="clear" w:pos="480"/>
      </w:tabs>
      <w:ind w:left="960"/>
      <w:jc w:val="left"/>
    </w:pPr>
    <w:rPr>
      <w:sz w:val="18"/>
      <w:szCs w:val="18"/>
    </w:rPr>
  </w:style>
  <w:style w:type="paragraph" w:styleId="44">
    <w:name w:val="toc 3"/>
    <w:basedOn w:val="1"/>
    <w:next w:val="1"/>
    <w:qFormat/>
    <w:uiPriority w:val="39"/>
    <w:pPr>
      <w:tabs>
        <w:tab w:val="clear" w:pos="480"/>
      </w:tabs>
      <w:ind w:left="480"/>
      <w:jc w:val="left"/>
    </w:pPr>
    <w:rPr>
      <w:i/>
      <w:iCs/>
      <w:sz w:val="20"/>
      <w:szCs w:val="20"/>
    </w:rPr>
  </w:style>
  <w:style w:type="paragraph" w:styleId="45">
    <w:name w:val="Plain Text"/>
    <w:basedOn w:val="1"/>
    <w:link w:val="2130"/>
    <w:qFormat/>
    <w:uiPriority w:val="99"/>
    <w:pPr>
      <w:tabs>
        <w:tab w:val="clear" w:pos="480"/>
      </w:tabs>
      <w:spacing w:line="240" w:lineRule="auto"/>
    </w:pPr>
    <w:rPr>
      <w:rFonts w:ascii="宋体" w:hAnsi="Courier New"/>
      <w:sz w:val="21"/>
      <w:szCs w:val="20"/>
    </w:rPr>
  </w:style>
  <w:style w:type="paragraph" w:styleId="46">
    <w:name w:val="List Bullet 5"/>
    <w:basedOn w:val="1"/>
    <w:qFormat/>
    <w:uiPriority w:val="0"/>
    <w:pPr>
      <w:numPr>
        <w:ilvl w:val="0"/>
        <w:numId w:val="7"/>
      </w:numPr>
    </w:pPr>
  </w:style>
  <w:style w:type="paragraph" w:styleId="47">
    <w:name w:val="List Number 4"/>
    <w:basedOn w:val="1"/>
    <w:semiHidden/>
    <w:qFormat/>
    <w:uiPriority w:val="0"/>
    <w:pPr>
      <w:numPr>
        <w:ilvl w:val="0"/>
        <w:numId w:val="8"/>
      </w:numPr>
    </w:pPr>
  </w:style>
  <w:style w:type="paragraph" w:styleId="48">
    <w:name w:val="toc 8"/>
    <w:basedOn w:val="1"/>
    <w:next w:val="1"/>
    <w:qFormat/>
    <w:uiPriority w:val="39"/>
    <w:pPr>
      <w:tabs>
        <w:tab w:val="clear" w:pos="480"/>
      </w:tabs>
      <w:ind w:left="1680"/>
      <w:jc w:val="left"/>
    </w:pPr>
    <w:rPr>
      <w:sz w:val="18"/>
      <w:szCs w:val="18"/>
    </w:rPr>
  </w:style>
  <w:style w:type="paragraph" w:styleId="49">
    <w:name w:val="index 3"/>
    <w:basedOn w:val="1"/>
    <w:next w:val="1"/>
    <w:qFormat/>
    <w:uiPriority w:val="0"/>
    <w:pPr>
      <w:tabs>
        <w:tab w:val="clear" w:pos="480"/>
      </w:tabs>
      <w:spacing w:line="240" w:lineRule="auto"/>
      <w:ind w:left="400" w:leftChars="400"/>
    </w:pPr>
    <w:rPr>
      <w:sz w:val="21"/>
    </w:rPr>
  </w:style>
  <w:style w:type="paragraph" w:styleId="50">
    <w:name w:val="Date"/>
    <w:basedOn w:val="1"/>
    <w:next w:val="1"/>
    <w:link w:val="758"/>
    <w:qFormat/>
    <w:uiPriority w:val="0"/>
    <w:pPr>
      <w:tabs>
        <w:tab w:val="clear" w:pos="480"/>
      </w:tabs>
      <w:spacing w:line="240" w:lineRule="auto"/>
      <w:ind w:left="100" w:leftChars="2500"/>
    </w:pPr>
    <w:rPr>
      <w:spacing w:val="-18"/>
      <w:kern w:val="11"/>
      <w:sz w:val="36"/>
    </w:rPr>
  </w:style>
  <w:style w:type="paragraph" w:styleId="51">
    <w:name w:val="Body Text Indent 2"/>
    <w:basedOn w:val="1"/>
    <w:link w:val="497"/>
    <w:qFormat/>
    <w:uiPriority w:val="99"/>
    <w:pPr>
      <w:tabs>
        <w:tab w:val="clear" w:pos="480"/>
      </w:tabs>
      <w:spacing w:line="240" w:lineRule="auto"/>
      <w:ind w:left="103" w:firstLine="945" w:firstLineChars="358"/>
    </w:pPr>
    <w:rPr>
      <w:spacing w:val="-18"/>
      <w:kern w:val="11"/>
      <w:sz w:val="30"/>
    </w:rPr>
  </w:style>
  <w:style w:type="paragraph" w:styleId="52">
    <w:name w:val="endnote text"/>
    <w:basedOn w:val="1"/>
    <w:qFormat/>
    <w:uiPriority w:val="0"/>
    <w:pPr>
      <w:widowControl/>
      <w:tabs>
        <w:tab w:val="clear" w:pos="480"/>
      </w:tabs>
      <w:spacing w:line="240" w:lineRule="auto"/>
      <w:jc w:val="left"/>
    </w:pPr>
    <w:rPr>
      <w:rFonts w:ascii="宋体" w:hAnsi="宋体"/>
      <w:kern w:val="0"/>
      <w:sz w:val="21"/>
    </w:rPr>
  </w:style>
  <w:style w:type="paragraph" w:styleId="53">
    <w:name w:val="List Continue 5"/>
    <w:basedOn w:val="1"/>
    <w:semiHidden/>
    <w:qFormat/>
    <w:uiPriority w:val="0"/>
    <w:pPr>
      <w:spacing w:after="120"/>
      <w:ind w:left="2100" w:leftChars="1000"/>
    </w:pPr>
  </w:style>
  <w:style w:type="paragraph" w:styleId="54">
    <w:name w:val="Balloon Text"/>
    <w:basedOn w:val="1"/>
    <w:link w:val="489"/>
    <w:qFormat/>
    <w:uiPriority w:val="99"/>
    <w:rPr>
      <w:sz w:val="18"/>
      <w:szCs w:val="18"/>
    </w:rPr>
  </w:style>
  <w:style w:type="paragraph" w:styleId="55">
    <w:name w:val="footer"/>
    <w:basedOn w:val="1"/>
    <w:link w:val="490"/>
    <w:qFormat/>
    <w:uiPriority w:val="99"/>
    <w:pPr>
      <w:tabs>
        <w:tab w:val="center" w:pos="4153"/>
        <w:tab w:val="right" w:pos="8306"/>
      </w:tabs>
      <w:snapToGrid w:val="0"/>
      <w:jc w:val="left"/>
    </w:pPr>
    <w:rPr>
      <w:sz w:val="18"/>
      <w:szCs w:val="18"/>
    </w:rPr>
  </w:style>
  <w:style w:type="paragraph" w:styleId="56">
    <w:name w:val="envelope return"/>
    <w:basedOn w:val="1"/>
    <w:qFormat/>
    <w:uiPriority w:val="0"/>
    <w:pPr>
      <w:snapToGrid w:val="0"/>
    </w:pPr>
    <w:rPr>
      <w:rFonts w:ascii="Arial" w:hAnsi="Arial" w:cs="Arial"/>
    </w:rPr>
  </w:style>
  <w:style w:type="paragraph" w:styleId="57">
    <w:name w:val="header"/>
    <w:basedOn w:val="1"/>
    <w:link w:val="498"/>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qFormat/>
    <w:uiPriority w:val="0"/>
    <w:pPr>
      <w:ind w:left="100" w:leftChars="2100"/>
    </w:pPr>
  </w:style>
  <w:style w:type="paragraph" w:styleId="59">
    <w:name w:val="toc 1"/>
    <w:basedOn w:val="1"/>
    <w:next w:val="1"/>
    <w:qFormat/>
    <w:uiPriority w:val="39"/>
    <w:pPr>
      <w:tabs>
        <w:tab w:val="clear" w:pos="480"/>
      </w:tabs>
      <w:spacing w:before="120" w:after="120"/>
      <w:jc w:val="left"/>
    </w:pPr>
    <w:rPr>
      <w:b/>
      <w:bCs/>
      <w:caps/>
      <w:sz w:val="20"/>
      <w:szCs w:val="20"/>
    </w:rPr>
  </w:style>
  <w:style w:type="paragraph" w:styleId="60">
    <w:name w:val="List Continue 4"/>
    <w:basedOn w:val="1"/>
    <w:qFormat/>
    <w:uiPriority w:val="0"/>
    <w:pPr>
      <w:spacing w:after="120"/>
      <w:ind w:left="1680" w:leftChars="800"/>
    </w:pPr>
  </w:style>
  <w:style w:type="paragraph" w:styleId="61">
    <w:name w:val="toc 4"/>
    <w:basedOn w:val="1"/>
    <w:next w:val="1"/>
    <w:qFormat/>
    <w:uiPriority w:val="39"/>
    <w:pPr>
      <w:tabs>
        <w:tab w:val="clear" w:pos="480"/>
      </w:tabs>
      <w:ind w:left="720"/>
      <w:jc w:val="left"/>
    </w:pPr>
    <w:rPr>
      <w:sz w:val="18"/>
      <w:szCs w:val="18"/>
    </w:rPr>
  </w:style>
  <w:style w:type="paragraph" w:styleId="62">
    <w:name w:val="index heading"/>
    <w:basedOn w:val="1"/>
    <w:next w:val="63"/>
    <w:qFormat/>
    <w:uiPriority w:val="0"/>
    <w:pPr>
      <w:tabs>
        <w:tab w:val="clear" w:pos="480"/>
      </w:tabs>
      <w:spacing w:line="240" w:lineRule="auto"/>
    </w:pPr>
    <w:rPr>
      <w:sz w:val="21"/>
    </w:rPr>
  </w:style>
  <w:style w:type="paragraph" w:styleId="63">
    <w:name w:val="index 1"/>
    <w:basedOn w:val="1"/>
    <w:next w:val="1"/>
    <w:qFormat/>
    <w:uiPriority w:val="0"/>
    <w:pPr>
      <w:tabs>
        <w:tab w:val="clear" w:pos="480"/>
      </w:tabs>
      <w:spacing w:line="240" w:lineRule="auto"/>
      <w:jc w:val="center"/>
    </w:pPr>
    <w:rPr>
      <w:rFonts w:eastAsia="仿宋_GB2312"/>
      <w:sz w:val="21"/>
      <w:szCs w:val="21"/>
    </w:rPr>
  </w:style>
  <w:style w:type="paragraph" w:styleId="64">
    <w:name w:val="Subtitle"/>
    <w:basedOn w:val="1"/>
    <w:qFormat/>
    <w:uiPriority w:val="0"/>
    <w:pPr>
      <w:tabs>
        <w:tab w:val="clear" w:pos="480"/>
      </w:tabs>
      <w:spacing w:before="240" w:after="60" w:line="312" w:lineRule="auto"/>
      <w:jc w:val="center"/>
      <w:outlineLvl w:val="1"/>
    </w:pPr>
    <w:rPr>
      <w:rFonts w:ascii="Arial" w:hAnsi="Arial" w:cs="Arial"/>
      <w:b/>
      <w:bCs/>
      <w:kern w:val="28"/>
      <w:sz w:val="32"/>
      <w:szCs w:val="32"/>
    </w:rPr>
  </w:style>
  <w:style w:type="paragraph" w:styleId="65">
    <w:name w:val="List Number 5"/>
    <w:basedOn w:val="1"/>
    <w:semiHidden/>
    <w:qFormat/>
    <w:uiPriority w:val="0"/>
    <w:pPr>
      <w:numPr>
        <w:ilvl w:val="0"/>
        <w:numId w:val="9"/>
      </w:numPr>
      <w:tabs>
        <w:tab w:val="left" w:pos="360"/>
        <w:tab w:val="clear" w:pos="2040"/>
      </w:tabs>
      <w:ind w:left="0" w:leftChars="0" w:firstLine="200" w:firstLineChars="200"/>
    </w:pPr>
  </w:style>
  <w:style w:type="paragraph" w:styleId="66">
    <w:name w:val="List"/>
    <w:basedOn w:val="1"/>
    <w:link w:val="3418"/>
    <w:qFormat/>
    <w:uiPriority w:val="0"/>
    <w:pPr>
      <w:tabs>
        <w:tab w:val="clear" w:pos="480"/>
      </w:tabs>
      <w:spacing w:line="240" w:lineRule="auto"/>
      <w:ind w:left="420" w:hanging="420" w:hangingChars="200"/>
    </w:pPr>
    <w:rPr>
      <w:sz w:val="21"/>
    </w:rPr>
  </w:style>
  <w:style w:type="paragraph" w:styleId="67">
    <w:name w:val="footnote text"/>
    <w:basedOn w:val="1"/>
    <w:link w:val="2315"/>
    <w:qFormat/>
    <w:uiPriority w:val="0"/>
    <w:pPr>
      <w:tabs>
        <w:tab w:val="clear" w:pos="480"/>
      </w:tabs>
      <w:snapToGrid w:val="0"/>
      <w:spacing w:line="240" w:lineRule="auto"/>
      <w:jc w:val="left"/>
    </w:pPr>
    <w:rPr>
      <w:sz w:val="18"/>
      <w:szCs w:val="18"/>
    </w:rPr>
  </w:style>
  <w:style w:type="paragraph" w:styleId="68">
    <w:name w:val="toc 6"/>
    <w:basedOn w:val="1"/>
    <w:next w:val="1"/>
    <w:qFormat/>
    <w:uiPriority w:val="39"/>
    <w:pPr>
      <w:tabs>
        <w:tab w:val="clear" w:pos="480"/>
      </w:tabs>
      <w:ind w:left="1200"/>
      <w:jc w:val="left"/>
    </w:pPr>
    <w:rPr>
      <w:sz w:val="18"/>
      <w:szCs w:val="18"/>
    </w:rPr>
  </w:style>
  <w:style w:type="paragraph" w:styleId="69">
    <w:name w:val="List 5"/>
    <w:basedOn w:val="1"/>
    <w:qFormat/>
    <w:uiPriority w:val="0"/>
    <w:pPr>
      <w:ind w:left="100" w:leftChars="800" w:hanging="200" w:hangingChars="200"/>
    </w:pPr>
  </w:style>
  <w:style w:type="paragraph" w:styleId="70">
    <w:name w:val="Body Text Indent 3"/>
    <w:basedOn w:val="1"/>
    <w:link w:val="491"/>
    <w:qFormat/>
    <w:uiPriority w:val="0"/>
    <w:pPr>
      <w:tabs>
        <w:tab w:val="clear" w:pos="480"/>
      </w:tabs>
      <w:ind w:firstLine="480"/>
    </w:pPr>
  </w:style>
  <w:style w:type="paragraph" w:styleId="71">
    <w:name w:val="index 7"/>
    <w:basedOn w:val="1"/>
    <w:next w:val="1"/>
    <w:qFormat/>
    <w:uiPriority w:val="0"/>
    <w:pPr>
      <w:tabs>
        <w:tab w:val="clear" w:pos="480"/>
      </w:tabs>
      <w:spacing w:line="240" w:lineRule="auto"/>
      <w:ind w:left="1200" w:leftChars="1200"/>
    </w:pPr>
    <w:rPr>
      <w:sz w:val="21"/>
    </w:rPr>
  </w:style>
  <w:style w:type="paragraph" w:styleId="72">
    <w:name w:val="index 9"/>
    <w:basedOn w:val="1"/>
    <w:next w:val="1"/>
    <w:qFormat/>
    <w:uiPriority w:val="0"/>
    <w:pPr>
      <w:tabs>
        <w:tab w:val="clear" w:pos="480"/>
      </w:tabs>
      <w:spacing w:line="240" w:lineRule="auto"/>
      <w:ind w:left="1600" w:leftChars="1600"/>
    </w:pPr>
    <w:rPr>
      <w:sz w:val="21"/>
    </w:rPr>
  </w:style>
  <w:style w:type="paragraph" w:styleId="73">
    <w:name w:val="table of figures"/>
    <w:basedOn w:val="1"/>
    <w:next w:val="1"/>
    <w:qFormat/>
    <w:uiPriority w:val="0"/>
    <w:pPr>
      <w:tabs>
        <w:tab w:val="clear" w:pos="480"/>
      </w:tabs>
      <w:spacing w:line="240" w:lineRule="auto"/>
      <w:ind w:left="840" w:leftChars="200" w:hanging="420" w:hangingChars="200"/>
    </w:pPr>
    <w:rPr>
      <w:sz w:val="21"/>
    </w:rPr>
  </w:style>
  <w:style w:type="paragraph" w:styleId="74">
    <w:name w:val="toc 2"/>
    <w:basedOn w:val="1"/>
    <w:next w:val="1"/>
    <w:qFormat/>
    <w:uiPriority w:val="39"/>
    <w:pPr>
      <w:tabs>
        <w:tab w:val="clear" w:pos="480"/>
      </w:tabs>
      <w:ind w:left="240"/>
      <w:jc w:val="left"/>
    </w:pPr>
    <w:rPr>
      <w:smallCaps/>
      <w:sz w:val="20"/>
      <w:szCs w:val="20"/>
    </w:rPr>
  </w:style>
  <w:style w:type="paragraph" w:styleId="75">
    <w:name w:val="toc 9"/>
    <w:basedOn w:val="1"/>
    <w:next w:val="1"/>
    <w:qFormat/>
    <w:uiPriority w:val="39"/>
    <w:pPr>
      <w:tabs>
        <w:tab w:val="clear" w:pos="480"/>
      </w:tabs>
      <w:ind w:left="1920"/>
      <w:jc w:val="left"/>
    </w:pPr>
    <w:rPr>
      <w:sz w:val="18"/>
      <w:szCs w:val="18"/>
    </w:rPr>
  </w:style>
  <w:style w:type="paragraph" w:styleId="76">
    <w:name w:val="Body Text 2"/>
    <w:basedOn w:val="1"/>
    <w:link w:val="501"/>
    <w:qFormat/>
    <w:uiPriority w:val="0"/>
    <w:pPr>
      <w:tabs>
        <w:tab w:val="clear" w:pos="480"/>
      </w:tabs>
      <w:spacing w:line="240" w:lineRule="auto"/>
      <w:jc w:val="center"/>
    </w:pPr>
    <w:rPr>
      <w:color w:val="000000"/>
      <w:szCs w:val="20"/>
    </w:rPr>
  </w:style>
  <w:style w:type="paragraph" w:styleId="77">
    <w:name w:val="List 4"/>
    <w:basedOn w:val="1"/>
    <w:qFormat/>
    <w:uiPriority w:val="0"/>
    <w:pPr>
      <w:ind w:left="100" w:leftChars="600" w:hanging="200" w:hangingChars="200"/>
    </w:pPr>
  </w:style>
  <w:style w:type="paragraph" w:styleId="78">
    <w:name w:val="List Continue 2"/>
    <w:basedOn w:val="1"/>
    <w:qFormat/>
    <w:uiPriority w:val="0"/>
    <w:pPr>
      <w:spacing w:after="120"/>
      <w:ind w:left="840" w:leftChars="400"/>
    </w:pPr>
  </w:style>
  <w:style w:type="paragraph" w:styleId="79">
    <w:name w:val="Message Header"/>
    <w:basedOn w:val="1"/>
    <w:link w:val="87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80">
    <w:name w:val="HTML Preformatted"/>
    <w:basedOn w:val="1"/>
    <w:link w:val="3465"/>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40" w:lineRule="auto"/>
      <w:jc w:val="left"/>
    </w:pPr>
    <w:rPr>
      <w:rFonts w:ascii="宋体" w:hAnsi="宋体" w:cs="宋体"/>
      <w:kern w:val="0"/>
    </w:rPr>
  </w:style>
  <w:style w:type="paragraph" w:styleId="81">
    <w:name w:val="Normal (Web)"/>
    <w:basedOn w:val="1"/>
    <w:link w:val="3694"/>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styleId="82">
    <w:name w:val="List Continue 3"/>
    <w:basedOn w:val="1"/>
    <w:qFormat/>
    <w:uiPriority w:val="0"/>
    <w:pPr>
      <w:spacing w:after="120"/>
      <w:ind w:left="1260" w:leftChars="600"/>
    </w:pPr>
  </w:style>
  <w:style w:type="paragraph" w:styleId="83">
    <w:name w:val="index 2"/>
    <w:basedOn w:val="1"/>
    <w:next w:val="1"/>
    <w:qFormat/>
    <w:uiPriority w:val="0"/>
    <w:pPr>
      <w:tabs>
        <w:tab w:val="clear" w:pos="480"/>
      </w:tabs>
      <w:ind w:left="200" w:leftChars="200"/>
    </w:pPr>
  </w:style>
  <w:style w:type="paragraph" w:styleId="84">
    <w:name w:val="Title"/>
    <w:basedOn w:val="1"/>
    <w:next w:val="85"/>
    <w:qFormat/>
    <w:uiPriority w:val="0"/>
    <w:pPr>
      <w:widowControl/>
      <w:tabs>
        <w:tab w:val="clear" w:pos="480"/>
      </w:tabs>
      <w:adjustRightInd w:val="0"/>
      <w:snapToGrid w:val="0"/>
      <w:spacing w:before="240" w:after="60"/>
      <w:ind w:firstLine="480"/>
      <w:jc w:val="center"/>
      <w:outlineLvl w:val="0"/>
    </w:pPr>
    <w:rPr>
      <w:rFonts w:ascii="Arial" w:hAnsi="Arial" w:cs="Arial"/>
      <w:bCs/>
      <w:color w:val="000000"/>
      <w:szCs w:val="32"/>
    </w:rPr>
  </w:style>
  <w:style w:type="paragraph" w:styleId="85">
    <w:name w:val="Body Text First Indent"/>
    <w:basedOn w:val="2"/>
    <w:link w:val="495"/>
    <w:qFormat/>
    <w:uiPriority w:val="99"/>
    <w:pPr>
      <w:spacing w:after="120"/>
      <w:ind w:firstLine="420" w:firstLineChars="100"/>
    </w:pPr>
    <w:rPr>
      <w:rFonts w:ascii="Times New Roman" w:hAnsi="Times New Roman"/>
      <w:szCs w:val="24"/>
    </w:rPr>
  </w:style>
  <w:style w:type="paragraph" w:styleId="86">
    <w:name w:val="annotation subject"/>
    <w:basedOn w:val="29"/>
    <w:next w:val="29"/>
    <w:link w:val="510"/>
    <w:qFormat/>
    <w:uiPriority w:val="99"/>
    <w:pPr>
      <w:tabs>
        <w:tab w:val="left" w:pos="480"/>
      </w:tabs>
      <w:adjustRightInd/>
      <w:spacing w:line="360" w:lineRule="auto"/>
      <w:textAlignment w:val="auto"/>
    </w:pPr>
    <w:rPr>
      <w:b/>
      <w:bCs/>
      <w:kern w:val="2"/>
      <w:szCs w:val="24"/>
    </w:rPr>
  </w:style>
  <w:style w:type="paragraph" w:styleId="87">
    <w:name w:val="Body Text First Indent 2"/>
    <w:basedOn w:val="35"/>
    <w:next w:val="1"/>
    <w:link w:val="531"/>
    <w:qFormat/>
    <w:uiPriority w:val="99"/>
    <w:pPr>
      <w:spacing w:after="120"/>
      <w:ind w:left="420" w:leftChars="200" w:firstLine="420"/>
    </w:pPr>
    <w:rPr>
      <w:rFonts w:ascii="宋体"/>
    </w:rPr>
  </w:style>
  <w:style w:type="table" w:styleId="89">
    <w:name w:val="Table Grid"/>
    <w:basedOn w:val="88"/>
    <w:qFormat/>
    <w:uiPriority w:val="39"/>
    <w:pPr>
      <w:widowControl w:val="0"/>
      <w:tabs>
        <w:tab w:val="left" w:pos="480"/>
      </w:tabs>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semiHidden/>
    <w:qFormat/>
    <w:uiPriority w:val="0"/>
    <w:pPr>
      <w:widowControl w:val="0"/>
      <w:tabs>
        <w:tab w:val="left" w:pos="480"/>
      </w:tabs>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semiHidden/>
    <w:qFormat/>
    <w:uiPriority w:val="0"/>
    <w:pPr>
      <w:widowControl w:val="0"/>
      <w:tabs>
        <w:tab w:val="left" w:pos="480"/>
      </w:tabs>
      <w:spacing w:line="360" w:lineRule="auto"/>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2">
    <w:name w:val="Table Colorful 2"/>
    <w:basedOn w:val="88"/>
    <w:semiHidden/>
    <w:qFormat/>
    <w:uiPriority w:val="0"/>
    <w:pPr>
      <w:widowControl w:val="0"/>
      <w:tabs>
        <w:tab w:val="left" w:pos="480"/>
      </w:tabs>
      <w:spacing w:line="360" w:lineRule="auto"/>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3">
    <w:name w:val="Table Colorful 3"/>
    <w:basedOn w:val="88"/>
    <w:semiHidden/>
    <w:qFormat/>
    <w:uiPriority w:val="0"/>
    <w:pPr>
      <w:widowControl w:val="0"/>
      <w:tabs>
        <w:tab w:val="left" w:pos="480"/>
      </w:tabs>
      <w:spacing w:line="360" w:lineRule="auto"/>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4">
    <w:name w:val="Table Elegant"/>
    <w:basedOn w:val="88"/>
    <w:semiHidden/>
    <w:qFormat/>
    <w:uiPriority w:val="0"/>
    <w:pPr>
      <w:widowControl w:val="0"/>
      <w:tabs>
        <w:tab w:val="left" w:pos="480"/>
      </w:tabs>
      <w:spacing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5">
    <w:name w:val="Table Classic 1"/>
    <w:basedOn w:val="88"/>
    <w:semiHidden/>
    <w:qFormat/>
    <w:uiPriority w:val="0"/>
    <w:pPr>
      <w:widowControl w:val="0"/>
      <w:tabs>
        <w:tab w:val="left" w:pos="480"/>
      </w:tabs>
      <w:spacing w:line="360" w:lineRule="auto"/>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6">
    <w:name w:val="Table Classic 2"/>
    <w:basedOn w:val="88"/>
    <w:semiHidden/>
    <w:qFormat/>
    <w:uiPriority w:val="0"/>
    <w:pPr>
      <w:widowControl w:val="0"/>
      <w:tabs>
        <w:tab w:val="left" w:pos="480"/>
      </w:tabs>
      <w:spacing w:line="360" w:lineRule="auto"/>
      <w:jc w:val="both"/>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7">
    <w:name w:val="Table Classic 3"/>
    <w:basedOn w:val="88"/>
    <w:semiHidden/>
    <w:qFormat/>
    <w:uiPriority w:val="0"/>
    <w:pPr>
      <w:widowControl w:val="0"/>
      <w:tabs>
        <w:tab w:val="left" w:pos="480"/>
      </w:tabs>
      <w:spacing w:line="360" w:lineRule="auto"/>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8">
    <w:name w:val="Table Classic 4"/>
    <w:basedOn w:val="88"/>
    <w:semiHidden/>
    <w:qFormat/>
    <w:uiPriority w:val="0"/>
    <w:pPr>
      <w:widowControl w:val="0"/>
      <w:tabs>
        <w:tab w:val="left" w:pos="480"/>
      </w:tabs>
      <w:spacing w:line="360" w:lineRule="auto"/>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9">
    <w:name w:val="Table Simple 1"/>
    <w:basedOn w:val="88"/>
    <w:semiHidden/>
    <w:qFormat/>
    <w:uiPriority w:val="0"/>
    <w:pPr>
      <w:widowControl w:val="0"/>
      <w:tabs>
        <w:tab w:val="left" w:pos="480"/>
      </w:tabs>
      <w:spacing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0">
    <w:name w:val="Table Simple 2"/>
    <w:basedOn w:val="88"/>
    <w:semiHidden/>
    <w:qFormat/>
    <w:uiPriority w:val="0"/>
    <w:pPr>
      <w:widowControl w:val="0"/>
      <w:tabs>
        <w:tab w:val="left" w:pos="480"/>
      </w:tabs>
      <w:spacing w:line="360" w:lineRule="auto"/>
      <w:jc w:val="both"/>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1">
    <w:name w:val="Table Simple 3"/>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2">
    <w:name w:val="Table Subtle 1"/>
    <w:basedOn w:val="88"/>
    <w:semiHidden/>
    <w:qFormat/>
    <w:uiPriority w:val="0"/>
    <w:pPr>
      <w:widowControl w:val="0"/>
      <w:tabs>
        <w:tab w:val="left" w:pos="480"/>
      </w:tabs>
      <w:spacing w:line="360" w:lineRule="auto"/>
      <w:jc w:val="both"/>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Subtle 2"/>
    <w:basedOn w:val="88"/>
    <w:semiHidden/>
    <w:qFormat/>
    <w:uiPriority w:val="0"/>
    <w:pPr>
      <w:widowControl w:val="0"/>
      <w:tabs>
        <w:tab w:val="left" w:pos="480"/>
      </w:tabs>
      <w:spacing w:line="360" w:lineRule="auto"/>
      <w:jc w:val="both"/>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3D effects 1"/>
    <w:basedOn w:val="88"/>
    <w:semiHidden/>
    <w:qFormat/>
    <w:uiPriority w:val="0"/>
    <w:pPr>
      <w:widowControl w:val="0"/>
      <w:tabs>
        <w:tab w:val="left" w:pos="480"/>
      </w:tabs>
      <w:spacing w:line="360" w:lineRule="auto"/>
      <w:jc w:val="both"/>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5">
    <w:name w:val="Table 3D effects 2"/>
    <w:basedOn w:val="88"/>
    <w:semiHidden/>
    <w:qFormat/>
    <w:uiPriority w:val="0"/>
    <w:pPr>
      <w:widowControl w:val="0"/>
      <w:tabs>
        <w:tab w:val="left" w:pos="480"/>
      </w:tabs>
      <w:spacing w:line="360" w:lineRule="auto"/>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3D effects 3"/>
    <w:basedOn w:val="88"/>
    <w:semiHidden/>
    <w:qFormat/>
    <w:uiPriority w:val="0"/>
    <w:pPr>
      <w:widowControl w:val="0"/>
      <w:tabs>
        <w:tab w:val="left" w:pos="480"/>
      </w:tabs>
      <w:spacing w:line="360" w:lineRule="auto"/>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List 1"/>
    <w:basedOn w:val="88"/>
    <w:semiHidden/>
    <w:qFormat/>
    <w:uiPriority w:val="0"/>
    <w:pPr>
      <w:widowControl w:val="0"/>
      <w:tabs>
        <w:tab w:val="left" w:pos="480"/>
      </w:tabs>
      <w:spacing w:line="360" w:lineRule="auto"/>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2"/>
    <w:basedOn w:val="88"/>
    <w:semiHidden/>
    <w:qFormat/>
    <w:uiPriority w:val="0"/>
    <w:pPr>
      <w:widowControl w:val="0"/>
      <w:tabs>
        <w:tab w:val="left" w:pos="480"/>
      </w:tabs>
      <w:spacing w:line="360" w:lineRule="auto"/>
      <w:jc w:val="both"/>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3"/>
    <w:basedOn w:val="88"/>
    <w:semiHidden/>
    <w:qFormat/>
    <w:uiPriority w:val="0"/>
    <w:pPr>
      <w:widowControl w:val="0"/>
      <w:tabs>
        <w:tab w:val="left" w:pos="480"/>
      </w:tabs>
      <w:spacing w:line="360" w:lineRule="auto"/>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0">
    <w:name w:val="Table List 4"/>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1">
    <w:name w:val="Table List 5"/>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2">
    <w:name w:val="Table List 6"/>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3">
    <w:name w:val="Table List 7"/>
    <w:basedOn w:val="88"/>
    <w:semiHidden/>
    <w:qFormat/>
    <w:uiPriority w:val="0"/>
    <w:pPr>
      <w:widowControl w:val="0"/>
      <w:tabs>
        <w:tab w:val="left" w:pos="480"/>
      </w:tabs>
      <w:spacing w:line="360" w:lineRule="auto"/>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4">
    <w:name w:val="Table List 8"/>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5">
    <w:name w:val="Table Contemporary"/>
    <w:basedOn w:val="88"/>
    <w:semiHidden/>
    <w:qFormat/>
    <w:uiPriority w:val="0"/>
    <w:pPr>
      <w:widowControl w:val="0"/>
      <w:tabs>
        <w:tab w:val="left" w:pos="480"/>
      </w:tabs>
      <w:spacing w:line="360" w:lineRule="auto"/>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6">
    <w:name w:val="Table Columns 1"/>
    <w:basedOn w:val="88"/>
    <w:semiHidden/>
    <w:qFormat/>
    <w:uiPriority w:val="0"/>
    <w:pPr>
      <w:widowControl w:val="0"/>
      <w:tabs>
        <w:tab w:val="left" w:pos="480"/>
      </w:tabs>
      <w:spacing w:line="360" w:lineRule="auto"/>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2"/>
    <w:basedOn w:val="88"/>
    <w:semiHidden/>
    <w:qFormat/>
    <w:uiPriority w:val="0"/>
    <w:pPr>
      <w:widowControl w:val="0"/>
      <w:tabs>
        <w:tab w:val="left" w:pos="480"/>
      </w:tabs>
      <w:spacing w:line="360" w:lineRule="auto"/>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3"/>
    <w:basedOn w:val="88"/>
    <w:semiHidden/>
    <w:qFormat/>
    <w:uiPriority w:val="0"/>
    <w:pPr>
      <w:widowControl w:val="0"/>
      <w:tabs>
        <w:tab w:val="left" w:pos="480"/>
      </w:tabs>
      <w:spacing w:line="360" w:lineRule="auto"/>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9">
    <w:name w:val="Table Columns 4"/>
    <w:basedOn w:val="88"/>
    <w:semiHidden/>
    <w:qFormat/>
    <w:uiPriority w:val="0"/>
    <w:pPr>
      <w:widowControl w:val="0"/>
      <w:tabs>
        <w:tab w:val="left" w:pos="480"/>
      </w:tabs>
      <w:spacing w:line="360" w:lineRule="auto"/>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semiHidden/>
    <w:qFormat/>
    <w:uiPriority w:val="0"/>
    <w:pPr>
      <w:widowControl w:val="0"/>
      <w:tabs>
        <w:tab w:val="left" w:pos="480"/>
      </w:tabs>
      <w:spacing w:line="360" w:lineRule="auto"/>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2">
    <w:name w:val="Table Grid 2"/>
    <w:basedOn w:val="88"/>
    <w:semiHidden/>
    <w:qFormat/>
    <w:uiPriority w:val="0"/>
    <w:pPr>
      <w:widowControl w:val="0"/>
      <w:tabs>
        <w:tab w:val="left" w:pos="480"/>
      </w:tabs>
      <w:spacing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3">
    <w:name w:val="Table Grid 3"/>
    <w:basedOn w:val="88"/>
    <w:semiHidden/>
    <w:qFormat/>
    <w:uiPriority w:val="0"/>
    <w:pPr>
      <w:widowControl w:val="0"/>
      <w:tabs>
        <w:tab w:val="left" w:pos="480"/>
      </w:tabs>
      <w:spacing w:line="360" w:lineRule="auto"/>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4">
    <w:name w:val="Table Grid 4"/>
    <w:basedOn w:val="88"/>
    <w:semiHidden/>
    <w:qFormat/>
    <w:uiPriority w:val="0"/>
    <w:pPr>
      <w:widowControl w:val="0"/>
      <w:tabs>
        <w:tab w:val="left" w:pos="480"/>
      </w:tabs>
      <w:spacing w:line="360" w:lineRule="auto"/>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5">
    <w:name w:val="Table Grid 5"/>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6"/>
    <w:basedOn w:val="88"/>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7"/>
    <w:basedOn w:val="88"/>
    <w:semiHidden/>
    <w:qFormat/>
    <w:uiPriority w:val="0"/>
    <w:pPr>
      <w:widowControl w:val="0"/>
      <w:tabs>
        <w:tab w:val="left" w:pos="480"/>
      </w:tabs>
      <w:spacing w:line="360"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8"/>
    <w:basedOn w:val="88"/>
    <w:semiHidden/>
    <w:qFormat/>
    <w:uiPriority w:val="0"/>
    <w:pPr>
      <w:widowControl w:val="0"/>
      <w:tabs>
        <w:tab w:val="left" w:pos="480"/>
      </w:tabs>
      <w:spacing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9">
    <w:name w:val="Table Web 1"/>
    <w:basedOn w:val="88"/>
    <w:semiHidden/>
    <w:qFormat/>
    <w:uiPriority w:val="0"/>
    <w:pPr>
      <w:widowControl w:val="0"/>
      <w:tabs>
        <w:tab w:val="left" w:pos="480"/>
      </w:tabs>
      <w:spacing w:line="360" w:lineRule="auto"/>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2"/>
    <w:basedOn w:val="88"/>
    <w:semiHidden/>
    <w:qFormat/>
    <w:uiPriority w:val="0"/>
    <w:pPr>
      <w:widowControl w:val="0"/>
      <w:tabs>
        <w:tab w:val="left" w:pos="480"/>
      </w:tabs>
      <w:spacing w:line="360" w:lineRule="auto"/>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Web 3"/>
    <w:basedOn w:val="88"/>
    <w:semiHidden/>
    <w:qFormat/>
    <w:uiPriority w:val="0"/>
    <w:pPr>
      <w:widowControl w:val="0"/>
      <w:tabs>
        <w:tab w:val="left" w:pos="480"/>
      </w:tabs>
      <w:spacing w:line="360" w:lineRule="auto"/>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Professional"/>
    <w:basedOn w:val="88"/>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4">
    <w:name w:val="Strong"/>
    <w:qFormat/>
    <w:uiPriority w:val="0"/>
    <w:rPr>
      <w:b/>
      <w:bCs/>
    </w:rPr>
  </w:style>
  <w:style w:type="character" w:styleId="135">
    <w:name w:val="endnote reference"/>
    <w:qFormat/>
    <w:uiPriority w:val="0"/>
    <w:rPr>
      <w:vertAlign w:val="superscript"/>
    </w:rPr>
  </w:style>
  <w:style w:type="character" w:styleId="136">
    <w:name w:val="page number"/>
    <w:basedOn w:val="133"/>
    <w:qFormat/>
    <w:uiPriority w:val="0"/>
  </w:style>
  <w:style w:type="character" w:styleId="137">
    <w:name w:val="FollowedHyperlink"/>
    <w:unhideWhenUsed/>
    <w:qFormat/>
    <w:uiPriority w:val="0"/>
    <w:rPr>
      <w:color w:val="800080"/>
      <w:u w:val="single"/>
    </w:rPr>
  </w:style>
  <w:style w:type="character" w:styleId="138">
    <w:name w:val="Emphasis"/>
    <w:qFormat/>
    <w:uiPriority w:val="0"/>
    <w:rPr>
      <w:i/>
      <w:iCs/>
    </w:rPr>
  </w:style>
  <w:style w:type="character" w:styleId="139">
    <w:name w:val="line number"/>
    <w:basedOn w:val="133"/>
    <w:qFormat/>
    <w:uiPriority w:val="0"/>
  </w:style>
  <w:style w:type="character" w:styleId="140">
    <w:name w:val="HTML Definition"/>
    <w:qFormat/>
    <w:uiPriority w:val="0"/>
    <w:rPr>
      <w:i/>
      <w:iCs/>
    </w:rPr>
  </w:style>
  <w:style w:type="character" w:styleId="141">
    <w:name w:val="HTML Typewriter"/>
    <w:qFormat/>
    <w:uiPriority w:val="0"/>
    <w:rPr>
      <w:rFonts w:ascii="Courier New" w:hAnsi="Courier New" w:cs="Courier New"/>
      <w:sz w:val="20"/>
      <w:szCs w:val="20"/>
    </w:rPr>
  </w:style>
  <w:style w:type="character" w:styleId="142">
    <w:name w:val="HTML Acronym"/>
    <w:basedOn w:val="133"/>
    <w:semiHidden/>
    <w:qFormat/>
    <w:uiPriority w:val="0"/>
  </w:style>
  <w:style w:type="character" w:styleId="143">
    <w:name w:val="HTML Variable"/>
    <w:semiHidden/>
    <w:qFormat/>
    <w:uiPriority w:val="0"/>
    <w:rPr>
      <w:i/>
      <w:iCs/>
    </w:rPr>
  </w:style>
  <w:style w:type="character" w:styleId="144">
    <w:name w:val="Hyperlink"/>
    <w:qFormat/>
    <w:uiPriority w:val="99"/>
    <w:rPr>
      <w:color w:val="0000FF"/>
      <w:u w:val="single"/>
    </w:rPr>
  </w:style>
  <w:style w:type="character" w:styleId="145">
    <w:name w:val="HTML Code"/>
    <w:qFormat/>
    <w:uiPriority w:val="0"/>
    <w:rPr>
      <w:rFonts w:ascii="黑体" w:hAnsi="Courier New" w:eastAsia="黑体" w:cs="Courier New"/>
      <w:sz w:val="24"/>
      <w:szCs w:val="24"/>
    </w:rPr>
  </w:style>
  <w:style w:type="character" w:styleId="146">
    <w:name w:val="annotation reference"/>
    <w:qFormat/>
    <w:uiPriority w:val="99"/>
    <w:rPr>
      <w:sz w:val="21"/>
      <w:szCs w:val="21"/>
    </w:rPr>
  </w:style>
  <w:style w:type="character" w:styleId="147">
    <w:name w:val="HTML Cite"/>
    <w:semiHidden/>
    <w:qFormat/>
    <w:uiPriority w:val="0"/>
    <w:rPr>
      <w:i/>
      <w:iCs/>
    </w:rPr>
  </w:style>
  <w:style w:type="character" w:styleId="148">
    <w:name w:val="footnote reference"/>
    <w:qFormat/>
    <w:uiPriority w:val="0"/>
    <w:rPr>
      <w:vertAlign w:val="superscript"/>
    </w:rPr>
  </w:style>
  <w:style w:type="character" w:styleId="149">
    <w:name w:val="HTML Keyboard"/>
    <w:semiHidden/>
    <w:qFormat/>
    <w:uiPriority w:val="0"/>
    <w:rPr>
      <w:rFonts w:ascii="Courier New" w:hAnsi="Courier New" w:cs="Courier New"/>
      <w:sz w:val="20"/>
      <w:szCs w:val="20"/>
    </w:rPr>
  </w:style>
  <w:style w:type="character" w:styleId="150">
    <w:name w:val="HTML Sample"/>
    <w:qFormat/>
    <w:uiPriority w:val="0"/>
    <w:rPr>
      <w:rFonts w:ascii="Courier New" w:hAnsi="Courier New" w:cs="Courier New"/>
    </w:rPr>
  </w:style>
  <w:style w:type="paragraph" w:customStyle="1" w:styleId="151">
    <w:name w:val="Default"/>
    <w:link w:val="3703"/>
    <w:qFormat/>
    <w:uiPriority w:val="0"/>
    <w:pPr>
      <w:widowControl w:val="0"/>
      <w:autoSpaceDE w:val="0"/>
      <w:autoSpaceDN w:val="0"/>
      <w:adjustRightInd w:val="0"/>
      <w:jc w:val="center"/>
    </w:pPr>
    <w:rPr>
      <w:rFonts w:ascii="Sim Sun+ 2" w:hAnsi="Times New Roman" w:eastAsia="Sim Sun+ 2" w:cs="Sim Sun+ 2"/>
      <w:color w:val="000000"/>
      <w:kern w:val="2"/>
      <w:sz w:val="24"/>
      <w:szCs w:val="24"/>
      <w:lang w:val="en-US" w:eastAsia="zh-CN" w:bidi="ar-SA"/>
    </w:rPr>
  </w:style>
  <w:style w:type="paragraph" w:customStyle="1" w:styleId="152">
    <w:name w:val="xl2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olor w:val="000000"/>
      <w:kern w:val="0"/>
    </w:rPr>
  </w:style>
  <w:style w:type="paragraph" w:customStyle="1" w:styleId="153">
    <w:name w:val="（正文）"/>
    <w:basedOn w:val="45"/>
    <w:qFormat/>
    <w:uiPriority w:val="0"/>
    <w:pPr>
      <w:spacing w:line="360" w:lineRule="auto"/>
      <w:ind w:firstLine="480"/>
    </w:pPr>
    <w:rPr>
      <w:rFonts w:cs="Courier New"/>
      <w:sz w:val="24"/>
      <w:szCs w:val="21"/>
    </w:rPr>
  </w:style>
  <w:style w:type="paragraph" w:customStyle="1" w:styleId="154">
    <w:name w:val="_Style 1"/>
    <w:qFormat/>
    <w:uiPriority w:val="1"/>
    <w:pPr>
      <w:adjustRightInd w:val="0"/>
      <w:snapToGrid w:val="0"/>
      <w:spacing w:line="480" w:lineRule="exact"/>
      <w:ind w:firstLine="480" w:firstLineChars="200"/>
    </w:pPr>
    <w:rPr>
      <w:rFonts w:ascii="Times New Roman" w:hAnsi="Times New Roman" w:eastAsia="宋体" w:cs="Times New Roman"/>
      <w:sz w:val="24"/>
      <w:szCs w:val="22"/>
      <w:lang w:val="en-US" w:eastAsia="zh-CN" w:bidi="ar-SA"/>
    </w:rPr>
  </w:style>
  <w:style w:type="paragraph" w:customStyle="1" w:styleId="155">
    <w:name w:val="样式34"/>
    <w:basedOn w:val="156"/>
    <w:qFormat/>
    <w:uiPriority w:val="0"/>
    <w:pPr>
      <w:keepNext/>
      <w:keepLines/>
      <w:tabs>
        <w:tab w:val="left" w:pos="360"/>
        <w:tab w:val="left" w:pos="540"/>
        <w:tab w:val="left" w:pos="1560"/>
      </w:tabs>
      <w:adjustRightInd/>
      <w:snapToGrid/>
      <w:spacing w:beforeLines="50" w:afterLines="50"/>
      <w:ind w:left="1560" w:hanging="720"/>
      <w:jc w:val="both"/>
      <w:outlineLvl w:val="2"/>
    </w:pPr>
    <w:rPr>
      <w:rFonts w:eastAsia="黑体"/>
      <w:bCs w:val="0"/>
      <w:snapToGrid/>
      <w:color w:val="auto"/>
      <w:kern w:val="0"/>
      <w:szCs w:val="32"/>
    </w:rPr>
  </w:style>
  <w:style w:type="paragraph" w:customStyle="1" w:styleId="156">
    <w:name w:val="样式4"/>
    <w:basedOn w:val="1"/>
    <w:link w:val="1041"/>
    <w:qFormat/>
    <w:uiPriority w:val="0"/>
    <w:pPr>
      <w:tabs>
        <w:tab w:val="clear" w:pos="480"/>
      </w:tabs>
      <w:adjustRightInd w:val="0"/>
      <w:snapToGrid w:val="0"/>
      <w:jc w:val="left"/>
    </w:pPr>
    <w:rPr>
      <w:bCs/>
      <w:snapToGrid w:val="0"/>
      <w:color w:val="000000"/>
    </w:rPr>
  </w:style>
  <w:style w:type="character" w:customStyle="1" w:styleId="157">
    <w:name w:val="标题 4 字符"/>
    <w:link w:val="6"/>
    <w:qFormat/>
    <w:uiPriority w:val="9"/>
    <w:rPr>
      <w:rFonts w:ascii="仿宋_GB2312" w:hAnsi="宋体" w:eastAsia="仿宋_GB2312"/>
      <w:b/>
      <w:bCs/>
      <w:kern w:val="2"/>
      <w:sz w:val="28"/>
      <w:szCs w:val="28"/>
      <w:lang w:val="zh-CN"/>
    </w:rPr>
  </w:style>
  <w:style w:type="character" w:customStyle="1" w:styleId="158">
    <w:name w:val="正文文本缩进 字符"/>
    <w:link w:val="35"/>
    <w:qFormat/>
    <w:uiPriority w:val="0"/>
    <w:rPr>
      <w:rFonts w:eastAsia="宋体"/>
      <w:kern w:val="2"/>
      <w:sz w:val="24"/>
      <w:szCs w:val="24"/>
      <w:lang w:val="en-US" w:eastAsia="zh-CN" w:bidi="ar-SA"/>
    </w:rPr>
  </w:style>
  <w:style w:type="character" w:customStyle="1" w:styleId="159">
    <w:name w:val="访问过的超链接1"/>
    <w:qFormat/>
    <w:uiPriority w:val="99"/>
    <w:rPr>
      <w:color w:val="800080"/>
      <w:u w:val="single"/>
    </w:rPr>
  </w:style>
  <w:style w:type="paragraph" w:customStyle="1" w:styleId="160">
    <w:name w:val="表1表2"/>
    <w:basedOn w:val="1"/>
    <w:semiHidden/>
    <w:qFormat/>
    <w:uiPriority w:val="0"/>
    <w:pPr>
      <w:tabs>
        <w:tab w:val="clear" w:pos="480"/>
      </w:tabs>
      <w:autoSpaceDE w:val="0"/>
      <w:autoSpaceDN w:val="0"/>
      <w:adjustRightInd w:val="0"/>
      <w:jc w:val="center"/>
      <w:textAlignment w:val="center"/>
    </w:pPr>
    <w:rPr>
      <w:rFonts w:eastAsia="仿宋体"/>
      <w:kern w:val="0"/>
      <w:szCs w:val="20"/>
    </w:rPr>
  </w:style>
  <w:style w:type="paragraph" w:customStyle="1" w:styleId="161">
    <w:name w:val="表格"/>
    <w:basedOn w:val="21"/>
    <w:next w:val="1"/>
    <w:link w:val="465"/>
    <w:qFormat/>
    <w:uiPriority w:val="0"/>
    <w:pPr>
      <w:tabs>
        <w:tab w:val="clear" w:pos="480"/>
      </w:tabs>
      <w:adjustRightInd w:val="0"/>
      <w:ind w:firstLine="0" w:firstLineChars="0"/>
      <w:textAlignment w:val="center"/>
    </w:pPr>
    <w:rPr>
      <w:rFonts w:eastAsia="楷体_GB2312"/>
      <w:szCs w:val="20"/>
    </w:rPr>
  </w:style>
  <w:style w:type="character" w:customStyle="1" w:styleId="162">
    <w:name w:val="正文缩进 字符"/>
    <w:link w:val="21"/>
    <w:qFormat/>
    <w:uiPriority w:val="0"/>
    <w:rPr>
      <w:rFonts w:eastAsia="宋体"/>
      <w:kern w:val="2"/>
      <w:sz w:val="24"/>
      <w:szCs w:val="24"/>
      <w:lang w:val="en-US" w:eastAsia="zh-CN" w:bidi="ar-SA"/>
    </w:rPr>
  </w:style>
  <w:style w:type="paragraph" w:customStyle="1" w:styleId="163">
    <w:name w:val="样式5"/>
    <w:basedOn w:val="66"/>
    <w:link w:val="2439"/>
    <w:qFormat/>
    <w:uiPriority w:val="0"/>
    <w:pPr>
      <w:ind w:left="482" w:firstLine="0" w:firstLineChars="0"/>
    </w:pPr>
  </w:style>
  <w:style w:type="paragraph" w:customStyle="1" w:styleId="164">
    <w:name w:val="表格 32"/>
    <w:basedOn w:val="1"/>
    <w:link w:val="165"/>
    <w:semiHidden/>
    <w:qFormat/>
    <w:uiPriority w:val="0"/>
    <w:pPr>
      <w:tabs>
        <w:tab w:val="clear" w:pos="480"/>
      </w:tabs>
      <w:autoSpaceDE w:val="0"/>
      <w:autoSpaceDN w:val="0"/>
      <w:adjustRightInd w:val="0"/>
      <w:spacing w:line="0" w:lineRule="atLeast"/>
      <w:jc w:val="center"/>
      <w:textAlignment w:val="baseline"/>
    </w:pPr>
    <w:rPr>
      <w:kern w:val="0"/>
      <w:szCs w:val="20"/>
    </w:rPr>
  </w:style>
  <w:style w:type="character" w:customStyle="1" w:styleId="165">
    <w:name w:val="表格 32 Char"/>
    <w:link w:val="164"/>
    <w:qFormat/>
    <w:uiPriority w:val="0"/>
    <w:rPr>
      <w:rFonts w:eastAsia="宋体"/>
      <w:sz w:val="24"/>
      <w:lang w:val="en-US" w:eastAsia="zh-CN" w:bidi="ar-SA"/>
    </w:rPr>
  </w:style>
  <w:style w:type="paragraph" w:customStyle="1" w:styleId="166">
    <w:name w:val="表头"/>
    <w:basedOn w:val="21"/>
    <w:next w:val="1"/>
    <w:link w:val="1294"/>
    <w:qFormat/>
    <w:uiPriority w:val="0"/>
    <w:pPr>
      <w:tabs>
        <w:tab w:val="clear" w:pos="480"/>
      </w:tabs>
      <w:jc w:val="center"/>
    </w:pPr>
    <w:rPr>
      <w:bCs/>
      <w:snapToGrid w:val="0"/>
      <w:color w:val="000000"/>
      <w:sz w:val="21"/>
      <w:szCs w:val="21"/>
    </w:rPr>
  </w:style>
  <w:style w:type="character" w:customStyle="1" w:styleId="167">
    <w:name w:val="正文文本 字符"/>
    <w:link w:val="2"/>
    <w:qFormat/>
    <w:uiPriority w:val="0"/>
    <w:rPr>
      <w:rFonts w:ascii="宋体" w:hAnsi="宋体" w:eastAsia="宋体"/>
      <w:kern w:val="2"/>
      <w:sz w:val="21"/>
      <w:lang w:val="en-US" w:eastAsia="zh-CN" w:bidi="ar-SA"/>
    </w:rPr>
  </w:style>
  <w:style w:type="character" w:customStyle="1" w:styleId="168">
    <w:name w:val="题注 字符"/>
    <w:link w:val="23"/>
    <w:qFormat/>
    <w:uiPriority w:val="0"/>
    <w:rPr>
      <w:rFonts w:ascii="Arial" w:hAnsi="Arial" w:eastAsia="宋体" w:cs="Arial"/>
      <w:color w:val="000000"/>
      <w:kern w:val="2"/>
      <w:sz w:val="24"/>
      <w:lang w:val="en-US" w:eastAsia="zh-CN" w:bidi="ar-SA"/>
    </w:rPr>
  </w:style>
  <w:style w:type="paragraph" w:customStyle="1" w:styleId="169">
    <w:name w:val="小点"/>
    <w:qFormat/>
    <w:uiPriority w:val="0"/>
    <w:pPr>
      <w:tabs>
        <w:tab w:val="left" w:pos="1080"/>
        <w:tab w:val="left" w:pos="1140"/>
      </w:tabs>
      <w:adjustRightInd w:val="0"/>
      <w:snapToGrid w:val="0"/>
      <w:spacing w:line="360" w:lineRule="auto"/>
      <w:ind w:left="480" w:leftChars="200" w:firstLine="240" w:firstLineChars="100"/>
      <w:jc w:val="center"/>
    </w:pPr>
    <w:rPr>
      <w:rFonts w:ascii="宋体" w:hAnsi="宋体" w:eastAsia="宋体" w:cs="Arial"/>
      <w:bCs/>
      <w:kern w:val="2"/>
      <w:sz w:val="24"/>
      <w:szCs w:val="32"/>
      <w:lang w:val="en-US" w:eastAsia="zh-CN" w:bidi="ar-SA"/>
    </w:rPr>
  </w:style>
  <w:style w:type="paragraph" w:customStyle="1" w:styleId="170">
    <w:name w:val="表格标题"/>
    <w:basedOn w:val="161"/>
    <w:next w:val="171"/>
    <w:qFormat/>
    <w:uiPriority w:val="0"/>
    <w:pPr>
      <w:jc w:val="center"/>
    </w:pPr>
    <w:rPr>
      <w:rFonts w:ascii="仿宋_GB2312" w:hAnsi="宋体" w:eastAsia="仿宋_GB2312"/>
      <w:b/>
      <w:color w:val="000000"/>
      <w:szCs w:val="24"/>
      <w:lang w:val="zh-CN"/>
    </w:rPr>
  </w:style>
  <w:style w:type="paragraph" w:customStyle="1" w:styleId="171">
    <w:name w:val="表格内容"/>
    <w:qFormat/>
    <w:uiPriority w:val="0"/>
    <w:pPr>
      <w:snapToGrid w:val="0"/>
      <w:ind w:firstLine="482"/>
      <w:jc w:val="center"/>
    </w:pPr>
    <w:rPr>
      <w:rFonts w:ascii="Times New Roman" w:hAnsi="Times New Roman" w:eastAsia="宋体" w:cs="Times New Roman"/>
      <w:b/>
      <w:bCs/>
      <w:kern w:val="2"/>
      <w:sz w:val="24"/>
      <w:szCs w:val="24"/>
      <w:lang w:val="zh-CN" w:eastAsia="zh-CN" w:bidi="ar-SA"/>
    </w:rPr>
  </w:style>
  <w:style w:type="paragraph" w:customStyle="1" w:styleId="172">
    <w:name w:val="大表内容"/>
    <w:semiHidden/>
    <w:qFormat/>
    <w:uiPriority w:val="0"/>
    <w:pPr>
      <w:snapToGrid w:val="0"/>
      <w:jc w:val="center"/>
    </w:pPr>
    <w:rPr>
      <w:rFonts w:ascii="Times New Roman" w:hAnsi="宋体" w:eastAsia="宋体" w:cs="Times New Roman"/>
      <w:b/>
      <w:bCs/>
      <w:kern w:val="2"/>
      <w:sz w:val="24"/>
      <w:szCs w:val="24"/>
      <w:lang w:val="en-US" w:eastAsia="zh-CN" w:bidi="ar-SA"/>
    </w:rPr>
  </w:style>
  <w:style w:type="paragraph" w:customStyle="1" w:styleId="173">
    <w:name w:val="第几节"/>
    <w:basedOn w:val="1"/>
    <w:semiHidden/>
    <w:qFormat/>
    <w:uiPriority w:val="0"/>
    <w:pPr>
      <w:widowControl/>
      <w:tabs>
        <w:tab w:val="clear" w:pos="480"/>
      </w:tabs>
      <w:adjustRightInd w:val="0"/>
      <w:snapToGrid w:val="0"/>
      <w:spacing w:beforeLines="50"/>
      <w:ind w:firstLine="480"/>
      <w:jc w:val="center"/>
    </w:pPr>
    <w:rPr>
      <w:rFonts w:ascii="宋体" w:hAnsi="宋体" w:eastAsia="黑体"/>
      <w:b/>
      <w:color w:val="000000"/>
      <w:sz w:val="30"/>
    </w:rPr>
  </w:style>
  <w:style w:type="paragraph" w:customStyle="1" w:styleId="174">
    <w:name w:val="第几章"/>
    <w:basedOn w:val="173"/>
    <w:semiHidden/>
    <w:qFormat/>
    <w:uiPriority w:val="0"/>
    <w:pPr>
      <w:spacing w:beforeLines="0"/>
    </w:pPr>
    <w:rPr>
      <w:sz w:val="32"/>
    </w:rPr>
  </w:style>
  <w:style w:type="paragraph" w:customStyle="1" w:styleId="175">
    <w:name w:val="小五"/>
    <w:semiHidden/>
    <w:qFormat/>
    <w:uiPriority w:val="0"/>
    <w:pPr>
      <w:snapToGrid w:val="0"/>
      <w:jc w:val="center"/>
    </w:pPr>
    <w:rPr>
      <w:rFonts w:ascii="Times New Roman" w:hAnsi="Times New Roman" w:eastAsia="宋体" w:cs="Times New Roman"/>
      <w:b/>
      <w:kern w:val="2"/>
      <w:sz w:val="18"/>
      <w:szCs w:val="21"/>
      <w:lang w:val="en-US" w:eastAsia="zh-CN" w:bidi="ar-SA"/>
    </w:rPr>
  </w:style>
  <w:style w:type="paragraph" w:customStyle="1" w:styleId="176">
    <w:name w:val="注:"/>
    <w:semiHidden/>
    <w:qFormat/>
    <w:uiPriority w:val="0"/>
    <w:pPr>
      <w:jc w:val="center"/>
    </w:pPr>
    <w:rPr>
      <w:rFonts w:ascii="Times New Roman" w:hAnsi="Times New Roman" w:eastAsia="宋体" w:cs="Times New Roman"/>
      <w:kern w:val="2"/>
      <w:sz w:val="21"/>
      <w:szCs w:val="24"/>
      <w:lang w:val="en-US" w:eastAsia="zh-CN" w:bidi="ar-SA"/>
    </w:rPr>
  </w:style>
  <w:style w:type="paragraph" w:customStyle="1" w:styleId="177">
    <w:name w:val="正文1"/>
    <w:basedOn w:val="1"/>
    <w:link w:val="1327"/>
    <w:qFormat/>
    <w:uiPriority w:val="0"/>
    <w:pPr>
      <w:tabs>
        <w:tab w:val="clear" w:pos="480"/>
      </w:tabs>
      <w:adjustRightInd w:val="0"/>
      <w:spacing w:line="240" w:lineRule="auto"/>
    </w:pPr>
    <w:rPr>
      <w:rFonts w:eastAsia="楷体_GB2312"/>
      <w:szCs w:val="20"/>
    </w:rPr>
  </w:style>
  <w:style w:type="paragraph" w:customStyle="1" w:styleId="178">
    <w:name w:val="表格1"/>
    <w:basedOn w:val="1"/>
    <w:next w:val="1"/>
    <w:link w:val="179"/>
    <w:qFormat/>
    <w:uiPriority w:val="0"/>
    <w:pPr>
      <w:tabs>
        <w:tab w:val="clear" w:pos="480"/>
      </w:tabs>
      <w:topLinePunct/>
      <w:autoSpaceDE w:val="0"/>
      <w:autoSpaceDN w:val="0"/>
      <w:adjustRightInd w:val="0"/>
      <w:spacing w:line="240" w:lineRule="auto"/>
      <w:jc w:val="center"/>
      <w:textAlignment w:val="baseline"/>
    </w:pPr>
    <w:rPr>
      <w:rFonts w:ascii="宋体" w:hAnsi="Impact"/>
      <w:kern w:val="24"/>
      <w:sz w:val="28"/>
      <w:szCs w:val="20"/>
    </w:rPr>
  </w:style>
  <w:style w:type="character" w:customStyle="1" w:styleId="179">
    <w:name w:val="表格1 Char1"/>
    <w:link w:val="178"/>
    <w:qFormat/>
    <w:uiPriority w:val="0"/>
    <w:rPr>
      <w:rFonts w:ascii="宋体" w:hAnsi="Impact" w:eastAsia="宋体"/>
      <w:kern w:val="24"/>
      <w:sz w:val="28"/>
      <w:lang w:val="en-US" w:eastAsia="zh-CN" w:bidi="ar-SA"/>
    </w:rPr>
  </w:style>
  <w:style w:type="paragraph" w:customStyle="1" w:styleId="180">
    <w:name w:val="表格2"/>
    <w:basedOn w:val="1"/>
    <w:next w:val="1"/>
    <w:qFormat/>
    <w:uiPriority w:val="0"/>
    <w:pPr>
      <w:keepNext/>
      <w:tabs>
        <w:tab w:val="clear" w:pos="480"/>
      </w:tabs>
      <w:topLinePunct/>
      <w:autoSpaceDE w:val="0"/>
      <w:autoSpaceDN w:val="0"/>
      <w:adjustRightInd w:val="0"/>
      <w:spacing w:line="240" w:lineRule="auto"/>
      <w:jc w:val="center"/>
      <w:textAlignment w:val="baseline"/>
    </w:pPr>
    <w:rPr>
      <w:rFonts w:ascii="宋体"/>
      <w:kern w:val="0"/>
      <w:position w:val="-28"/>
      <w:sz w:val="21"/>
      <w:szCs w:val="20"/>
    </w:rPr>
  </w:style>
  <w:style w:type="paragraph" w:customStyle="1" w:styleId="181">
    <w:name w:val="标题1"/>
    <w:basedOn w:val="1"/>
    <w:qFormat/>
    <w:uiPriority w:val="0"/>
    <w:pPr>
      <w:tabs>
        <w:tab w:val="clear" w:pos="480"/>
      </w:tabs>
      <w:adjustRightInd w:val="0"/>
      <w:spacing w:line="240" w:lineRule="auto"/>
      <w:ind w:left="210" w:hanging="210"/>
      <w:jc w:val="left"/>
      <w:textAlignment w:val="baseline"/>
    </w:pPr>
    <w:rPr>
      <w:kern w:val="0"/>
      <w:szCs w:val="20"/>
    </w:rPr>
  </w:style>
  <w:style w:type="paragraph" w:customStyle="1" w:styleId="182">
    <w:name w:val="表格正文"/>
    <w:basedOn w:val="2"/>
    <w:next w:val="1"/>
    <w:qFormat/>
    <w:uiPriority w:val="0"/>
    <w:pPr>
      <w:jc w:val="center"/>
    </w:pPr>
    <w:rPr>
      <w:rFonts w:ascii="仿宋_GB2312" w:eastAsia="仿宋_GB2312"/>
    </w:rPr>
  </w:style>
  <w:style w:type="paragraph" w:customStyle="1" w:styleId="183">
    <w:name w:val="表格 23"/>
    <w:basedOn w:val="1"/>
    <w:semiHidden/>
    <w:qFormat/>
    <w:uiPriority w:val="0"/>
    <w:pPr>
      <w:tabs>
        <w:tab w:val="clear" w:pos="480"/>
      </w:tabs>
      <w:autoSpaceDE w:val="0"/>
      <w:autoSpaceDN w:val="0"/>
      <w:adjustRightInd w:val="0"/>
      <w:spacing w:line="240" w:lineRule="auto"/>
      <w:jc w:val="center"/>
    </w:pPr>
    <w:rPr>
      <w:rFonts w:eastAsia="仿宋体"/>
      <w:kern w:val="0"/>
      <w:sz w:val="21"/>
      <w:szCs w:val="20"/>
    </w:rPr>
  </w:style>
  <w:style w:type="paragraph" w:customStyle="1" w:styleId="184">
    <w:name w:val="xl24"/>
    <w:basedOn w:val="1"/>
    <w:link w:val="3432"/>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pPr>
    <w:rPr>
      <w:rFonts w:hint="eastAsia" w:ascii="仿宋_GB2312" w:hAnsi="Arial Unicode MS" w:eastAsia="仿宋_GB2312" w:cs="Arial Unicode MS"/>
      <w:kern w:val="0"/>
      <w:sz w:val="21"/>
      <w:szCs w:val="21"/>
    </w:rPr>
  </w:style>
  <w:style w:type="paragraph" w:customStyle="1" w:styleId="185">
    <w:name w:val="封面"/>
    <w:basedOn w:val="1"/>
    <w:qFormat/>
    <w:uiPriority w:val="0"/>
    <w:pPr>
      <w:tabs>
        <w:tab w:val="left" w:pos="1080"/>
        <w:tab w:val="clear" w:pos="480"/>
      </w:tabs>
      <w:jc w:val="left"/>
    </w:pPr>
    <w:rPr>
      <w:rFonts w:ascii="宋体" w:hAnsi="宋体"/>
      <w:bCs/>
    </w:rPr>
  </w:style>
  <w:style w:type="character" w:customStyle="1" w:styleId="186">
    <w:name w:val="标题 3 Char Char"/>
    <w:semiHidden/>
    <w:qFormat/>
    <w:uiPriority w:val="0"/>
    <w:rPr>
      <w:rFonts w:eastAsia="仿宋_GB2312"/>
      <w:b/>
      <w:kern w:val="2"/>
      <w:sz w:val="24"/>
      <w:lang w:val="en-US" w:eastAsia="zh-CN" w:bidi="ar-SA"/>
    </w:rPr>
  </w:style>
  <w:style w:type="paragraph" w:customStyle="1" w:styleId="187">
    <w:name w:val="表文字"/>
    <w:basedOn w:val="1"/>
    <w:link w:val="3609"/>
    <w:qFormat/>
    <w:uiPriority w:val="0"/>
    <w:pPr>
      <w:tabs>
        <w:tab w:val="clear" w:pos="480"/>
      </w:tabs>
      <w:overflowPunct w:val="0"/>
      <w:autoSpaceDE w:val="0"/>
      <w:autoSpaceDN w:val="0"/>
      <w:adjustRightInd w:val="0"/>
      <w:spacing w:line="240" w:lineRule="atLeast"/>
      <w:jc w:val="center"/>
      <w:textAlignment w:val="baseline"/>
    </w:pPr>
    <w:rPr>
      <w:kern w:val="0"/>
      <w:szCs w:val="20"/>
    </w:rPr>
  </w:style>
  <w:style w:type="paragraph" w:customStyle="1" w:styleId="188">
    <w:name w:val="纯文本1"/>
    <w:basedOn w:val="1"/>
    <w:link w:val="4037"/>
    <w:qFormat/>
    <w:uiPriority w:val="0"/>
    <w:pPr>
      <w:tabs>
        <w:tab w:val="clear" w:pos="480"/>
      </w:tabs>
      <w:adjustRightInd w:val="0"/>
      <w:spacing w:line="240" w:lineRule="auto"/>
      <w:textAlignment w:val="baseline"/>
    </w:pPr>
    <w:rPr>
      <w:rFonts w:ascii="宋体" w:hAnsi="Courier New"/>
      <w:sz w:val="21"/>
      <w:szCs w:val="20"/>
    </w:rPr>
  </w:style>
  <w:style w:type="paragraph" w:customStyle="1" w:styleId="189">
    <w:name w:val="封面1"/>
    <w:basedOn w:val="3"/>
    <w:qFormat/>
    <w:uiPriority w:val="0"/>
    <w:pPr>
      <w:keepNext w:val="0"/>
      <w:keepLines w:val="0"/>
      <w:tabs>
        <w:tab w:val="left" w:pos="432"/>
        <w:tab w:val="clear" w:pos="480"/>
      </w:tabs>
      <w:spacing w:before="0" w:after="0" w:line="240" w:lineRule="auto"/>
      <w:jc w:val="center"/>
      <w:outlineLvl w:val="9"/>
    </w:pPr>
    <w:rPr>
      <w:rFonts w:ascii="Impact" w:hAnsi="Impact" w:eastAsia="隶书"/>
      <w:b w:val="0"/>
      <w:bCs w:val="0"/>
      <w:szCs w:val="20"/>
    </w:rPr>
  </w:style>
  <w:style w:type="paragraph" w:customStyle="1" w:styleId="190">
    <w:name w:val="body"/>
    <w:basedOn w:val="1"/>
    <w:semiHidden/>
    <w:qFormat/>
    <w:uiPriority w:val="0"/>
    <w:pPr>
      <w:tabs>
        <w:tab w:val="clear" w:pos="480"/>
      </w:tabs>
    </w:pPr>
    <w:rPr>
      <w:rFonts w:ascii="宋体" w:hAnsi="宋体"/>
    </w:rPr>
  </w:style>
  <w:style w:type="paragraph" w:customStyle="1" w:styleId="191">
    <w:name w:val="样式1"/>
    <w:basedOn w:val="1"/>
    <w:link w:val="1240"/>
    <w:qFormat/>
    <w:uiPriority w:val="0"/>
    <w:pPr>
      <w:widowControl/>
      <w:tabs>
        <w:tab w:val="clear" w:pos="480"/>
      </w:tabs>
      <w:spacing w:line="498" w:lineRule="atLeast"/>
    </w:pPr>
    <w:rPr>
      <w:rFonts w:eastAsia="楷体_GB2312"/>
      <w:sz w:val="28"/>
    </w:rPr>
  </w:style>
  <w:style w:type="paragraph" w:customStyle="1" w:styleId="192">
    <w:name w:val="图文框"/>
    <w:basedOn w:val="164"/>
    <w:qFormat/>
    <w:uiPriority w:val="0"/>
    <w:pPr/>
    <w:rPr>
      <w:sz w:val="21"/>
      <w:szCs w:val="21"/>
    </w:rPr>
  </w:style>
  <w:style w:type="character" w:customStyle="1" w:styleId="193">
    <w:name w:val="p1061"/>
    <w:semiHidden/>
    <w:qFormat/>
    <w:uiPriority w:val="0"/>
    <w:rPr>
      <w:spacing w:val="300"/>
      <w:sz w:val="21"/>
      <w:szCs w:val="21"/>
    </w:rPr>
  </w:style>
  <w:style w:type="paragraph" w:customStyle="1" w:styleId="194">
    <w:name w:val="xl25"/>
    <w:basedOn w:val="1"/>
    <w:qFormat/>
    <w:uiPriority w:val="0"/>
    <w:pPr>
      <w:widowControl/>
      <w:pBdr>
        <w:bottom w:val="single" w:color="auto" w:sz="4" w:space="0"/>
        <w:right w:val="single" w:color="auto" w:sz="4" w:space="0"/>
      </w:pBdr>
      <w:tabs>
        <w:tab w:val="clear" w:pos="480"/>
      </w:tabs>
      <w:spacing w:before="100" w:beforeAutospacing="1" w:after="100" w:afterAutospacing="1" w:line="240" w:lineRule="auto"/>
      <w:jc w:val="center"/>
      <w:textAlignment w:val="top"/>
    </w:pPr>
    <w:rPr>
      <w:kern w:val="0"/>
      <w:sz w:val="21"/>
      <w:szCs w:val="21"/>
    </w:rPr>
  </w:style>
  <w:style w:type="paragraph" w:customStyle="1" w:styleId="195">
    <w:name w:val="表格 31"/>
    <w:semiHidden/>
    <w:qFormat/>
    <w:uiPriority w:val="0"/>
    <w:pPr>
      <w:widowControl w:val="0"/>
      <w:autoSpaceDE w:val="0"/>
      <w:autoSpaceDN w:val="0"/>
      <w:adjustRightInd w:val="0"/>
      <w:jc w:val="center"/>
      <w:textAlignment w:val="baseline"/>
    </w:pPr>
    <w:rPr>
      <w:rFonts w:ascii="Times New Roman" w:hAnsi="Times New Roman" w:eastAsia="楷体" w:cs="Times New Roman"/>
      <w:kern w:val="2"/>
      <w:sz w:val="28"/>
      <w:szCs w:val="24"/>
      <w:lang w:val="en-US" w:eastAsia="zh-CN" w:bidi="ar-SA"/>
    </w:rPr>
  </w:style>
  <w:style w:type="paragraph" w:customStyle="1" w:styleId="196">
    <w:name w:val="Char"/>
    <w:basedOn w:val="1"/>
    <w:qFormat/>
    <w:uiPriority w:val="0"/>
    <w:pPr>
      <w:tabs>
        <w:tab w:val="clear" w:pos="480"/>
      </w:tabs>
      <w:spacing w:line="240" w:lineRule="auto"/>
    </w:pPr>
    <w:rPr>
      <w:sz w:val="21"/>
      <w:szCs w:val="21"/>
    </w:rPr>
  </w:style>
  <w:style w:type="paragraph" w:customStyle="1" w:styleId="197">
    <w:name w:val="Char Char Char Char Char Char Char Char Char Char Char Char1 Char"/>
    <w:basedOn w:val="1"/>
    <w:semiHidden/>
    <w:qFormat/>
    <w:uiPriority w:val="0"/>
    <w:pPr>
      <w:tabs>
        <w:tab w:val="clear" w:pos="480"/>
      </w:tabs>
    </w:pPr>
    <w:rPr>
      <w:szCs w:val="20"/>
    </w:rPr>
  </w:style>
  <w:style w:type="paragraph" w:customStyle="1" w:styleId="198">
    <w:name w:val="正文首行缩进 2 + Times New Roman"/>
    <w:basedOn w:val="1"/>
    <w:semiHidden/>
    <w:qFormat/>
    <w:uiPriority w:val="0"/>
    <w:pPr>
      <w:tabs>
        <w:tab w:val="left" w:pos="0"/>
        <w:tab w:val="left" w:pos="870"/>
        <w:tab w:val="clear" w:pos="480"/>
      </w:tabs>
      <w:autoSpaceDE w:val="0"/>
      <w:autoSpaceDN w:val="0"/>
      <w:ind w:firstLine="480"/>
    </w:pPr>
    <w:rPr>
      <w:rFonts w:hAnsi="宋体"/>
      <w:kern w:val="0"/>
    </w:rPr>
  </w:style>
  <w:style w:type="character" w:customStyle="1" w:styleId="199">
    <w:name w:val="批注文字 字符"/>
    <w:link w:val="29"/>
    <w:qFormat/>
    <w:uiPriority w:val="0"/>
    <w:rPr>
      <w:rFonts w:eastAsia="宋体"/>
      <w:sz w:val="24"/>
      <w:lang w:val="en-US" w:eastAsia="zh-CN" w:bidi="ar-SA"/>
    </w:rPr>
  </w:style>
  <w:style w:type="paragraph" w:customStyle="1" w:styleId="200">
    <w:name w:val="表格文字2"/>
    <w:basedOn w:val="1"/>
    <w:qFormat/>
    <w:uiPriority w:val="0"/>
    <w:pPr>
      <w:tabs>
        <w:tab w:val="left" w:pos="277"/>
        <w:tab w:val="left" w:pos="600"/>
        <w:tab w:val="left" w:pos="780"/>
        <w:tab w:val="left" w:pos="2517"/>
        <w:tab w:val="clear" w:pos="480"/>
      </w:tabs>
      <w:adjustRightInd w:val="0"/>
      <w:spacing w:line="240" w:lineRule="auto"/>
      <w:jc w:val="center"/>
      <w:textAlignment w:val="baseline"/>
    </w:pPr>
    <w:rPr>
      <w:kern w:val="0"/>
      <w:sz w:val="21"/>
      <w:szCs w:val="21"/>
    </w:rPr>
  </w:style>
  <w:style w:type="paragraph" w:customStyle="1" w:styleId="201">
    <w:name w:val="样式 正文文本缩进正文文字( 首段缩进两字） + 宋体"/>
    <w:basedOn w:val="35"/>
    <w:link w:val="202"/>
    <w:semiHidden/>
    <w:qFormat/>
    <w:uiPriority w:val="0"/>
    <w:rPr>
      <w:rFonts w:ascii="宋体" w:hAnsi="宋体"/>
      <w:snapToGrid w:val="0"/>
    </w:rPr>
  </w:style>
  <w:style w:type="character" w:customStyle="1" w:styleId="202">
    <w:name w:val="样式 正文文本缩进正文文字( 首段缩进两字） + 宋体 Char"/>
    <w:link w:val="201"/>
    <w:qFormat/>
    <w:uiPriority w:val="0"/>
    <w:rPr>
      <w:rFonts w:ascii="宋体" w:hAnsi="宋体" w:eastAsia="宋体"/>
      <w:snapToGrid w:val="0"/>
      <w:kern w:val="2"/>
      <w:sz w:val="24"/>
      <w:szCs w:val="24"/>
      <w:lang w:val="en-US" w:eastAsia="zh-CN" w:bidi="ar-SA"/>
    </w:rPr>
  </w:style>
  <w:style w:type="character" w:customStyle="1" w:styleId="203">
    <w:name w:val="neiyetest1"/>
    <w:qFormat/>
    <w:uiPriority w:val="0"/>
    <w:rPr>
      <w:rFonts w:hint="default" w:ascii="ˎ̥" w:hAnsi="ˎ̥"/>
      <w:color w:val="000000"/>
      <w:sz w:val="20"/>
      <w:szCs w:val="20"/>
    </w:rPr>
  </w:style>
  <w:style w:type="paragraph" w:customStyle="1" w:styleId="204">
    <w:name w:val="样式 标题 4Subsection + 宋体 小四"/>
    <w:basedOn w:val="6"/>
    <w:link w:val="205"/>
    <w:semiHidden/>
    <w:qFormat/>
    <w:uiPriority w:val="0"/>
    <w:rPr>
      <w:rFonts w:ascii="宋体" w:eastAsia="宋体"/>
    </w:rPr>
  </w:style>
  <w:style w:type="character" w:customStyle="1" w:styleId="205">
    <w:name w:val="样式 标题 4Subsection + 宋体 小四 Char"/>
    <w:link w:val="204"/>
    <w:semiHidden/>
    <w:qFormat/>
    <w:uiPriority w:val="0"/>
    <w:rPr>
      <w:rFonts w:ascii="宋体" w:hAnsi="宋体"/>
      <w:b/>
      <w:bCs/>
      <w:kern w:val="2"/>
      <w:sz w:val="28"/>
      <w:szCs w:val="28"/>
      <w:lang w:val="zh-CN"/>
    </w:rPr>
  </w:style>
  <w:style w:type="table" w:customStyle="1" w:styleId="206">
    <w:name w:val="设计院"/>
    <w:basedOn w:val="88"/>
    <w:qFormat/>
    <w:uiPriority w:val="0"/>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207">
    <w:name w:val="缩进"/>
    <w:basedOn w:val="1"/>
    <w:link w:val="1838"/>
    <w:semiHidden/>
    <w:qFormat/>
    <w:uiPriority w:val="0"/>
    <w:pPr>
      <w:tabs>
        <w:tab w:val="clear" w:pos="480"/>
      </w:tabs>
      <w:autoSpaceDE w:val="0"/>
      <w:autoSpaceDN w:val="0"/>
      <w:adjustRightInd w:val="0"/>
      <w:spacing w:line="400" w:lineRule="atLeast"/>
      <w:ind w:firstLine="425"/>
      <w:textAlignment w:val="baseline"/>
    </w:pPr>
    <w:rPr>
      <w:kern w:val="0"/>
      <w:szCs w:val="20"/>
    </w:rPr>
  </w:style>
  <w:style w:type="paragraph" w:customStyle="1" w:styleId="208">
    <w:name w:val="样式2"/>
    <w:basedOn w:val="1"/>
    <w:qFormat/>
    <w:uiPriority w:val="0"/>
    <w:pPr>
      <w:tabs>
        <w:tab w:val="clear" w:pos="480"/>
      </w:tabs>
      <w:adjustRightInd w:val="0"/>
      <w:snapToGrid w:val="0"/>
      <w:spacing w:line="240" w:lineRule="auto"/>
      <w:jc w:val="left"/>
    </w:pPr>
    <w:rPr>
      <w:rFonts w:ascii="宋体" w:hAnsi="宋体"/>
      <w:b/>
      <w:bCs/>
      <w:color w:val="000000"/>
    </w:rPr>
  </w:style>
  <w:style w:type="paragraph" w:customStyle="1" w:styleId="209">
    <w:name w:val="样式 样式3 + 首行缩进:  2 字符"/>
    <w:basedOn w:val="1"/>
    <w:semiHidden/>
    <w:qFormat/>
    <w:uiPriority w:val="0"/>
    <w:pPr>
      <w:tabs>
        <w:tab w:val="clear" w:pos="480"/>
      </w:tabs>
      <w:adjustRightInd w:val="0"/>
      <w:snapToGrid w:val="0"/>
      <w:ind w:firstLine="480"/>
    </w:pPr>
    <w:rPr>
      <w:rFonts w:cs="宋体"/>
      <w:color w:val="000000"/>
      <w:szCs w:val="20"/>
    </w:rPr>
  </w:style>
  <w:style w:type="paragraph" w:customStyle="1" w:styleId="210">
    <w:name w:val="Char Char Char Char Char Char Char Char Char Char Char Char Char"/>
    <w:basedOn w:val="1"/>
    <w:qFormat/>
    <w:uiPriority w:val="0"/>
    <w:pPr>
      <w:tabs>
        <w:tab w:val="clear" w:pos="480"/>
      </w:tabs>
      <w:spacing w:line="240" w:lineRule="auto"/>
    </w:pPr>
    <w:rPr>
      <w:sz w:val="21"/>
      <w:szCs w:val="21"/>
    </w:rPr>
  </w:style>
  <w:style w:type="paragraph" w:customStyle="1" w:styleId="211">
    <w:name w:val="报告正文"/>
    <w:basedOn w:val="1"/>
    <w:qFormat/>
    <w:uiPriority w:val="0"/>
    <w:pPr>
      <w:tabs>
        <w:tab w:val="clear" w:pos="480"/>
      </w:tabs>
      <w:adjustRightInd w:val="0"/>
      <w:snapToGrid w:val="0"/>
    </w:pPr>
    <w:rPr>
      <w:rFonts w:ascii="宋体"/>
      <w:szCs w:val="20"/>
    </w:rPr>
  </w:style>
  <w:style w:type="paragraph" w:customStyle="1" w:styleId="212">
    <w:name w:val="font0"/>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13">
    <w:name w:val="font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14">
    <w:name w:val="font6"/>
    <w:basedOn w:val="1"/>
    <w:qFormat/>
    <w:uiPriority w:val="0"/>
    <w:pPr>
      <w:widowControl/>
      <w:tabs>
        <w:tab w:val="clear" w:pos="480"/>
      </w:tabs>
      <w:spacing w:before="100" w:beforeAutospacing="1" w:after="100" w:afterAutospacing="1" w:line="240" w:lineRule="auto"/>
      <w:jc w:val="left"/>
    </w:pPr>
    <w:rPr>
      <w:rFonts w:ascii="宋体" w:hAnsi="宋体" w:cs="宋体"/>
      <w:kern w:val="0"/>
      <w:sz w:val="18"/>
      <w:szCs w:val="18"/>
    </w:rPr>
  </w:style>
  <w:style w:type="paragraph" w:customStyle="1" w:styleId="215">
    <w:name w:val="样式 表格 32 + 首行缩进:  2 字符"/>
    <w:basedOn w:val="164"/>
    <w:semiHidden/>
    <w:qFormat/>
    <w:uiPriority w:val="0"/>
    <w:pPr>
      <w:spacing w:line="240" w:lineRule="atLeast"/>
    </w:pPr>
    <w:rPr>
      <w:sz w:val="21"/>
      <w:szCs w:val="21"/>
    </w:rPr>
  </w:style>
  <w:style w:type="paragraph" w:customStyle="1" w:styleId="216">
    <w:name w:val="正 文"/>
    <w:link w:val="217"/>
    <w:semiHidden/>
    <w:qFormat/>
    <w:uiPriority w:val="0"/>
    <w:pPr>
      <w:widowControl w:val="0"/>
      <w:spacing w:line="480" w:lineRule="exact"/>
      <w:ind w:firstLine="471"/>
      <w:jc w:val="both"/>
    </w:pPr>
    <w:rPr>
      <w:rFonts w:ascii="Times New Roman" w:hAnsi="Times New Roman" w:eastAsia="宋体" w:cs="Times New Roman"/>
      <w:kern w:val="2"/>
      <w:sz w:val="24"/>
      <w:szCs w:val="24"/>
      <w:lang w:val="en-US" w:eastAsia="zh-CN" w:bidi="ar-SA"/>
    </w:rPr>
  </w:style>
  <w:style w:type="character" w:customStyle="1" w:styleId="217">
    <w:name w:val="正 文 Char"/>
    <w:link w:val="216"/>
    <w:semiHidden/>
    <w:qFormat/>
    <w:uiPriority w:val="0"/>
    <w:rPr>
      <w:kern w:val="2"/>
      <w:sz w:val="24"/>
      <w:szCs w:val="24"/>
      <w:lang w:val="en-US" w:eastAsia="zh-CN" w:bidi="ar-SA"/>
    </w:rPr>
  </w:style>
  <w:style w:type="paragraph" w:customStyle="1" w:styleId="218">
    <w:name w:val="正文表格"/>
    <w:basedOn w:val="1"/>
    <w:semiHidden/>
    <w:qFormat/>
    <w:uiPriority w:val="0"/>
    <w:pPr>
      <w:tabs>
        <w:tab w:val="clear" w:pos="480"/>
      </w:tabs>
      <w:spacing w:line="240" w:lineRule="auto"/>
      <w:jc w:val="center"/>
    </w:pPr>
    <w:rPr>
      <w:rFonts w:ascii="宋体" w:hAnsi="宋体"/>
      <w:sz w:val="21"/>
      <w:szCs w:val="20"/>
    </w:rPr>
  </w:style>
  <w:style w:type="paragraph" w:customStyle="1" w:styleId="219">
    <w:name w:val="默认段落字体 Para Char Char Char Char Char Char Char Char Char Char Char Char Char1 Char"/>
    <w:basedOn w:val="27"/>
    <w:semiHidden/>
    <w:qFormat/>
    <w:uiPriority w:val="0"/>
    <w:pPr/>
    <w:rPr>
      <w:bCs/>
      <w:sz w:val="24"/>
    </w:rPr>
  </w:style>
  <w:style w:type="paragraph" w:customStyle="1" w:styleId="220">
    <w:name w:val="表格、图表名称"/>
    <w:basedOn w:val="1"/>
    <w:link w:val="221"/>
    <w:semiHidden/>
    <w:qFormat/>
    <w:uiPriority w:val="0"/>
    <w:pPr>
      <w:tabs>
        <w:tab w:val="clear" w:pos="480"/>
      </w:tabs>
      <w:jc w:val="center"/>
    </w:pPr>
    <w:rPr>
      <w:b/>
      <w:szCs w:val="22"/>
    </w:rPr>
  </w:style>
  <w:style w:type="character" w:customStyle="1" w:styleId="221">
    <w:name w:val="表格、图表名称 Char"/>
    <w:link w:val="220"/>
    <w:qFormat/>
    <w:uiPriority w:val="0"/>
    <w:rPr>
      <w:rFonts w:eastAsia="宋体"/>
      <w:b/>
      <w:kern w:val="2"/>
      <w:sz w:val="24"/>
      <w:szCs w:val="22"/>
      <w:lang w:val="en-US" w:eastAsia="zh-CN" w:bidi="ar-SA"/>
    </w:rPr>
  </w:style>
  <w:style w:type="paragraph" w:customStyle="1" w:styleId="222">
    <w:name w:val="表格文字"/>
    <w:basedOn w:val="85"/>
    <w:link w:val="223"/>
    <w:qFormat/>
    <w:uiPriority w:val="0"/>
    <w:pPr>
      <w:jc w:val="center"/>
    </w:pPr>
    <w:rPr>
      <w:szCs w:val="22"/>
    </w:rPr>
  </w:style>
  <w:style w:type="character" w:customStyle="1" w:styleId="223">
    <w:name w:val="表格文字 Char"/>
    <w:link w:val="222"/>
    <w:qFormat/>
    <w:uiPriority w:val="0"/>
    <w:rPr>
      <w:rFonts w:eastAsia="宋体"/>
      <w:kern w:val="2"/>
      <w:sz w:val="21"/>
      <w:szCs w:val="22"/>
      <w:lang w:val="en-US" w:eastAsia="zh-CN" w:bidi="ar-SA"/>
    </w:rPr>
  </w:style>
  <w:style w:type="paragraph" w:customStyle="1" w:styleId="224">
    <w:name w:val="佛表"/>
    <w:basedOn w:val="66"/>
    <w:link w:val="1819"/>
    <w:semiHidden/>
    <w:qFormat/>
    <w:uiPriority w:val="0"/>
    <w:pPr>
      <w:ind w:left="0" w:firstLine="0" w:firstLineChars="0"/>
      <w:jc w:val="center"/>
    </w:pPr>
    <w:rPr>
      <w:color w:val="000000"/>
      <w:szCs w:val="21"/>
    </w:rPr>
  </w:style>
  <w:style w:type="paragraph" w:customStyle="1" w:styleId="225">
    <w:name w:val="表题"/>
    <w:basedOn w:val="1"/>
    <w:qFormat/>
    <w:uiPriority w:val="0"/>
    <w:pPr>
      <w:keepNext/>
      <w:tabs>
        <w:tab w:val="clear" w:pos="480"/>
      </w:tabs>
      <w:adjustRightInd w:val="0"/>
      <w:snapToGrid w:val="0"/>
      <w:spacing w:beforeLines="50" w:afterLines="50" w:line="400" w:lineRule="exact"/>
      <w:ind w:firstLine="480"/>
      <w:jc w:val="left"/>
      <w:outlineLvl w:val="1"/>
    </w:pPr>
    <w:rPr>
      <w:rFonts w:ascii="黑体" w:hAnsi="Arial" w:eastAsia="黑体"/>
      <w:spacing w:val="16"/>
      <w:kern w:val="0"/>
      <w:sz w:val="28"/>
      <w:szCs w:val="28"/>
    </w:rPr>
  </w:style>
  <w:style w:type="paragraph" w:customStyle="1" w:styleId="226">
    <w:name w:val="Char Char Char Char"/>
    <w:basedOn w:val="1"/>
    <w:qFormat/>
    <w:uiPriority w:val="0"/>
    <w:pPr>
      <w:tabs>
        <w:tab w:val="clear" w:pos="480"/>
      </w:tabs>
      <w:spacing w:line="240" w:lineRule="auto"/>
    </w:pPr>
    <w:rPr>
      <w:sz w:val="21"/>
    </w:rPr>
  </w:style>
  <w:style w:type="character" w:customStyle="1" w:styleId="227">
    <w:name w:val="H2 Char"/>
    <w:qFormat/>
    <w:uiPriority w:val="0"/>
    <w:rPr>
      <w:rFonts w:ascii="宋体" w:hAnsi="宋体" w:eastAsia="宋体"/>
      <w:b/>
      <w:snapToGrid w:val="0"/>
      <w:sz w:val="28"/>
      <w:lang w:val="en-US" w:eastAsia="zh-CN" w:bidi="ar-SA"/>
    </w:rPr>
  </w:style>
  <w:style w:type="paragraph" w:customStyle="1" w:styleId="228">
    <w:name w:val="正文 + 宋体"/>
    <w:basedOn w:val="1"/>
    <w:link w:val="1091"/>
    <w:semiHidden/>
    <w:qFormat/>
    <w:uiPriority w:val="0"/>
    <w:pPr>
      <w:tabs>
        <w:tab w:val="clear" w:pos="480"/>
      </w:tabs>
      <w:snapToGrid w:val="0"/>
      <w:spacing w:line="400" w:lineRule="exact"/>
      <w:ind w:firstLine="480"/>
    </w:pPr>
    <w:rPr>
      <w:rFonts w:ascii="宋体" w:hAnsi="宋体"/>
      <w:color w:val="000000"/>
    </w:rPr>
  </w:style>
  <w:style w:type="paragraph" w:customStyle="1" w:styleId="229">
    <w:name w:val="样式 表格 32 + 首行缩进:  2 字符1"/>
    <w:basedOn w:val="164"/>
    <w:semiHidden/>
    <w:qFormat/>
    <w:uiPriority w:val="0"/>
    <w:pPr>
      <w:spacing w:line="240" w:lineRule="auto"/>
    </w:pPr>
    <w:rPr>
      <w:rFonts w:cs="宋体"/>
      <w:sz w:val="21"/>
      <w:szCs w:val="21"/>
    </w:rPr>
  </w:style>
  <w:style w:type="paragraph" w:customStyle="1" w:styleId="230">
    <w:name w:val="表内文字"/>
    <w:basedOn w:val="1"/>
    <w:next w:val="1"/>
    <w:qFormat/>
    <w:uiPriority w:val="0"/>
    <w:pPr>
      <w:tabs>
        <w:tab w:val="clear" w:pos="480"/>
      </w:tabs>
      <w:adjustRightInd w:val="0"/>
      <w:spacing w:line="360" w:lineRule="atLeast"/>
      <w:jc w:val="center"/>
      <w:textAlignment w:val="baseline"/>
    </w:pPr>
    <w:rPr>
      <w:kern w:val="0"/>
      <w:sz w:val="21"/>
      <w:szCs w:val="20"/>
    </w:rPr>
  </w:style>
  <w:style w:type="paragraph" w:customStyle="1" w:styleId="231">
    <w:name w:val="章标题"/>
    <w:next w:val="1"/>
    <w:qFormat/>
    <w:uiPriority w:val="0"/>
    <w:pPr>
      <w:tabs>
        <w:tab w:val="left" w:pos="720"/>
        <w:tab w:val="left" w:pos="903"/>
      </w:tabs>
      <w:spacing w:before="50" w:after="50"/>
      <w:ind w:left="903" w:hanging="315"/>
      <w:jc w:val="both"/>
      <w:outlineLvl w:val="1"/>
    </w:pPr>
    <w:rPr>
      <w:rFonts w:ascii="黑体" w:hAnsi="Times New Roman" w:eastAsia="黑体" w:cs="Times New Roman"/>
      <w:kern w:val="2"/>
      <w:sz w:val="21"/>
      <w:szCs w:val="21"/>
      <w:lang w:val="en-US" w:eastAsia="zh-CN" w:bidi="ar-SA"/>
    </w:rPr>
  </w:style>
  <w:style w:type="paragraph" w:customStyle="1" w:styleId="232">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kern w:val="2"/>
      <w:sz w:val="32"/>
      <w:szCs w:val="32"/>
      <w:lang w:val="en-US" w:eastAsia="zh-CN" w:bidi="ar-SA"/>
    </w:rPr>
  </w:style>
  <w:style w:type="paragraph" w:customStyle="1" w:styleId="233">
    <w:name w:val="一级条标题"/>
    <w:basedOn w:val="231"/>
    <w:next w:val="1"/>
    <w:qFormat/>
    <w:uiPriority w:val="0"/>
    <w:pPr>
      <w:tabs>
        <w:tab w:val="left" w:pos="360"/>
        <w:tab w:val="left" w:pos="1260"/>
        <w:tab w:val="left" w:pos="1287"/>
        <w:tab w:val="clear" w:pos="720"/>
      </w:tabs>
      <w:spacing w:before="0" w:after="0"/>
      <w:ind w:left="0" w:firstLine="567"/>
      <w:outlineLvl w:val="2"/>
    </w:pPr>
  </w:style>
  <w:style w:type="paragraph" w:customStyle="1" w:styleId="234">
    <w:name w:val="二级条标题"/>
    <w:basedOn w:val="233"/>
    <w:next w:val="1"/>
    <w:qFormat/>
    <w:uiPriority w:val="0"/>
    <w:pPr>
      <w:tabs>
        <w:tab w:val="left" w:pos="1680"/>
        <w:tab w:val="clear" w:pos="1260"/>
      </w:tabs>
      <w:ind w:left="1680" w:hanging="420"/>
      <w:outlineLvl w:val="3"/>
    </w:pPr>
  </w:style>
  <w:style w:type="paragraph" w:customStyle="1" w:styleId="235">
    <w:name w:val="三级条标题"/>
    <w:basedOn w:val="234"/>
    <w:next w:val="1"/>
    <w:qFormat/>
    <w:uiPriority w:val="0"/>
    <w:pPr>
      <w:tabs>
        <w:tab w:val="left" w:pos="2100"/>
        <w:tab w:val="clear" w:pos="1287"/>
      </w:tabs>
      <w:ind w:left="2100"/>
      <w:outlineLvl w:val="4"/>
    </w:pPr>
  </w:style>
  <w:style w:type="paragraph" w:customStyle="1" w:styleId="236">
    <w:name w:val="四级条标题"/>
    <w:basedOn w:val="235"/>
    <w:next w:val="1"/>
    <w:qFormat/>
    <w:uiPriority w:val="0"/>
    <w:pPr>
      <w:tabs>
        <w:tab w:val="left" w:pos="2520"/>
        <w:tab w:val="clear" w:pos="1680"/>
      </w:tabs>
      <w:ind w:left="2520"/>
      <w:outlineLvl w:val="5"/>
    </w:pPr>
  </w:style>
  <w:style w:type="paragraph" w:customStyle="1" w:styleId="237">
    <w:name w:val="五级条标题"/>
    <w:basedOn w:val="236"/>
    <w:next w:val="1"/>
    <w:qFormat/>
    <w:uiPriority w:val="0"/>
    <w:pPr>
      <w:tabs>
        <w:tab w:val="left" w:pos="2940"/>
        <w:tab w:val="clear" w:pos="2100"/>
      </w:tabs>
      <w:ind w:left="2940"/>
      <w:outlineLvl w:val="6"/>
    </w:pPr>
  </w:style>
  <w:style w:type="paragraph" w:customStyle="1" w:styleId="238">
    <w:name w:val="图标"/>
    <w:basedOn w:val="1"/>
    <w:qFormat/>
    <w:uiPriority w:val="0"/>
    <w:pPr>
      <w:tabs>
        <w:tab w:val="left" w:pos="1920"/>
        <w:tab w:val="clear" w:pos="480"/>
      </w:tabs>
      <w:spacing w:line="400" w:lineRule="atLeast"/>
      <w:jc w:val="center"/>
    </w:pPr>
    <w:rPr>
      <w:bCs/>
      <w:color w:val="000000"/>
      <w:szCs w:val="21"/>
    </w:rPr>
  </w:style>
  <w:style w:type="paragraph" w:customStyle="1" w:styleId="239">
    <w:name w:val="xl33"/>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pPr>
    <w:rPr>
      <w:rFonts w:hint="eastAsia" w:ascii="宋体" w:hAnsi="宋体"/>
      <w:kern w:val="0"/>
      <w:szCs w:val="28"/>
    </w:rPr>
  </w:style>
  <w:style w:type="paragraph" w:customStyle="1" w:styleId="240">
    <w:name w:val="表内字"/>
    <w:basedOn w:val="45"/>
    <w:link w:val="3417"/>
    <w:qFormat/>
    <w:uiPriority w:val="0"/>
    <w:pPr>
      <w:snapToGrid w:val="0"/>
      <w:spacing w:line="360" w:lineRule="auto"/>
      <w:jc w:val="center"/>
    </w:pPr>
    <w:rPr>
      <w:rFonts w:ascii="Times New Roman" w:hAnsi="Times New Roman"/>
      <w:kern w:val="0"/>
      <w:sz w:val="24"/>
    </w:rPr>
  </w:style>
  <w:style w:type="character" w:customStyle="1" w:styleId="241">
    <w:name w:val="bt21"/>
    <w:semiHidden/>
    <w:qFormat/>
    <w:uiPriority w:val="0"/>
    <w:rPr>
      <w:rFonts w:hint="eastAsia" w:ascii="黑体" w:eastAsia="黑体"/>
      <w:spacing w:val="400"/>
      <w:sz w:val="24"/>
      <w:szCs w:val="24"/>
    </w:rPr>
  </w:style>
  <w:style w:type="character" w:customStyle="1" w:styleId="242">
    <w:name w:val="zw1"/>
    <w:semiHidden/>
    <w:qFormat/>
    <w:uiPriority w:val="0"/>
    <w:rPr>
      <w:rFonts w:hint="eastAsia" w:ascii="宋体" w:hAnsi="宋体" w:eastAsia="宋体"/>
      <w:spacing w:val="400"/>
      <w:sz w:val="22"/>
      <w:szCs w:val="22"/>
    </w:rPr>
  </w:style>
  <w:style w:type="character" w:customStyle="1" w:styleId="243">
    <w:name w:val="bt11"/>
    <w:semiHidden/>
    <w:qFormat/>
    <w:uiPriority w:val="0"/>
    <w:rPr>
      <w:rFonts w:hint="eastAsia" w:ascii="黑体" w:eastAsia="黑体"/>
      <w:color w:val="000000"/>
      <w:spacing w:val="700"/>
      <w:sz w:val="28"/>
      <w:szCs w:val="28"/>
    </w:rPr>
  </w:style>
  <w:style w:type="paragraph" w:customStyle="1" w:styleId="244">
    <w:name w:val="xl21"/>
    <w:basedOn w:val="1"/>
    <w:semiHidden/>
    <w:qFormat/>
    <w:uiPriority w:val="0"/>
    <w:pPr>
      <w:widowControl/>
      <w:tabs>
        <w:tab w:val="clear" w:pos="480"/>
      </w:tabs>
      <w:spacing w:before="100" w:beforeAutospacing="1" w:after="100" w:afterAutospacing="1" w:line="240" w:lineRule="auto"/>
      <w:jc w:val="center"/>
    </w:pPr>
    <w:rPr>
      <w:rFonts w:ascii="宋体" w:hAnsi="宋体"/>
      <w:kern w:val="0"/>
    </w:rPr>
  </w:style>
  <w:style w:type="paragraph" w:customStyle="1" w:styleId="245">
    <w:name w:val="表格32"/>
    <w:basedOn w:val="1"/>
    <w:semiHidden/>
    <w:qFormat/>
    <w:uiPriority w:val="0"/>
    <w:pPr>
      <w:tabs>
        <w:tab w:val="clear" w:pos="480"/>
      </w:tabs>
      <w:adjustRightInd w:val="0"/>
      <w:spacing w:line="240" w:lineRule="auto"/>
      <w:ind w:firstLine="480"/>
      <w:jc w:val="center"/>
      <w:textAlignment w:val="center"/>
    </w:pPr>
    <w:rPr>
      <w:rFonts w:eastAsia="仿宋_GB2312"/>
      <w:szCs w:val="20"/>
    </w:rPr>
  </w:style>
  <w:style w:type="paragraph" w:customStyle="1" w:styleId="246">
    <w:name w:val="样式"/>
    <w:basedOn w:val="1"/>
    <w:next w:val="35"/>
    <w:qFormat/>
    <w:uiPriority w:val="0"/>
    <w:pPr>
      <w:tabs>
        <w:tab w:val="clear" w:pos="480"/>
      </w:tabs>
      <w:adjustRightInd w:val="0"/>
      <w:ind w:firstLine="480"/>
      <w:textAlignment w:val="baseline"/>
    </w:pPr>
    <w:rPr>
      <w:rFonts w:ascii="宋体"/>
      <w:kern w:val="0"/>
    </w:rPr>
  </w:style>
  <w:style w:type="paragraph" w:customStyle="1" w:styleId="247">
    <w:name w:val="批注框文本1"/>
    <w:basedOn w:val="1"/>
    <w:semiHidden/>
    <w:qFormat/>
    <w:uiPriority w:val="0"/>
    <w:pPr>
      <w:tabs>
        <w:tab w:val="clear" w:pos="480"/>
      </w:tabs>
      <w:spacing w:line="240" w:lineRule="auto"/>
    </w:pPr>
    <w:rPr>
      <w:sz w:val="18"/>
      <w:szCs w:val="18"/>
    </w:rPr>
  </w:style>
  <w:style w:type="paragraph" w:customStyle="1" w:styleId="248">
    <w:name w:val="xl26"/>
    <w:basedOn w:val="1"/>
    <w:qFormat/>
    <w:uiPriority w:val="0"/>
    <w:pPr>
      <w:widowControl/>
      <w:pBdr>
        <w:bottom w:val="single" w:color="auto" w:sz="4" w:space="0"/>
        <w:right w:val="single" w:color="auto" w:sz="4" w:space="0"/>
      </w:pBdr>
      <w:tabs>
        <w:tab w:val="clear" w:pos="480"/>
      </w:tabs>
      <w:spacing w:before="100" w:beforeAutospacing="1" w:after="100" w:afterAutospacing="1" w:line="240" w:lineRule="auto"/>
      <w:jc w:val="center"/>
    </w:pPr>
    <w:rPr>
      <w:rFonts w:ascii="Arial Unicode MS" w:hAnsi="Arial Unicode MS" w:eastAsia="Arial Unicode MS" w:cs="Arial Unicode MS"/>
      <w:color w:val="000000"/>
      <w:kern w:val="0"/>
      <w:sz w:val="18"/>
      <w:szCs w:val="18"/>
    </w:rPr>
  </w:style>
  <w:style w:type="paragraph" w:customStyle="1" w:styleId="249">
    <w:name w:val="日期1"/>
    <w:basedOn w:val="1"/>
    <w:next w:val="1"/>
    <w:qFormat/>
    <w:uiPriority w:val="0"/>
    <w:pPr>
      <w:tabs>
        <w:tab w:val="clear" w:pos="480"/>
      </w:tabs>
      <w:adjustRightInd w:val="0"/>
      <w:spacing w:line="240" w:lineRule="auto"/>
      <w:textAlignment w:val="baseline"/>
    </w:pPr>
    <w:rPr>
      <w:szCs w:val="20"/>
    </w:rPr>
  </w:style>
  <w:style w:type="paragraph" w:customStyle="1" w:styleId="250">
    <w:name w:val="Body Text 22"/>
    <w:basedOn w:val="1"/>
    <w:semiHidden/>
    <w:qFormat/>
    <w:uiPriority w:val="0"/>
    <w:pPr>
      <w:tabs>
        <w:tab w:val="clear" w:pos="480"/>
      </w:tabs>
      <w:adjustRightInd w:val="0"/>
      <w:spacing w:line="440" w:lineRule="atLeast"/>
      <w:ind w:firstLine="480"/>
      <w:textAlignment w:val="baseline"/>
    </w:pPr>
    <w:rPr>
      <w:rFonts w:eastAsia="仿宋_GB2312"/>
      <w:szCs w:val="20"/>
    </w:rPr>
  </w:style>
  <w:style w:type="character" w:customStyle="1" w:styleId="251">
    <w:name w:val="lh22px1"/>
    <w:semiHidden/>
    <w:qFormat/>
    <w:uiPriority w:val="0"/>
    <w:rPr>
      <w:rFonts w:hint="eastAsia" w:ascii="宋体" w:hAnsi="宋体" w:eastAsia="宋体"/>
      <w:sz w:val="21"/>
      <w:szCs w:val="21"/>
    </w:rPr>
  </w:style>
  <w:style w:type="paragraph" w:customStyle="1" w:styleId="252">
    <w:name w:val="xl29"/>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kern w:val="0"/>
    </w:rPr>
  </w:style>
  <w:style w:type="paragraph" w:customStyle="1" w:styleId="253">
    <w:name w:val="xl79"/>
    <w:basedOn w:val="1"/>
    <w:qFormat/>
    <w:uiPriority w:val="0"/>
    <w:pPr>
      <w:widowControl/>
      <w:tabs>
        <w:tab w:val="clear" w:pos="480"/>
      </w:tabs>
      <w:spacing w:before="100" w:beforeAutospacing="1" w:after="100" w:afterAutospacing="1" w:line="240" w:lineRule="auto"/>
      <w:jc w:val="center"/>
    </w:pPr>
    <w:rPr>
      <w:rFonts w:ascii="Arial" w:hAnsi="Arial" w:cs="Arial"/>
      <w:kern w:val="0"/>
    </w:rPr>
  </w:style>
  <w:style w:type="paragraph" w:customStyle="1" w:styleId="254">
    <w:name w:val="xl83"/>
    <w:basedOn w:val="1"/>
    <w:qFormat/>
    <w:uiPriority w:val="0"/>
    <w:pPr>
      <w:widowControl/>
      <w:pBdr>
        <w:top w:val="single" w:color="auto" w:sz="8" w:space="0"/>
        <w:bottom w:val="single" w:color="auto" w:sz="4" w:space="0"/>
      </w:pBdr>
      <w:tabs>
        <w:tab w:val="clear" w:pos="480"/>
      </w:tabs>
      <w:spacing w:before="100" w:beforeAutospacing="1" w:after="100" w:afterAutospacing="1" w:line="240" w:lineRule="auto"/>
      <w:jc w:val="left"/>
      <w:textAlignment w:val="center"/>
    </w:pPr>
    <w:rPr>
      <w:rFonts w:ascii="Arial" w:hAnsi="Arial" w:cs="Arial"/>
      <w:kern w:val="0"/>
    </w:rPr>
  </w:style>
  <w:style w:type="paragraph" w:customStyle="1" w:styleId="255">
    <w:name w:val="xl31"/>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pPr>
    <w:rPr>
      <w:rFonts w:ascii="Arial Unicode MS" w:hAnsi="Arial Unicode MS" w:eastAsia="Arial Unicode MS" w:cs="Arial Unicode MS"/>
      <w:kern w:val="0"/>
      <w:sz w:val="21"/>
      <w:szCs w:val="21"/>
    </w:rPr>
  </w:style>
  <w:style w:type="paragraph" w:customStyle="1" w:styleId="256">
    <w:name w:val="xl45"/>
    <w:basedOn w:val="1"/>
    <w:qFormat/>
    <w:uiPriority w:val="0"/>
    <w:pPr>
      <w:widowControl/>
      <w:pBdr>
        <w:right w:val="single" w:color="auto" w:sz="4" w:space="0"/>
      </w:pBdr>
      <w:tabs>
        <w:tab w:val="clear" w:pos="480"/>
      </w:tabs>
      <w:spacing w:before="100" w:beforeAutospacing="1" w:after="100" w:afterAutospacing="1" w:line="240" w:lineRule="auto"/>
      <w:jc w:val="center"/>
      <w:textAlignment w:val="center"/>
    </w:pPr>
    <w:rPr>
      <w:rFonts w:hint="eastAsia" w:ascii="Arial Unicode MS" w:hAnsi="Arial Unicode MS" w:eastAsia="Arial Unicode MS" w:cs="Arial Unicode MS"/>
      <w:kern w:val="0"/>
      <w:sz w:val="20"/>
      <w:szCs w:val="20"/>
    </w:rPr>
  </w:style>
  <w:style w:type="paragraph" w:customStyle="1" w:styleId="257">
    <w:name w:val="样式 标题 1 + 首行缩进:  2 字符"/>
    <w:basedOn w:val="3"/>
    <w:qFormat/>
    <w:uiPriority w:val="0"/>
    <w:pPr>
      <w:tabs>
        <w:tab w:val="clear" w:pos="480"/>
      </w:tabs>
      <w:spacing w:before="0" w:after="0" w:line="300" w:lineRule="auto"/>
      <w:ind w:firstLine="200" w:firstLineChars="200"/>
      <w:jc w:val="center"/>
    </w:pPr>
    <w:rPr>
      <w:rFonts w:ascii="Times New Roman" w:eastAsia="宋体" w:cs="宋体"/>
      <w:b w:val="0"/>
      <w:sz w:val="32"/>
      <w:szCs w:val="20"/>
    </w:rPr>
  </w:style>
  <w:style w:type="paragraph" w:customStyle="1" w:styleId="258">
    <w:name w:val="标题 2 + 首行缩进:  2 字符"/>
    <w:basedOn w:val="4"/>
    <w:semiHidden/>
    <w:qFormat/>
    <w:uiPriority w:val="0"/>
    <w:pPr>
      <w:tabs>
        <w:tab w:val="clear" w:pos="480"/>
        <w:tab w:val="clear" w:pos="630"/>
      </w:tabs>
      <w:spacing w:before="0" w:after="0" w:line="300" w:lineRule="auto"/>
      <w:ind w:firstLine="200" w:firstLineChars="200"/>
      <w:jc w:val="center"/>
    </w:pPr>
    <w:rPr>
      <w:rFonts w:ascii="Arial" w:hAnsi="Arial" w:eastAsia="黑体" w:cs="宋体"/>
      <w:b w:val="0"/>
      <w:sz w:val="30"/>
      <w:szCs w:val="20"/>
    </w:rPr>
  </w:style>
  <w:style w:type="paragraph" w:customStyle="1" w:styleId="259">
    <w:name w:val="样式 标题 3 + 首行缩进:  2 字符"/>
    <w:basedOn w:val="5"/>
    <w:qFormat/>
    <w:uiPriority w:val="0"/>
    <w:pPr>
      <w:tabs>
        <w:tab w:val="clear" w:pos="480"/>
        <w:tab w:val="clear" w:pos="840"/>
      </w:tabs>
      <w:spacing w:before="0" w:after="0" w:line="300" w:lineRule="auto"/>
    </w:pPr>
    <w:rPr>
      <w:rFonts w:ascii="Times New Roman" w:eastAsia="黑体" w:cs="宋体"/>
      <w:b w:val="0"/>
      <w:sz w:val="28"/>
      <w:szCs w:val="20"/>
    </w:rPr>
  </w:style>
  <w:style w:type="paragraph" w:customStyle="1" w:styleId="260">
    <w:name w:val="样式 表格1 + 首行缩进:  2 字符"/>
    <w:basedOn w:val="178"/>
    <w:semiHidden/>
    <w:qFormat/>
    <w:uiPriority w:val="0"/>
    <w:pPr>
      <w:topLinePunct w:val="0"/>
      <w:autoSpaceDE/>
      <w:autoSpaceDN/>
      <w:textAlignment w:val="center"/>
    </w:pPr>
    <w:rPr>
      <w:rFonts w:hAnsi="宋体" w:cs="宋体"/>
      <w:kern w:val="0"/>
      <w:sz w:val="24"/>
    </w:rPr>
  </w:style>
  <w:style w:type="paragraph" w:customStyle="1" w:styleId="261">
    <w:name w:val="样式 标题 2 + 首行缩进:  2 字符"/>
    <w:basedOn w:val="4"/>
    <w:qFormat/>
    <w:uiPriority w:val="0"/>
    <w:pPr>
      <w:tabs>
        <w:tab w:val="clear" w:pos="480"/>
        <w:tab w:val="clear" w:pos="630"/>
      </w:tabs>
      <w:spacing w:before="0" w:after="0" w:line="300" w:lineRule="auto"/>
    </w:pPr>
    <w:rPr>
      <w:rFonts w:ascii="Arial" w:hAnsi="Arial" w:eastAsia="黑体" w:cs="宋体"/>
      <w:b w:val="0"/>
      <w:sz w:val="30"/>
      <w:szCs w:val="20"/>
    </w:rPr>
  </w:style>
  <w:style w:type="paragraph" w:customStyle="1" w:styleId="262">
    <w:name w:val="样式 标题 1 + 首行缩进:  2 字符1"/>
    <w:basedOn w:val="3"/>
    <w:semiHidden/>
    <w:qFormat/>
    <w:uiPriority w:val="0"/>
    <w:pPr>
      <w:tabs>
        <w:tab w:val="clear" w:pos="480"/>
      </w:tabs>
      <w:spacing w:line="578" w:lineRule="auto"/>
      <w:jc w:val="center"/>
    </w:pPr>
    <w:rPr>
      <w:rFonts w:ascii="Times New Roman" w:eastAsia="宋体" w:cs="宋体"/>
      <w:sz w:val="44"/>
      <w:szCs w:val="20"/>
    </w:rPr>
  </w:style>
  <w:style w:type="paragraph" w:customStyle="1" w:styleId="263">
    <w:name w:val="样式 标题 2 + 首行缩进:  2 字符 + 首行缩进:  2 字符"/>
    <w:basedOn w:val="258"/>
    <w:semiHidden/>
    <w:qFormat/>
    <w:uiPriority w:val="0"/>
    <w:pPr>
      <w:ind w:firstLine="0" w:firstLineChars="0"/>
    </w:pPr>
    <w:rPr>
      <w:bCs w:val="0"/>
    </w:rPr>
  </w:style>
  <w:style w:type="paragraph" w:customStyle="1" w:styleId="264">
    <w:name w:val="样式 目录 2 + 左侧:  2 字符 首行缩进:  2 字符"/>
    <w:basedOn w:val="74"/>
    <w:semiHidden/>
    <w:qFormat/>
    <w:uiPriority w:val="0"/>
    <w:pPr>
      <w:ind w:left="480" w:firstLine="480"/>
      <w:jc w:val="both"/>
    </w:pPr>
    <w:rPr>
      <w:rFonts w:cs="宋体"/>
    </w:rPr>
  </w:style>
  <w:style w:type="paragraph" w:customStyle="1" w:styleId="265">
    <w:name w:val="样式 目录 2 + 左侧:  2 字符 首行缩进:  2 字符1"/>
    <w:basedOn w:val="74"/>
    <w:semiHidden/>
    <w:qFormat/>
    <w:uiPriority w:val="0"/>
    <w:pPr>
      <w:ind w:left="480" w:firstLine="480"/>
      <w:jc w:val="both"/>
    </w:pPr>
    <w:rPr>
      <w:rFonts w:cs="宋体"/>
    </w:rPr>
  </w:style>
  <w:style w:type="paragraph" w:customStyle="1" w:styleId="266">
    <w:name w:val="样式 目录 2 + 左侧:  2 字符 首行缩进:  2 字符2"/>
    <w:basedOn w:val="74"/>
    <w:semiHidden/>
    <w:qFormat/>
    <w:uiPriority w:val="0"/>
    <w:pPr>
      <w:ind w:left="200"/>
      <w:jc w:val="both"/>
    </w:pPr>
    <w:rPr>
      <w:rFonts w:cs="宋体"/>
    </w:rPr>
  </w:style>
  <w:style w:type="paragraph" w:customStyle="1" w:styleId="267">
    <w:name w:val="样式 目录 2 + 左侧:  2 字符 首行缩进:  2 字符3"/>
    <w:basedOn w:val="74"/>
    <w:semiHidden/>
    <w:qFormat/>
    <w:uiPriority w:val="0"/>
    <w:pPr>
      <w:ind w:left="200"/>
      <w:jc w:val="both"/>
    </w:pPr>
    <w:rPr>
      <w:rFonts w:cs="宋体"/>
    </w:rPr>
  </w:style>
  <w:style w:type="paragraph" w:customStyle="1" w:styleId="268">
    <w:name w:val="样式 目录 2 + 左侧:  2 字符 首行缩进:  2 字符4"/>
    <w:basedOn w:val="74"/>
    <w:semiHidden/>
    <w:qFormat/>
    <w:uiPriority w:val="0"/>
    <w:pPr>
      <w:ind w:left="200"/>
      <w:jc w:val="both"/>
    </w:pPr>
    <w:rPr>
      <w:rFonts w:cs="宋体"/>
    </w:rPr>
  </w:style>
  <w:style w:type="paragraph" w:customStyle="1" w:styleId="269">
    <w:name w:val="样式 目录 2 + 左侧:  2 字符 首行缩进:  2 字符5"/>
    <w:basedOn w:val="74"/>
    <w:semiHidden/>
    <w:qFormat/>
    <w:uiPriority w:val="0"/>
    <w:pPr>
      <w:ind w:left="480" w:firstLine="420"/>
      <w:jc w:val="both"/>
    </w:pPr>
    <w:rPr>
      <w:rFonts w:cs="宋体"/>
      <w:szCs w:val="21"/>
    </w:rPr>
  </w:style>
  <w:style w:type="character" w:customStyle="1" w:styleId="270">
    <w:name w:val="puntext"/>
    <w:basedOn w:val="133"/>
    <w:semiHidden/>
    <w:qFormat/>
    <w:uiPriority w:val="0"/>
  </w:style>
  <w:style w:type="paragraph" w:customStyle="1" w:styleId="271">
    <w:name w:val="正文 + (西文) 宋体"/>
    <w:basedOn w:val="1"/>
    <w:semiHidden/>
    <w:qFormat/>
    <w:uiPriority w:val="0"/>
    <w:pPr>
      <w:tabs>
        <w:tab w:val="left" w:pos="1260"/>
        <w:tab w:val="clear" w:pos="480"/>
      </w:tabs>
      <w:ind w:firstLine="510"/>
    </w:pPr>
    <w:rPr>
      <w:rFonts w:ascii="宋体" w:hAnsi="宋体" w:eastAsia="仿宋_GB2312"/>
    </w:rPr>
  </w:style>
  <w:style w:type="paragraph" w:customStyle="1" w:styleId="272">
    <w:name w:val="样式 标题 2 + 非加粗"/>
    <w:basedOn w:val="4"/>
    <w:qFormat/>
    <w:uiPriority w:val="0"/>
    <w:pPr>
      <w:tabs>
        <w:tab w:val="clear" w:pos="480"/>
        <w:tab w:val="clear" w:pos="630"/>
      </w:tabs>
      <w:spacing w:after="260" w:line="312" w:lineRule="auto"/>
      <w:jc w:val="left"/>
    </w:pPr>
    <w:rPr>
      <w:rFonts w:eastAsia="黑体"/>
      <w:sz w:val="24"/>
    </w:rPr>
  </w:style>
  <w:style w:type="character" w:customStyle="1" w:styleId="273">
    <w:name w:val="样式 标题 2 + 非加粗 Char"/>
    <w:semiHidden/>
    <w:qFormat/>
    <w:uiPriority w:val="0"/>
    <w:rPr>
      <w:rFonts w:eastAsia="黑体"/>
      <w:b/>
      <w:bCs/>
      <w:kern w:val="2"/>
      <w:sz w:val="24"/>
      <w:szCs w:val="32"/>
      <w:lang w:val="en-US" w:eastAsia="zh-CN" w:bidi="ar-SA"/>
    </w:rPr>
  </w:style>
  <w:style w:type="paragraph" w:customStyle="1" w:styleId="274">
    <w:name w:val="表格样式"/>
    <w:basedOn w:val="1"/>
    <w:link w:val="2156"/>
    <w:semiHidden/>
    <w:qFormat/>
    <w:uiPriority w:val="0"/>
    <w:pPr>
      <w:tabs>
        <w:tab w:val="clear" w:pos="480"/>
      </w:tabs>
      <w:spacing w:line="240" w:lineRule="auto"/>
      <w:jc w:val="center"/>
    </w:pPr>
    <w:rPr>
      <w:rFonts w:ascii="宋体"/>
      <w:bCs/>
      <w:snapToGrid w:val="0"/>
      <w:sz w:val="21"/>
    </w:rPr>
  </w:style>
  <w:style w:type="paragraph" w:customStyle="1" w:styleId="275">
    <w:name w:val="样式 标题 2 + 段后: 16.3 磅"/>
    <w:basedOn w:val="4"/>
    <w:semiHidden/>
    <w:qFormat/>
    <w:uiPriority w:val="0"/>
    <w:pPr>
      <w:tabs>
        <w:tab w:val="clear" w:pos="480"/>
        <w:tab w:val="clear" w:pos="630"/>
      </w:tabs>
      <w:spacing w:after="326" w:line="312" w:lineRule="auto"/>
      <w:jc w:val="left"/>
    </w:pPr>
    <w:rPr>
      <w:rFonts w:eastAsia="黑体" w:cs="宋体"/>
      <w:sz w:val="24"/>
      <w:szCs w:val="20"/>
    </w:rPr>
  </w:style>
  <w:style w:type="paragraph" w:customStyle="1" w:styleId="276">
    <w:name w:val="样式 标题 3 + 首行缩进:  2 字符 段前: 8.15 磅 段后: 8.15 磅"/>
    <w:basedOn w:val="5"/>
    <w:semiHidden/>
    <w:qFormat/>
    <w:uiPriority w:val="0"/>
    <w:p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77">
    <w:name w:val="样式 标题 3 + 首行缩进:  2 字符 段前: 8.15 磅 段后: 8.15 磅1"/>
    <w:basedOn w:val="5"/>
    <w:semiHidden/>
    <w:qFormat/>
    <w:uiPriority w:val="0"/>
    <w:p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78">
    <w:name w:val="样式 标题 3 + 首行缩进:  2 字符 段前: 8.15 磅 段后: 8.15 磅2"/>
    <w:basedOn w:val="5"/>
    <w:semiHidden/>
    <w:qFormat/>
    <w:uiPriority w:val="0"/>
    <w:p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79">
    <w:name w:val="样式 标题 3 + 首行缩进:  2 字符 段前: 8.15 磅 段后: 8.15 磅3"/>
    <w:basedOn w:val="5"/>
    <w:semiHidden/>
    <w:qFormat/>
    <w:uiPriority w:val="0"/>
    <w:pPr>
      <w:tabs>
        <w:tab w:val="clear" w:pos="480"/>
        <w:tab w:val="clear" w:pos="840"/>
      </w:tabs>
      <w:spacing w:before="163" w:after="163" w:line="0" w:lineRule="atLeast"/>
      <w:jc w:val="left"/>
    </w:pPr>
    <w:rPr>
      <w:rFonts w:ascii="Arial Unicode MS" w:hAnsi="Arial Unicode MS" w:eastAsia="黑体" w:cs="宋体"/>
      <w:sz w:val="24"/>
      <w:szCs w:val="20"/>
    </w:rPr>
  </w:style>
  <w:style w:type="character" w:customStyle="1" w:styleId="280">
    <w:name w:val="tpc_content1"/>
    <w:qFormat/>
    <w:uiPriority w:val="0"/>
    <w:rPr>
      <w:sz w:val="36"/>
      <w:szCs w:val="36"/>
    </w:rPr>
  </w:style>
  <w:style w:type="paragraph" w:customStyle="1" w:styleId="281">
    <w:name w:val="圆点"/>
    <w:semiHidden/>
    <w:qFormat/>
    <w:uiPriority w:val="0"/>
    <w:pPr>
      <w:tabs>
        <w:tab w:val="left" w:pos="1199"/>
        <w:tab w:val="left" w:pos="1242"/>
      </w:tabs>
      <w:snapToGrid w:val="0"/>
      <w:spacing w:line="360" w:lineRule="auto"/>
      <w:ind w:left="1196" w:hanging="476"/>
      <w:jc w:val="center"/>
    </w:pPr>
    <w:rPr>
      <w:rFonts w:ascii="Times New Roman" w:hAnsi="Times New Roman" w:eastAsia="宋体" w:cs="Times New Roman"/>
      <w:snapToGrid w:val="0"/>
      <w:kern w:val="2"/>
      <w:sz w:val="24"/>
      <w:szCs w:val="24"/>
      <w:lang w:val="en-US" w:eastAsia="zh-CN" w:bidi="ar-SA"/>
    </w:rPr>
  </w:style>
  <w:style w:type="character" w:customStyle="1" w:styleId="282">
    <w:name w:val="unnamed1"/>
    <w:basedOn w:val="133"/>
    <w:semiHidden/>
    <w:qFormat/>
    <w:uiPriority w:val="0"/>
  </w:style>
  <w:style w:type="paragraph" w:customStyle="1" w:styleId="283">
    <w:name w:val="样式 标题 3 + 首行缩进:  0.85 厘米"/>
    <w:basedOn w:val="5"/>
    <w:semiHidden/>
    <w:qFormat/>
    <w:uiPriority w:val="0"/>
    <w:pPr>
      <w:tabs>
        <w:tab w:val="clear" w:pos="480"/>
        <w:tab w:val="clear" w:pos="840"/>
      </w:tabs>
      <w:spacing w:before="260" w:line="415" w:lineRule="auto"/>
    </w:pPr>
    <w:rPr>
      <w:rFonts w:ascii="Times New Roman"/>
      <w:sz w:val="24"/>
      <w:szCs w:val="24"/>
    </w:rPr>
  </w:style>
  <w:style w:type="paragraph" w:customStyle="1" w:styleId="284">
    <w:name w:val="小五居中"/>
    <w:basedOn w:val="1"/>
    <w:semiHidden/>
    <w:qFormat/>
    <w:uiPriority w:val="0"/>
    <w:pPr>
      <w:tabs>
        <w:tab w:val="clear" w:pos="480"/>
      </w:tabs>
      <w:spacing w:line="240" w:lineRule="auto"/>
      <w:jc w:val="center"/>
    </w:pPr>
    <w:rPr>
      <w:sz w:val="18"/>
    </w:rPr>
  </w:style>
  <w:style w:type="character" w:customStyle="1" w:styleId="285">
    <w:name w:val="postbody1"/>
    <w:qFormat/>
    <w:uiPriority w:val="0"/>
    <w:rPr>
      <w:spacing w:val="270"/>
      <w:sz w:val="18"/>
      <w:szCs w:val="18"/>
    </w:rPr>
  </w:style>
  <w:style w:type="character" w:customStyle="1" w:styleId="286">
    <w:name w:val="style11"/>
    <w:qFormat/>
    <w:uiPriority w:val="0"/>
    <w:rPr>
      <w:sz w:val="23"/>
      <w:szCs w:val="23"/>
    </w:rPr>
  </w:style>
  <w:style w:type="paragraph" w:customStyle="1" w:styleId="287">
    <w:name w:val="MTDisplayEquation"/>
    <w:basedOn w:val="1"/>
    <w:next w:val="1"/>
    <w:semiHidden/>
    <w:qFormat/>
    <w:uiPriority w:val="0"/>
    <w:pPr>
      <w:tabs>
        <w:tab w:val="center" w:pos="4160"/>
        <w:tab w:val="right" w:pos="8320"/>
        <w:tab w:val="clear" w:pos="480"/>
      </w:tabs>
      <w:ind w:firstLine="480"/>
    </w:pPr>
  </w:style>
  <w:style w:type="paragraph" w:customStyle="1" w:styleId="288">
    <w:name w:val="样式 标题 3 + 左侧:  0.5 字符1"/>
    <w:basedOn w:val="5"/>
    <w:semiHidden/>
    <w:qFormat/>
    <w:uiPriority w:val="0"/>
    <w:pPr>
      <w:tabs>
        <w:tab w:val="clear" w:pos="480"/>
        <w:tab w:val="clear" w:pos="840"/>
      </w:tabs>
      <w:spacing w:after="120" w:line="415" w:lineRule="auto"/>
      <w:ind w:left="50" w:leftChars="50"/>
      <w:jc w:val="left"/>
    </w:pPr>
    <w:rPr>
      <w:rFonts w:ascii="Arial" w:hAnsi="Arial" w:eastAsia="黑体"/>
      <w:b w:val="0"/>
      <w:sz w:val="28"/>
      <w:szCs w:val="20"/>
    </w:rPr>
  </w:style>
  <w:style w:type="paragraph" w:customStyle="1" w:styleId="289">
    <w:name w:val="公式"/>
    <w:basedOn w:val="1"/>
    <w:link w:val="1989"/>
    <w:qFormat/>
    <w:uiPriority w:val="0"/>
    <w:pPr>
      <w:tabs>
        <w:tab w:val="clear" w:pos="480"/>
      </w:tabs>
      <w:adjustRightInd w:val="0"/>
      <w:spacing w:line="288" w:lineRule="auto"/>
      <w:jc w:val="center"/>
      <w:textAlignment w:val="baseline"/>
    </w:pPr>
    <w:rPr>
      <w:kern w:val="0"/>
    </w:rPr>
  </w:style>
  <w:style w:type="paragraph" w:customStyle="1" w:styleId="290">
    <w:name w:val="正式文本"/>
    <w:basedOn w:val="1"/>
    <w:semiHidden/>
    <w:qFormat/>
    <w:uiPriority w:val="0"/>
    <w:pPr>
      <w:tabs>
        <w:tab w:val="clear" w:pos="480"/>
      </w:tabs>
      <w:spacing w:line="240" w:lineRule="auto"/>
      <w:ind w:firstLine="199" w:firstLineChars="71"/>
    </w:pPr>
    <w:rPr>
      <w:rFonts w:ascii="仿宋_GB2312" w:eastAsia="仿宋_GB2312"/>
      <w:sz w:val="28"/>
      <w:szCs w:val="21"/>
    </w:rPr>
  </w:style>
  <w:style w:type="paragraph" w:customStyle="1" w:styleId="291">
    <w:name w:val="样式 样式 首行缩进:  2 字符 + 首行缩进:  2 字符"/>
    <w:basedOn w:val="1"/>
    <w:qFormat/>
    <w:uiPriority w:val="0"/>
    <w:pPr>
      <w:tabs>
        <w:tab w:val="clear" w:pos="480"/>
      </w:tabs>
      <w:snapToGrid w:val="0"/>
      <w:ind w:firstLine="502"/>
    </w:pPr>
  </w:style>
  <w:style w:type="paragraph" w:customStyle="1" w:styleId="292">
    <w:name w:val="样式 列表 + 居中"/>
    <w:basedOn w:val="66"/>
    <w:semiHidden/>
    <w:qFormat/>
    <w:uiPriority w:val="0"/>
    <w:pPr>
      <w:snapToGrid w:val="0"/>
      <w:ind w:left="0" w:firstLine="0" w:firstLineChars="0"/>
      <w:jc w:val="center"/>
    </w:pPr>
    <w:rPr>
      <w:szCs w:val="21"/>
    </w:rPr>
  </w:style>
  <w:style w:type="paragraph" w:customStyle="1" w:styleId="293">
    <w:name w:val="Body Text 21"/>
    <w:basedOn w:val="1"/>
    <w:qFormat/>
    <w:uiPriority w:val="0"/>
    <w:pPr>
      <w:tabs>
        <w:tab w:val="clear" w:pos="480"/>
      </w:tabs>
      <w:autoSpaceDE w:val="0"/>
      <w:autoSpaceDN w:val="0"/>
      <w:adjustRightInd w:val="0"/>
      <w:spacing w:line="480" w:lineRule="exact"/>
      <w:ind w:firstLine="540"/>
      <w:textAlignment w:val="baseline"/>
    </w:pPr>
    <w:rPr>
      <w:rFonts w:ascii="宋体" w:hAnsi="Tms Rmn"/>
      <w:kern w:val="0"/>
      <w:szCs w:val="20"/>
    </w:rPr>
  </w:style>
  <w:style w:type="paragraph" w:customStyle="1" w:styleId="294">
    <w:name w:val="AFTERTITLE"/>
    <w:basedOn w:val="1"/>
    <w:semiHidden/>
    <w:qFormat/>
    <w:uiPriority w:val="0"/>
    <w:pPr>
      <w:widowControl/>
      <w:tabs>
        <w:tab w:val="clear" w:pos="480"/>
      </w:tabs>
      <w:spacing w:line="360" w:lineRule="atLeast"/>
      <w:jc w:val="center"/>
    </w:pPr>
    <w:rPr>
      <w:b/>
      <w:caps/>
      <w:kern w:val="0"/>
      <w:szCs w:val="20"/>
      <w:lang w:eastAsia="en-US"/>
    </w:rPr>
  </w:style>
  <w:style w:type="paragraph" w:customStyle="1" w:styleId="295">
    <w:name w:val="样式1.1.1"/>
    <w:basedOn w:val="1"/>
    <w:semiHidden/>
    <w:qFormat/>
    <w:uiPriority w:val="0"/>
    <w:pPr>
      <w:tabs>
        <w:tab w:val="clear" w:pos="480"/>
      </w:tabs>
      <w:spacing w:line="460" w:lineRule="exact"/>
    </w:pPr>
    <w:rPr>
      <w:b/>
      <w:sz w:val="28"/>
      <w:szCs w:val="20"/>
    </w:rPr>
  </w:style>
  <w:style w:type="paragraph" w:customStyle="1" w:styleId="296">
    <w:name w:val="基准页眉样式"/>
    <w:basedOn w:val="2"/>
    <w:qFormat/>
    <w:uiPriority w:val="0"/>
    <w:pPr>
      <w:keepLines/>
      <w:widowControl/>
      <w:tabs>
        <w:tab w:val="center" w:pos="-18551"/>
        <w:tab w:val="right" w:pos="4320"/>
      </w:tabs>
      <w:spacing w:line="240" w:lineRule="atLeast"/>
      <w:jc w:val="center"/>
    </w:pPr>
    <w:rPr>
      <w:rFonts w:ascii="Garamond" w:hAnsi="Garamond"/>
      <w:smallCaps/>
      <w:spacing w:val="15"/>
      <w:kern w:val="0"/>
    </w:rPr>
  </w:style>
  <w:style w:type="paragraph" w:customStyle="1" w:styleId="297">
    <w:name w:val="默认段落字体 Para Char Char Char Char"/>
    <w:basedOn w:val="1"/>
    <w:qFormat/>
    <w:uiPriority w:val="0"/>
    <w:pPr>
      <w:tabs>
        <w:tab w:val="clear" w:pos="480"/>
      </w:tabs>
      <w:spacing w:line="240" w:lineRule="auto"/>
    </w:pPr>
    <w:rPr>
      <w:spacing w:val="-2"/>
      <w:kern w:val="0"/>
    </w:rPr>
  </w:style>
  <w:style w:type="paragraph" w:customStyle="1" w:styleId="298">
    <w:name w:val="正文缩"/>
    <w:basedOn w:val="1"/>
    <w:semiHidden/>
    <w:qFormat/>
    <w:uiPriority w:val="0"/>
    <w:pPr>
      <w:tabs>
        <w:tab w:val="clear" w:pos="480"/>
      </w:tabs>
      <w:adjustRightInd w:val="0"/>
      <w:snapToGrid w:val="0"/>
      <w:spacing w:line="480" w:lineRule="atLeast"/>
      <w:ind w:firstLine="671" w:firstLineChars="150"/>
    </w:pPr>
    <w:rPr>
      <w:rFonts w:ascii="宋体"/>
      <w:snapToGrid w:val="0"/>
      <w:spacing w:val="6"/>
      <w:kern w:val="0"/>
      <w:sz w:val="28"/>
      <w:szCs w:val="20"/>
    </w:rPr>
  </w:style>
  <w:style w:type="paragraph" w:customStyle="1" w:styleId="299">
    <w:name w:val="正文样式1"/>
    <w:basedOn w:val="1"/>
    <w:link w:val="670"/>
    <w:qFormat/>
    <w:uiPriority w:val="0"/>
    <w:pPr>
      <w:tabs>
        <w:tab w:val="clear" w:pos="480"/>
      </w:tabs>
      <w:adjustRightInd w:val="0"/>
      <w:snapToGrid w:val="0"/>
      <w:ind w:firstLine="510"/>
      <w:textAlignment w:val="baseline"/>
    </w:pPr>
    <w:rPr>
      <w:kern w:val="24"/>
      <w:szCs w:val="20"/>
    </w:rPr>
  </w:style>
  <w:style w:type="paragraph" w:customStyle="1" w:styleId="300">
    <w:name w:val="表格样式1"/>
    <w:basedOn w:val="1"/>
    <w:qFormat/>
    <w:uiPriority w:val="0"/>
    <w:pPr>
      <w:tabs>
        <w:tab w:val="clear" w:pos="480"/>
      </w:tabs>
      <w:adjustRightInd w:val="0"/>
      <w:spacing w:line="20" w:lineRule="atLeast"/>
      <w:jc w:val="center"/>
      <w:textAlignment w:val="baseline"/>
    </w:pPr>
    <w:rPr>
      <w:rFonts w:ascii="宋体"/>
      <w:kern w:val="0"/>
      <w:sz w:val="21"/>
      <w:szCs w:val="20"/>
    </w:rPr>
  </w:style>
  <w:style w:type="paragraph" w:customStyle="1" w:styleId="301">
    <w:name w:val="正文样式3"/>
    <w:basedOn w:val="1"/>
    <w:semiHidden/>
    <w:qFormat/>
    <w:uiPriority w:val="0"/>
    <w:pPr>
      <w:tabs>
        <w:tab w:val="clear" w:pos="480"/>
      </w:tabs>
      <w:adjustRightInd w:val="0"/>
      <w:spacing w:line="20" w:lineRule="atLeast"/>
      <w:jc w:val="center"/>
      <w:textAlignment w:val="baseline"/>
    </w:pPr>
    <w:rPr>
      <w:kern w:val="0"/>
      <w:szCs w:val="20"/>
    </w:rPr>
  </w:style>
  <w:style w:type="paragraph" w:customStyle="1" w:styleId="302">
    <w:name w:val="F正文"/>
    <w:semiHidden/>
    <w:qFormat/>
    <w:uiPriority w:val="0"/>
    <w:pPr>
      <w:widowControl w:val="0"/>
      <w:adjustRightInd w:val="0"/>
      <w:spacing w:line="360" w:lineRule="atLeast"/>
      <w:jc w:val="center"/>
      <w:textAlignment w:val="baseline"/>
    </w:pPr>
    <w:rPr>
      <w:rFonts w:ascii="Times New Roman" w:hAnsi="Times New Roman" w:eastAsia="宋体" w:cs="Times New Roman"/>
      <w:spacing w:val="12"/>
      <w:kern w:val="2"/>
      <w:sz w:val="24"/>
      <w:szCs w:val="24"/>
      <w:lang w:val="en-US" w:eastAsia="zh-CN" w:bidi="ar-SA"/>
    </w:rPr>
  </w:style>
  <w:style w:type="paragraph" w:customStyle="1" w:styleId="303">
    <w:name w:val="Char Char Char Char Char Char Char Char Char Char"/>
    <w:basedOn w:val="1"/>
    <w:qFormat/>
    <w:uiPriority w:val="0"/>
    <w:pPr>
      <w:tabs>
        <w:tab w:val="clear" w:pos="480"/>
      </w:tabs>
      <w:adjustRightInd w:val="0"/>
    </w:pPr>
    <w:rPr>
      <w:kern w:val="0"/>
      <w:szCs w:val="20"/>
    </w:rPr>
  </w:style>
  <w:style w:type="paragraph" w:customStyle="1" w:styleId="304">
    <w:name w:val="Char Char Char Char Char Char Char"/>
    <w:basedOn w:val="1"/>
    <w:qFormat/>
    <w:uiPriority w:val="0"/>
    <w:pPr>
      <w:tabs>
        <w:tab w:val="clear" w:pos="480"/>
      </w:tabs>
      <w:jc w:val="left"/>
    </w:pPr>
  </w:style>
  <w:style w:type="character" w:customStyle="1" w:styleId="305">
    <w:name w:val="hui1"/>
    <w:semiHidden/>
    <w:qFormat/>
    <w:uiPriority w:val="0"/>
    <w:rPr>
      <w:color w:val="404040"/>
      <w:sz w:val="16"/>
      <w:szCs w:val="16"/>
      <w:u w:val="none"/>
    </w:rPr>
  </w:style>
  <w:style w:type="paragraph" w:customStyle="1" w:styleId="306">
    <w:name w:val="样式 标题 4Subsection标题 14 + 段前: 1 行"/>
    <w:basedOn w:val="1"/>
    <w:semiHidden/>
    <w:qFormat/>
    <w:uiPriority w:val="0"/>
    <w:pPr>
      <w:tabs>
        <w:tab w:val="clear" w:pos="480"/>
      </w:tabs>
      <w:spacing w:before="100" w:beforeAutospacing="1"/>
      <w:outlineLvl w:val="4"/>
    </w:pPr>
    <w:rPr>
      <w:rFonts w:cs="宋体"/>
      <w:sz w:val="21"/>
    </w:rPr>
  </w:style>
  <w:style w:type="paragraph" w:customStyle="1" w:styleId="307">
    <w:name w:val="font7"/>
    <w:basedOn w:val="1"/>
    <w:qFormat/>
    <w:uiPriority w:val="0"/>
    <w:pPr>
      <w:widowControl/>
      <w:tabs>
        <w:tab w:val="clear" w:pos="480"/>
      </w:tabs>
      <w:spacing w:before="100" w:beforeAutospacing="1" w:after="100" w:afterAutospacing="1" w:line="240" w:lineRule="auto"/>
      <w:jc w:val="left"/>
    </w:pPr>
    <w:rPr>
      <w:b/>
      <w:bCs/>
      <w:kern w:val="0"/>
      <w:sz w:val="28"/>
      <w:szCs w:val="28"/>
    </w:rPr>
  </w:style>
  <w:style w:type="paragraph" w:customStyle="1" w:styleId="308">
    <w:name w:val="xl2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09">
    <w:name w:val="xl3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b/>
      <w:bCs/>
      <w:kern w:val="0"/>
      <w:sz w:val="28"/>
      <w:szCs w:val="28"/>
    </w:rPr>
  </w:style>
  <w:style w:type="paragraph" w:customStyle="1" w:styleId="310">
    <w:name w:val="xl32"/>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11">
    <w:name w:val="xl3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kern w:val="0"/>
    </w:rPr>
  </w:style>
  <w:style w:type="paragraph" w:customStyle="1" w:styleId="312">
    <w:name w:val="xl35"/>
    <w:basedOn w:val="1"/>
    <w:qFormat/>
    <w:uiPriority w:val="0"/>
    <w:pPr>
      <w:widowControl/>
      <w:pBdr>
        <w:top w:val="single" w:color="auto" w:sz="4" w:space="0"/>
        <w:left w:val="single" w:color="auto" w:sz="8" w:space="0"/>
        <w:bottom w:val="single" w:color="auto" w:sz="8"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13">
    <w:name w:val="样式 标题 1标题3，标题3Head 1wsa一、h1标题2标题 1 CharPart'Document1.标...1"/>
    <w:basedOn w:val="3"/>
    <w:semiHidden/>
    <w:qFormat/>
    <w:uiPriority w:val="0"/>
    <w:pPr>
      <w:widowControl/>
      <w:tabs>
        <w:tab w:val="left" w:pos="720"/>
        <w:tab w:val="clear" w:pos="480"/>
      </w:tabs>
      <w:spacing w:before="300" w:after="300" w:line="520" w:lineRule="exact"/>
      <w:jc w:val="center"/>
    </w:pPr>
    <w:rPr>
      <w:rFonts w:ascii="Times New Roman" w:eastAsia="黑体" w:cs="宋体"/>
      <w:szCs w:val="20"/>
    </w:rPr>
  </w:style>
  <w:style w:type="paragraph" w:customStyle="1" w:styleId="314">
    <w:name w:val="样式 标题 2Chapter Heading2nd levelh22Titre2l2H2Header 2UND...1"/>
    <w:basedOn w:val="4"/>
    <w:semiHidden/>
    <w:qFormat/>
    <w:uiPriority w:val="0"/>
    <w:pPr>
      <w:widowControl/>
      <w:tabs>
        <w:tab w:val="left" w:pos="840"/>
        <w:tab w:val="clear" w:pos="480"/>
        <w:tab w:val="clear" w:pos="630"/>
      </w:tabs>
      <w:spacing w:before="120"/>
      <w:ind w:left="840" w:hanging="420"/>
      <w:jc w:val="left"/>
    </w:pPr>
    <w:rPr>
      <w:rFonts w:eastAsia="黑体" w:cs="宋体"/>
      <w:kern w:val="0"/>
      <w:sz w:val="30"/>
      <w:szCs w:val="20"/>
      <w:lang w:eastAsia="en-US" w:bidi="en-US"/>
    </w:rPr>
  </w:style>
  <w:style w:type="paragraph" w:customStyle="1" w:styleId="315">
    <w:name w:val="样式 标题 3h33rd levelH33Head 3level_3PIM 3Level 3 Head二级节名...1"/>
    <w:basedOn w:val="5"/>
    <w:semiHidden/>
    <w:qFormat/>
    <w:uiPriority w:val="0"/>
    <w:pPr>
      <w:widowControl/>
      <w:tabs>
        <w:tab w:val="left" w:pos="1260"/>
        <w:tab w:val="clear" w:pos="480"/>
        <w:tab w:val="clear" w:pos="840"/>
      </w:tabs>
      <w:spacing w:before="0" w:after="0" w:line="360" w:lineRule="auto"/>
      <w:ind w:left="1260" w:hanging="420"/>
      <w:jc w:val="left"/>
    </w:pPr>
    <w:rPr>
      <w:rFonts w:ascii="Times New Roman" w:eastAsia="黑体"/>
      <w:kern w:val="0"/>
      <w:sz w:val="24"/>
      <w:szCs w:val="22"/>
      <w:lang w:eastAsia="en-US" w:bidi="en-US"/>
    </w:rPr>
  </w:style>
  <w:style w:type="paragraph" w:customStyle="1" w:styleId="316">
    <w:name w:val="font1"/>
    <w:basedOn w:val="1"/>
    <w:qFormat/>
    <w:uiPriority w:val="0"/>
    <w:pPr>
      <w:widowControl/>
      <w:tabs>
        <w:tab w:val="clear" w:pos="480"/>
      </w:tabs>
      <w:spacing w:before="100" w:beforeAutospacing="1" w:after="100" w:afterAutospacing="1" w:line="240" w:lineRule="auto"/>
      <w:jc w:val="left"/>
    </w:pPr>
    <w:rPr>
      <w:b/>
      <w:bCs/>
      <w:kern w:val="0"/>
    </w:rPr>
  </w:style>
  <w:style w:type="paragraph" w:customStyle="1" w:styleId="317">
    <w:name w:val="font8"/>
    <w:basedOn w:val="1"/>
    <w:qFormat/>
    <w:uiPriority w:val="0"/>
    <w:pPr>
      <w:widowControl/>
      <w:tabs>
        <w:tab w:val="clear" w:pos="480"/>
      </w:tabs>
      <w:spacing w:before="100" w:beforeAutospacing="1" w:after="100" w:afterAutospacing="1" w:line="240" w:lineRule="auto"/>
      <w:jc w:val="left"/>
    </w:pPr>
    <w:rPr>
      <w:rFonts w:ascii="宋体" w:hAnsi="宋体" w:cs="宋体"/>
      <w:b/>
      <w:bCs/>
      <w:kern w:val="0"/>
      <w:sz w:val="18"/>
      <w:szCs w:val="18"/>
    </w:rPr>
  </w:style>
  <w:style w:type="paragraph" w:customStyle="1" w:styleId="318">
    <w:name w:val="font9"/>
    <w:basedOn w:val="1"/>
    <w:qFormat/>
    <w:uiPriority w:val="0"/>
    <w:pPr>
      <w:widowControl/>
      <w:tabs>
        <w:tab w:val="clear" w:pos="480"/>
      </w:tabs>
      <w:spacing w:before="100" w:beforeAutospacing="1" w:after="100" w:afterAutospacing="1" w:line="240" w:lineRule="auto"/>
      <w:jc w:val="left"/>
    </w:pPr>
    <w:rPr>
      <w:rFonts w:ascii="宋体" w:hAnsi="宋体" w:cs="宋体"/>
      <w:color w:val="FF0000"/>
      <w:kern w:val="0"/>
      <w:sz w:val="18"/>
      <w:szCs w:val="18"/>
    </w:rPr>
  </w:style>
  <w:style w:type="paragraph" w:customStyle="1" w:styleId="319">
    <w:name w:val="font10"/>
    <w:basedOn w:val="1"/>
    <w:qFormat/>
    <w:uiPriority w:val="0"/>
    <w:pPr>
      <w:widowControl/>
      <w:tabs>
        <w:tab w:val="clear" w:pos="480"/>
      </w:tabs>
      <w:spacing w:before="100" w:beforeAutospacing="1" w:after="100" w:afterAutospacing="1" w:line="240" w:lineRule="auto"/>
      <w:jc w:val="left"/>
    </w:pPr>
    <w:rPr>
      <w:rFonts w:ascii="宋体" w:hAnsi="宋体" w:cs="宋体"/>
      <w:b/>
      <w:bCs/>
      <w:color w:val="0000FF"/>
      <w:kern w:val="0"/>
      <w:sz w:val="18"/>
      <w:szCs w:val="18"/>
    </w:rPr>
  </w:style>
  <w:style w:type="paragraph" w:customStyle="1" w:styleId="320">
    <w:name w:val="font11"/>
    <w:basedOn w:val="1"/>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18"/>
      <w:szCs w:val="18"/>
    </w:rPr>
  </w:style>
  <w:style w:type="paragraph" w:customStyle="1" w:styleId="321">
    <w:name w:val="font12"/>
    <w:basedOn w:val="1"/>
    <w:qFormat/>
    <w:uiPriority w:val="0"/>
    <w:pPr>
      <w:widowControl/>
      <w:tabs>
        <w:tab w:val="clear" w:pos="480"/>
      </w:tabs>
      <w:spacing w:before="100" w:beforeAutospacing="1" w:after="100" w:afterAutospacing="1" w:line="240" w:lineRule="auto"/>
      <w:jc w:val="left"/>
    </w:pPr>
    <w:rPr>
      <w:color w:val="FF0000"/>
      <w:kern w:val="0"/>
      <w:sz w:val="18"/>
      <w:szCs w:val="18"/>
    </w:rPr>
  </w:style>
  <w:style w:type="paragraph" w:customStyle="1" w:styleId="322">
    <w:name w:val="font13"/>
    <w:basedOn w:val="1"/>
    <w:qFormat/>
    <w:uiPriority w:val="0"/>
    <w:pPr>
      <w:widowControl/>
      <w:tabs>
        <w:tab w:val="clear" w:pos="480"/>
      </w:tabs>
      <w:spacing w:before="100" w:beforeAutospacing="1" w:after="100" w:afterAutospacing="1" w:line="240" w:lineRule="auto"/>
      <w:jc w:val="left"/>
    </w:pPr>
    <w:rPr>
      <w:b/>
      <w:bCs/>
      <w:color w:val="000000"/>
      <w:kern w:val="0"/>
      <w:sz w:val="18"/>
      <w:szCs w:val="18"/>
    </w:rPr>
  </w:style>
  <w:style w:type="paragraph" w:customStyle="1" w:styleId="323">
    <w:name w:val="font14"/>
    <w:basedOn w:val="1"/>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324">
    <w:name w:val="font15"/>
    <w:basedOn w:val="1"/>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5">
    <w:name w:val="font16"/>
    <w:basedOn w:val="1"/>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18"/>
      <w:szCs w:val="18"/>
    </w:rPr>
  </w:style>
  <w:style w:type="paragraph" w:customStyle="1" w:styleId="326">
    <w:name w:val="font17"/>
    <w:basedOn w:val="1"/>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2"/>
      <w:szCs w:val="12"/>
    </w:rPr>
  </w:style>
  <w:style w:type="paragraph" w:customStyle="1" w:styleId="327">
    <w:name w:val="font18"/>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8">
    <w:name w:val="font19"/>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9">
    <w:name w:val="font20"/>
    <w:basedOn w:val="1"/>
    <w:semiHidden/>
    <w:qFormat/>
    <w:uiPriority w:val="0"/>
    <w:pPr>
      <w:widowControl/>
      <w:tabs>
        <w:tab w:val="clear" w:pos="480"/>
      </w:tabs>
      <w:spacing w:before="100" w:beforeAutospacing="1" w:after="100" w:afterAutospacing="1" w:line="240" w:lineRule="auto"/>
      <w:jc w:val="left"/>
    </w:pPr>
    <w:rPr>
      <w:b/>
      <w:bCs/>
      <w:color w:val="0000FF"/>
      <w:kern w:val="0"/>
      <w:sz w:val="18"/>
      <w:szCs w:val="18"/>
    </w:rPr>
  </w:style>
  <w:style w:type="paragraph" w:customStyle="1" w:styleId="330">
    <w:name w:val="font21"/>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1"/>
      <w:szCs w:val="21"/>
    </w:rPr>
  </w:style>
  <w:style w:type="paragraph" w:customStyle="1" w:styleId="331">
    <w:name w:val="font22"/>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1"/>
      <w:szCs w:val="21"/>
    </w:rPr>
  </w:style>
  <w:style w:type="paragraph" w:customStyle="1" w:styleId="332">
    <w:name w:val="xl3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3">
    <w:name w:val="xl3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4">
    <w:name w:val="xl3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335">
    <w:name w:val="xl3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336">
    <w:name w:val="xl4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37">
    <w:name w:val="xl4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8">
    <w:name w:val="xl4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9">
    <w:name w:val="xl4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0">
    <w:name w:val="xl4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41">
    <w:name w:val="xl4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2">
    <w:name w:val="xl4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3">
    <w:name w:val="xl48"/>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44">
    <w:name w:val="xl4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5">
    <w:name w:val="xl5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346">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47">
    <w:name w:val="xl5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8">
    <w:name w:val="xl5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49">
    <w:name w:val="xl5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50">
    <w:name w:val="xl5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51">
    <w:name w:val="xl5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2">
    <w:name w:val="xl5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3">
    <w:name w:val="xl5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top"/>
    </w:pPr>
    <w:rPr>
      <w:rFonts w:ascii="宋体" w:hAnsi="宋体" w:cs="宋体"/>
      <w:color w:val="000000"/>
      <w:kern w:val="0"/>
      <w:sz w:val="18"/>
      <w:szCs w:val="18"/>
    </w:rPr>
  </w:style>
  <w:style w:type="paragraph" w:customStyle="1" w:styleId="354">
    <w:name w:val="xl5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top"/>
    </w:pPr>
    <w:rPr>
      <w:rFonts w:ascii="宋体" w:hAnsi="宋体" w:cs="宋体"/>
      <w:color w:val="000000"/>
      <w:kern w:val="0"/>
      <w:sz w:val="18"/>
      <w:szCs w:val="18"/>
    </w:rPr>
  </w:style>
  <w:style w:type="paragraph" w:customStyle="1" w:styleId="355">
    <w:name w:val="xl6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6">
    <w:name w:val="xl6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20"/>
      <w:szCs w:val="20"/>
    </w:rPr>
  </w:style>
  <w:style w:type="paragraph" w:customStyle="1" w:styleId="357">
    <w:name w:val="xl6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358">
    <w:name w:val="xl6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FF"/>
      <w:kern w:val="0"/>
      <w:sz w:val="18"/>
      <w:szCs w:val="18"/>
    </w:rPr>
  </w:style>
  <w:style w:type="paragraph" w:customStyle="1" w:styleId="359">
    <w:name w:val="xl6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0">
    <w:name w:val="xl6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1">
    <w:name w:val="xl66"/>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2">
    <w:name w:val="xl6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3">
    <w:name w:val="xl6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4">
    <w:name w:val="xl6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FF0000"/>
      <w:kern w:val="0"/>
      <w:sz w:val="20"/>
      <w:szCs w:val="20"/>
    </w:rPr>
  </w:style>
  <w:style w:type="paragraph" w:customStyle="1" w:styleId="365">
    <w:name w:val="xl7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3366FF"/>
      <w:kern w:val="0"/>
      <w:sz w:val="20"/>
      <w:szCs w:val="20"/>
    </w:rPr>
  </w:style>
  <w:style w:type="paragraph" w:customStyle="1" w:styleId="366">
    <w:name w:val="xl7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20"/>
      <w:szCs w:val="20"/>
    </w:rPr>
  </w:style>
  <w:style w:type="paragraph" w:customStyle="1" w:styleId="367">
    <w:name w:val="xl7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8">
    <w:name w:val="xl7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9">
    <w:name w:val="xl7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70">
    <w:name w:val="xl7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FF0000"/>
      <w:kern w:val="0"/>
      <w:sz w:val="20"/>
      <w:szCs w:val="20"/>
    </w:rPr>
  </w:style>
  <w:style w:type="paragraph" w:customStyle="1" w:styleId="371">
    <w:name w:val="xl7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72">
    <w:name w:val="xl7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73">
    <w:name w:val="xl7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top"/>
    </w:pPr>
    <w:rPr>
      <w:rFonts w:ascii="宋体" w:hAnsi="宋体" w:cs="宋体"/>
      <w:kern w:val="0"/>
      <w:sz w:val="21"/>
      <w:szCs w:val="21"/>
    </w:rPr>
  </w:style>
  <w:style w:type="paragraph" w:customStyle="1" w:styleId="374">
    <w:name w:val="xl8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375">
    <w:name w:val="xl81"/>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376">
    <w:name w:val="xl8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1"/>
      <w:szCs w:val="21"/>
    </w:rPr>
  </w:style>
  <w:style w:type="paragraph" w:customStyle="1" w:styleId="377">
    <w:name w:val="xl8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0"/>
      <w:szCs w:val="20"/>
    </w:rPr>
  </w:style>
  <w:style w:type="paragraph" w:customStyle="1" w:styleId="378">
    <w:name w:val="xl85"/>
    <w:basedOn w:val="1"/>
    <w:qFormat/>
    <w:uiPriority w:val="0"/>
    <w:pPr>
      <w:widowControl/>
      <w:pBdr>
        <w:top w:val="single" w:color="auto" w:sz="8"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79">
    <w:name w:val="xl86"/>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80">
    <w:name w:val="xl87"/>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81">
    <w:name w:val="xl88"/>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2">
    <w:name w:val="xl89"/>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3">
    <w:name w:val="xl90"/>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4">
    <w:name w:val="xl91"/>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5">
    <w:name w:val="xl9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86">
    <w:name w:val="xl93"/>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7">
    <w:name w:val="xl94"/>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8">
    <w:name w:val="xl95"/>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89">
    <w:name w:val="xl96"/>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0">
    <w:name w:val="xl97"/>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91">
    <w:name w:val="xl98"/>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2">
    <w:name w:val="xl9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3">
    <w:name w:val="xl100"/>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94">
    <w:name w:val="xl101"/>
    <w:basedOn w:val="1"/>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5">
    <w:name w:val="xl102"/>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6">
    <w:name w:val="xl10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0"/>
      <w:szCs w:val="20"/>
    </w:rPr>
  </w:style>
  <w:style w:type="paragraph" w:customStyle="1" w:styleId="397">
    <w:name w:val="xl104"/>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98">
    <w:name w:val="xl105"/>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99">
    <w:name w:val="xl106"/>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FF0000"/>
      <w:kern w:val="0"/>
      <w:sz w:val="18"/>
      <w:szCs w:val="18"/>
    </w:rPr>
  </w:style>
  <w:style w:type="paragraph" w:customStyle="1" w:styleId="400">
    <w:name w:val="xl107"/>
    <w:basedOn w:val="1"/>
    <w:qFormat/>
    <w:uiPriority w:val="0"/>
    <w:pPr>
      <w:widowControl/>
      <w:pBdr>
        <w:top w:val="single" w:color="auto" w:sz="4" w:space="0"/>
        <w:left w:val="single" w:color="auto" w:sz="4" w:space="0"/>
        <w:bottom w:val="single" w:color="auto" w:sz="4" w:space="0"/>
        <w:right w:val="single" w:color="auto" w:sz="8" w:space="0"/>
      </w:pBdr>
      <w:tabs>
        <w:tab w:val="clear" w:pos="480"/>
      </w:tabs>
      <w:spacing w:before="100" w:beforeAutospacing="1" w:after="100" w:afterAutospacing="1" w:line="240" w:lineRule="auto"/>
      <w:jc w:val="left"/>
    </w:pPr>
    <w:rPr>
      <w:rFonts w:ascii="宋体" w:hAnsi="宋体" w:cs="宋体"/>
      <w:color w:val="FF0000"/>
      <w:kern w:val="0"/>
      <w:sz w:val="20"/>
      <w:szCs w:val="20"/>
    </w:rPr>
  </w:style>
  <w:style w:type="paragraph" w:customStyle="1" w:styleId="401">
    <w:name w:val="xl108"/>
    <w:basedOn w:val="1"/>
    <w:qFormat/>
    <w:uiPriority w:val="0"/>
    <w:pPr>
      <w:widowControl/>
      <w:pBdr>
        <w:top w:val="single" w:color="auto" w:sz="4" w:space="0"/>
        <w:left w:val="single" w:color="auto" w:sz="4" w:space="0"/>
        <w:bottom w:val="single" w:color="auto" w:sz="4" w:space="0"/>
        <w:right w:val="single" w:color="auto" w:sz="8" w:space="0"/>
      </w:pBdr>
      <w:tabs>
        <w:tab w:val="clear" w:pos="480"/>
      </w:tabs>
      <w:spacing w:before="100" w:beforeAutospacing="1" w:after="100" w:afterAutospacing="1" w:line="240" w:lineRule="auto"/>
      <w:jc w:val="left"/>
    </w:pPr>
    <w:rPr>
      <w:rFonts w:ascii="宋体" w:hAnsi="宋体" w:cs="宋体"/>
      <w:kern w:val="0"/>
    </w:rPr>
  </w:style>
  <w:style w:type="paragraph" w:customStyle="1" w:styleId="402">
    <w:name w:val="xl109"/>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03">
    <w:name w:val="xl110"/>
    <w:basedOn w:val="1"/>
    <w:qFormat/>
    <w:uiPriority w:val="0"/>
    <w:pPr>
      <w:widowControl/>
      <w:pBdr>
        <w:top w:val="single" w:color="auto" w:sz="4" w:space="0"/>
        <w:left w:val="single" w:color="auto" w:sz="8" w:space="0"/>
        <w:bottom w:val="single" w:color="auto" w:sz="8"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kern w:val="0"/>
      <w:sz w:val="18"/>
      <w:szCs w:val="18"/>
    </w:rPr>
  </w:style>
  <w:style w:type="paragraph" w:customStyle="1" w:styleId="404">
    <w:name w:val="xl111"/>
    <w:basedOn w:val="1"/>
    <w:qFormat/>
    <w:uiPriority w:val="0"/>
    <w:pPr>
      <w:widowControl/>
      <w:pBdr>
        <w:top w:val="single" w:color="auto" w:sz="4" w:space="0"/>
        <w:left w:val="single" w:color="auto" w:sz="4" w:space="0"/>
        <w:bottom w:val="single" w:color="auto" w:sz="8"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405">
    <w:name w:val="xl112"/>
    <w:basedOn w:val="1"/>
    <w:qFormat/>
    <w:uiPriority w:val="0"/>
    <w:pPr>
      <w:widowControl/>
      <w:pBdr>
        <w:top w:val="single" w:color="auto" w:sz="4" w:space="0"/>
        <w:left w:val="single" w:color="auto" w:sz="4" w:space="0"/>
        <w:bottom w:val="single" w:color="auto" w:sz="8"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0"/>
      <w:szCs w:val="20"/>
    </w:rPr>
  </w:style>
  <w:style w:type="paragraph" w:customStyle="1" w:styleId="406">
    <w:name w:val="xl113"/>
    <w:basedOn w:val="1"/>
    <w:qFormat/>
    <w:uiPriority w:val="0"/>
    <w:pPr>
      <w:widowControl/>
      <w:pBdr>
        <w:top w:val="single" w:color="auto" w:sz="4" w:space="0"/>
        <w:left w:val="single" w:color="auto" w:sz="4" w:space="0"/>
        <w:bottom w:val="single" w:color="auto" w:sz="8"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407">
    <w:name w:val="xl114"/>
    <w:basedOn w:val="1"/>
    <w:qFormat/>
    <w:uiPriority w:val="0"/>
    <w:pPr>
      <w:widowControl/>
      <w:pBdr>
        <w:top w:val="single" w:color="auto" w:sz="4" w:space="0"/>
        <w:left w:val="single" w:color="auto" w:sz="4" w:space="0"/>
        <w:bottom w:val="single" w:color="auto" w:sz="8"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08">
    <w:name w:val="xl115"/>
    <w:basedOn w:val="1"/>
    <w:qFormat/>
    <w:uiPriority w:val="0"/>
    <w:pPr>
      <w:widowControl/>
      <w:pBdr>
        <w:top w:val="single" w:color="auto" w:sz="4" w:space="0"/>
        <w:left w:val="single" w:color="auto" w:sz="4" w:space="0"/>
        <w:bottom w:val="single" w:color="auto" w:sz="8"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09">
    <w:name w:val="xl11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410">
    <w:name w:val="xl11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411">
    <w:name w:val="xl11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FF0000"/>
      <w:kern w:val="0"/>
      <w:sz w:val="20"/>
      <w:szCs w:val="20"/>
    </w:rPr>
  </w:style>
  <w:style w:type="paragraph" w:customStyle="1" w:styleId="412">
    <w:name w:val="xl11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2"/>
      <w:szCs w:val="22"/>
    </w:rPr>
  </w:style>
  <w:style w:type="paragraph" w:customStyle="1" w:styleId="413">
    <w:name w:val="xl12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2"/>
      <w:szCs w:val="22"/>
    </w:rPr>
  </w:style>
  <w:style w:type="paragraph" w:customStyle="1" w:styleId="414">
    <w:name w:val="xl12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2"/>
      <w:szCs w:val="22"/>
    </w:rPr>
  </w:style>
  <w:style w:type="paragraph" w:customStyle="1" w:styleId="415">
    <w:name w:val="xl12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b/>
      <w:bCs/>
      <w:kern w:val="0"/>
      <w:sz w:val="21"/>
      <w:szCs w:val="21"/>
    </w:rPr>
  </w:style>
  <w:style w:type="paragraph" w:customStyle="1" w:styleId="416">
    <w:name w:val="xl123"/>
    <w:basedOn w:val="1"/>
    <w:qFormat/>
    <w:uiPriority w:val="0"/>
    <w:pPr>
      <w:widowControl/>
      <w:pBdr>
        <w:top w:val="single" w:color="auto" w:sz="4" w:space="0"/>
        <w:left w:val="single" w:color="auto" w:sz="8"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17">
    <w:name w:val="xl124"/>
    <w:basedOn w:val="1"/>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418">
    <w:name w:val="xl125"/>
    <w:basedOn w:val="1"/>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419">
    <w:name w:val="xl126"/>
    <w:basedOn w:val="1"/>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0"/>
      <w:szCs w:val="20"/>
    </w:rPr>
  </w:style>
  <w:style w:type="paragraph" w:customStyle="1" w:styleId="420">
    <w:name w:val="xl127"/>
    <w:basedOn w:val="1"/>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1">
    <w:name w:val="xl128"/>
    <w:basedOn w:val="1"/>
    <w:qFormat/>
    <w:uiPriority w:val="0"/>
    <w:pPr>
      <w:widowControl/>
      <w:pBdr>
        <w:top w:val="single" w:color="auto" w:sz="4" w:space="0"/>
        <w:left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2">
    <w:name w:val="xl129"/>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423">
    <w:name w:val="xl130"/>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4">
    <w:name w:val="xl131"/>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5">
    <w:name w:val="xl132"/>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6">
    <w:name w:val="xl133"/>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7">
    <w:name w:val="xl134"/>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8">
    <w:name w:val="xl135"/>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9">
    <w:name w:val="xl136"/>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30">
    <w:name w:val="xl137"/>
    <w:basedOn w:val="1"/>
    <w:qFormat/>
    <w:uiPriority w:val="0"/>
    <w:pPr>
      <w:widowControl/>
      <w:pBdr>
        <w:top w:val="single" w:color="auto" w:sz="8"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1">
    <w:name w:val="xl138"/>
    <w:basedOn w:val="1"/>
    <w:qFormat/>
    <w:uiPriority w:val="0"/>
    <w:pPr>
      <w:widowControl/>
      <w:pBdr>
        <w:top w:val="single" w:color="auto" w:sz="8"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2">
    <w:name w:val="xl13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3">
    <w:name w:val="xl140"/>
    <w:basedOn w:val="1"/>
    <w:qFormat/>
    <w:uiPriority w:val="0"/>
    <w:pPr>
      <w:widowControl/>
      <w:pBdr>
        <w:top w:val="single" w:color="auto" w:sz="8"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4">
    <w:name w:val="xl141"/>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5">
    <w:name w:val="报告书表格"/>
    <w:basedOn w:val="1"/>
    <w:semiHidden/>
    <w:qFormat/>
    <w:uiPriority w:val="0"/>
    <w:pPr>
      <w:tabs>
        <w:tab w:val="clear" w:pos="480"/>
      </w:tabs>
      <w:adjustRightInd w:val="0"/>
      <w:spacing w:before="60" w:after="60" w:line="240" w:lineRule="atLeast"/>
      <w:jc w:val="center"/>
      <w:textAlignment w:val="baseline"/>
    </w:pPr>
    <w:rPr>
      <w:kern w:val="0"/>
      <w:sz w:val="21"/>
      <w:szCs w:val="20"/>
    </w:rPr>
  </w:style>
  <w:style w:type="paragraph" w:customStyle="1" w:styleId="436">
    <w:name w:val="Char Char Char Char Char Char"/>
    <w:basedOn w:val="1"/>
    <w:qFormat/>
    <w:uiPriority w:val="0"/>
    <w:pPr>
      <w:tabs>
        <w:tab w:val="clear" w:pos="480"/>
      </w:tabs>
      <w:spacing w:line="240" w:lineRule="auto"/>
    </w:pPr>
    <w:rPr>
      <w:sz w:val="21"/>
    </w:rPr>
  </w:style>
  <w:style w:type="paragraph" w:customStyle="1" w:styleId="437">
    <w:name w:val="报告正文 Char"/>
    <w:basedOn w:val="1"/>
    <w:link w:val="467"/>
    <w:semiHidden/>
    <w:qFormat/>
    <w:uiPriority w:val="0"/>
    <w:pPr>
      <w:tabs>
        <w:tab w:val="clear" w:pos="480"/>
      </w:tabs>
      <w:adjustRightInd w:val="0"/>
      <w:snapToGrid w:val="0"/>
      <w:spacing w:line="312" w:lineRule="auto"/>
      <w:ind w:left="2600"/>
    </w:pPr>
    <w:rPr>
      <w:rFonts w:ascii="华文细黑" w:eastAsia="华文细黑" w:cs="宋体"/>
      <w:sz w:val="20"/>
      <w:szCs w:val="20"/>
    </w:rPr>
  </w:style>
  <w:style w:type="paragraph" w:customStyle="1" w:styleId="438">
    <w:name w:val="四号 1.5倍行距 宋体 Timenewrome"/>
    <w:basedOn w:val="1"/>
    <w:next w:val="1"/>
    <w:semiHidden/>
    <w:qFormat/>
    <w:uiPriority w:val="0"/>
    <w:pPr>
      <w:tabs>
        <w:tab w:val="clear" w:pos="480"/>
      </w:tabs>
      <w:spacing w:line="240" w:lineRule="auto"/>
    </w:pPr>
    <w:rPr>
      <w:sz w:val="21"/>
      <w:szCs w:val="21"/>
    </w:rPr>
  </w:style>
  <w:style w:type="paragraph" w:customStyle="1" w:styleId="439">
    <w:name w:val="此篇标题2"/>
    <w:semiHidden/>
    <w:qFormat/>
    <w:uiPriority w:val="0"/>
    <w:pPr>
      <w:jc w:val="center"/>
      <w:outlineLvl w:val="1"/>
    </w:pPr>
    <w:rPr>
      <w:rFonts w:ascii="仿宋_GB2312" w:hAnsi="Arial" w:eastAsia="宋体" w:cs="Times New Roman"/>
      <w:b/>
      <w:kern w:val="2"/>
      <w:sz w:val="30"/>
      <w:szCs w:val="24"/>
      <w:lang w:val="en-US" w:eastAsia="zh-CN" w:bidi="ar-SA"/>
    </w:rPr>
  </w:style>
  <w:style w:type="paragraph" w:customStyle="1" w:styleId="440">
    <w:name w:val="中文报告书样式"/>
    <w:basedOn w:val="1"/>
    <w:semiHidden/>
    <w:qFormat/>
    <w:uiPriority w:val="0"/>
    <w:pPr>
      <w:tabs>
        <w:tab w:val="clear" w:pos="480"/>
      </w:tabs>
      <w:adjustRightInd w:val="0"/>
      <w:spacing w:line="520" w:lineRule="exact"/>
      <w:ind w:firstLine="578"/>
      <w:textAlignment w:val="baseline"/>
    </w:pPr>
    <w:rPr>
      <w:kern w:val="24"/>
      <w:sz w:val="28"/>
      <w:szCs w:val="20"/>
    </w:rPr>
  </w:style>
  <w:style w:type="paragraph" w:customStyle="1" w:styleId="441">
    <w:name w:val="headin"/>
    <w:basedOn w:val="1"/>
    <w:next w:val="1"/>
    <w:semiHidden/>
    <w:qFormat/>
    <w:uiPriority w:val="0"/>
    <w:pPr>
      <w:keepNext/>
      <w:keepLines/>
      <w:tabs>
        <w:tab w:val="clear" w:pos="480"/>
      </w:tabs>
      <w:spacing w:before="260" w:after="260" w:line="416" w:lineRule="auto"/>
    </w:pPr>
    <w:rPr>
      <w:b/>
      <w:bCs/>
      <w:sz w:val="32"/>
      <w:szCs w:val="32"/>
    </w:rPr>
  </w:style>
  <w:style w:type="paragraph" w:customStyle="1" w:styleId="442">
    <w:name w:val="电镀正文"/>
    <w:basedOn w:val="21"/>
    <w:link w:val="1303"/>
    <w:semiHidden/>
    <w:qFormat/>
    <w:uiPriority w:val="0"/>
    <w:pPr>
      <w:tabs>
        <w:tab w:val="clear" w:pos="480"/>
      </w:tabs>
      <w:spacing w:line="400" w:lineRule="exact"/>
      <w:ind w:firstLine="200"/>
    </w:pPr>
  </w:style>
  <w:style w:type="character" w:customStyle="1" w:styleId="443">
    <w:name w:val="此篇标题3 Char"/>
    <w:link w:val="444"/>
    <w:semiHidden/>
    <w:qFormat/>
    <w:uiPriority w:val="0"/>
    <w:rPr>
      <w:rFonts w:ascii="仿宋_GB2312" w:hAnsi="Arial"/>
      <w:b/>
      <w:kern w:val="2"/>
      <w:sz w:val="24"/>
      <w:lang w:val="en-US" w:eastAsia="zh-CN" w:bidi="ar-SA"/>
    </w:rPr>
  </w:style>
  <w:style w:type="paragraph" w:customStyle="1" w:styleId="444">
    <w:name w:val="此篇标题3"/>
    <w:link w:val="443"/>
    <w:semiHidden/>
    <w:qFormat/>
    <w:uiPriority w:val="0"/>
    <w:pPr>
      <w:spacing w:before="120" w:after="120"/>
      <w:jc w:val="center"/>
    </w:pPr>
    <w:rPr>
      <w:rFonts w:ascii="仿宋_GB2312" w:hAnsi="Arial" w:eastAsia="宋体" w:cs="Times New Roman"/>
      <w:b/>
      <w:kern w:val="2"/>
      <w:sz w:val="24"/>
      <w:szCs w:val="24"/>
      <w:lang w:val="en-US" w:eastAsia="zh-CN" w:bidi="ar-SA"/>
    </w:rPr>
  </w:style>
  <w:style w:type="character" w:customStyle="1" w:styleId="445">
    <w:name w:val="标题 3 Char1"/>
    <w:qFormat/>
    <w:uiPriority w:val="9"/>
    <w:rPr>
      <w:rFonts w:eastAsia="仿宋_GB2312"/>
      <w:b/>
      <w:kern w:val="2"/>
      <w:sz w:val="24"/>
      <w:lang w:val="en-US" w:eastAsia="zh-CN" w:bidi="ar-SA"/>
    </w:rPr>
  </w:style>
  <w:style w:type="paragraph" w:customStyle="1" w:styleId="446">
    <w:name w:val="中气一级"/>
    <w:basedOn w:val="3"/>
    <w:next w:val="447"/>
    <w:semiHidden/>
    <w:qFormat/>
    <w:uiPriority w:val="0"/>
    <w:pPr>
      <w:tabs>
        <w:tab w:val="clear" w:pos="480"/>
      </w:tabs>
      <w:spacing w:before="300" w:after="300" w:line="520" w:lineRule="exact"/>
      <w:jc w:val="left"/>
    </w:pPr>
    <w:rPr>
      <w:rFonts w:ascii="Times New Roman" w:eastAsia="黑体"/>
      <w:b w:val="0"/>
    </w:rPr>
  </w:style>
  <w:style w:type="paragraph" w:customStyle="1" w:styleId="447">
    <w:name w:val="中气二级"/>
    <w:basedOn w:val="258"/>
    <w:next w:val="1"/>
    <w:semiHidden/>
    <w:qFormat/>
    <w:uiPriority w:val="0"/>
    <w:pPr>
      <w:spacing w:beforeLines="50" w:afterLines="50" w:line="360" w:lineRule="auto"/>
      <w:ind w:left="1560" w:firstLine="0" w:firstLineChars="0"/>
      <w:jc w:val="left"/>
    </w:pPr>
  </w:style>
  <w:style w:type="paragraph" w:customStyle="1" w:styleId="448">
    <w:name w:val="中气三级"/>
    <w:basedOn w:val="5"/>
    <w:next w:val="1"/>
    <w:semiHidden/>
    <w:qFormat/>
    <w:uiPriority w:val="0"/>
    <w:pPr>
      <w:tabs>
        <w:tab w:val="left" w:pos="2760"/>
        <w:tab w:val="clear" w:pos="480"/>
        <w:tab w:val="clear" w:pos="840"/>
      </w:tabs>
      <w:adjustRightInd w:val="0"/>
      <w:spacing w:beforeLines="50" w:afterLines="50" w:line="360" w:lineRule="auto"/>
      <w:jc w:val="left"/>
      <w:textAlignment w:val="baseline"/>
    </w:pPr>
    <w:rPr>
      <w:rFonts w:ascii="Times New Roman" w:eastAsia="黑体"/>
      <w:b w:val="0"/>
      <w:bCs w:val="0"/>
      <w:snapToGrid w:val="0"/>
      <w:kern w:val="0"/>
      <w:sz w:val="24"/>
      <w:szCs w:val="20"/>
    </w:rPr>
  </w:style>
  <w:style w:type="paragraph" w:customStyle="1" w:styleId="449">
    <w:name w:val="中气表头"/>
    <w:basedOn w:val="1"/>
    <w:link w:val="450"/>
    <w:semiHidden/>
    <w:qFormat/>
    <w:uiPriority w:val="0"/>
    <w:pPr>
      <w:tabs>
        <w:tab w:val="clear" w:pos="480"/>
      </w:tabs>
      <w:spacing w:line="240" w:lineRule="auto"/>
      <w:jc w:val="center"/>
    </w:pPr>
    <w:rPr>
      <w:rFonts w:eastAsia="黑体"/>
      <w:b/>
      <w:sz w:val="21"/>
      <w:szCs w:val="21"/>
    </w:rPr>
  </w:style>
  <w:style w:type="character" w:customStyle="1" w:styleId="450">
    <w:name w:val="中气表头 Char"/>
    <w:link w:val="449"/>
    <w:qFormat/>
    <w:uiPriority w:val="0"/>
    <w:rPr>
      <w:rFonts w:eastAsia="黑体"/>
      <w:b/>
      <w:kern w:val="2"/>
      <w:sz w:val="21"/>
      <w:szCs w:val="21"/>
      <w:lang w:val="en-US" w:eastAsia="zh-CN" w:bidi="ar-SA"/>
    </w:rPr>
  </w:style>
  <w:style w:type="paragraph" w:customStyle="1" w:styleId="451">
    <w:name w:val="Char Char1 Char Char Char Char Char Char Char"/>
    <w:basedOn w:val="1"/>
    <w:semiHidden/>
    <w:qFormat/>
    <w:uiPriority w:val="0"/>
    <w:pPr>
      <w:tabs>
        <w:tab w:val="clear" w:pos="480"/>
      </w:tabs>
      <w:spacing w:line="240" w:lineRule="auto"/>
    </w:pPr>
    <w:rPr>
      <w:sz w:val="21"/>
    </w:rPr>
  </w:style>
  <w:style w:type="character" w:customStyle="1" w:styleId="452">
    <w:name w:val="articlebody3"/>
    <w:semiHidden/>
    <w:qFormat/>
    <w:uiPriority w:val="0"/>
    <w:rPr>
      <w:sz w:val="21"/>
      <w:szCs w:val="21"/>
    </w:rPr>
  </w:style>
  <w:style w:type="paragraph" w:customStyle="1" w:styleId="453">
    <w:name w:val="正文自己"/>
    <w:basedOn w:val="45"/>
    <w:link w:val="454"/>
    <w:semiHidden/>
    <w:qFormat/>
    <w:uiPriority w:val="0"/>
    <w:pPr>
      <w:spacing w:line="500" w:lineRule="exact"/>
      <w:ind w:firstLine="488"/>
    </w:pPr>
    <w:rPr>
      <w:rFonts w:ascii="Times New Roman" w:hAnsi="Times New Roman"/>
      <w:spacing w:val="2"/>
      <w:sz w:val="24"/>
      <w:szCs w:val="24"/>
    </w:rPr>
  </w:style>
  <w:style w:type="character" w:customStyle="1" w:styleId="454">
    <w:name w:val="正文自己 Char"/>
    <w:link w:val="453"/>
    <w:qFormat/>
    <w:uiPriority w:val="0"/>
    <w:rPr>
      <w:rFonts w:eastAsia="宋体"/>
      <w:spacing w:val="2"/>
      <w:kern w:val="2"/>
      <w:sz w:val="24"/>
      <w:szCs w:val="24"/>
      <w:lang w:val="en-US" w:eastAsia="zh-CN" w:bidi="ar-SA"/>
    </w:rPr>
  </w:style>
  <w:style w:type="paragraph" w:customStyle="1" w:styleId="455">
    <w:name w:val="ZX 2标题"/>
    <w:basedOn w:val="4"/>
    <w:link w:val="1747"/>
    <w:qFormat/>
    <w:uiPriority w:val="0"/>
    <w:pPr>
      <w:spacing w:before="0" w:after="0"/>
    </w:pPr>
    <w:rPr>
      <w:rFonts w:ascii="宋体" w:cs="宋体"/>
      <w:szCs w:val="20"/>
    </w:rPr>
  </w:style>
  <w:style w:type="paragraph" w:customStyle="1" w:styleId="456">
    <w:name w:val="ZX 3标题"/>
    <w:basedOn w:val="5"/>
    <w:link w:val="480"/>
    <w:qFormat/>
    <w:uiPriority w:val="0"/>
    <w:pPr>
      <w:keepNext w:val="0"/>
      <w:spacing w:before="0" w:after="0" w:line="360" w:lineRule="auto"/>
    </w:pPr>
    <w:rPr>
      <w:rFonts w:ascii="Times New Roman" w:eastAsia="宋体"/>
      <w:color w:val="000000"/>
      <w:kern w:val="18"/>
      <w:szCs w:val="30"/>
    </w:rPr>
  </w:style>
  <w:style w:type="paragraph" w:customStyle="1" w:styleId="457">
    <w:name w:val="样式 标题 3标题 3 CharReHead 3 WSAh3H3B Head条标题1.1.1Section头...1"/>
    <w:basedOn w:val="5"/>
    <w:semiHidden/>
    <w:qFormat/>
    <w:uiPriority w:val="0"/>
    <w:pPr>
      <w:spacing w:before="60" w:after="60" w:line="360" w:lineRule="auto"/>
    </w:pPr>
    <w:rPr>
      <w:rFonts w:ascii="宋体" w:hAnsi="宋体" w:eastAsia="宋体" w:cs="宋体"/>
      <w:szCs w:val="20"/>
    </w:rPr>
  </w:style>
  <w:style w:type="paragraph" w:customStyle="1" w:styleId="458">
    <w:name w:val="ZX 4标题"/>
    <w:basedOn w:val="6"/>
    <w:qFormat/>
    <w:uiPriority w:val="0"/>
    <w:pPr>
      <w:keepNext w:val="0"/>
      <w:widowControl/>
      <w:tabs>
        <w:tab w:val="clear" w:pos="480"/>
      </w:tabs>
      <w:spacing w:before="0" w:after="0"/>
    </w:pPr>
    <w:rPr>
      <w:rFonts w:ascii="Times New Roman" w:hAnsi="Times New Roman" w:eastAsia="宋体"/>
      <w:sz w:val="24"/>
      <w:szCs w:val="20"/>
    </w:rPr>
  </w:style>
  <w:style w:type="paragraph" w:customStyle="1" w:styleId="459">
    <w:name w:val="ZX 1 标题"/>
    <w:basedOn w:val="3"/>
    <w:qFormat/>
    <w:uiPriority w:val="0"/>
    <w:pPr>
      <w:spacing w:before="120" w:after="120"/>
      <w:jc w:val="center"/>
    </w:pPr>
    <w:rPr>
      <w:rFonts w:ascii="宋体" w:hAnsi="宋体" w:eastAsia="宋体" w:cs="宋体"/>
      <w:szCs w:val="20"/>
    </w:rPr>
  </w:style>
  <w:style w:type="paragraph" w:customStyle="1" w:styleId="460">
    <w:name w:val="TT正文"/>
    <w:basedOn w:val="1"/>
    <w:link w:val="461"/>
    <w:qFormat/>
    <w:uiPriority w:val="0"/>
    <w:pPr>
      <w:tabs>
        <w:tab w:val="clear" w:pos="480"/>
      </w:tabs>
    </w:pPr>
    <w:rPr>
      <w:rFonts w:cs="宋体"/>
      <w:color w:val="000000"/>
      <w:szCs w:val="20"/>
    </w:rPr>
  </w:style>
  <w:style w:type="character" w:customStyle="1" w:styleId="461">
    <w:name w:val="TT正文 Char"/>
    <w:link w:val="460"/>
    <w:qFormat/>
    <w:uiPriority w:val="0"/>
    <w:rPr>
      <w:rFonts w:eastAsia="宋体" w:cs="宋体"/>
      <w:color w:val="000000"/>
      <w:kern w:val="2"/>
      <w:sz w:val="24"/>
      <w:lang w:val="en-US" w:eastAsia="zh-CN" w:bidi="ar-SA"/>
    </w:rPr>
  </w:style>
  <w:style w:type="character" w:customStyle="1" w:styleId="462">
    <w:name w:val="reflink plainlinks nourlexpansion"/>
    <w:basedOn w:val="133"/>
    <w:semiHidden/>
    <w:qFormat/>
    <w:uiPriority w:val="0"/>
  </w:style>
  <w:style w:type="paragraph" w:customStyle="1" w:styleId="463">
    <w:name w:val="样式 首行缩进:  2 字符"/>
    <w:basedOn w:val="1"/>
    <w:link w:val="475"/>
    <w:qFormat/>
    <w:uiPriority w:val="0"/>
    <w:pPr>
      <w:tabs>
        <w:tab w:val="clear" w:pos="480"/>
      </w:tabs>
      <w:ind w:firstLine="480"/>
    </w:pPr>
    <w:rPr>
      <w:rFonts w:cs="宋体"/>
      <w:szCs w:val="20"/>
    </w:rPr>
  </w:style>
  <w:style w:type="paragraph" w:customStyle="1" w:styleId="464">
    <w:name w:val="样式 小四 首行缩进:  0.85 厘米 行距: 1.5 倍行距"/>
    <w:basedOn w:val="1"/>
    <w:link w:val="1748"/>
    <w:qFormat/>
    <w:uiPriority w:val="0"/>
    <w:pPr>
      <w:tabs>
        <w:tab w:val="clear" w:pos="480"/>
      </w:tabs>
      <w:adjustRightInd w:val="0"/>
      <w:ind w:firstLine="480"/>
      <w:textAlignment w:val="baseline"/>
    </w:pPr>
    <w:rPr>
      <w:rFonts w:ascii="黑体" w:hAnsi="Arial" w:cs="宋体"/>
      <w:bCs/>
    </w:rPr>
  </w:style>
  <w:style w:type="character" w:customStyle="1" w:styleId="465">
    <w:name w:val="表格 Char"/>
    <w:link w:val="161"/>
    <w:qFormat/>
    <w:uiPriority w:val="0"/>
    <w:rPr>
      <w:rFonts w:eastAsia="楷体_GB2312"/>
      <w:kern w:val="2"/>
      <w:sz w:val="24"/>
      <w:lang w:val="en-US" w:eastAsia="zh-CN" w:bidi="ar-SA"/>
    </w:rPr>
  </w:style>
  <w:style w:type="table" w:customStyle="1" w:styleId="466">
    <w:name w:val="网格型1"/>
    <w:basedOn w:val="88"/>
    <w:qFormat/>
    <w:uiPriority w:val="59"/>
    <w:pPr>
      <w:widowControl w:val="0"/>
    </w:pPr>
    <w:rPr>
      <w:snapToGrid w:val="0"/>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467">
    <w:name w:val="报告正文 Char Char"/>
    <w:link w:val="437"/>
    <w:qFormat/>
    <w:uiPriority w:val="0"/>
    <w:rPr>
      <w:rFonts w:ascii="华文细黑" w:eastAsia="华文细黑" w:cs="宋体"/>
      <w:kern w:val="2"/>
      <w:lang w:val="en-US" w:eastAsia="zh-CN" w:bidi="ar-SA"/>
    </w:rPr>
  </w:style>
  <w:style w:type="paragraph" w:customStyle="1" w:styleId="468">
    <w:name w:val="正文4"/>
    <w:basedOn w:val="1"/>
    <w:link w:val="474"/>
    <w:semiHidden/>
    <w:qFormat/>
    <w:uiPriority w:val="0"/>
    <w:rPr>
      <w:rFonts w:cs="宋体"/>
      <w:szCs w:val="20"/>
    </w:rPr>
  </w:style>
  <w:style w:type="character" w:customStyle="1" w:styleId="469">
    <w:name w:val="表格文字01 Char"/>
    <w:link w:val="470"/>
    <w:qFormat/>
    <w:uiPriority w:val="0"/>
    <w:rPr>
      <w:rFonts w:eastAsia="宋体"/>
      <w:snapToGrid w:val="0"/>
      <w:color w:val="000000"/>
      <w:kern w:val="2"/>
      <w:sz w:val="21"/>
      <w:lang w:val="en-US" w:eastAsia="zh-CN" w:bidi="ar-SA"/>
    </w:rPr>
  </w:style>
  <w:style w:type="paragraph" w:customStyle="1" w:styleId="470">
    <w:name w:val="表格文字01"/>
    <w:basedOn w:val="1"/>
    <w:link w:val="469"/>
    <w:qFormat/>
    <w:uiPriority w:val="0"/>
    <w:pPr>
      <w:tabs>
        <w:tab w:val="clear" w:pos="480"/>
      </w:tabs>
      <w:wordWrap w:val="0"/>
      <w:overflowPunct w:val="0"/>
      <w:topLinePunct/>
      <w:spacing w:line="240" w:lineRule="auto"/>
      <w:jc w:val="center"/>
    </w:pPr>
    <w:rPr>
      <w:snapToGrid w:val="0"/>
      <w:color w:val="000000"/>
      <w:sz w:val="21"/>
      <w:szCs w:val="20"/>
    </w:rPr>
  </w:style>
  <w:style w:type="paragraph" w:customStyle="1" w:styleId="471">
    <w:name w:val="样式 标题 3 + 左侧:  0.49 厘米 首行缩进:  0 厘米"/>
    <w:basedOn w:val="5"/>
    <w:qFormat/>
    <w:uiPriority w:val="0"/>
    <w:pPr>
      <w:tabs>
        <w:tab w:val="left" w:pos="711"/>
        <w:tab w:val="left" w:pos="999"/>
        <w:tab w:val="clear" w:pos="480"/>
        <w:tab w:val="clear" w:pos="840"/>
      </w:tabs>
      <w:spacing w:before="260"/>
      <w:ind w:left="711" w:hanging="432"/>
    </w:pPr>
    <w:rPr>
      <w:rFonts w:ascii="Times New Roman" w:eastAsia="宋体" w:cs="宋体"/>
      <w:sz w:val="32"/>
      <w:szCs w:val="20"/>
    </w:rPr>
  </w:style>
  <w:style w:type="character" w:customStyle="1" w:styleId="472">
    <w:name w:val="表格文字 Char1"/>
    <w:qFormat/>
    <w:uiPriority w:val="0"/>
    <w:rPr>
      <w:rFonts w:hAnsi="宋体" w:eastAsia="宋体" w:cs="Arial"/>
      <w:bCs/>
      <w:snapToGrid w:val="0"/>
      <w:color w:val="000000"/>
      <w:sz w:val="21"/>
      <w:szCs w:val="21"/>
      <w:lang w:val="eu-ES" w:eastAsia="zh-CN" w:bidi="ar-SA"/>
    </w:rPr>
  </w:style>
  <w:style w:type="paragraph" w:customStyle="1" w:styleId="473">
    <w:name w:val="样式 (西文) 宋体 (中文) 宋体 左 段前: 5 磅 段后: 5 磅 行距: 单倍行距"/>
    <w:basedOn w:val="1"/>
    <w:semiHidden/>
    <w:qFormat/>
    <w:uiPriority w:val="0"/>
    <w:pPr>
      <w:tabs>
        <w:tab w:val="clear" w:pos="480"/>
      </w:tabs>
      <w:spacing w:line="240" w:lineRule="auto"/>
      <w:jc w:val="left"/>
    </w:pPr>
    <w:rPr>
      <w:rFonts w:cs="宋体"/>
      <w:kern w:val="0"/>
      <w:sz w:val="21"/>
      <w:szCs w:val="20"/>
    </w:rPr>
  </w:style>
  <w:style w:type="character" w:customStyle="1" w:styleId="474">
    <w:name w:val="正文4 Char"/>
    <w:link w:val="468"/>
    <w:qFormat/>
    <w:uiPriority w:val="0"/>
    <w:rPr>
      <w:rFonts w:eastAsia="宋体" w:cs="宋体"/>
      <w:kern w:val="2"/>
      <w:sz w:val="24"/>
      <w:lang w:val="en-US" w:eastAsia="zh-CN" w:bidi="ar-SA"/>
    </w:rPr>
  </w:style>
  <w:style w:type="character" w:customStyle="1" w:styleId="475">
    <w:name w:val="样式 首行缩进:  2 字符 Char"/>
    <w:link w:val="463"/>
    <w:qFormat/>
    <w:uiPriority w:val="0"/>
    <w:rPr>
      <w:rFonts w:eastAsia="宋体" w:cs="宋体"/>
      <w:kern w:val="2"/>
      <w:sz w:val="24"/>
      <w:lang w:val="en-US" w:eastAsia="zh-CN" w:bidi="ar-SA"/>
    </w:rPr>
  </w:style>
  <w:style w:type="character" w:customStyle="1" w:styleId="476">
    <w:name w:val="hangju"/>
    <w:basedOn w:val="133"/>
    <w:semiHidden/>
    <w:qFormat/>
    <w:uiPriority w:val="0"/>
  </w:style>
  <w:style w:type="paragraph" w:customStyle="1" w:styleId="477">
    <w:name w:val="大号TT"/>
    <w:basedOn w:val="1"/>
    <w:qFormat/>
    <w:uiPriority w:val="0"/>
    <w:pPr>
      <w:ind w:firstLine="562"/>
      <w:jc w:val="center"/>
    </w:pPr>
    <w:rPr>
      <w:rFonts w:cs="宋体"/>
      <w:b/>
      <w:bCs/>
      <w:sz w:val="28"/>
      <w:szCs w:val="20"/>
    </w:rPr>
  </w:style>
  <w:style w:type="character" w:customStyle="1" w:styleId="478">
    <w:name w:val="content"/>
    <w:basedOn w:val="133"/>
    <w:qFormat/>
    <w:uiPriority w:val="0"/>
  </w:style>
  <w:style w:type="paragraph" w:customStyle="1" w:styleId="479">
    <w:name w:val="中气正文"/>
    <w:basedOn w:val="1"/>
    <w:link w:val="2457"/>
    <w:semiHidden/>
    <w:qFormat/>
    <w:uiPriority w:val="0"/>
    <w:pPr>
      <w:tabs>
        <w:tab w:val="clear" w:pos="480"/>
      </w:tabs>
      <w:ind w:firstLine="480"/>
    </w:pPr>
  </w:style>
  <w:style w:type="character" w:customStyle="1" w:styleId="480">
    <w:name w:val="ZX 3标题 Char"/>
    <w:link w:val="456"/>
    <w:qFormat/>
    <w:uiPriority w:val="0"/>
    <w:rPr>
      <w:b/>
      <w:bCs/>
      <w:color w:val="000000"/>
      <w:kern w:val="18"/>
      <w:sz w:val="30"/>
      <w:szCs w:val="30"/>
      <w:lang w:val="zh-CN"/>
    </w:rPr>
  </w:style>
  <w:style w:type="character" w:customStyle="1" w:styleId="481">
    <w:name w:val="标题 3 字符"/>
    <w:link w:val="5"/>
    <w:qFormat/>
    <w:uiPriority w:val="0"/>
    <w:rPr>
      <w:rFonts w:ascii="仿宋_GB2312" w:eastAsia="仿宋_GB2312"/>
      <w:b/>
      <w:bCs/>
      <w:kern w:val="2"/>
      <w:sz w:val="30"/>
      <w:szCs w:val="32"/>
      <w:lang w:val="zh-CN"/>
    </w:rPr>
  </w:style>
  <w:style w:type="character" w:customStyle="1" w:styleId="482">
    <w:name w:val="标题 5 字符"/>
    <w:link w:val="7"/>
    <w:qFormat/>
    <w:uiPriority w:val="0"/>
    <w:rPr>
      <w:rFonts w:ascii="宋体" w:hAnsi="Impact" w:eastAsia="楷体_GB2312"/>
      <w:b/>
      <w:kern w:val="2"/>
      <w:sz w:val="24"/>
      <w:lang w:val="zh-CN"/>
    </w:rPr>
  </w:style>
  <w:style w:type="character" w:customStyle="1" w:styleId="483">
    <w:name w:val="标题 6 字符"/>
    <w:link w:val="8"/>
    <w:qFormat/>
    <w:uiPriority w:val="0"/>
    <w:rPr>
      <w:rFonts w:ascii="Arial" w:hAnsi="Arial" w:eastAsia="楷体_GB2312"/>
      <w:b/>
      <w:kern w:val="24"/>
      <w:sz w:val="24"/>
      <w:lang w:val="zh-CN"/>
    </w:rPr>
  </w:style>
  <w:style w:type="character" w:customStyle="1" w:styleId="484">
    <w:name w:val="标题 7 字符"/>
    <w:link w:val="9"/>
    <w:qFormat/>
    <w:uiPriority w:val="0"/>
    <w:rPr>
      <w:rFonts w:ascii="宋体" w:hAnsi="Impact" w:eastAsia="楷体_GB2312"/>
      <w:b/>
      <w:kern w:val="24"/>
      <w:sz w:val="24"/>
      <w:lang w:val="zh-CN"/>
    </w:rPr>
  </w:style>
  <w:style w:type="character" w:customStyle="1" w:styleId="485">
    <w:name w:val="标题 8 字符"/>
    <w:link w:val="10"/>
    <w:qFormat/>
    <w:uiPriority w:val="0"/>
    <w:rPr>
      <w:rFonts w:ascii="Arial" w:hAnsi="Arial" w:eastAsia="黑体"/>
      <w:kern w:val="24"/>
      <w:sz w:val="24"/>
      <w:lang w:val="zh-CN"/>
    </w:rPr>
  </w:style>
  <w:style w:type="character" w:customStyle="1" w:styleId="486">
    <w:name w:val="标题 9 字符"/>
    <w:link w:val="11"/>
    <w:qFormat/>
    <w:uiPriority w:val="0"/>
    <w:rPr>
      <w:rFonts w:ascii="Arial" w:hAnsi="Arial" w:eastAsia="黑体"/>
      <w:kern w:val="24"/>
      <w:sz w:val="28"/>
      <w:lang w:val="zh-CN"/>
    </w:rPr>
  </w:style>
  <w:style w:type="character" w:customStyle="1" w:styleId="487">
    <w:name w:val="文档结构图 字符"/>
    <w:link w:val="27"/>
    <w:qFormat/>
    <w:uiPriority w:val="0"/>
    <w:rPr>
      <w:rFonts w:eastAsia="宋体"/>
      <w:kern w:val="2"/>
      <w:sz w:val="21"/>
      <w:szCs w:val="24"/>
      <w:lang w:val="en-US" w:eastAsia="zh-CN" w:bidi="ar-SA"/>
    </w:rPr>
  </w:style>
  <w:style w:type="paragraph" w:customStyle="1" w:styleId="488">
    <w:name w:val="字元 字元 Char Char 字元 字元1"/>
    <w:basedOn w:val="1"/>
    <w:semiHidden/>
    <w:qFormat/>
    <w:uiPriority w:val="0"/>
    <w:pPr>
      <w:tabs>
        <w:tab w:val="clear" w:pos="480"/>
      </w:tabs>
      <w:spacing w:line="240" w:lineRule="auto"/>
    </w:pPr>
  </w:style>
  <w:style w:type="character" w:customStyle="1" w:styleId="489">
    <w:name w:val="批注框文本 字符1"/>
    <w:link w:val="54"/>
    <w:qFormat/>
    <w:uiPriority w:val="99"/>
    <w:rPr>
      <w:rFonts w:eastAsia="宋体"/>
      <w:kern w:val="2"/>
      <w:sz w:val="18"/>
      <w:szCs w:val="18"/>
      <w:lang w:val="en-US" w:eastAsia="zh-CN" w:bidi="ar-SA"/>
    </w:rPr>
  </w:style>
  <w:style w:type="character" w:customStyle="1" w:styleId="490">
    <w:name w:val="页脚 字符"/>
    <w:link w:val="55"/>
    <w:qFormat/>
    <w:uiPriority w:val="99"/>
    <w:rPr>
      <w:rFonts w:eastAsia="宋体"/>
      <w:kern w:val="2"/>
      <w:sz w:val="18"/>
      <w:szCs w:val="18"/>
      <w:lang w:val="en-US" w:eastAsia="zh-CN" w:bidi="ar-SA"/>
    </w:rPr>
  </w:style>
  <w:style w:type="character" w:customStyle="1" w:styleId="491">
    <w:name w:val="正文文本缩进 3 字符"/>
    <w:link w:val="70"/>
    <w:qFormat/>
    <w:uiPriority w:val="0"/>
    <w:rPr>
      <w:rFonts w:eastAsia="宋体"/>
      <w:kern w:val="2"/>
      <w:sz w:val="24"/>
      <w:szCs w:val="24"/>
      <w:lang w:val="en-US" w:eastAsia="zh-CN" w:bidi="ar-SA"/>
    </w:rPr>
  </w:style>
  <w:style w:type="paragraph" w:customStyle="1" w:styleId="492">
    <w:name w:val="样式3"/>
    <w:basedOn w:val="1"/>
    <w:qFormat/>
    <w:uiPriority w:val="0"/>
    <w:pPr>
      <w:tabs>
        <w:tab w:val="clear" w:pos="480"/>
      </w:tabs>
      <w:autoSpaceDE w:val="0"/>
      <w:autoSpaceDN w:val="0"/>
      <w:adjustRightInd w:val="0"/>
      <w:snapToGrid w:val="0"/>
      <w:spacing w:line="500" w:lineRule="atLeast"/>
      <w:jc w:val="left"/>
      <w:outlineLvl w:val="1"/>
    </w:pPr>
    <w:rPr>
      <w:rFonts w:eastAsia="楷体_GB2312"/>
      <w:b/>
      <w:kern w:val="0"/>
      <w:sz w:val="28"/>
      <w:szCs w:val="20"/>
    </w:rPr>
  </w:style>
  <w:style w:type="paragraph" w:customStyle="1" w:styleId="493">
    <w:name w:val="居中正文"/>
    <w:basedOn w:val="85"/>
    <w:qFormat/>
    <w:uiPriority w:val="0"/>
    <w:pPr>
      <w:adjustRightInd w:val="0"/>
      <w:spacing w:before="120" w:after="0" w:line="360" w:lineRule="auto"/>
      <w:ind w:firstLine="0" w:firstLineChars="0"/>
      <w:jc w:val="center"/>
      <w:textAlignment w:val="baseline"/>
    </w:pPr>
    <w:rPr>
      <w:rFonts w:ascii="宋体"/>
      <w:kern w:val="28"/>
      <w:sz w:val="24"/>
      <w:szCs w:val="20"/>
    </w:rPr>
  </w:style>
  <w:style w:type="character" w:customStyle="1" w:styleId="494">
    <w:name w:val="正文文字 Char Char Char Char Char Char Char Char"/>
    <w:qFormat/>
    <w:uiPriority w:val="0"/>
    <w:rPr>
      <w:rFonts w:eastAsia="宋体"/>
      <w:kern w:val="2"/>
      <w:sz w:val="21"/>
      <w:szCs w:val="24"/>
      <w:lang w:val="en-US" w:eastAsia="zh-CN" w:bidi="ar-SA"/>
    </w:rPr>
  </w:style>
  <w:style w:type="character" w:customStyle="1" w:styleId="495">
    <w:name w:val="正文文本首行缩进 字符"/>
    <w:link w:val="85"/>
    <w:qFormat/>
    <w:uiPriority w:val="0"/>
    <w:rPr>
      <w:rFonts w:eastAsia="宋体"/>
      <w:kern w:val="2"/>
      <w:sz w:val="21"/>
      <w:szCs w:val="24"/>
      <w:lang w:val="en-US" w:eastAsia="zh-CN" w:bidi="ar-SA"/>
    </w:rPr>
  </w:style>
  <w:style w:type="character" w:customStyle="1" w:styleId="496">
    <w:name w:val="zw_9_b2"/>
    <w:basedOn w:val="133"/>
    <w:semiHidden/>
    <w:qFormat/>
    <w:uiPriority w:val="0"/>
  </w:style>
  <w:style w:type="character" w:customStyle="1" w:styleId="497">
    <w:name w:val="正文文本缩进 2 字符"/>
    <w:link w:val="51"/>
    <w:qFormat/>
    <w:uiPriority w:val="0"/>
    <w:rPr>
      <w:rFonts w:eastAsia="宋体"/>
      <w:spacing w:val="-18"/>
      <w:kern w:val="11"/>
      <w:sz w:val="30"/>
      <w:szCs w:val="24"/>
      <w:lang w:val="en-US" w:eastAsia="zh-CN" w:bidi="ar-SA"/>
    </w:rPr>
  </w:style>
  <w:style w:type="character" w:customStyle="1" w:styleId="498">
    <w:name w:val="页眉 字符"/>
    <w:link w:val="57"/>
    <w:qFormat/>
    <w:uiPriority w:val="99"/>
    <w:rPr>
      <w:rFonts w:eastAsia="宋体"/>
      <w:kern w:val="2"/>
      <w:sz w:val="18"/>
      <w:szCs w:val="18"/>
      <w:lang w:val="en-US" w:eastAsia="zh-CN" w:bidi="ar-SA"/>
    </w:rPr>
  </w:style>
  <w:style w:type="character" w:customStyle="1" w:styleId="499">
    <w:name w:val="特点标题 Char"/>
    <w:semiHidden/>
    <w:qFormat/>
    <w:uiPriority w:val="0"/>
    <w:rPr>
      <w:rFonts w:ascii="宋体" w:eastAsia="宋体"/>
      <w:sz w:val="24"/>
      <w:lang w:val="en-US" w:eastAsia="zh-CN" w:bidi="ar-SA"/>
    </w:rPr>
  </w:style>
  <w:style w:type="character" w:customStyle="1" w:styleId="500">
    <w:name w:val="Char Char6"/>
    <w:qFormat/>
    <w:uiPriority w:val="0"/>
    <w:rPr>
      <w:rFonts w:eastAsia="宋体"/>
      <w:sz w:val="24"/>
      <w:lang w:val="en-US" w:eastAsia="zh-CN" w:bidi="ar-SA"/>
    </w:rPr>
  </w:style>
  <w:style w:type="character" w:customStyle="1" w:styleId="501">
    <w:name w:val="正文文本 2 字符"/>
    <w:link w:val="76"/>
    <w:qFormat/>
    <w:uiPriority w:val="0"/>
    <w:rPr>
      <w:rFonts w:eastAsia="宋体"/>
      <w:color w:val="000000"/>
      <w:kern w:val="2"/>
      <w:sz w:val="24"/>
      <w:lang w:val="en-US" w:eastAsia="zh-CN" w:bidi="ar-SA"/>
    </w:rPr>
  </w:style>
  <w:style w:type="paragraph" w:customStyle="1" w:styleId="502">
    <w:name w:val="myformat_content Char"/>
    <w:basedOn w:val="1"/>
    <w:semiHidden/>
    <w:qFormat/>
    <w:uiPriority w:val="0"/>
    <w:pPr>
      <w:tabs>
        <w:tab w:val="clear" w:pos="480"/>
      </w:tabs>
      <w:spacing w:beforeLines="50" w:afterLines="50" w:line="360" w:lineRule="exact"/>
      <w:ind w:firstLine="480"/>
    </w:pPr>
    <w:rPr>
      <w:szCs w:val="20"/>
    </w:rPr>
  </w:style>
  <w:style w:type="paragraph" w:customStyle="1" w:styleId="503">
    <w:name w:val="表内5S"/>
    <w:basedOn w:val="1"/>
    <w:semiHidden/>
    <w:qFormat/>
    <w:uiPriority w:val="0"/>
    <w:pPr>
      <w:tabs>
        <w:tab w:val="clear" w:pos="480"/>
      </w:tabs>
      <w:spacing w:line="300" w:lineRule="atLeast"/>
      <w:jc w:val="center"/>
    </w:pPr>
    <w:rPr>
      <w:rFonts w:eastAsia="方正宋三简体"/>
      <w:sz w:val="21"/>
      <w:szCs w:val="20"/>
    </w:rPr>
  </w:style>
  <w:style w:type="paragraph" w:customStyle="1" w:styleId="504">
    <w:name w:val="样式 标题 3 + 华文中宋 小三 段前: 6 磅 段后: 6 磅 行距: 多倍行距 1.4 字行"/>
    <w:basedOn w:val="5"/>
    <w:link w:val="505"/>
    <w:semiHidden/>
    <w:qFormat/>
    <w:uiPriority w:val="0"/>
    <w:pPr>
      <w:keepLines w:val="0"/>
      <w:tabs>
        <w:tab w:val="left" w:pos="42"/>
        <w:tab w:val="left" w:pos="861"/>
        <w:tab w:val="clear" w:pos="480"/>
        <w:tab w:val="clear" w:pos="840"/>
      </w:tabs>
      <w:spacing w:beforeLines="50" w:afterLines="50" w:line="360" w:lineRule="auto"/>
      <w:ind w:left="693" w:hanging="720"/>
      <w:jc w:val="left"/>
    </w:pPr>
    <w:rPr>
      <w:rFonts w:ascii="华文中宋" w:hAnsi="华文中宋" w:eastAsia="华文中宋"/>
      <w:bCs w:val="0"/>
      <w:color w:val="000000"/>
      <w:szCs w:val="30"/>
    </w:rPr>
  </w:style>
  <w:style w:type="character" w:customStyle="1" w:styleId="505">
    <w:name w:val="样式 标题 3 + 华文中宋 小三 段前: 6 磅 段后: 6 磅 行距: 多倍行距 1.4 字行 Char1"/>
    <w:link w:val="504"/>
    <w:semiHidden/>
    <w:qFormat/>
    <w:uiPriority w:val="0"/>
    <w:rPr>
      <w:rFonts w:ascii="华文中宋" w:hAnsi="华文中宋" w:eastAsia="华文中宋"/>
      <w:b/>
      <w:color w:val="000000"/>
      <w:kern w:val="2"/>
      <w:sz w:val="30"/>
      <w:szCs w:val="30"/>
      <w:lang w:val="zh-CN"/>
    </w:rPr>
  </w:style>
  <w:style w:type="paragraph" w:customStyle="1" w:styleId="506">
    <w:name w:val="自制表格1"/>
    <w:basedOn w:val="1"/>
    <w:next w:val="1"/>
    <w:semiHidden/>
    <w:qFormat/>
    <w:uiPriority w:val="0"/>
    <w:pPr>
      <w:tabs>
        <w:tab w:val="clear" w:pos="480"/>
      </w:tabs>
      <w:adjustRightInd w:val="0"/>
      <w:snapToGrid w:val="0"/>
      <w:spacing w:line="240" w:lineRule="auto"/>
      <w:jc w:val="center"/>
    </w:pPr>
    <w:rPr>
      <w:sz w:val="21"/>
    </w:rPr>
  </w:style>
  <w:style w:type="paragraph" w:customStyle="1" w:styleId="507">
    <w:name w:val="样式1."/>
    <w:basedOn w:val="1"/>
    <w:semiHidden/>
    <w:qFormat/>
    <w:uiPriority w:val="0"/>
    <w:pPr>
      <w:tabs>
        <w:tab w:val="clear" w:pos="480"/>
      </w:tabs>
      <w:adjustRightInd w:val="0"/>
      <w:snapToGrid w:val="0"/>
      <w:spacing w:line="460" w:lineRule="exact"/>
    </w:pPr>
    <w:rPr>
      <w:rFonts w:eastAsia="黑体"/>
      <w:b/>
      <w:sz w:val="32"/>
      <w:szCs w:val="20"/>
    </w:rPr>
  </w:style>
  <w:style w:type="paragraph" w:customStyle="1" w:styleId="508">
    <w:name w:val="自制正文1"/>
    <w:basedOn w:val="1"/>
    <w:next w:val="1"/>
    <w:semiHidden/>
    <w:qFormat/>
    <w:uiPriority w:val="0"/>
    <w:pPr>
      <w:tabs>
        <w:tab w:val="clear" w:pos="480"/>
      </w:tabs>
      <w:adjustRightInd w:val="0"/>
      <w:snapToGrid w:val="0"/>
      <w:ind w:firstLine="480"/>
    </w:pPr>
  </w:style>
  <w:style w:type="paragraph" w:customStyle="1" w:styleId="509">
    <w:name w:val="表格 3"/>
    <w:basedOn w:val="161"/>
    <w:semiHidden/>
    <w:qFormat/>
    <w:uiPriority w:val="0"/>
    <w:pPr>
      <w:autoSpaceDE w:val="0"/>
      <w:autoSpaceDN w:val="0"/>
      <w:spacing w:line="240" w:lineRule="auto"/>
      <w:jc w:val="center"/>
      <w:textAlignment w:val="auto"/>
    </w:pPr>
    <w:rPr>
      <w:rFonts w:eastAsia="宋体"/>
      <w:kern w:val="0"/>
      <w:sz w:val="21"/>
    </w:rPr>
  </w:style>
  <w:style w:type="character" w:customStyle="1" w:styleId="510">
    <w:name w:val="批注主题 字符"/>
    <w:link w:val="86"/>
    <w:qFormat/>
    <w:uiPriority w:val="99"/>
    <w:rPr>
      <w:rFonts w:eastAsia="宋体"/>
      <w:b/>
      <w:bCs/>
      <w:kern w:val="2"/>
      <w:sz w:val="24"/>
      <w:szCs w:val="24"/>
      <w:lang w:val="en-US" w:eastAsia="zh-CN" w:bidi="ar-SA"/>
    </w:rPr>
  </w:style>
  <w:style w:type="paragraph" w:customStyle="1" w:styleId="511">
    <w:name w:val="zi1"/>
    <w:basedOn w:val="1"/>
    <w:semiHidden/>
    <w:qFormat/>
    <w:uiPriority w:val="0"/>
    <w:pPr>
      <w:widowControl/>
      <w:tabs>
        <w:tab w:val="clear" w:pos="480"/>
      </w:tabs>
      <w:spacing w:before="100" w:beforeAutospacing="1" w:after="100" w:afterAutospacing="1" w:line="240" w:lineRule="auto"/>
      <w:jc w:val="left"/>
    </w:pPr>
    <w:rPr>
      <w:rFonts w:ascii="宋体" w:hAnsi="宋体"/>
      <w:kern w:val="0"/>
    </w:rPr>
  </w:style>
  <w:style w:type="paragraph" w:customStyle="1" w:styleId="512">
    <w:name w:val="附录标题"/>
    <w:basedOn w:val="1"/>
    <w:semiHidden/>
    <w:qFormat/>
    <w:uiPriority w:val="0"/>
    <w:pPr>
      <w:tabs>
        <w:tab w:val="clear" w:pos="480"/>
      </w:tabs>
      <w:autoSpaceDE w:val="0"/>
      <w:autoSpaceDN w:val="0"/>
      <w:adjustRightInd w:val="0"/>
      <w:spacing w:beforeLines="50" w:afterLines="50" w:line="400" w:lineRule="exact"/>
      <w:ind w:firstLine="643"/>
      <w:jc w:val="center"/>
    </w:pPr>
    <w:rPr>
      <w:rFonts w:ascii="仿宋_GB2312" w:eastAsia="仿宋_GB2312"/>
      <w:b/>
      <w:sz w:val="32"/>
    </w:rPr>
  </w:style>
  <w:style w:type="paragraph" w:customStyle="1" w:styleId="513">
    <w:name w:val="附录1级"/>
    <w:basedOn w:val="1"/>
    <w:semiHidden/>
    <w:qFormat/>
    <w:uiPriority w:val="0"/>
    <w:pPr>
      <w:tabs>
        <w:tab w:val="clear" w:pos="480"/>
      </w:tabs>
      <w:spacing w:beforeLines="50" w:line="400" w:lineRule="exact"/>
    </w:pPr>
    <w:rPr>
      <w:rFonts w:eastAsia="仿宋_GB2312"/>
      <w:b/>
      <w:sz w:val="30"/>
    </w:rPr>
  </w:style>
  <w:style w:type="paragraph" w:customStyle="1" w:styleId="514">
    <w:name w:val="附录标题2级"/>
    <w:basedOn w:val="1"/>
    <w:semiHidden/>
    <w:qFormat/>
    <w:uiPriority w:val="0"/>
    <w:pPr>
      <w:tabs>
        <w:tab w:val="clear" w:pos="480"/>
      </w:tabs>
      <w:spacing w:beforeLines="50" w:line="400" w:lineRule="exact"/>
    </w:pPr>
    <w:rPr>
      <w:rFonts w:eastAsia="仿宋_GB2312"/>
      <w:b/>
      <w:sz w:val="28"/>
    </w:rPr>
  </w:style>
  <w:style w:type="paragraph" w:customStyle="1" w:styleId="515">
    <w:name w:val="表题 2"/>
    <w:basedOn w:val="1"/>
    <w:semiHidden/>
    <w:qFormat/>
    <w:uiPriority w:val="0"/>
    <w:pPr>
      <w:tabs>
        <w:tab w:val="clear" w:pos="480"/>
      </w:tabs>
      <w:adjustRightInd w:val="0"/>
      <w:spacing w:before="120" w:after="120" w:line="240" w:lineRule="auto"/>
      <w:jc w:val="center"/>
      <w:textAlignment w:val="baseline"/>
    </w:pPr>
    <w:rPr>
      <w:kern w:val="0"/>
      <w:sz w:val="28"/>
      <w:szCs w:val="20"/>
    </w:rPr>
  </w:style>
  <w:style w:type="paragraph" w:customStyle="1" w:styleId="516">
    <w:name w:val="表格 2"/>
    <w:basedOn w:val="161"/>
    <w:semiHidden/>
    <w:qFormat/>
    <w:uiPriority w:val="0"/>
    <w:pPr>
      <w:autoSpaceDE w:val="0"/>
      <w:autoSpaceDN w:val="0"/>
      <w:spacing w:line="240" w:lineRule="auto"/>
      <w:jc w:val="center"/>
      <w:textAlignment w:val="baseline"/>
    </w:pPr>
    <w:rPr>
      <w:rFonts w:eastAsia="宋体"/>
      <w:kern w:val="0"/>
    </w:rPr>
  </w:style>
  <w:style w:type="paragraph" w:customStyle="1" w:styleId="517">
    <w:name w:val="8"/>
    <w:basedOn w:val="1"/>
    <w:next w:val="70"/>
    <w:link w:val="2437"/>
    <w:qFormat/>
    <w:uiPriority w:val="0"/>
    <w:pPr>
      <w:tabs>
        <w:tab w:val="clear" w:pos="480"/>
      </w:tabs>
      <w:ind w:firstLine="425"/>
    </w:pPr>
    <w:rPr>
      <w:szCs w:val="20"/>
    </w:rPr>
  </w:style>
  <w:style w:type="paragraph" w:customStyle="1" w:styleId="518">
    <w:name w:val="7"/>
    <w:basedOn w:val="1"/>
    <w:next w:val="70"/>
    <w:qFormat/>
    <w:uiPriority w:val="0"/>
    <w:pPr>
      <w:tabs>
        <w:tab w:val="clear" w:pos="480"/>
      </w:tabs>
      <w:ind w:firstLine="540"/>
    </w:pPr>
    <w:rPr>
      <w:szCs w:val="20"/>
    </w:rPr>
  </w:style>
  <w:style w:type="character" w:customStyle="1" w:styleId="519">
    <w:name w:val="zi"/>
    <w:basedOn w:val="133"/>
    <w:semiHidden/>
    <w:qFormat/>
    <w:uiPriority w:val="0"/>
  </w:style>
  <w:style w:type="paragraph" w:customStyle="1" w:styleId="520">
    <w:name w:val="xl23"/>
    <w:basedOn w:val="1"/>
    <w:qFormat/>
    <w:uiPriority w:val="0"/>
    <w:pPr>
      <w:widowControl/>
      <w:tabs>
        <w:tab w:val="clear" w:pos="480"/>
      </w:tabs>
      <w:spacing w:before="100" w:beforeAutospacing="1" w:after="100" w:afterAutospacing="1" w:line="240" w:lineRule="auto"/>
      <w:jc w:val="center"/>
    </w:pPr>
    <w:rPr>
      <w:rFonts w:eastAsia="Arial Unicode MS"/>
      <w:kern w:val="0"/>
    </w:rPr>
  </w:style>
  <w:style w:type="character" w:customStyle="1" w:styleId="521">
    <w:name w:val="标题3"/>
    <w:basedOn w:val="133"/>
    <w:qFormat/>
    <w:uiPriority w:val="0"/>
  </w:style>
  <w:style w:type="character" w:customStyle="1" w:styleId="522">
    <w:name w:val="javascript"/>
    <w:basedOn w:val="133"/>
    <w:qFormat/>
    <w:uiPriority w:val="0"/>
  </w:style>
  <w:style w:type="paragraph" w:customStyle="1" w:styleId="523">
    <w:name w:val="9"/>
    <w:basedOn w:val="1"/>
    <w:next w:val="76"/>
    <w:qFormat/>
    <w:uiPriority w:val="0"/>
    <w:pPr>
      <w:tabs>
        <w:tab w:val="clear" w:pos="480"/>
      </w:tabs>
      <w:adjustRightInd w:val="0"/>
      <w:snapToGrid w:val="0"/>
      <w:spacing w:line="240" w:lineRule="auto"/>
      <w:jc w:val="center"/>
    </w:pPr>
    <w:rPr>
      <w:color w:val="000000"/>
      <w:sz w:val="21"/>
    </w:rPr>
  </w:style>
  <w:style w:type="paragraph" w:customStyle="1" w:styleId="524">
    <w:name w:val="t_text"/>
    <w:basedOn w:val="1"/>
    <w:semiHidden/>
    <w:qFormat/>
    <w:uiPriority w:val="0"/>
    <w:pPr>
      <w:widowControl/>
      <w:tabs>
        <w:tab w:val="clear" w:pos="480"/>
      </w:tabs>
      <w:spacing w:before="100" w:after="100" w:line="300" w:lineRule="atLeast"/>
      <w:jc w:val="left"/>
    </w:pPr>
    <w:rPr>
      <w:rFonts w:ascii="宋体" w:hAnsi="宋体"/>
      <w:kern w:val="0"/>
      <w:szCs w:val="20"/>
    </w:rPr>
  </w:style>
  <w:style w:type="paragraph" w:customStyle="1" w:styleId="525">
    <w:name w:val="样式 标题 2SeHead wsa2ChapterChapter Title + 黑体 段前: 6 磅"/>
    <w:basedOn w:val="4"/>
    <w:semiHidden/>
    <w:qFormat/>
    <w:uiPriority w:val="0"/>
    <w:pPr>
      <w:widowControl/>
      <w:tabs>
        <w:tab w:val="clear" w:pos="480"/>
        <w:tab w:val="clear" w:pos="630"/>
      </w:tabs>
      <w:snapToGrid w:val="0"/>
      <w:spacing w:before="156" w:after="156"/>
      <w:jc w:val="left"/>
    </w:pPr>
    <w:rPr>
      <w:rFonts w:hAnsi="Arial"/>
      <w:b w:val="0"/>
      <w:bCs w:val="0"/>
      <w:sz w:val="30"/>
      <w:szCs w:val="30"/>
    </w:rPr>
  </w:style>
  <w:style w:type="paragraph" w:customStyle="1" w:styleId="526">
    <w:name w:val="样式 标题 2SeHead wsa2ChapterChapter Title + 宋体"/>
    <w:basedOn w:val="4"/>
    <w:semiHidden/>
    <w:qFormat/>
    <w:uiPriority w:val="0"/>
    <w:pPr>
      <w:widowControl/>
      <w:tabs>
        <w:tab w:val="clear" w:pos="480"/>
        <w:tab w:val="clear" w:pos="630"/>
      </w:tabs>
      <w:snapToGrid w:val="0"/>
      <w:spacing w:before="0" w:after="156"/>
      <w:jc w:val="left"/>
    </w:pPr>
    <w:rPr>
      <w:rFonts w:hAnsi="宋体"/>
      <w:b w:val="0"/>
      <w:bCs w:val="0"/>
      <w:sz w:val="30"/>
      <w:szCs w:val="30"/>
    </w:rPr>
  </w:style>
  <w:style w:type="paragraph" w:customStyle="1" w:styleId="527">
    <w:name w:val="样式 表格1 + 行距: 单倍行距1"/>
    <w:basedOn w:val="1"/>
    <w:semiHidden/>
    <w:qFormat/>
    <w:uiPriority w:val="0"/>
    <w:pPr>
      <w:tabs>
        <w:tab w:val="clear" w:pos="480"/>
      </w:tabs>
      <w:adjustRightInd w:val="0"/>
      <w:snapToGrid w:val="0"/>
      <w:spacing w:line="240" w:lineRule="auto"/>
      <w:jc w:val="center"/>
      <w:textAlignment w:val="baseline"/>
    </w:pPr>
    <w:rPr>
      <w:rFonts w:ascii="宋体" w:hAnsi="宋体"/>
      <w:kern w:val="0"/>
      <w:sz w:val="21"/>
      <w:szCs w:val="20"/>
    </w:rPr>
  </w:style>
  <w:style w:type="paragraph" w:customStyle="1" w:styleId="528">
    <w:name w:val="样式 标题 3h3H3sect1.2.3 + 仿宋_GB2312 四号"/>
    <w:basedOn w:val="5"/>
    <w:next w:val="1"/>
    <w:semiHidden/>
    <w:qFormat/>
    <w:uiPriority w:val="0"/>
    <w:pPr>
      <w:keepNext w:val="0"/>
      <w:tabs>
        <w:tab w:val="left" w:pos="0"/>
        <w:tab w:val="clear" w:pos="480"/>
        <w:tab w:val="clear" w:pos="840"/>
      </w:tabs>
      <w:spacing w:beforeLines="50" w:afterLines="50" w:line="360" w:lineRule="auto"/>
    </w:pPr>
    <w:rPr>
      <w:rFonts w:hAnsi="仿宋_GB2312"/>
      <w:spacing w:val="20"/>
      <w:kern w:val="11"/>
      <w:sz w:val="28"/>
      <w:szCs w:val="28"/>
    </w:rPr>
  </w:style>
  <w:style w:type="paragraph" w:customStyle="1" w:styleId="529">
    <w:name w:val="样式 标题 2 + 仿宋_GB2312 小三 行距: 1.5 倍行距"/>
    <w:basedOn w:val="4"/>
    <w:semiHidden/>
    <w:qFormat/>
    <w:uiPriority w:val="0"/>
    <w:pPr>
      <w:tabs>
        <w:tab w:val="left" w:pos="720"/>
        <w:tab w:val="clear" w:pos="480"/>
        <w:tab w:val="clear" w:pos="630"/>
      </w:tabs>
      <w:snapToGrid w:val="0"/>
      <w:spacing w:after="260" w:line="416" w:lineRule="auto"/>
    </w:pPr>
    <w:rPr>
      <w:rFonts w:ascii="仿宋_GB2312" w:hAnsi="宋体" w:eastAsia="仿宋_GB2312"/>
      <w:sz w:val="30"/>
      <w:szCs w:val="24"/>
    </w:rPr>
  </w:style>
  <w:style w:type="paragraph" w:customStyle="1" w:styleId="530">
    <w:name w:val="样式 正文首行缩进 2 + 首行缩进:  2 字符1"/>
    <w:basedOn w:val="87"/>
    <w:semiHidden/>
    <w:qFormat/>
    <w:uiPriority w:val="0"/>
    <w:pPr>
      <w:tabs>
        <w:tab w:val="clear" w:pos="480"/>
      </w:tabs>
      <w:ind w:left="0" w:leftChars="0" w:firstLine="480"/>
    </w:pPr>
    <w:rPr>
      <w:szCs w:val="20"/>
    </w:rPr>
  </w:style>
  <w:style w:type="character" w:customStyle="1" w:styleId="531">
    <w:name w:val="正文文本首行缩进 2 字符"/>
    <w:link w:val="87"/>
    <w:qFormat/>
    <w:uiPriority w:val="0"/>
    <w:rPr>
      <w:rFonts w:ascii="宋体" w:eastAsia="宋体"/>
      <w:kern w:val="2"/>
      <w:sz w:val="24"/>
      <w:szCs w:val="24"/>
      <w:lang w:val="en-US" w:eastAsia="zh-CN" w:bidi="ar-SA"/>
    </w:rPr>
  </w:style>
  <w:style w:type="character" w:customStyle="1" w:styleId="532">
    <w:name w:val="样式 题注 Char + 黑体 小四"/>
    <w:semiHidden/>
    <w:qFormat/>
    <w:uiPriority w:val="0"/>
    <w:rPr>
      <w:rFonts w:ascii="黑体" w:hAnsi="黑体" w:eastAsia="黑体" w:cs="Arial"/>
      <w:kern w:val="2"/>
      <w:sz w:val="24"/>
      <w:lang w:val="en-US" w:eastAsia="zh-CN" w:bidi="ar-SA"/>
    </w:rPr>
  </w:style>
  <w:style w:type="paragraph" w:customStyle="1" w:styleId="533">
    <w:name w:val="样式 正文首行缩进 + 宋体 小四 行距: 1.5 倍行距"/>
    <w:basedOn w:val="85"/>
    <w:semiHidden/>
    <w:qFormat/>
    <w:uiPriority w:val="0"/>
    <w:pPr>
      <w:spacing w:line="360" w:lineRule="auto"/>
      <w:ind w:firstLine="480" w:firstLineChars="200"/>
    </w:pPr>
    <w:rPr>
      <w:rFonts w:ascii="宋体" w:hAnsi="宋体"/>
      <w:sz w:val="24"/>
    </w:rPr>
  </w:style>
  <w:style w:type="paragraph" w:customStyle="1" w:styleId="534">
    <w:name w:val="文本框"/>
    <w:basedOn w:val="1"/>
    <w:qFormat/>
    <w:uiPriority w:val="0"/>
    <w:pPr>
      <w:tabs>
        <w:tab w:val="clear" w:pos="480"/>
      </w:tabs>
      <w:spacing w:line="360" w:lineRule="atLeast"/>
      <w:jc w:val="center"/>
    </w:pPr>
    <w:rPr>
      <w:sz w:val="21"/>
      <w:szCs w:val="20"/>
    </w:rPr>
  </w:style>
  <w:style w:type="character" w:customStyle="1" w:styleId="535">
    <w:name w:val="zi11"/>
    <w:semiHidden/>
    <w:qFormat/>
    <w:uiPriority w:val="0"/>
    <w:rPr>
      <w:color w:val="FFFFFF"/>
      <w:sz w:val="21"/>
      <w:szCs w:val="21"/>
      <w:u w:val="none"/>
    </w:rPr>
  </w:style>
  <w:style w:type="character" w:customStyle="1" w:styleId="536">
    <w:name w:val="yellow1"/>
    <w:semiHidden/>
    <w:qFormat/>
    <w:uiPriority w:val="0"/>
    <w:rPr>
      <w:color w:val="FFFF00"/>
      <w:u w:val="none"/>
    </w:rPr>
  </w:style>
  <w:style w:type="paragraph" w:customStyle="1" w:styleId="537">
    <w:name w:val="tt1"/>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38">
    <w:name w:val="biao1"/>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39">
    <w:name w:val="biao2"/>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40">
    <w:name w:val="z-窗体顶端1"/>
    <w:basedOn w:val="1"/>
    <w:next w:val="1"/>
    <w:link w:val="541"/>
    <w:qFormat/>
    <w:uiPriority w:val="99"/>
    <w:pPr>
      <w:widowControl/>
      <w:pBdr>
        <w:bottom w:val="single" w:color="auto" w:sz="6" w:space="1"/>
      </w:pBdr>
      <w:tabs>
        <w:tab w:val="clear" w:pos="480"/>
      </w:tabs>
      <w:spacing w:line="240" w:lineRule="auto"/>
      <w:jc w:val="center"/>
    </w:pPr>
    <w:rPr>
      <w:rFonts w:ascii="Arial" w:hAnsi="Arial" w:cs="Arial"/>
      <w:vanish/>
      <w:kern w:val="0"/>
      <w:sz w:val="16"/>
      <w:szCs w:val="16"/>
    </w:rPr>
  </w:style>
  <w:style w:type="character" w:customStyle="1" w:styleId="541">
    <w:name w:val="z-窗体顶端 Char"/>
    <w:link w:val="540"/>
    <w:qFormat/>
    <w:uiPriority w:val="99"/>
    <w:rPr>
      <w:rFonts w:ascii="Arial" w:hAnsi="Arial" w:eastAsia="宋体" w:cs="Arial"/>
      <w:vanish/>
      <w:sz w:val="16"/>
      <w:szCs w:val="16"/>
      <w:lang w:val="en-US" w:eastAsia="zh-CN" w:bidi="ar-SA"/>
    </w:rPr>
  </w:style>
  <w:style w:type="paragraph" w:customStyle="1" w:styleId="542">
    <w:name w:val="z-窗体底端1"/>
    <w:basedOn w:val="1"/>
    <w:next w:val="1"/>
    <w:link w:val="3413"/>
    <w:qFormat/>
    <w:uiPriority w:val="99"/>
    <w:pPr>
      <w:widowControl/>
      <w:pBdr>
        <w:top w:val="single" w:color="auto" w:sz="6" w:space="1"/>
      </w:pBdr>
      <w:tabs>
        <w:tab w:val="clear" w:pos="480"/>
      </w:tabs>
      <w:spacing w:line="240" w:lineRule="auto"/>
      <w:jc w:val="center"/>
    </w:pPr>
    <w:rPr>
      <w:rFonts w:ascii="Arial" w:hAnsi="Arial" w:cs="Arial"/>
      <w:vanish/>
      <w:kern w:val="0"/>
      <w:sz w:val="16"/>
      <w:szCs w:val="16"/>
    </w:rPr>
  </w:style>
  <w:style w:type="paragraph" w:customStyle="1" w:styleId="543">
    <w:name w:val="表"/>
    <w:basedOn w:val="1"/>
    <w:qFormat/>
    <w:uiPriority w:val="0"/>
    <w:pPr>
      <w:tabs>
        <w:tab w:val="clear" w:pos="480"/>
      </w:tabs>
      <w:snapToGrid w:val="0"/>
      <w:spacing w:line="240" w:lineRule="auto"/>
      <w:jc w:val="center"/>
    </w:pPr>
    <w:rPr>
      <w:spacing w:val="2"/>
      <w:sz w:val="21"/>
      <w:szCs w:val="20"/>
    </w:rPr>
  </w:style>
  <w:style w:type="paragraph" w:customStyle="1" w:styleId="544">
    <w:name w:val="正文01"/>
    <w:basedOn w:val="1"/>
    <w:link w:val="2272"/>
    <w:qFormat/>
    <w:uiPriority w:val="0"/>
    <w:pPr>
      <w:tabs>
        <w:tab w:val="clear" w:pos="480"/>
      </w:tabs>
      <w:spacing w:before="60" w:line="480" w:lineRule="exact"/>
      <w:ind w:firstLine="539"/>
    </w:pPr>
    <w:rPr>
      <w:sz w:val="27"/>
      <w:szCs w:val="20"/>
    </w:rPr>
  </w:style>
  <w:style w:type="paragraph" w:customStyle="1" w:styleId="545">
    <w:name w:val="正文首行缩进2字符"/>
    <w:basedOn w:val="1"/>
    <w:qFormat/>
    <w:uiPriority w:val="0"/>
    <w:pPr>
      <w:tabs>
        <w:tab w:val="clear" w:pos="480"/>
      </w:tabs>
      <w:ind w:firstLine="420"/>
    </w:pPr>
    <w:rPr>
      <w:rFonts w:cs="宋体"/>
      <w:sz w:val="21"/>
      <w:szCs w:val="20"/>
    </w:rPr>
  </w:style>
  <w:style w:type="paragraph" w:customStyle="1" w:styleId="546">
    <w:name w:val="标题3首行缩进2字符"/>
    <w:basedOn w:val="5"/>
    <w:next w:val="545"/>
    <w:qFormat/>
    <w:uiPriority w:val="0"/>
    <w:pPr>
      <w:tabs>
        <w:tab w:val="clear" w:pos="480"/>
        <w:tab w:val="clear" w:pos="840"/>
      </w:tabs>
      <w:spacing w:beforeLines="50" w:afterLines="50" w:line="360" w:lineRule="auto"/>
      <w:ind w:firstLine="422" w:firstLineChars="200"/>
    </w:pPr>
    <w:rPr>
      <w:rFonts w:ascii="宋体" w:hAnsi="宋体" w:eastAsia="宋体" w:cs="宋体"/>
      <w:bCs w:val="0"/>
      <w:sz w:val="21"/>
      <w:szCs w:val="24"/>
    </w:rPr>
  </w:style>
  <w:style w:type="paragraph" w:customStyle="1" w:styleId="547">
    <w:name w:val="标题 1实例1"/>
    <w:basedOn w:val="3"/>
    <w:next w:val="545"/>
    <w:semiHidden/>
    <w:qFormat/>
    <w:uiPriority w:val="0"/>
    <w:pPr>
      <w:tabs>
        <w:tab w:val="clear" w:pos="480"/>
      </w:tabs>
      <w:snapToGrid w:val="0"/>
      <w:spacing w:beforeLines="50" w:afterLines="50"/>
      <w:jc w:val="center"/>
    </w:pPr>
    <w:rPr>
      <w:rFonts w:ascii="Arial" w:hAnsi="Arial" w:eastAsia="宋体" w:cs="宋体"/>
      <w:kern w:val="0"/>
      <w:sz w:val="28"/>
      <w:szCs w:val="20"/>
    </w:rPr>
  </w:style>
  <w:style w:type="paragraph" w:customStyle="1" w:styleId="548">
    <w:name w:val="标题 2实例1"/>
    <w:basedOn w:val="4"/>
    <w:next w:val="545"/>
    <w:qFormat/>
    <w:uiPriority w:val="0"/>
    <w:pPr>
      <w:tabs>
        <w:tab w:val="clear" w:pos="480"/>
        <w:tab w:val="clear" w:pos="630"/>
      </w:tabs>
      <w:snapToGrid w:val="0"/>
      <w:spacing w:beforeLines="50" w:afterLines="50"/>
      <w:ind w:firstLine="482" w:firstLineChars="200"/>
    </w:pPr>
    <w:rPr>
      <w:rFonts w:hAnsi="宋体" w:cs="宋体"/>
      <w:sz w:val="24"/>
      <w:szCs w:val="24"/>
    </w:rPr>
  </w:style>
  <w:style w:type="character" w:customStyle="1" w:styleId="549">
    <w:name w:val="font3"/>
    <w:basedOn w:val="133"/>
    <w:semiHidden/>
    <w:qFormat/>
    <w:uiPriority w:val="0"/>
  </w:style>
  <w:style w:type="paragraph" w:customStyle="1" w:styleId="550">
    <w:name w:val="T正文"/>
    <w:basedOn w:val="151"/>
    <w:next w:val="151"/>
    <w:qFormat/>
    <w:uiPriority w:val="0"/>
    <w:rPr>
      <w:rFonts w:ascii="宋体" w:eastAsia="宋体" w:cs="Times New Roman"/>
      <w:color w:val="auto"/>
    </w:rPr>
  </w:style>
  <w:style w:type="paragraph" w:customStyle="1" w:styleId="551">
    <w:name w:val="Char Char Char"/>
    <w:basedOn w:val="1"/>
    <w:qFormat/>
    <w:uiPriority w:val="0"/>
    <w:pPr>
      <w:tabs>
        <w:tab w:val="clear" w:pos="480"/>
      </w:tabs>
      <w:spacing w:line="240" w:lineRule="auto"/>
    </w:pPr>
    <w:rPr>
      <w:sz w:val="21"/>
    </w:rPr>
  </w:style>
  <w:style w:type="paragraph" w:customStyle="1" w:styleId="552">
    <w:name w:val="Char Char Char Char Char Char1 Char Char Char1 Char Char Char1 Char Char Char Char Char Char Char Char Char Char"/>
    <w:basedOn w:val="1"/>
    <w:next w:val="1"/>
    <w:semiHidden/>
    <w:qFormat/>
    <w:uiPriority w:val="0"/>
    <w:pPr>
      <w:tabs>
        <w:tab w:val="clear" w:pos="480"/>
      </w:tabs>
    </w:pPr>
    <w:rPr>
      <w:rFonts w:ascii="宋体" w:hAnsi="宋体" w:cs="宋体"/>
    </w:rPr>
  </w:style>
  <w:style w:type="paragraph" w:customStyle="1" w:styleId="553">
    <w:name w:val="样式 标题 2Chapter Heading2nd levelh22Titre2l2H2Header 2UND...2"/>
    <w:basedOn w:val="4"/>
    <w:semiHidden/>
    <w:qFormat/>
    <w:uiPriority w:val="0"/>
    <w:pPr>
      <w:tabs>
        <w:tab w:val="clear" w:pos="480"/>
        <w:tab w:val="clear" w:pos="630"/>
      </w:tabs>
      <w:snapToGrid w:val="0"/>
      <w:spacing w:before="156" w:after="156"/>
    </w:pPr>
    <w:rPr>
      <w:rFonts w:hAnsi="宋体"/>
      <w:b w:val="0"/>
      <w:sz w:val="24"/>
    </w:rPr>
  </w:style>
  <w:style w:type="character" w:customStyle="1" w:styleId="554">
    <w:name w:val="样式 标题 2Chapter Heading2nd levelh22Titre2l2H2Header 2UND...2 Char"/>
    <w:semiHidden/>
    <w:qFormat/>
    <w:uiPriority w:val="0"/>
    <w:rPr>
      <w:rFonts w:eastAsia="黑体"/>
      <w:bCs/>
      <w:kern w:val="2"/>
      <w:sz w:val="24"/>
      <w:szCs w:val="32"/>
      <w:lang w:val="en-US" w:eastAsia="zh-CN" w:bidi="ar-SA"/>
    </w:rPr>
  </w:style>
  <w:style w:type="character" w:customStyle="1" w:styleId="555">
    <w:name w:val="孙普文字 Char Char"/>
    <w:semiHidden/>
    <w:qFormat/>
    <w:uiPriority w:val="0"/>
    <w:rPr>
      <w:rFonts w:ascii="宋体" w:hAnsi="Courier New" w:eastAsia="宋体"/>
      <w:kern w:val="2"/>
      <w:sz w:val="24"/>
      <w:szCs w:val="24"/>
      <w:lang w:val="en-US" w:eastAsia="zh-CN" w:bidi="ar-SA"/>
    </w:rPr>
  </w:style>
  <w:style w:type="paragraph" w:customStyle="1" w:styleId="556">
    <w:name w:val="样式 标题 2Chapter Heading2nd levelh22Titre2l2H2Header 2UND..."/>
    <w:basedOn w:val="4"/>
    <w:semiHidden/>
    <w:qFormat/>
    <w:uiPriority w:val="0"/>
    <w:pPr>
      <w:tabs>
        <w:tab w:val="clear" w:pos="480"/>
        <w:tab w:val="clear" w:pos="630"/>
      </w:tabs>
      <w:snapToGrid w:val="0"/>
      <w:spacing w:before="156" w:after="156"/>
    </w:pPr>
    <w:rPr>
      <w:rFonts w:hAnsi="宋体" w:cs="宋体"/>
      <w:b w:val="0"/>
      <w:sz w:val="24"/>
      <w:szCs w:val="24"/>
    </w:rPr>
  </w:style>
  <w:style w:type="paragraph" w:customStyle="1" w:styleId="557">
    <w:name w:val="段落"/>
    <w:basedOn w:val="1"/>
    <w:link w:val="672"/>
    <w:qFormat/>
    <w:uiPriority w:val="0"/>
    <w:pPr>
      <w:tabs>
        <w:tab w:val="left" w:pos="949"/>
        <w:tab w:val="clear" w:pos="480"/>
      </w:tabs>
      <w:spacing w:line="440" w:lineRule="exact"/>
      <w:ind w:firstLine="601"/>
    </w:pPr>
    <w:rPr>
      <w:rFonts w:ascii="宋体" w:hAnsi="宋体"/>
      <w:color w:val="000000"/>
      <w:kern w:val="0"/>
      <w:szCs w:val="18"/>
    </w:rPr>
  </w:style>
  <w:style w:type="paragraph" w:customStyle="1" w:styleId="558">
    <w:name w:val="样式 标题4 + 首行缩进:  2 字符"/>
    <w:basedOn w:val="21"/>
    <w:semiHidden/>
    <w:qFormat/>
    <w:uiPriority w:val="0"/>
    <w:pPr>
      <w:keepNext/>
      <w:keepLines/>
      <w:tabs>
        <w:tab w:val="clear" w:pos="480"/>
      </w:tabs>
      <w:ind w:firstLine="0" w:firstLineChars="0"/>
      <w:outlineLvl w:val="2"/>
    </w:pPr>
    <w:rPr>
      <w:rFonts w:ascii="楷体_GB2312" w:hAnsi="宋体" w:cs="宋体"/>
      <w:szCs w:val="20"/>
    </w:rPr>
  </w:style>
  <w:style w:type="paragraph" w:customStyle="1" w:styleId="559">
    <w:name w:val="样式 标题 1章节标题章标题 1-*+h11st levelSection Headl1b1本标题不使用篇标...1"/>
    <w:basedOn w:val="3"/>
    <w:semiHidden/>
    <w:qFormat/>
    <w:uiPriority w:val="0"/>
    <w:pPr>
      <w:tabs>
        <w:tab w:val="clear" w:pos="480"/>
      </w:tabs>
      <w:snapToGrid w:val="0"/>
      <w:spacing w:before="240" w:after="120"/>
      <w:jc w:val="left"/>
    </w:pPr>
    <w:rPr>
      <w:rFonts w:ascii="Times New Roman" w:hAnsi="宋体" w:eastAsia="宋体"/>
      <w:sz w:val="28"/>
      <w:szCs w:val="20"/>
    </w:rPr>
  </w:style>
  <w:style w:type="paragraph" w:customStyle="1" w:styleId="560">
    <w:name w:val="Char Char Char Char Char Char1 Char"/>
    <w:basedOn w:val="1"/>
    <w:qFormat/>
    <w:uiPriority w:val="0"/>
    <w:pPr>
      <w:tabs>
        <w:tab w:val="clear" w:pos="480"/>
      </w:tabs>
    </w:pPr>
  </w:style>
  <w:style w:type="paragraph" w:customStyle="1" w:styleId="561">
    <w:name w:val="Char Char Char Char Char Char Char3"/>
    <w:basedOn w:val="1"/>
    <w:qFormat/>
    <w:uiPriority w:val="0"/>
    <w:pPr>
      <w:widowControl/>
      <w:tabs>
        <w:tab w:val="clear" w:pos="480"/>
      </w:tabs>
      <w:spacing w:after="160" w:line="240" w:lineRule="exact"/>
      <w:jc w:val="left"/>
    </w:pPr>
    <w:rPr>
      <w:rFonts w:ascii="Verdana" w:hAnsi="Verdana"/>
      <w:kern w:val="0"/>
      <w:sz w:val="20"/>
      <w:szCs w:val="32"/>
      <w:lang w:eastAsia="en-US"/>
    </w:rPr>
  </w:style>
  <w:style w:type="paragraph" w:customStyle="1" w:styleId="562">
    <w:name w:val="样式 标题 1章节标题章标题 1-*+h11st levelSection Headl1b1本标题不使用篇标..."/>
    <w:basedOn w:val="3"/>
    <w:semiHidden/>
    <w:qFormat/>
    <w:uiPriority w:val="0"/>
    <w:pPr>
      <w:tabs>
        <w:tab w:val="clear" w:pos="480"/>
      </w:tabs>
      <w:snapToGrid w:val="0"/>
      <w:spacing w:before="240" w:after="120"/>
      <w:jc w:val="left"/>
    </w:pPr>
    <w:rPr>
      <w:rFonts w:ascii="Times New Roman" w:hAnsi="宋体" w:eastAsia="宋体"/>
      <w:bCs w:val="0"/>
      <w:sz w:val="28"/>
      <w:szCs w:val="20"/>
    </w:rPr>
  </w:style>
  <w:style w:type="character" w:customStyle="1" w:styleId="563">
    <w:name w:val="text21"/>
    <w:qFormat/>
    <w:uiPriority w:val="0"/>
    <w:rPr>
      <w:color w:val="000000"/>
      <w:sz w:val="21"/>
      <w:u w:val="none"/>
    </w:rPr>
  </w:style>
  <w:style w:type="paragraph" w:customStyle="1" w:styleId="564">
    <w:name w:val="CM46"/>
    <w:basedOn w:val="151"/>
    <w:next w:val="151"/>
    <w:semiHidden/>
    <w:qFormat/>
    <w:uiPriority w:val="0"/>
    <w:pPr>
      <w:spacing w:line="500" w:lineRule="atLeast"/>
    </w:pPr>
    <w:rPr>
      <w:rFonts w:ascii="仿宋_GB2312" w:eastAsia="仿宋_GB2312" w:cs="Times New Roman"/>
      <w:color w:val="auto"/>
      <w:szCs w:val="20"/>
    </w:rPr>
  </w:style>
  <w:style w:type="paragraph" w:customStyle="1" w:styleId="565">
    <w:name w:val="CM126"/>
    <w:basedOn w:val="1"/>
    <w:next w:val="1"/>
    <w:semiHidden/>
    <w:qFormat/>
    <w:uiPriority w:val="0"/>
    <w:pPr>
      <w:tabs>
        <w:tab w:val="clear" w:pos="480"/>
      </w:tabs>
      <w:autoSpaceDE w:val="0"/>
      <w:autoSpaceDN w:val="0"/>
      <w:adjustRightInd w:val="0"/>
      <w:spacing w:after="285" w:line="240" w:lineRule="auto"/>
      <w:jc w:val="left"/>
    </w:pPr>
    <w:rPr>
      <w:rFonts w:ascii="仿宋_GB2312" w:eastAsia="仿宋_GB2312"/>
      <w:kern w:val="0"/>
      <w:szCs w:val="20"/>
    </w:rPr>
  </w:style>
  <w:style w:type="paragraph" w:customStyle="1" w:styleId="566">
    <w:name w:val="CM45"/>
    <w:basedOn w:val="151"/>
    <w:next w:val="151"/>
    <w:qFormat/>
    <w:uiPriority w:val="0"/>
    <w:pPr>
      <w:spacing w:line="500" w:lineRule="atLeast"/>
    </w:pPr>
    <w:rPr>
      <w:rFonts w:ascii="仿宋_GB2312" w:eastAsia="仿宋_GB2312" w:cs="Times New Roman"/>
      <w:color w:val="auto"/>
      <w:szCs w:val="20"/>
    </w:rPr>
  </w:style>
  <w:style w:type="paragraph" w:customStyle="1" w:styleId="567">
    <w:name w:val="Char Char Char1 Char"/>
    <w:basedOn w:val="1"/>
    <w:qFormat/>
    <w:uiPriority w:val="0"/>
    <w:pPr>
      <w:tabs>
        <w:tab w:val="clear" w:pos="480"/>
      </w:tabs>
      <w:snapToGrid w:val="0"/>
    </w:pPr>
    <w:rPr>
      <w:rFonts w:eastAsia="仿宋_GB2312"/>
    </w:rPr>
  </w:style>
  <w:style w:type="paragraph" w:customStyle="1" w:styleId="568">
    <w:name w:val="Char Char Char1 Char Char Char"/>
    <w:basedOn w:val="1"/>
    <w:qFormat/>
    <w:uiPriority w:val="0"/>
    <w:pPr>
      <w:tabs>
        <w:tab w:val="clear" w:pos="480"/>
      </w:tabs>
    </w:pPr>
    <w:rPr>
      <w:rFonts w:ascii="宋体" w:hAnsi="宋体" w:cs="宋体"/>
    </w:rPr>
  </w:style>
  <w:style w:type="paragraph" w:customStyle="1" w:styleId="569">
    <w:name w:val="正文001"/>
    <w:basedOn w:val="1"/>
    <w:semiHidden/>
    <w:qFormat/>
    <w:uiPriority w:val="0"/>
    <w:pPr>
      <w:tabs>
        <w:tab w:val="clear" w:pos="480"/>
      </w:tabs>
      <w:spacing w:before="60" w:line="460" w:lineRule="exact"/>
    </w:pPr>
    <w:rPr>
      <w:rFonts w:ascii="Arial" w:hAnsi="Arial"/>
      <w:szCs w:val="20"/>
    </w:rPr>
  </w:style>
  <w:style w:type="paragraph" w:customStyle="1" w:styleId="570">
    <w:name w:val="Char Char Char1 Char Char Char Char Char Char Char"/>
    <w:basedOn w:val="1"/>
    <w:semiHidden/>
    <w:qFormat/>
    <w:uiPriority w:val="0"/>
    <w:pPr>
      <w:tabs>
        <w:tab w:val="clear" w:pos="480"/>
      </w:tabs>
    </w:pPr>
    <w:rPr>
      <w:rFonts w:ascii="宋体" w:hAnsi="宋体" w:cs="宋体"/>
    </w:rPr>
  </w:style>
  <w:style w:type="paragraph" w:customStyle="1" w:styleId="571">
    <w:name w:val="册除格式 Char Char"/>
    <w:semiHidden/>
    <w:qFormat/>
    <w:uiPriority w:val="0"/>
    <w:pPr>
      <w:spacing w:line="360" w:lineRule="auto"/>
      <w:ind w:firstLine="482"/>
      <w:jc w:val="center"/>
    </w:pPr>
    <w:rPr>
      <w:rFonts w:ascii="黑体" w:hAnsi="Arial" w:eastAsia="宋体" w:cs="Arial"/>
      <w:snapToGrid w:val="0"/>
      <w:spacing w:val="4"/>
      <w:kern w:val="18"/>
      <w:sz w:val="24"/>
      <w:szCs w:val="28"/>
      <w:lang w:val="en-US" w:eastAsia="zh-CN" w:bidi="ar-SA"/>
    </w:rPr>
  </w:style>
  <w:style w:type="paragraph" w:customStyle="1" w:styleId="572">
    <w:name w:val="标题三"/>
    <w:basedOn w:val="5"/>
    <w:next w:val="1"/>
    <w:semiHidden/>
    <w:qFormat/>
    <w:uiPriority w:val="0"/>
    <w:pPr>
      <w:keepLines w:val="0"/>
      <w:tabs>
        <w:tab w:val="clear" w:pos="480"/>
        <w:tab w:val="clear" w:pos="840"/>
      </w:tabs>
      <w:autoSpaceDE w:val="0"/>
      <w:autoSpaceDN w:val="0"/>
      <w:adjustRightInd w:val="0"/>
      <w:spacing w:beforeLines="50" w:afterLines="50" w:line="360" w:lineRule="auto"/>
      <w:ind w:firstLine="482"/>
      <w:jc w:val="left"/>
      <w:textAlignment w:val="baseline"/>
    </w:pPr>
    <w:rPr>
      <w:rFonts w:ascii="黑体" w:hAnsi="宋体" w:eastAsia="宋体"/>
      <w:sz w:val="24"/>
      <w:szCs w:val="24"/>
    </w:rPr>
  </w:style>
  <w:style w:type="paragraph" w:customStyle="1" w:styleId="573">
    <w:name w:val="表文"/>
    <w:basedOn w:val="1"/>
    <w:link w:val="1756"/>
    <w:qFormat/>
    <w:uiPriority w:val="0"/>
    <w:pPr>
      <w:tabs>
        <w:tab w:val="left" w:pos="1021"/>
        <w:tab w:val="clear" w:pos="480"/>
      </w:tabs>
      <w:adjustRightInd w:val="0"/>
      <w:snapToGrid w:val="0"/>
      <w:spacing w:line="440" w:lineRule="exact"/>
      <w:jc w:val="center"/>
    </w:pPr>
    <w:rPr>
      <w:spacing w:val="-2"/>
    </w:rPr>
  </w:style>
  <w:style w:type="character" w:customStyle="1" w:styleId="574">
    <w:name w:val="defaultfont1"/>
    <w:basedOn w:val="133"/>
    <w:semiHidden/>
    <w:qFormat/>
    <w:uiPriority w:val="0"/>
  </w:style>
  <w:style w:type="paragraph" w:customStyle="1" w:styleId="575">
    <w:name w:val="Char2"/>
    <w:basedOn w:val="1"/>
    <w:qFormat/>
    <w:uiPriority w:val="0"/>
    <w:pPr>
      <w:tabs>
        <w:tab w:val="clear" w:pos="480"/>
      </w:tabs>
      <w:snapToGrid w:val="0"/>
    </w:pPr>
    <w:rPr>
      <w:rFonts w:eastAsia="仿宋_GB2312"/>
    </w:rPr>
  </w:style>
  <w:style w:type="character" w:customStyle="1" w:styleId="576">
    <w:name w:val="newsbody1"/>
    <w:semiHidden/>
    <w:qFormat/>
    <w:uiPriority w:val="0"/>
    <w:rPr>
      <w:color w:val="363636"/>
      <w:spacing w:val="345"/>
      <w:sz w:val="21"/>
      <w:szCs w:val="21"/>
    </w:rPr>
  </w:style>
  <w:style w:type="paragraph" w:customStyle="1" w:styleId="577">
    <w:name w:val="表格文字（韶关规划）"/>
    <w:basedOn w:val="1"/>
    <w:semiHidden/>
    <w:qFormat/>
    <w:uiPriority w:val="0"/>
    <w:pPr>
      <w:tabs>
        <w:tab w:val="left" w:pos="7996"/>
        <w:tab w:val="clear" w:pos="480"/>
      </w:tabs>
      <w:autoSpaceDE w:val="0"/>
      <w:autoSpaceDN w:val="0"/>
      <w:adjustRightInd w:val="0"/>
      <w:snapToGrid w:val="0"/>
      <w:spacing w:line="264" w:lineRule="auto"/>
      <w:jc w:val="center"/>
    </w:pPr>
    <w:rPr>
      <w:kern w:val="0"/>
      <w:sz w:val="21"/>
      <w:szCs w:val="21"/>
      <w:lang w:val="zh-CN"/>
    </w:rPr>
  </w:style>
  <w:style w:type="paragraph" w:customStyle="1" w:styleId="578">
    <w:name w:val="Char Char Char Char Char Char Char Char Char Char Char Char Char2"/>
    <w:basedOn w:val="1"/>
    <w:qFormat/>
    <w:uiPriority w:val="0"/>
    <w:pPr>
      <w:tabs>
        <w:tab w:val="clear" w:pos="480"/>
      </w:tabs>
      <w:adjustRightInd w:val="0"/>
      <w:ind w:firstLine="540" w:firstLineChars="225"/>
      <w:jc w:val="left"/>
    </w:pPr>
    <w:rPr>
      <w:rFonts w:ascii="宋体" w:hAnsi="宋体" w:cs="Arial"/>
      <w:snapToGrid w:val="0"/>
      <w:kern w:val="0"/>
      <w:sz w:val="21"/>
      <w:szCs w:val="21"/>
      <w:lang w:val="eu-ES"/>
    </w:rPr>
  </w:style>
  <w:style w:type="paragraph" w:customStyle="1" w:styleId="579">
    <w:name w:val="Plain Text1"/>
    <w:basedOn w:val="1"/>
    <w:qFormat/>
    <w:uiPriority w:val="0"/>
    <w:pPr>
      <w:tabs>
        <w:tab w:val="clear" w:pos="480"/>
      </w:tabs>
      <w:adjustRightInd w:val="0"/>
      <w:spacing w:line="240" w:lineRule="auto"/>
      <w:textAlignment w:val="baseline"/>
    </w:pPr>
    <w:rPr>
      <w:rFonts w:ascii="宋体" w:hAnsi="Courier New"/>
      <w:sz w:val="21"/>
      <w:szCs w:val="20"/>
    </w:rPr>
  </w:style>
  <w:style w:type="paragraph" w:customStyle="1" w:styleId="580">
    <w:name w:val="HTML 预先格式化"/>
    <w:basedOn w:val="1"/>
    <w:semiHidden/>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40" w:lineRule="auto"/>
      <w:jc w:val="left"/>
    </w:pPr>
    <w:rPr>
      <w:rFonts w:ascii="Arial Unicode MS" w:hAnsi="Arial Unicode MS" w:eastAsia="Arial Unicode MS"/>
      <w:kern w:val="0"/>
      <w:sz w:val="20"/>
      <w:szCs w:val="20"/>
    </w:rPr>
  </w:style>
  <w:style w:type="paragraph" w:customStyle="1" w:styleId="581">
    <w:name w:val="标准"/>
    <w:basedOn w:val="1"/>
    <w:qFormat/>
    <w:uiPriority w:val="0"/>
    <w:pPr>
      <w:tabs>
        <w:tab w:val="clear" w:pos="480"/>
      </w:tabs>
      <w:adjustRightInd w:val="0"/>
      <w:spacing w:line="480" w:lineRule="exact"/>
      <w:textAlignment w:val="baseline"/>
    </w:pPr>
    <w:rPr>
      <w:kern w:val="0"/>
      <w:sz w:val="28"/>
      <w:szCs w:val="20"/>
      <w:lang w:val="en-GB"/>
    </w:rPr>
  </w:style>
  <w:style w:type="paragraph" w:customStyle="1" w:styleId="582">
    <w:name w:val="Normal1"/>
    <w:basedOn w:val="1"/>
    <w:semiHidden/>
    <w:qFormat/>
    <w:uiPriority w:val="0"/>
    <w:pPr>
      <w:tabs>
        <w:tab w:val="clear" w:pos="480"/>
      </w:tabs>
      <w:adjustRightInd w:val="0"/>
      <w:spacing w:line="480" w:lineRule="exact"/>
      <w:textAlignment w:val="baseline"/>
    </w:pPr>
    <w:rPr>
      <w:spacing w:val="-2"/>
      <w:kern w:val="0"/>
      <w:sz w:val="28"/>
      <w:szCs w:val="20"/>
    </w:rPr>
  </w:style>
  <w:style w:type="paragraph" w:customStyle="1" w:styleId="583">
    <w:name w:val="CM13"/>
    <w:basedOn w:val="151"/>
    <w:next w:val="151"/>
    <w:semiHidden/>
    <w:qFormat/>
    <w:uiPriority w:val="0"/>
    <w:pPr>
      <w:spacing w:line="468" w:lineRule="atLeast"/>
    </w:pPr>
    <w:rPr>
      <w:rFonts w:ascii="仿宋_GB2312" w:eastAsia="仿宋_GB2312" w:cs="仿宋_GB2312"/>
      <w:color w:val="auto"/>
    </w:rPr>
  </w:style>
  <w:style w:type="paragraph" w:customStyle="1" w:styleId="584">
    <w:name w:val="CM6"/>
    <w:basedOn w:val="151"/>
    <w:next w:val="151"/>
    <w:qFormat/>
    <w:uiPriority w:val="0"/>
    <w:pPr>
      <w:spacing w:line="471" w:lineRule="atLeast"/>
    </w:pPr>
    <w:rPr>
      <w:rFonts w:ascii="仿宋_GB2312" w:eastAsia="仿宋_GB2312" w:cs="仿宋_GB2312"/>
      <w:color w:val="auto"/>
    </w:rPr>
  </w:style>
  <w:style w:type="paragraph" w:customStyle="1" w:styleId="585">
    <w:name w:val="CM7"/>
    <w:basedOn w:val="151"/>
    <w:next w:val="151"/>
    <w:semiHidden/>
    <w:qFormat/>
    <w:uiPriority w:val="0"/>
    <w:pPr>
      <w:spacing w:line="468" w:lineRule="atLeast"/>
    </w:pPr>
    <w:rPr>
      <w:rFonts w:ascii="仿宋_GB2312" w:eastAsia="仿宋_GB2312" w:cs="仿宋_GB2312"/>
      <w:color w:val="auto"/>
    </w:rPr>
  </w:style>
  <w:style w:type="paragraph" w:customStyle="1" w:styleId="586">
    <w:name w:val="CM8"/>
    <w:basedOn w:val="151"/>
    <w:next w:val="151"/>
    <w:semiHidden/>
    <w:qFormat/>
    <w:uiPriority w:val="0"/>
    <w:pPr>
      <w:spacing w:line="468" w:lineRule="atLeast"/>
    </w:pPr>
    <w:rPr>
      <w:rFonts w:ascii="仿宋_GB2312" w:eastAsia="仿宋_GB2312" w:cs="仿宋_GB2312"/>
      <w:color w:val="auto"/>
    </w:rPr>
  </w:style>
  <w:style w:type="paragraph" w:customStyle="1" w:styleId="587">
    <w:name w:val="CM9"/>
    <w:basedOn w:val="151"/>
    <w:next w:val="151"/>
    <w:semiHidden/>
    <w:qFormat/>
    <w:uiPriority w:val="0"/>
    <w:pPr>
      <w:spacing w:line="468" w:lineRule="atLeast"/>
    </w:pPr>
    <w:rPr>
      <w:rFonts w:ascii="仿宋_GB2312" w:eastAsia="仿宋_GB2312" w:cs="仿宋_GB2312"/>
      <w:color w:val="auto"/>
    </w:rPr>
  </w:style>
  <w:style w:type="paragraph" w:customStyle="1" w:styleId="588">
    <w:name w:val="CM129"/>
    <w:basedOn w:val="151"/>
    <w:next w:val="151"/>
    <w:semiHidden/>
    <w:qFormat/>
    <w:uiPriority w:val="0"/>
    <w:pPr>
      <w:spacing w:after="365"/>
    </w:pPr>
    <w:rPr>
      <w:rFonts w:ascii="仿宋_GB2312" w:eastAsia="仿宋_GB2312" w:cs="仿宋_GB2312"/>
      <w:color w:val="auto"/>
    </w:rPr>
  </w:style>
  <w:style w:type="paragraph" w:customStyle="1" w:styleId="589">
    <w:name w:val="CM22"/>
    <w:basedOn w:val="151"/>
    <w:next w:val="151"/>
    <w:semiHidden/>
    <w:qFormat/>
    <w:uiPriority w:val="0"/>
    <w:pPr>
      <w:spacing w:line="468" w:lineRule="atLeast"/>
    </w:pPr>
    <w:rPr>
      <w:rFonts w:ascii="仿宋_GB2312" w:eastAsia="仿宋_GB2312" w:cs="仿宋_GB2312"/>
      <w:color w:val="auto"/>
    </w:rPr>
  </w:style>
  <w:style w:type="paragraph" w:customStyle="1" w:styleId="590">
    <w:name w:val="CM87"/>
    <w:basedOn w:val="151"/>
    <w:next w:val="151"/>
    <w:semiHidden/>
    <w:qFormat/>
    <w:uiPriority w:val="0"/>
    <w:pPr>
      <w:spacing w:line="468" w:lineRule="atLeast"/>
    </w:pPr>
    <w:rPr>
      <w:rFonts w:ascii="仿宋_GB2312" w:eastAsia="仿宋_GB2312" w:cs="仿宋_GB2312"/>
      <w:color w:val="auto"/>
    </w:rPr>
  </w:style>
  <w:style w:type="paragraph" w:customStyle="1" w:styleId="591">
    <w:name w:val="CM25"/>
    <w:basedOn w:val="151"/>
    <w:next w:val="151"/>
    <w:semiHidden/>
    <w:qFormat/>
    <w:uiPriority w:val="0"/>
    <w:pPr>
      <w:spacing w:line="468" w:lineRule="atLeast"/>
    </w:pPr>
    <w:rPr>
      <w:rFonts w:ascii="仿宋_GB2312" w:eastAsia="仿宋_GB2312" w:cs="仿宋_GB2312"/>
      <w:color w:val="auto"/>
    </w:rPr>
  </w:style>
  <w:style w:type="paragraph" w:customStyle="1" w:styleId="592">
    <w:name w:val="CM26"/>
    <w:basedOn w:val="151"/>
    <w:next w:val="151"/>
    <w:semiHidden/>
    <w:qFormat/>
    <w:uiPriority w:val="0"/>
    <w:pPr>
      <w:spacing w:line="468" w:lineRule="atLeast"/>
    </w:pPr>
    <w:rPr>
      <w:rFonts w:ascii="仿宋_GB2312" w:eastAsia="仿宋_GB2312" w:cs="仿宋_GB2312"/>
      <w:color w:val="auto"/>
    </w:rPr>
  </w:style>
  <w:style w:type="paragraph" w:customStyle="1" w:styleId="593">
    <w:name w:val="CM21"/>
    <w:basedOn w:val="151"/>
    <w:next w:val="151"/>
    <w:semiHidden/>
    <w:qFormat/>
    <w:uiPriority w:val="0"/>
    <w:pPr>
      <w:spacing w:line="468" w:lineRule="atLeast"/>
    </w:pPr>
    <w:rPr>
      <w:rFonts w:ascii="仿宋_GB2312" w:eastAsia="仿宋_GB2312" w:cs="仿宋_GB2312"/>
      <w:color w:val="auto"/>
    </w:rPr>
  </w:style>
  <w:style w:type="paragraph" w:customStyle="1" w:styleId="594">
    <w:name w:val="Char Char Char Char Char Char Char Char Char Char Char Char"/>
    <w:basedOn w:val="1"/>
    <w:qFormat/>
    <w:uiPriority w:val="0"/>
    <w:pPr>
      <w:tabs>
        <w:tab w:val="clear" w:pos="480"/>
      </w:tabs>
      <w:adjustRightInd w:val="0"/>
      <w:ind w:firstLine="540" w:firstLineChars="225"/>
      <w:jc w:val="left"/>
    </w:pPr>
    <w:rPr>
      <w:rFonts w:ascii="宋体" w:hAnsi="宋体" w:cs="Arial"/>
      <w:snapToGrid w:val="0"/>
      <w:kern w:val="0"/>
      <w:sz w:val="21"/>
      <w:szCs w:val="21"/>
      <w:lang w:val="eu-ES"/>
    </w:rPr>
  </w:style>
  <w:style w:type="paragraph" w:customStyle="1" w:styleId="595">
    <w:name w:val="Char Char Char1"/>
    <w:basedOn w:val="1"/>
    <w:qFormat/>
    <w:uiPriority w:val="0"/>
    <w:pPr>
      <w:tabs>
        <w:tab w:val="clear" w:pos="480"/>
      </w:tabs>
    </w:pPr>
    <w:rPr>
      <w:rFonts w:ascii="宋体" w:hAnsi="宋体" w:cs="宋体"/>
    </w:rPr>
  </w:style>
  <w:style w:type="paragraph" w:customStyle="1" w:styleId="596">
    <w:name w:val="样式 样式 标题 1章节标题章标题 1-*+h11st levelSection Headl1b1本标题不使用篇标...1 + ..."/>
    <w:basedOn w:val="1"/>
    <w:semiHidden/>
    <w:qFormat/>
    <w:uiPriority w:val="0"/>
    <w:pPr>
      <w:keepNext/>
      <w:keepLines/>
      <w:tabs>
        <w:tab w:val="clear" w:pos="480"/>
      </w:tabs>
      <w:spacing w:before="240" w:after="120"/>
      <w:jc w:val="left"/>
      <w:outlineLvl w:val="0"/>
    </w:pPr>
    <w:rPr>
      <w:rFonts w:eastAsia="黑体" w:cs="宋体"/>
      <w:b/>
      <w:bCs/>
      <w:kern w:val="44"/>
      <w:sz w:val="28"/>
      <w:szCs w:val="28"/>
    </w:rPr>
  </w:style>
  <w:style w:type="paragraph" w:customStyle="1" w:styleId="597">
    <w:name w:val="Char Char Char Char Char Char1 Char1"/>
    <w:basedOn w:val="1"/>
    <w:qFormat/>
    <w:uiPriority w:val="0"/>
    <w:pPr>
      <w:tabs>
        <w:tab w:val="clear" w:pos="480"/>
      </w:tabs>
    </w:pPr>
    <w:rPr>
      <w:rFonts w:ascii="宋体" w:hAnsi="宋体" w:cs="宋体"/>
    </w:rPr>
  </w:style>
  <w:style w:type="character" w:customStyle="1" w:styleId="598">
    <w:name w:val="tit2"/>
    <w:semiHidden/>
    <w:qFormat/>
    <w:uiPriority w:val="0"/>
    <w:rPr>
      <w:b/>
      <w:bCs/>
      <w:sz w:val="48"/>
      <w:szCs w:val="48"/>
    </w:rPr>
  </w:style>
  <w:style w:type="paragraph" w:customStyle="1" w:styleId="599">
    <w:name w:val="标题四"/>
    <w:basedOn w:val="1"/>
    <w:qFormat/>
    <w:uiPriority w:val="0"/>
    <w:pPr>
      <w:tabs>
        <w:tab w:val="clear" w:pos="480"/>
      </w:tabs>
      <w:ind w:firstLine="480"/>
    </w:pPr>
    <w:rPr>
      <w:bCs/>
      <w:szCs w:val="20"/>
    </w:rPr>
  </w:style>
  <w:style w:type="paragraph" w:customStyle="1" w:styleId="600">
    <w:name w:val="表头样式"/>
    <w:basedOn w:val="1"/>
    <w:semiHidden/>
    <w:qFormat/>
    <w:uiPriority w:val="0"/>
    <w:pPr>
      <w:tabs>
        <w:tab w:val="left" w:pos="3060"/>
        <w:tab w:val="clear" w:pos="480"/>
      </w:tabs>
      <w:spacing w:beforeLines="50"/>
      <w:jc w:val="center"/>
    </w:pPr>
    <w:rPr>
      <w:rFonts w:hAnsi="宋体"/>
      <w:b/>
      <w:bCs/>
    </w:rPr>
  </w:style>
  <w:style w:type="paragraph" w:customStyle="1" w:styleId="601">
    <w:name w:val="样式 (符号) 宋体 小四 黑色 首行缩进:  2 字符"/>
    <w:basedOn w:val="1"/>
    <w:semiHidden/>
    <w:qFormat/>
    <w:uiPriority w:val="0"/>
    <w:pPr>
      <w:tabs>
        <w:tab w:val="clear" w:pos="480"/>
      </w:tabs>
      <w:spacing w:line="440" w:lineRule="exact"/>
      <w:ind w:firstLine="480"/>
    </w:pPr>
    <w:rPr>
      <w:rFonts w:hAnsi="宋体" w:cs="宋体"/>
      <w:color w:val="000000"/>
      <w:szCs w:val="20"/>
    </w:rPr>
  </w:style>
  <w:style w:type="paragraph" w:styleId="602">
    <w:name w:val="List Paragraph"/>
    <w:basedOn w:val="1"/>
    <w:link w:val="3712"/>
    <w:qFormat/>
    <w:uiPriority w:val="0"/>
    <w:pPr>
      <w:tabs>
        <w:tab w:val="clear" w:pos="480"/>
      </w:tabs>
      <w:spacing w:line="240" w:lineRule="auto"/>
      <w:ind w:firstLine="420"/>
    </w:pPr>
    <w:rPr>
      <w:rFonts w:ascii="Calibri" w:hAnsi="Calibri"/>
      <w:sz w:val="21"/>
      <w:szCs w:val="22"/>
    </w:rPr>
  </w:style>
  <w:style w:type="paragraph" w:customStyle="1" w:styleId="603">
    <w:name w:val="Char Char1 Char Char Char Char Char Char Char Char Char Char Char Char Char Char Char Char Char Char Char Char Char Char Char Char Char Char Char Char Char Char1 Char Char Char Char"/>
    <w:basedOn w:val="1"/>
    <w:semiHidden/>
    <w:qFormat/>
    <w:uiPriority w:val="0"/>
    <w:pPr>
      <w:tabs>
        <w:tab w:val="clear" w:pos="480"/>
      </w:tabs>
      <w:spacing w:line="240" w:lineRule="auto"/>
    </w:pPr>
    <w:rPr>
      <w:sz w:val="21"/>
    </w:rPr>
  </w:style>
  <w:style w:type="paragraph" w:customStyle="1" w:styleId="604">
    <w:name w:val="Char Char Char1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605">
    <w:name w:val="ST20_1"/>
    <w:basedOn w:val="1"/>
    <w:semiHidden/>
    <w:qFormat/>
    <w:uiPriority w:val="0"/>
    <w:pPr>
      <w:tabs>
        <w:tab w:val="clear" w:pos="480"/>
      </w:tabs>
      <w:autoSpaceDE w:val="0"/>
      <w:autoSpaceDN w:val="0"/>
      <w:adjustRightInd w:val="0"/>
      <w:spacing w:line="312" w:lineRule="atLeast"/>
      <w:jc w:val="center"/>
      <w:textAlignment w:val="baseline"/>
    </w:pPr>
    <w:rPr>
      <w:rFonts w:ascii="宋体" w:hAnsi="Tms Rmn"/>
      <w:kern w:val="0"/>
      <w:szCs w:val="20"/>
    </w:rPr>
  </w:style>
  <w:style w:type="paragraph" w:customStyle="1" w:styleId="606">
    <w:name w:val="样式 题注 + 首行缩进:  2 字符"/>
    <w:basedOn w:val="23"/>
    <w:semiHidden/>
    <w:qFormat/>
    <w:uiPriority w:val="0"/>
    <w:pPr>
      <w:widowControl w:val="0"/>
      <w:adjustRightInd/>
      <w:snapToGrid/>
      <w:spacing w:before="0" w:after="0"/>
      <w:ind w:firstLine="400"/>
    </w:pPr>
    <w:rPr>
      <w:rFonts w:cs="宋体"/>
      <w:b/>
      <w:color w:val="auto"/>
      <w:sz w:val="20"/>
    </w:rPr>
  </w:style>
  <w:style w:type="paragraph" w:customStyle="1" w:styleId="607">
    <w:name w:val="样式 题注 + 宋体 小四 非加粗"/>
    <w:basedOn w:val="23"/>
    <w:link w:val="609"/>
    <w:semiHidden/>
    <w:qFormat/>
    <w:uiPriority w:val="0"/>
    <w:pPr>
      <w:keepNext/>
      <w:widowControl w:val="0"/>
      <w:adjustRightInd/>
      <w:snapToGrid/>
      <w:spacing w:line="240" w:lineRule="auto"/>
      <w:ind w:firstLine="0" w:firstLineChars="0"/>
    </w:pPr>
    <w:rPr>
      <w:rFonts w:ascii="宋体" w:hAnsi="宋体" w:cs="仿宋_GB2312"/>
      <w:b/>
      <w:bCs/>
      <w:color w:val="auto"/>
      <w:spacing w:val="4"/>
      <w:szCs w:val="21"/>
    </w:rPr>
  </w:style>
  <w:style w:type="character" w:customStyle="1" w:styleId="608">
    <w:name w:val="Char Char4"/>
    <w:qFormat/>
    <w:uiPriority w:val="0"/>
    <w:rPr>
      <w:rFonts w:ascii="宋体" w:hAnsi="宋体" w:cs="仿宋_GB2312"/>
      <w:b/>
      <w:bCs/>
      <w:kern w:val="2"/>
      <w:sz w:val="24"/>
      <w:szCs w:val="21"/>
    </w:rPr>
  </w:style>
  <w:style w:type="character" w:customStyle="1" w:styleId="609">
    <w:name w:val="样式 题注 + 宋体 小四 非加粗 Char"/>
    <w:link w:val="607"/>
    <w:qFormat/>
    <w:uiPriority w:val="0"/>
    <w:rPr>
      <w:rFonts w:ascii="宋体" w:hAnsi="宋体" w:eastAsia="宋体" w:cs="仿宋_GB2312"/>
      <w:b/>
      <w:bCs/>
      <w:spacing w:val="4"/>
      <w:kern w:val="2"/>
      <w:sz w:val="24"/>
      <w:szCs w:val="21"/>
      <w:lang w:val="en-US" w:eastAsia="zh-CN" w:bidi="ar-SA"/>
    </w:rPr>
  </w:style>
  <w:style w:type="paragraph" w:customStyle="1" w:styleId="610">
    <w:name w:val="样式 行距: 1.5 倍行距"/>
    <w:basedOn w:val="1"/>
    <w:qFormat/>
    <w:uiPriority w:val="0"/>
    <w:pPr>
      <w:tabs>
        <w:tab w:val="clear" w:pos="480"/>
      </w:tabs>
      <w:ind w:firstLine="480"/>
    </w:pPr>
    <w:rPr>
      <w:rFonts w:cs="宋体"/>
      <w:szCs w:val="20"/>
    </w:rPr>
  </w:style>
  <w:style w:type="paragraph" w:customStyle="1" w:styleId="611">
    <w:name w:val="样式 题注 + 非加粗 黑色"/>
    <w:basedOn w:val="23"/>
    <w:link w:val="612"/>
    <w:semiHidden/>
    <w:qFormat/>
    <w:uiPriority w:val="0"/>
    <w:pPr>
      <w:keepNext/>
      <w:widowControl w:val="0"/>
      <w:adjustRightInd/>
      <w:snapToGrid/>
      <w:spacing w:line="240" w:lineRule="auto"/>
      <w:ind w:firstLine="0" w:firstLineChars="0"/>
    </w:pPr>
    <w:rPr>
      <w:rFonts w:ascii="宋体" w:hAnsi="宋体" w:cs="仿宋_GB2312"/>
      <w:b/>
      <w:bCs/>
      <w:szCs w:val="21"/>
    </w:rPr>
  </w:style>
  <w:style w:type="character" w:customStyle="1" w:styleId="612">
    <w:name w:val="样式 题注 + 非加粗 黑色 Char"/>
    <w:link w:val="611"/>
    <w:qFormat/>
    <w:uiPriority w:val="0"/>
    <w:rPr>
      <w:rFonts w:ascii="宋体" w:hAnsi="宋体" w:eastAsia="宋体" w:cs="仿宋_GB2312"/>
      <w:b/>
      <w:bCs/>
      <w:color w:val="000000"/>
      <w:kern w:val="2"/>
      <w:sz w:val="24"/>
      <w:szCs w:val="21"/>
      <w:lang w:val="en-US" w:eastAsia="zh-CN" w:bidi="ar-SA"/>
    </w:rPr>
  </w:style>
  <w:style w:type="paragraph" w:customStyle="1" w:styleId="613">
    <w:name w:val="样式 行距: 1.5 倍行距1"/>
    <w:basedOn w:val="1"/>
    <w:semiHidden/>
    <w:qFormat/>
    <w:uiPriority w:val="0"/>
    <w:pPr>
      <w:tabs>
        <w:tab w:val="clear" w:pos="480"/>
      </w:tabs>
      <w:ind w:firstLine="496"/>
    </w:pPr>
    <w:rPr>
      <w:rFonts w:cs="宋体"/>
      <w:szCs w:val="20"/>
    </w:rPr>
  </w:style>
  <w:style w:type="paragraph" w:customStyle="1" w:styleId="614">
    <w:name w:val="样式 标题 2节SeHead wsa2H21标题 1.1Chapter TitleChapter节标题 1.1..."/>
    <w:basedOn w:val="4"/>
    <w:semiHidden/>
    <w:qFormat/>
    <w:uiPriority w:val="0"/>
    <w:pPr>
      <w:tabs>
        <w:tab w:val="clear" w:pos="480"/>
        <w:tab w:val="clear" w:pos="630"/>
      </w:tabs>
      <w:adjustRightInd w:val="0"/>
      <w:snapToGrid w:val="0"/>
      <w:spacing w:beforeLines="50" w:afterLines="50"/>
      <w:ind w:left="576" w:hanging="576"/>
      <w:jc w:val="left"/>
      <w:textAlignment w:val="baseline"/>
    </w:pPr>
    <w:rPr>
      <w:rFonts w:ascii="宋体" w:hAnsi="宋体" w:cs="宋体"/>
      <w:sz w:val="30"/>
      <w:szCs w:val="20"/>
    </w:rPr>
  </w:style>
  <w:style w:type="paragraph" w:customStyle="1" w:styleId="615">
    <w:name w:val="样式8"/>
    <w:basedOn w:val="1"/>
    <w:link w:val="619"/>
    <w:qFormat/>
    <w:uiPriority w:val="0"/>
    <w:pPr>
      <w:tabs>
        <w:tab w:val="clear" w:pos="480"/>
      </w:tabs>
      <w:adjustRightInd w:val="0"/>
      <w:snapToGrid w:val="0"/>
      <w:ind w:firstLine="420"/>
    </w:pPr>
    <w:rPr>
      <w:rFonts w:hAnsi="宋体"/>
    </w:rPr>
  </w:style>
  <w:style w:type="character" w:customStyle="1" w:styleId="616">
    <w:name w:val="样式 正文 +"/>
    <w:semiHidden/>
    <w:qFormat/>
    <w:uiPriority w:val="0"/>
    <w:rPr>
      <w:rFonts w:ascii="Times New Roman" w:hAnsi="Times New Roman" w:eastAsia="宋体"/>
      <w:snapToGrid/>
      <w:spacing w:val="0"/>
      <w:w w:val="100"/>
      <w:kern w:val="2"/>
      <w:position w:val="0"/>
      <w:sz w:val="24"/>
    </w:rPr>
  </w:style>
  <w:style w:type="paragraph" w:customStyle="1" w:styleId="617">
    <w:name w:val="Char Char"/>
    <w:basedOn w:val="1"/>
    <w:semiHidden/>
    <w:qFormat/>
    <w:uiPriority w:val="0"/>
    <w:pPr>
      <w:tabs>
        <w:tab w:val="left" w:pos="0"/>
        <w:tab w:val="clear" w:pos="480"/>
      </w:tabs>
      <w:spacing w:line="240" w:lineRule="auto"/>
    </w:pPr>
    <w:rPr>
      <w:sz w:val="21"/>
      <w:szCs w:val="21"/>
    </w:rPr>
  </w:style>
  <w:style w:type="paragraph" w:customStyle="1" w:styleId="618">
    <w:name w:val="Char Char Char1 Char1"/>
    <w:basedOn w:val="1"/>
    <w:qFormat/>
    <w:uiPriority w:val="0"/>
    <w:pPr>
      <w:tabs>
        <w:tab w:val="clear" w:pos="480"/>
      </w:tabs>
      <w:spacing w:line="240" w:lineRule="auto"/>
    </w:pPr>
    <w:rPr>
      <w:sz w:val="21"/>
      <w:szCs w:val="20"/>
    </w:rPr>
  </w:style>
  <w:style w:type="character" w:customStyle="1" w:styleId="619">
    <w:name w:val="样式8 Char"/>
    <w:link w:val="615"/>
    <w:qFormat/>
    <w:uiPriority w:val="0"/>
    <w:rPr>
      <w:rFonts w:hAnsi="宋体" w:eastAsia="宋体"/>
      <w:kern w:val="2"/>
      <w:sz w:val="24"/>
      <w:szCs w:val="24"/>
      <w:lang w:val="en-US" w:eastAsia="zh-CN" w:bidi="ar-SA"/>
    </w:rPr>
  </w:style>
  <w:style w:type="character" w:customStyle="1" w:styleId="620">
    <w:name w:val="ZX 1 表标题 Char"/>
    <w:link w:val="621"/>
    <w:qFormat/>
    <w:uiPriority w:val="0"/>
    <w:rPr>
      <w:rFonts w:cs="宋体"/>
      <w:b/>
      <w:kern w:val="2"/>
      <w:sz w:val="21"/>
    </w:rPr>
  </w:style>
  <w:style w:type="paragraph" w:customStyle="1" w:styleId="621">
    <w:name w:val="ZX 1 表标题"/>
    <w:basedOn w:val="1"/>
    <w:link w:val="620"/>
    <w:qFormat/>
    <w:uiPriority w:val="0"/>
    <w:pPr>
      <w:numPr>
        <w:ilvl w:val="0"/>
        <w:numId w:val="10"/>
      </w:numPr>
      <w:tabs>
        <w:tab w:val="clear" w:pos="480"/>
      </w:tabs>
      <w:ind w:firstLine="0" w:firstLineChars="0"/>
      <w:jc w:val="center"/>
    </w:pPr>
    <w:rPr>
      <w:rFonts w:cs="宋体"/>
      <w:b/>
      <w:sz w:val="21"/>
      <w:szCs w:val="20"/>
    </w:rPr>
  </w:style>
  <w:style w:type="paragraph" w:customStyle="1" w:styleId="622">
    <w:name w:val="默认段落字体 Para Char Char Char Char Char Char Char Char Char Char"/>
    <w:basedOn w:val="5"/>
    <w:qFormat/>
    <w:uiPriority w:val="0"/>
    <w:pPr>
      <w:tabs>
        <w:tab w:val="left" w:pos="360"/>
        <w:tab w:val="left" w:pos="900"/>
        <w:tab w:val="clear" w:pos="480"/>
        <w:tab w:val="clear" w:pos="840"/>
      </w:tabs>
      <w:snapToGrid w:val="0"/>
      <w:spacing w:after="120" w:line="360" w:lineRule="auto"/>
      <w:ind w:left="542" w:leftChars="-12" w:firstLine="200" w:firstLineChars="200"/>
      <w:jc w:val="left"/>
    </w:pPr>
    <w:rPr>
      <w:rFonts w:ascii="Times New Roman" w:eastAsia="黑体"/>
      <w:b w:val="0"/>
      <w:bCs w:val="0"/>
      <w:snapToGrid w:val="0"/>
      <w:sz w:val="24"/>
      <w:szCs w:val="24"/>
    </w:rPr>
  </w:style>
  <w:style w:type="paragraph" w:customStyle="1" w:styleId="623">
    <w:name w:val="Char Char Char1 Char Char Char Char Char Char"/>
    <w:basedOn w:val="1"/>
    <w:semiHidden/>
    <w:qFormat/>
    <w:uiPriority w:val="0"/>
    <w:pPr>
      <w:tabs>
        <w:tab w:val="clear" w:pos="480"/>
      </w:tabs>
    </w:pPr>
    <w:rPr>
      <w:rFonts w:ascii="宋体" w:hAnsi="宋体" w:cs="宋体"/>
    </w:rPr>
  </w:style>
  <w:style w:type="character" w:customStyle="1" w:styleId="624">
    <w:name w:val="myfont11"/>
    <w:semiHidden/>
    <w:qFormat/>
    <w:uiPriority w:val="0"/>
    <w:rPr>
      <w:rFonts w:hint="default"/>
      <w:color w:val="000000"/>
      <w:spacing w:val="360"/>
      <w:sz w:val="18"/>
      <w:szCs w:val="18"/>
    </w:rPr>
  </w:style>
  <w:style w:type="character" w:customStyle="1" w:styleId="625">
    <w:name w:val="样式 (西文) Arial (中文) 楷体_GB2312"/>
    <w:semiHidden/>
    <w:qFormat/>
    <w:uiPriority w:val="0"/>
    <w:rPr>
      <w:rFonts w:ascii="宋体" w:hAnsi="Arial" w:eastAsia="宋体"/>
      <w:color w:val="auto"/>
      <w:spacing w:val="8"/>
      <w:w w:val="100"/>
      <w:kern w:val="0"/>
      <w:position w:val="0"/>
      <w:sz w:val="24"/>
      <w:szCs w:val="24"/>
      <w:u w:val="none"/>
      <w:vertAlign w:val="baseline"/>
    </w:rPr>
  </w:style>
  <w:style w:type="paragraph" w:customStyle="1" w:styleId="626">
    <w:name w:val="样式9"/>
    <w:basedOn w:val="21"/>
    <w:link w:val="2125"/>
    <w:qFormat/>
    <w:uiPriority w:val="0"/>
    <w:pPr>
      <w:tabs>
        <w:tab w:val="clear" w:pos="480"/>
      </w:tabs>
      <w:ind w:firstLine="480"/>
    </w:pPr>
    <w:rPr>
      <w:rFonts w:ascii="宋体"/>
      <w:snapToGrid w:val="0"/>
    </w:rPr>
  </w:style>
  <w:style w:type="character" w:customStyle="1" w:styleId="627">
    <w:name w:val="正文缩进 Char Char"/>
    <w:qFormat/>
    <w:uiPriority w:val="0"/>
    <w:rPr>
      <w:rFonts w:eastAsia="仿宋_GB2312"/>
      <w:kern w:val="2"/>
      <w:sz w:val="24"/>
      <w:szCs w:val="24"/>
      <w:lang w:val="en-US" w:eastAsia="zh-CN" w:bidi="ar-SA"/>
    </w:rPr>
  </w:style>
  <w:style w:type="paragraph" w:customStyle="1" w:styleId="628">
    <w:name w:val="样式10"/>
    <w:basedOn w:val="166"/>
    <w:link w:val="1474"/>
    <w:qFormat/>
    <w:uiPriority w:val="0"/>
    <w:pPr>
      <w:autoSpaceDE w:val="0"/>
      <w:autoSpaceDN w:val="0"/>
      <w:adjustRightInd w:val="0"/>
      <w:textAlignment w:val="baseline"/>
    </w:pPr>
    <w:rPr>
      <w:rFonts w:ascii="宋体" w:hAnsi="宋体"/>
      <w:b/>
      <w:snapToGrid/>
      <w:color w:val="auto"/>
      <w:kern w:val="0"/>
      <w:sz w:val="24"/>
      <w:szCs w:val="20"/>
    </w:rPr>
  </w:style>
  <w:style w:type="paragraph" w:customStyle="1" w:styleId="629">
    <w:name w:val="样式11"/>
    <w:basedOn w:val="171"/>
    <w:link w:val="2159"/>
    <w:qFormat/>
    <w:uiPriority w:val="0"/>
    <w:pPr>
      <w:widowControl w:val="0"/>
      <w:snapToGrid/>
      <w:spacing w:line="300" w:lineRule="auto"/>
      <w:ind w:firstLine="0"/>
    </w:pPr>
    <w:rPr>
      <w:rFonts w:ascii="宋体"/>
      <w:b w:val="0"/>
      <w:snapToGrid w:val="0"/>
      <w:sz w:val="21"/>
      <w:lang w:val="en-US"/>
    </w:rPr>
  </w:style>
  <w:style w:type="character" w:customStyle="1" w:styleId="630">
    <w:name w:val="p15"/>
    <w:basedOn w:val="133"/>
    <w:qFormat/>
    <w:uiPriority w:val="0"/>
  </w:style>
  <w:style w:type="paragraph" w:customStyle="1" w:styleId="631">
    <w:name w:val="封面3"/>
    <w:basedOn w:val="632"/>
    <w:qFormat/>
    <w:uiPriority w:val="0"/>
    <w:pPr/>
    <w:rPr>
      <w:rFonts w:ascii="宋体" w:hAnsi="宋体"/>
      <w:sz w:val="72"/>
      <w:szCs w:val="72"/>
    </w:rPr>
  </w:style>
  <w:style w:type="paragraph" w:customStyle="1" w:styleId="632">
    <w:name w:val="封面2"/>
    <w:basedOn w:val="1"/>
    <w:qFormat/>
    <w:uiPriority w:val="0"/>
    <w:pPr>
      <w:tabs>
        <w:tab w:val="clear" w:pos="480"/>
      </w:tabs>
      <w:spacing w:line="240" w:lineRule="auto"/>
      <w:jc w:val="center"/>
    </w:pPr>
    <w:rPr>
      <w:b/>
      <w:sz w:val="44"/>
    </w:rPr>
  </w:style>
  <w:style w:type="paragraph" w:customStyle="1" w:styleId="633">
    <w:name w:val="封面4"/>
    <w:basedOn w:val="189"/>
    <w:qFormat/>
    <w:uiPriority w:val="0"/>
    <w:pPr>
      <w:tabs>
        <w:tab w:val="clear" w:pos="432"/>
      </w:tabs>
      <w:snapToGrid w:val="0"/>
    </w:pPr>
    <w:rPr>
      <w:rFonts w:ascii="Times New Roman" w:hAnsi="Times New Roman" w:eastAsia="宋体"/>
      <w:b/>
      <w:bCs/>
      <w:color w:val="000000"/>
      <w:kern w:val="2"/>
      <w:szCs w:val="24"/>
      <w:bdr w:val="single" w:color="auto" w:sz="4" w:space="0"/>
    </w:rPr>
  </w:style>
  <w:style w:type="character" w:customStyle="1" w:styleId="634">
    <w:name w:val="样式 表格 + 宋体 五号 Char"/>
    <w:semiHidden/>
    <w:qFormat/>
    <w:uiPriority w:val="0"/>
    <w:rPr>
      <w:rFonts w:ascii="宋体" w:hAnsi="宋体" w:eastAsia="宋体"/>
      <w:sz w:val="21"/>
      <w:lang w:val="en-US" w:eastAsia="zh-CN" w:bidi="ar-SA"/>
    </w:rPr>
  </w:style>
  <w:style w:type="paragraph" w:customStyle="1" w:styleId="635">
    <w:name w:val="责任页"/>
    <w:basedOn w:val="1"/>
    <w:semiHidden/>
    <w:qFormat/>
    <w:uiPriority w:val="0"/>
    <w:pPr>
      <w:tabs>
        <w:tab w:val="clear" w:pos="480"/>
      </w:tabs>
      <w:spacing w:line="300" w:lineRule="auto"/>
    </w:pPr>
    <w:rPr>
      <w:sz w:val="28"/>
    </w:rPr>
  </w:style>
  <w:style w:type="paragraph" w:customStyle="1" w:styleId="636">
    <w:name w:val="正文(首行缩进)"/>
    <w:basedOn w:val="1"/>
    <w:link w:val="1352"/>
    <w:qFormat/>
    <w:uiPriority w:val="0"/>
    <w:pPr>
      <w:tabs>
        <w:tab w:val="clear" w:pos="480"/>
      </w:tabs>
      <w:ind w:firstLine="510"/>
    </w:pPr>
    <w:rPr>
      <w:rFonts w:ascii="宋体" w:hAnsi="宋体"/>
      <w:snapToGrid w:val="0"/>
      <w:kern w:val="0"/>
    </w:rPr>
  </w:style>
  <w:style w:type="paragraph" w:customStyle="1" w:styleId="637">
    <w:name w:val="表格名和图名"/>
    <w:basedOn w:val="1"/>
    <w:semiHidden/>
    <w:qFormat/>
    <w:uiPriority w:val="0"/>
    <w:pPr>
      <w:tabs>
        <w:tab w:val="clear" w:pos="480"/>
      </w:tabs>
      <w:jc w:val="center"/>
    </w:pPr>
    <w:rPr>
      <w:b/>
      <w:color w:val="000000"/>
    </w:rPr>
  </w:style>
  <w:style w:type="paragraph" w:customStyle="1" w:styleId="638">
    <w:name w:val="文本框1"/>
    <w:basedOn w:val="1"/>
    <w:semiHidden/>
    <w:qFormat/>
    <w:uiPriority w:val="0"/>
    <w:pPr>
      <w:tabs>
        <w:tab w:val="clear" w:pos="480"/>
      </w:tabs>
      <w:spacing w:line="240" w:lineRule="auto"/>
    </w:pPr>
    <w:rPr>
      <w:rFonts w:ascii="宋体" w:hAnsi="宋体"/>
      <w:szCs w:val="20"/>
    </w:rPr>
  </w:style>
  <w:style w:type="character" w:customStyle="1" w:styleId="639">
    <w:name w:val="copyright1"/>
    <w:semiHidden/>
    <w:qFormat/>
    <w:uiPriority w:val="0"/>
    <w:rPr>
      <w:rFonts w:hint="default"/>
      <w:color w:val="000000"/>
      <w:spacing w:val="360"/>
    </w:rPr>
  </w:style>
  <w:style w:type="character" w:customStyle="1" w:styleId="640">
    <w:name w:val="desctext1"/>
    <w:semiHidden/>
    <w:qFormat/>
    <w:uiPriority w:val="0"/>
    <w:rPr>
      <w:spacing w:val="15"/>
      <w:sz w:val="18"/>
      <w:szCs w:val="18"/>
    </w:rPr>
  </w:style>
  <w:style w:type="paragraph" w:customStyle="1" w:styleId="641">
    <w:name w:val="封面5"/>
    <w:basedOn w:val="1"/>
    <w:qFormat/>
    <w:uiPriority w:val="0"/>
    <w:pPr>
      <w:tabs>
        <w:tab w:val="clear" w:pos="480"/>
      </w:tabs>
      <w:snapToGrid w:val="0"/>
      <w:spacing w:line="240" w:lineRule="auto"/>
    </w:pPr>
    <w:rPr>
      <w:sz w:val="21"/>
    </w:rPr>
  </w:style>
  <w:style w:type="paragraph" w:customStyle="1" w:styleId="642">
    <w:name w:val="自制表格"/>
    <w:basedOn w:val="1"/>
    <w:next w:val="1"/>
    <w:semiHidden/>
    <w:qFormat/>
    <w:uiPriority w:val="0"/>
    <w:pPr>
      <w:tabs>
        <w:tab w:val="clear" w:pos="480"/>
      </w:tabs>
      <w:spacing w:after="120" w:line="240" w:lineRule="auto"/>
    </w:pPr>
    <w:rPr>
      <w:rFonts w:ascii="宋体"/>
      <w:kern w:val="10"/>
      <w:sz w:val="28"/>
      <w:szCs w:val="20"/>
    </w:rPr>
  </w:style>
  <w:style w:type="paragraph" w:customStyle="1" w:styleId="643">
    <w:name w:val="正文样式"/>
    <w:basedOn w:val="1"/>
    <w:qFormat/>
    <w:uiPriority w:val="0"/>
    <w:pPr>
      <w:tabs>
        <w:tab w:val="clear" w:pos="480"/>
      </w:tabs>
      <w:spacing w:line="240" w:lineRule="auto"/>
    </w:pPr>
    <w:rPr>
      <w:spacing w:val="4"/>
    </w:rPr>
  </w:style>
  <w:style w:type="paragraph" w:customStyle="1" w:styleId="644">
    <w:name w:val="环评正文"/>
    <w:basedOn w:val="1"/>
    <w:qFormat/>
    <w:uiPriority w:val="0"/>
    <w:pPr>
      <w:tabs>
        <w:tab w:val="clear" w:pos="480"/>
      </w:tabs>
    </w:pPr>
  </w:style>
  <w:style w:type="character" w:customStyle="1" w:styleId="645">
    <w:name w:val="aspmaker1"/>
    <w:qFormat/>
    <w:uiPriority w:val="0"/>
    <w:rPr>
      <w:rFonts w:hint="default" w:ascii="Verdana" w:hAnsi="Verdana"/>
      <w:sz w:val="20"/>
      <w:szCs w:val="20"/>
    </w:rPr>
  </w:style>
  <w:style w:type="character" w:customStyle="1" w:styleId="646">
    <w:name w:val="slink1"/>
    <w:qFormat/>
    <w:uiPriority w:val="0"/>
    <w:rPr>
      <w:rFonts w:hint="default" w:ascii="ˎ̥" w:hAnsi="ˎ̥"/>
      <w:sz w:val="18"/>
      <w:szCs w:val="18"/>
      <w:u w:val="none"/>
    </w:rPr>
  </w:style>
  <w:style w:type="paragraph" w:customStyle="1" w:styleId="647">
    <w:name w:val="TAB"/>
    <w:basedOn w:val="2"/>
    <w:semiHidden/>
    <w:qFormat/>
    <w:uiPriority w:val="0"/>
    <w:pPr>
      <w:widowControl/>
      <w:spacing w:before="60" w:after="60"/>
      <w:jc w:val="left"/>
    </w:pPr>
    <w:rPr>
      <w:rFonts w:ascii="Arial" w:hAnsi="Arial"/>
      <w:kern w:val="0"/>
      <w:sz w:val="18"/>
      <w:lang w:eastAsia="fr-FR"/>
    </w:rPr>
  </w:style>
  <w:style w:type="character" w:customStyle="1" w:styleId="648">
    <w:name w:val="about-left1"/>
    <w:semiHidden/>
    <w:qFormat/>
    <w:uiPriority w:val="0"/>
    <w:rPr>
      <w:color w:val="3A3A3A"/>
      <w:spacing w:val="15"/>
      <w:sz w:val="18"/>
      <w:szCs w:val="18"/>
      <w:u w:val="none"/>
    </w:rPr>
  </w:style>
  <w:style w:type="paragraph" w:customStyle="1" w:styleId="649">
    <w:name w:val="我的正文"/>
    <w:basedOn w:val="1"/>
    <w:qFormat/>
    <w:uiPriority w:val="0"/>
    <w:pPr>
      <w:tabs>
        <w:tab w:val="clear" w:pos="480"/>
      </w:tabs>
      <w:spacing w:line="440" w:lineRule="exact"/>
    </w:pPr>
  </w:style>
  <w:style w:type="paragraph" w:customStyle="1" w:styleId="650">
    <w:name w:val="二级无标题条"/>
    <w:basedOn w:val="1"/>
    <w:qFormat/>
    <w:uiPriority w:val="0"/>
    <w:pPr>
      <w:tabs>
        <w:tab w:val="clear" w:pos="480"/>
      </w:tabs>
      <w:spacing w:line="240" w:lineRule="auto"/>
    </w:pPr>
    <w:rPr>
      <w:sz w:val="21"/>
    </w:rPr>
  </w:style>
  <w:style w:type="paragraph" w:customStyle="1" w:styleId="651">
    <w:name w:val="comm3"/>
    <w:basedOn w:val="1"/>
    <w:semiHidden/>
    <w:qFormat/>
    <w:uiPriority w:val="0"/>
    <w:pPr>
      <w:widowControl/>
      <w:tabs>
        <w:tab w:val="clear" w:pos="480"/>
      </w:tabs>
      <w:spacing w:after="60" w:line="240" w:lineRule="auto"/>
      <w:jc w:val="center"/>
    </w:pPr>
    <w:rPr>
      <w:rFonts w:ascii="Arial" w:hAnsi="Arial"/>
      <w:kern w:val="0"/>
      <w:szCs w:val="20"/>
      <w:lang w:val="en-CA" w:eastAsia="en-US"/>
    </w:rPr>
  </w:style>
  <w:style w:type="paragraph" w:customStyle="1" w:styleId="652">
    <w:name w:val="样式 宋体 小四 首行缩进:  0.85 厘米 行距: 多倍行距 1.75 字行"/>
    <w:basedOn w:val="1"/>
    <w:semiHidden/>
    <w:qFormat/>
    <w:uiPriority w:val="0"/>
    <w:pPr>
      <w:tabs>
        <w:tab w:val="clear" w:pos="480"/>
      </w:tabs>
      <w:adjustRightInd w:val="0"/>
      <w:ind w:firstLine="340"/>
    </w:pPr>
    <w:rPr>
      <w:rFonts w:ascii="宋体" w:hAnsi="宋体"/>
      <w:szCs w:val="20"/>
    </w:rPr>
  </w:style>
  <w:style w:type="paragraph" w:customStyle="1" w:styleId="653">
    <w:name w:val="基准页脚样式"/>
    <w:basedOn w:val="2"/>
    <w:semiHidden/>
    <w:qFormat/>
    <w:uiPriority w:val="0"/>
    <w:pPr>
      <w:adjustRightInd w:val="0"/>
      <w:snapToGrid w:val="0"/>
      <w:jc w:val="center"/>
    </w:pPr>
    <w:rPr>
      <w:rFonts w:hAnsi="Times New Roman"/>
    </w:rPr>
  </w:style>
  <w:style w:type="paragraph" w:customStyle="1" w:styleId="654">
    <w:name w:val="小房1"/>
    <w:basedOn w:val="1"/>
    <w:semiHidden/>
    <w:qFormat/>
    <w:uiPriority w:val="0"/>
    <w:pPr>
      <w:tabs>
        <w:tab w:val="clear" w:pos="480"/>
      </w:tabs>
      <w:adjustRightInd w:val="0"/>
      <w:spacing w:before="60" w:line="276" w:lineRule="auto"/>
      <w:ind w:firstLine="482"/>
      <w:textAlignment w:val="baseline"/>
    </w:pPr>
    <w:rPr>
      <w:rFonts w:eastAsia="仿宋_GB2312"/>
      <w:kern w:val="0"/>
      <w:sz w:val="28"/>
      <w:szCs w:val="20"/>
    </w:rPr>
  </w:style>
  <w:style w:type="paragraph" w:customStyle="1" w:styleId="655">
    <w:name w:val="图表题"/>
    <w:next w:val="1"/>
    <w:semiHidden/>
    <w:qFormat/>
    <w:uiPriority w:val="0"/>
    <w:pPr>
      <w:spacing w:before="156" w:after="156" w:line="360" w:lineRule="exact"/>
      <w:jc w:val="center"/>
      <w:textAlignment w:val="center"/>
    </w:pPr>
    <w:rPr>
      <w:rFonts w:ascii="宋体" w:hAnsi="宋体" w:eastAsia="宋体" w:cs="Times New Roman"/>
      <w:b/>
      <w:kern w:val="2"/>
      <w:sz w:val="24"/>
      <w:szCs w:val="24"/>
      <w:lang w:val="en-US" w:eastAsia="zh-CN" w:bidi="ar-SA"/>
    </w:rPr>
  </w:style>
  <w:style w:type="character" w:customStyle="1" w:styleId="656">
    <w:name w:val="contenttext11"/>
    <w:qFormat/>
    <w:uiPriority w:val="0"/>
    <w:rPr>
      <w:rFonts w:hint="eastAsia" w:ascii="宋体" w:hAnsi="宋体" w:eastAsia="宋体"/>
      <w:color w:val="000000"/>
      <w:spacing w:val="240"/>
      <w:sz w:val="24"/>
      <w:szCs w:val="24"/>
    </w:rPr>
  </w:style>
  <w:style w:type="paragraph" w:customStyle="1" w:styleId="657">
    <w:name w:val="样式 标题 3"/>
    <w:basedOn w:val="5"/>
    <w:qFormat/>
    <w:uiPriority w:val="0"/>
    <w:pPr>
      <w:tabs>
        <w:tab w:val="clear" w:pos="480"/>
        <w:tab w:val="clear" w:pos="840"/>
      </w:tabs>
      <w:adjustRightInd w:val="0"/>
      <w:spacing w:before="260" w:line="360" w:lineRule="auto"/>
      <w:ind w:firstLine="113"/>
    </w:pPr>
    <w:rPr>
      <w:rFonts w:ascii="宋体" w:hAnsi="宋体" w:eastAsia="宋体"/>
      <w:spacing w:val="20"/>
      <w:kern w:val="11"/>
      <w:sz w:val="28"/>
      <w:szCs w:val="20"/>
    </w:rPr>
  </w:style>
  <w:style w:type="paragraph" w:customStyle="1" w:styleId="658">
    <w:name w:val="样式 标题 2"/>
    <w:basedOn w:val="4"/>
    <w:link w:val="2738"/>
    <w:semiHidden/>
    <w:qFormat/>
    <w:uiPriority w:val="0"/>
    <w:pPr>
      <w:tabs>
        <w:tab w:val="clear" w:pos="480"/>
        <w:tab w:val="clear" w:pos="630"/>
      </w:tabs>
      <w:adjustRightInd w:val="0"/>
      <w:spacing w:before="163" w:beforeAutospacing="1" w:after="0" w:afterAutospacing="1"/>
    </w:pPr>
    <w:rPr>
      <w:rFonts w:ascii="仿宋_GB2312" w:hAnsi="宋体" w:eastAsia="仿宋_GB2312"/>
      <w:sz w:val="30"/>
      <w:szCs w:val="20"/>
      <w:lang w:val="en-US"/>
    </w:rPr>
  </w:style>
  <w:style w:type="character" w:customStyle="1" w:styleId="659">
    <w:name w:val="unnamed31"/>
    <w:semiHidden/>
    <w:qFormat/>
    <w:uiPriority w:val="0"/>
    <w:rPr>
      <w:color w:val="000000"/>
      <w:spacing w:val="345"/>
      <w:sz w:val="20"/>
      <w:szCs w:val="20"/>
      <w:u w:val="none"/>
    </w:rPr>
  </w:style>
  <w:style w:type="paragraph" w:customStyle="1" w:styleId="660">
    <w:name w:val="封面标准文稿编辑信息"/>
    <w:semiHidden/>
    <w:qFormat/>
    <w:uiPriority w:val="0"/>
    <w:pPr>
      <w:spacing w:before="180" w:line="180" w:lineRule="exact"/>
      <w:jc w:val="center"/>
    </w:pPr>
    <w:rPr>
      <w:rFonts w:ascii="宋体" w:hAnsi="Times New Roman" w:eastAsia="宋体" w:cs="Times New Roman"/>
      <w:kern w:val="2"/>
      <w:sz w:val="21"/>
      <w:szCs w:val="24"/>
      <w:lang w:val="en-US" w:eastAsia="zh-CN" w:bidi="ar-SA"/>
    </w:rPr>
  </w:style>
  <w:style w:type="paragraph" w:customStyle="1" w:styleId="661">
    <w:name w:val="样式 正文缩进 + 首行缩进:  2 字符"/>
    <w:basedOn w:val="21"/>
    <w:link w:val="3356"/>
    <w:qFormat/>
    <w:uiPriority w:val="0"/>
    <w:pPr>
      <w:tabs>
        <w:tab w:val="clear" w:pos="480"/>
      </w:tabs>
      <w:ind w:firstLine="480"/>
    </w:pPr>
    <w:rPr>
      <w:rFonts w:ascii="宋体" w:hAnsi="宋体"/>
      <w:kern w:val="0"/>
      <w:szCs w:val="20"/>
    </w:rPr>
  </w:style>
  <w:style w:type="paragraph" w:customStyle="1" w:styleId="662">
    <w:name w:val="样式 标题 2 + 段前: 0 磅 段后: 0 磅 行距: 单倍行距"/>
    <w:basedOn w:val="4"/>
    <w:semiHidden/>
    <w:qFormat/>
    <w:uiPriority w:val="0"/>
    <w:pPr>
      <w:keepNext w:val="0"/>
      <w:keepLines w:val="0"/>
      <w:tabs>
        <w:tab w:val="clear" w:pos="480"/>
        <w:tab w:val="clear" w:pos="630"/>
      </w:tabs>
      <w:adjustRightInd w:val="0"/>
      <w:spacing w:before="0" w:beforeAutospacing="1" w:after="0" w:afterAutospacing="1" w:line="500" w:lineRule="exact"/>
    </w:pPr>
    <w:rPr>
      <w:rFonts w:ascii="宋体" w:hAnsi="宋体" w:eastAsia="黑体"/>
      <w:sz w:val="28"/>
      <w:szCs w:val="24"/>
    </w:rPr>
  </w:style>
  <w:style w:type="paragraph" w:customStyle="1" w:styleId="663">
    <w:name w:val="Char Char Char Char Char Char Char Char"/>
    <w:basedOn w:val="1"/>
    <w:semiHidden/>
    <w:qFormat/>
    <w:uiPriority w:val="0"/>
    <w:pPr>
      <w:tabs>
        <w:tab w:val="clear" w:pos="480"/>
      </w:tabs>
      <w:spacing w:line="240" w:lineRule="auto"/>
    </w:pPr>
  </w:style>
  <w:style w:type="paragraph" w:customStyle="1" w:styleId="664">
    <w:name w:val="Char Char Char Char Char Char Char Char Char"/>
    <w:basedOn w:val="1"/>
    <w:qFormat/>
    <w:uiPriority w:val="0"/>
    <w:pPr>
      <w:tabs>
        <w:tab w:val="clear" w:pos="480"/>
      </w:tabs>
      <w:spacing w:line="240" w:lineRule="auto"/>
    </w:pPr>
  </w:style>
  <w:style w:type="paragraph" w:customStyle="1" w:styleId="665">
    <w:name w:val="Char Char Char Char Char Char Char Char Char Char Char1 Char"/>
    <w:basedOn w:val="1"/>
    <w:semiHidden/>
    <w:qFormat/>
    <w:uiPriority w:val="0"/>
    <w:pPr>
      <w:tabs>
        <w:tab w:val="clear" w:pos="480"/>
      </w:tabs>
      <w:spacing w:line="240" w:lineRule="auto"/>
    </w:pPr>
  </w:style>
  <w:style w:type="character" w:customStyle="1" w:styleId="666">
    <w:name w:val="列表编号 5 Char"/>
    <w:semiHidden/>
    <w:qFormat/>
    <w:uiPriority w:val="0"/>
    <w:rPr>
      <w:rFonts w:eastAsia="宋体"/>
      <w:kern w:val="2"/>
      <w:sz w:val="24"/>
      <w:szCs w:val="24"/>
      <w:lang w:val="en-US" w:eastAsia="zh-CN" w:bidi="ar-SA"/>
    </w:rPr>
  </w:style>
  <w:style w:type="paragraph" w:customStyle="1" w:styleId="667">
    <w:name w:val="Char Char1 Char"/>
    <w:basedOn w:val="1"/>
    <w:qFormat/>
    <w:uiPriority w:val="0"/>
    <w:pPr>
      <w:tabs>
        <w:tab w:val="clear" w:pos="480"/>
      </w:tabs>
      <w:spacing w:line="240" w:lineRule="auto"/>
    </w:pPr>
    <w:rPr>
      <w:sz w:val="21"/>
    </w:rPr>
  </w:style>
  <w:style w:type="character" w:customStyle="1" w:styleId="668">
    <w:name w:val="正文首行缩进 Char"/>
    <w:link w:val="669"/>
    <w:qFormat/>
    <w:uiPriority w:val="0"/>
    <w:rPr>
      <w:rFonts w:eastAsia="宋体"/>
      <w:kern w:val="2"/>
      <w:sz w:val="24"/>
      <w:szCs w:val="24"/>
      <w:lang w:val="en-US" w:eastAsia="zh-CN" w:bidi="ar-SA"/>
    </w:rPr>
  </w:style>
  <w:style w:type="paragraph" w:customStyle="1" w:styleId="669">
    <w:name w:val="正文首行缩进1"/>
    <w:basedOn w:val="2"/>
    <w:link w:val="668"/>
    <w:qFormat/>
    <w:uiPriority w:val="0"/>
    <w:pPr>
      <w:spacing w:after="120"/>
      <w:ind w:firstLine="420" w:firstLineChars="100"/>
    </w:pPr>
    <w:rPr>
      <w:rFonts w:ascii="Times New Roman" w:hAnsi="Times New Roman"/>
      <w:sz w:val="24"/>
      <w:szCs w:val="24"/>
    </w:rPr>
  </w:style>
  <w:style w:type="character" w:customStyle="1" w:styleId="670">
    <w:name w:val="正文样式1 Char"/>
    <w:link w:val="299"/>
    <w:qFormat/>
    <w:uiPriority w:val="0"/>
    <w:rPr>
      <w:rFonts w:eastAsia="宋体"/>
      <w:kern w:val="24"/>
      <w:sz w:val="24"/>
      <w:lang w:val="en-US" w:eastAsia="zh-CN" w:bidi="ar-SA"/>
    </w:rPr>
  </w:style>
  <w:style w:type="paragraph" w:customStyle="1" w:styleId="671">
    <w:name w:val="表尾"/>
    <w:basedOn w:val="1"/>
    <w:qFormat/>
    <w:uiPriority w:val="0"/>
    <w:pPr>
      <w:tabs>
        <w:tab w:val="left" w:pos="1021"/>
        <w:tab w:val="clear" w:pos="480"/>
      </w:tabs>
      <w:spacing w:line="160" w:lineRule="atLeast"/>
    </w:pPr>
    <w:rPr>
      <w:sz w:val="10"/>
    </w:rPr>
  </w:style>
  <w:style w:type="character" w:customStyle="1" w:styleId="672">
    <w:name w:val="段落 Char"/>
    <w:link w:val="557"/>
    <w:qFormat/>
    <w:uiPriority w:val="0"/>
    <w:rPr>
      <w:rFonts w:ascii="宋体" w:hAnsi="宋体" w:eastAsia="宋体"/>
      <w:color w:val="000000"/>
      <w:sz w:val="24"/>
      <w:szCs w:val="18"/>
      <w:lang w:val="en-US" w:eastAsia="zh-CN" w:bidi="ar-SA"/>
    </w:rPr>
  </w:style>
  <w:style w:type="paragraph" w:customStyle="1" w:styleId="673">
    <w:name w:val="Char Char1 Char Char Char Char Char Char Char2"/>
    <w:basedOn w:val="1"/>
    <w:semiHidden/>
    <w:qFormat/>
    <w:uiPriority w:val="0"/>
    <w:pPr>
      <w:tabs>
        <w:tab w:val="clear" w:pos="480"/>
      </w:tabs>
      <w:spacing w:line="240" w:lineRule="auto"/>
    </w:pPr>
    <w:rPr>
      <w:sz w:val="21"/>
    </w:rPr>
  </w:style>
  <w:style w:type="paragraph" w:customStyle="1" w:styleId="674">
    <w:name w:val="表格正文 Char"/>
    <w:basedOn w:val="1"/>
    <w:next w:val="1"/>
    <w:semiHidden/>
    <w:qFormat/>
    <w:uiPriority w:val="0"/>
    <w:pPr>
      <w:tabs>
        <w:tab w:val="clear" w:pos="480"/>
      </w:tabs>
      <w:adjustRightInd w:val="0"/>
      <w:snapToGrid w:val="0"/>
      <w:spacing w:line="240" w:lineRule="auto"/>
      <w:ind w:firstLine="476"/>
      <w:jc w:val="center"/>
      <w:textAlignment w:val="baseline"/>
    </w:pPr>
    <w:rPr>
      <w:rFonts w:ascii="宋体"/>
      <w:snapToGrid w:val="0"/>
      <w:spacing w:val="4"/>
      <w:w w:val="90"/>
      <w:kern w:val="0"/>
    </w:rPr>
  </w:style>
  <w:style w:type="paragraph" w:customStyle="1" w:styleId="675">
    <w:name w:val="xl22"/>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676">
    <w:name w:val="项目名称"/>
    <w:basedOn w:val="1"/>
    <w:semiHidden/>
    <w:qFormat/>
    <w:uiPriority w:val="0"/>
    <w:pPr>
      <w:tabs>
        <w:tab w:val="clear" w:pos="480"/>
      </w:tabs>
      <w:adjustRightInd w:val="0"/>
      <w:jc w:val="center"/>
      <w:textAlignment w:val="baseline"/>
    </w:pPr>
    <w:rPr>
      <w:rFonts w:ascii="黑体" w:hAnsi="宋体" w:eastAsia="黑体"/>
      <w:b/>
      <w:bCs/>
      <w:color w:val="000000"/>
      <w:sz w:val="32"/>
      <w:szCs w:val="32"/>
    </w:rPr>
  </w:style>
  <w:style w:type="paragraph" w:customStyle="1" w:styleId="677">
    <w:name w:val="【表格文字】"/>
    <w:basedOn w:val="1"/>
    <w:next w:val="1"/>
    <w:semiHidden/>
    <w:qFormat/>
    <w:uiPriority w:val="0"/>
    <w:pPr>
      <w:tabs>
        <w:tab w:val="clear" w:pos="480"/>
      </w:tabs>
      <w:spacing w:line="320" w:lineRule="atLeast"/>
      <w:jc w:val="center"/>
    </w:pPr>
    <w:rPr>
      <w:sz w:val="21"/>
    </w:rPr>
  </w:style>
  <w:style w:type="character" w:customStyle="1" w:styleId="678">
    <w:name w:val="titlel2black_bold1"/>
    <w:semiHidden/>
    <w:qFormat/>
    <w:uiPriority w:val="0"/>
    <w:rPr>
      <w:b/>
      <w:bCs/>
      <w:color w:val="000000"/>
      <w:sz w:val="21"/>
      <w:szCs w:val="21"/>
    </w:rPr>
  </w:style>
  <w:style w:type="character" w:customStyle="1" w:styleId="679">
    <w:name w:val="hottext1"/>
    <w:basedOn w:val="133"/>
    <w:semiHidden/>
    <w:qFormat/>
    <w:uiPriority w:val="0"/>
  </w:style>
  <w:style w:type="paragraph" w:customStyle="1" w:styleId="680">
    <w:name w:val="Char6"/>
    <w:basedOn w:val="1"/>
    <w:semiHidden/>
    <w:qFormat/>
    <w:uiPriority w:val="0"/>
    <w:pPr>
      <w:tabs>
        <w:tab w:val="clear" w:pos="480"/>
      </w:tabs>
      <w:spacing w:line="240" w:lineRule="auto"/>
    </w:pPr>
    <w:rPr>
      <w:sz w:val="21"/>
    </w:rPr>
  </w:style>
  <w:style w:type="paragraph" w:customStyle="1" w:styleId="681">
    <w:name w:val="样式 标题 4Subsection标题 14 + Times New Roman 黑色1"/>
    <w:basedOn w:val="6"/>
    <w:semiHidden/>
    <w:qFormat/>
    <w:uiPriority w:val="0"/>
    <w:pPr>
      <w:numPr>
        <w:ilvl w:val="0"/>
        <w:numId w:val="0"/>
      </w:numPr>
      <w:tabs>
        <w:tab w:val="clear" w:pos="480"/>
      </w:tabs>
      <w:spacing w:before="0" w:after="0"/>
    </w:pPr>
    <w:rPr>
      <w:rFonts w:ascii="Times New Roman" w:hAnsi="Times New Roman" w:eastAsia="宋体"/>
      <w:b w:val="0"/>
      <w:bCs w:val="0"/>
      <w:color w:val="000000"/>
      <w:sz w:val="24"/>
      <w:szCs w:val="20"/>
    </w:rPr>
  </w:style>
  <w:style w:type="paragraph" w:customStyle="1" w:styleId="682">
    <w:name w:val="8 Char"/>
    <w:basedOn w:val="1"/>
    <w:link w:val="2433"/>
    <w:semiHidden/>
    <w:qFormat/>
    <w:uiPriority w:val="0"/>
    <w:pPr>
      <w:tabs>
        <w:tab w:val="clear" w:pos="480"/>
      </w:tabs>
      <w:spacing w:line="240" w:lineRule="auto"/>
    </w:pPr>
    <w:rPr>
      <w:rFonts w:ascii="Tahoma" w:hAnsi="Tahoma"/>
      <w:szCs w:val="20"/>
    </w:rPr>
  </w:style>
  <w:style w:type="paragraph" w:customStyle="1" w:styleId="683">
    <w:name w:val="Char Char Char Char Char Char1 Char Char Char Char Char Char Char"/>
    <w:basedOn w:val="1"/>
    <w:semiHidden/>
    <w:qFormat/>
    <w:uiPriority w:val="0"/>
    <w:pPr>
      <w:tabs>
        <w:tab w:val="clear" w:pos="480"/>
      </w:tabs>
    </w:pPr>
    <w:rPr>
      <w:rFonts w:ascii="宋体" w:hAnsi="宋体" w:cs="宋体"/>
    </w:rPr>
  </w:style>
  <w:style w:type="character" w:customStyle="1" w:styleId="684">
    <w:name w:val="题注 Char Char"/>
    <w:semiHidden/>
    <w:qFormat/>
    <w:uiPriority w:val="0"/>
    <w:rPr>
      <w:rFonts w:ascii="仿宋_GB2312" w:hAnsi="宋体" w:eastAsia="仿宋_GB2312" w:cs="仿宋_GB2312"/>
      <w:b/>
      <w:bCs/>
      <w:kern w:val="2"/>
      <w:sz w:val="21"/>
      <w:szCs w:val="21"/>
      <w:lang w:val="en-US" w:eastAsia="zh-CN" w:bidi="ar-SA"/>
    </w:rPr>
  </w:style>
  <w:style w:type="character" w:customStyle="1" w:styleId="685">
    <w:name w:val="m_61"/>
    <w:semiHidden/>
    <w:qFormat/>
    <w:uiPriority w:val="0"/>
    <w:rPr>
      <w:rFonts w:hint="default" w:ascii="Arial" w:hAnsi="Arial" w:cs="Arial"/>
      <w:color w:val="000000"/>
      <w:sz w:val="21"/>
      <w:szCs w:val="21"/>
    </w:rPr>
  </w:style>
  <w:style w:type="character" w:customStyle="1" w:styleId="686">
    <w:name w:val="ca-61"/>
    <w:semiHidden/>
    <w:qFormat/>
    <w:uiPriority w:val="0"/>
    <w:rPr>
      <w:rFonts w:hint="eastAsia" w:ascii="宋体" w:hAnsi="宋体" w:eastAsia="宋体"/>
      <w:sz w:val="18"/>
    </w:rPr>
  </w:style>
  <w:style w:type="character" w:customStyle="1" w:styleId="687">
    <w:name w:val="样式 正文2 + Char"/>
    <w:link w:val="688"/>
    <w:qFormat/>
    <w:uiPriority w:val="0"/>
    <w:rPr>
      <w:rFonts w:hAnsi="宋体" w:eastAsia="宋体"/>
      <w:sz w:val="28"/>
      <w:szCs w:val="28"/>
      <w:lang w:val="en-US" w:eastAsia="zh-CN" w:bidi="ar-SA"/>
    </w:rPr>
  </w:style>
  <w:style w:type="paragraph" w:customStyle="1" w:styleId="688">
    <w:name w:val="样式 正文2 +"/>
    <w:basedOn w:val="21"/>
    <w:link w:val="687"/>
    <w:semiHidden/>
    <w:qFormat/>
    <w:uiPriority w:val="0"/>
    <w:pPr>
      <w:tabs>
        <w:tab w:val="left" w:pos="5366"/>
        <w:tab w:val="clear" w:pos="480"/>
      </w:tabs>
      <w:spacing w:line="240" w:lineRule="auto"/>
      <w:ind w:firstLine="0"/>
    </w:pPr>
    <w:rPr>
      <w:rFonts w:hAnsi="宋体"/>
      <w:kern w:val="0"/>
      <w:sz w:val="28"/>
      <w:szCs w:val="28"/>
    </w:rPr>
  </w:style>
  <w:style w:type="character" w:customStyle="1" w:styleId="689">
    <w:name w:val="m_01"/>
    <w:semiHidden/>
    <w:qFormat/>
    <w:uiPriority w:val="0"/>
    <w:rPr>
      <w:rFonts w:hint="default" w:ascii="Arial" w:hAnsi="Arial" w:cs="Arial"/>
      <w:color w:val="000000"/>
      <w:sz w:val="21"/>
      <w:szCs w:val="21"/>
    </w:rPr>
  </w:style>
  <w:style w:type="character" w:customStyle="1" w:styleId="690">
    <w:name w:val="red1"/>
    <w:qFormat/>
    <w:uiPriority w:val="0"/>
    <w:rPr>
      <w:color w:val="FF3300"/>
    </w:rPr>
  </w:style>
  <w:style w:type="character" w:customStyle="1" w:styleId="691">
    <w:name w:val="large"/>
    <w:basedOn w:val="133"/>
    <w:semiHidden/>
    <w:qFormat/>
    <w:uiPriority w:val="0"/>
  </w:style>
  <w:style w:type="character" w:customStyle="1" w:styleId="692">
    <w:name w:val="m_151"/>
    <w:semiHidden/>
    <w:qFormat/>
    <w:uiPriority w:val="0"/>
    <w:rPr>
      <w:rFonts w:hint="default" w:ascii="Arial" w:hAnsi="Arial" w:cs="Arial"/>
      <w:color w:val="000000"/>
      <w:sz w:val="21"/>
      <w:szCs w:val="21"/>
    </w:rPr>
  </w:style>
  <w:style w:type="character" w:customStyle="1" w:styleId="693">
    <w:name w:val="m_81"/>
    <w:semiHidden/>
    <w:qFormat/>
    <w:uiPriority w:val="0"/>
    <w:rPr>
      <w:rFonts w:hint="default" w:ascii="Arial" w:hAnsi="Arial" w:cs="Arial"/>
      <w:color w:val="000000"/>
      <w:sz w:val="21"/>
      <w:szCs w:val="21"/>
    </w:rPr>
  </w:style>
  <w:style w:type="character" w:customStyle="1" w:styleId="694">
    <w:name w:val="title1"/>
    <w:qFormat/>
    <w:uiPriority w:val="0"/>
    <w:rPr>
      <w:b/>
      <w:bCs/>
      <w:color w:val="333333"/>
      <w:sz w:val="18"/>
      <w:szCs w:val="18"/>
      <w:u w:val="none"/>
    </w:rPr>
  </w:style>
  <w:style w:type="character" w:customStyle="1" w:styleId="695">
    <w:name w:val="标题 1 字符"/>
    <w:link w:val="3"/>
    <w:qFormat/>
    <w:uiPriority w:val="0"/>
    <w:rPr>
      <w:rFonts w:ascii="仿宋_GB2312" w:eastAsia="仿宋_GB2312"/>
      <w:b/>
      <w:bCs/>
      <w:kern w:val="44"/>
      <w:sz w:val="36"/>
      <w:szCs w:val="44"/>
      <w:lang w:val="zh-CN"/>
    </w:rPr>
  </w:style>
  <w:style w:type="character" w:customStyle="1" w:styleId="696">
    <w:name w:val="样式 四号 黑色 Char"/>
    <w:link w:val="697"/>
    <w:qFormat/>
    <w:uiPriority w:val="0"/>
    <w:rPr>
      <w:rFonts w:eastAsia="宋体" w:cs="宋体"/>
      <w:color w:val="000000"/>
      <w:sz w:val="28"/>
      <w:lang w:val="en-US" w:eastAsia="zh-CN" w:bidi="ar-SA"/>
    </w:rPr>
  </w:style>
  <w:style w:type="paragraph" w:customStyle="1" w:styleId="697">
    <w:name w:val="样式 四号 黑色"/>
    <w:basedOn w:val="1"/>
    <w:link w:val="696"/>
    <w:semiHidden/>
    <w:qFormat/>
    <w:uiPriority w:val="0"/>
    <w:pPr>
      <w:tabs>
        <w:tab w:val="clear" w:pos="480"/>
      </w:tabs>
      <w:spacing w:line="240" w:lineRule="auto"/>
    </w:pPr>
    <w:rPr>
      <w:rFonts w:cs="宋体"/>
      <w:color w:val="000000"/>
      <w:kern w:val="0"/>
      <w:sz w:val="28"/>
      <w:szCs w:val="20"/>
    </w:rPr>
  </w:style>
  <w:style w:type="character" w:customStyle="1" w:styleId="698">
    <w:name w:val="m_331"/>
    <w:semiHidden/>
    <w:qFormat/>
    <w:uiPriority w:val="0"/>
    <w:rPr>
      <w:rFonts w:hint="default" w:ascii="Arial" w:hAnsi="Arial" w:cs="Arial"/>
      <w:color w:val="000000"/>
      <w:sz w:val="21"/>
      <w:szCs w:val="21"/>
    </w:rPr>
  </w:style>
  <w:style w:type="paragraph" w:customStyle="1" w:styleId="699">
    <w:name w:val="哈哈正文"/>
    <w:basedOn w:val="1"/>
    <w:link w:val="760"/>
    <w:semiHidden/>
    <w:qFormat/>
    <w:uiPriority w:val="0"/>
    <w:rPr>
      <w:rFonts w:ascii="宋体" w:hAnsi="宋体"/>
    </w:rPr>
  </w:style>
  <w:style w:type="character" w:customStyle="1" w:styleId="700">
    <w:name w:val="f12 gray"/>
    <w:basedOn w:val="133"/>
    <w:semiHidden/>
    <w:qFormat/>
    <w:uiPriority w:val="0"/>
  </w:style>
  <w:style w:type="character" w:customStyle="1" w:styleId="701">
    <w:name w:val="样式 首行缩进:  2 字符 Char Char Char Char Char"/>
    <w:link w:val="702"/>
    <w:qFormat/>
    <w:uiPriority w:val="0"/>
    <w:rPr>
      <w:rFonts w:eastAsia="仿宋_GB2312" w:cs="宋体"/>
      <w:kern w:val="2"/>
      <w:sz w:val="24"/>
      <w:lang w:val="en-US" w:eastAsia="zh-CN" w:bidi="ar-SA"/>
    </w:rPr>
  </w:style>
  <w:style w:type="paragraph" w:customStyle="1" w:styleId="702">
    <w:name w:val="样式 首行缩进:  2 字符 Char Char Char Char"/>
    <w:basedOn w:val="1"/>
    <w:link w:val="701"/>
    <w:semiHidden/>
    <w:qFormat/>
    <w:uiPriority w:val="0"/>
    <w:pPr>
      <w:tabs>
        <w:tab w:val="clear" w:pos="480"/>
      </w:tabs>
      <w:ind w:firstLine="420"/>
    </w:pPr>
    <w:rPr>
      <w:rFonts w:eastAsia="仿宋_GB2312" w:cs="宋体"/>
      <w:szCs w:val="20"/>
    </w:rPr>
  </w:style>
  <w:style w:type="character" w:customStyle="1" w:styleId="703">
    <w:name w:val="样式 生物质发电正文 + Times New Roman 加粗 首行缩进:  2 字符 Char"/>
    <w:link w:val="704"/>
    <w:qFormat/>
    <w:uiPriority w:val="0"/>
    <w:rPr>
      <w:rFonts w:eastAsia="宋体" w:cs="宋体"/>
      <w:bCs/>
      <w:sz w:val="24"/>
      <w:lang w:val="en-US" w:eastAsia="zh-CN" w:bidi="ar-SA"/>
    </w:rPr>
  </w:style>
  <w:style w:type="paragraph" w:customStyle="1" w:styleId="704">
    <w:name w:val="样式 生物质发电正文 + Times New Roman 加粗 首行缩进:  2 字符"/>
    <w:basedOn w:val="1"/>
    <w:link w:val="703"/>
    <w:semiHidden/>
    <w:qFormat/>
    <w:uiPriority w:val="0"/>
    <w:pPr>
      <w:widowControl/>
      <w:tabs>
        <w:tab w:val="clear" w:pos="480"/>
      </w:tabs>
      <w:suppressAutoHyphens/>
      <w:adjustRightInd w:val="0"/>
      <w:snapToGrid w:val="0"/>
      <w:spacing w:line="324" w:lineRule="auto"/>
      <w:ind w:firstLine="482"/>
      <w:textAlignment w:val="baseline"/>
    </w:pPr>
    <w:rPr>
      <w:rFonts w:cs="宋体"/>
      <w:bCs/>
      <w:kern w:val="0"/>
      <w:szCs w:val="20"/>
    </w:rPr>
  </w:style>
  <w:style w:type="character" w:customStyle="1" w:styleId="705">
    <w:name w:val="apple-style-span"/>
    <w:basedOn w:val="133"/>
    <w:qFormat/>
    <w:uiPriority w:val="0"/>
  </w:style>
  <w:style w:type="character" w:customStyle="1" w:styleId="706">
    <w:name w:val="text11"/>
    <w:basedOn w:val="133"/>
    <w:semiHidden/>
    <w:qFormat/>
    <w:uiPriority w:val="0"/>
  </w:style>
  <w:style w:type="character" w:customStyle="1" w:styleId="707">
    <w:name w:val="正文样式 Char"/>
    <w:semiHidden/>
    <w:qFormat/>
    <w:uiPriority w:val="0"/>
    <w:rPr>
      <w:rFonts w:eastAsia="宋体"/>
      <w:snapToGrid w:val="0"/>
      <w:sz w:val="24"/>
      <w:szCs w:val="24"/>
      <w:lang w:val="en-US" w:eastAsia="zh-CN" w:bidi="ar-SA"/>
    </w:rPr>
  </w:style>
  <w:style w:type="character" w:customStyle="1" w:styleId="708">
    <w:name w:val="生物质发电正文 Char"/>
    <w:link w:val="709"/>
    <w:qFormat/>
    <w:uiPriority w:val="0"/>
    <w:rPr>
      <w:rFonts w:ascii="宋体" w:hAnsi="宋体" w:eastAsia="宋体"/>
      <w:sz w:val="24"/>
      <w:lang w:val="en-US" w:eastAsia="zh-CN" w:bidi="ar-SA"/>
    </w:rPr>
  </w:style>
  <w:style w:type="paragraph" w:customStyle="1" w:styleId="709">
    <w:name w:val="生物质发电正文"/>
    <w:basedOn w:val="1"/>
    <w:link w:val="708"/>
    <w:qFormat/>
    <w:uiPriority w:val="0"/>
    <w:pPr>
      <w:widowControl/>
      <w:tabs>
        <w:tab w:val="clear" w:pos="480"/>
      </w:tabs>
      <w:suppressAutoHyphens/>
      <w:adjustRightInd w:val="0"/>
      <w:snapToGrid w:val="0"/>
      <w:spacing w:line="324" w:lineRule="auto"/>
      <w:textAlignment w:val="baseline"/>
    </w:pPr>
    <w:rPr>
      <w:rFonts w:ascii="宋体" w:hAnsi="宋体"/>
      <w:kern w:val="0"/>
      <w:szCs w:val="20"/>
    </w:rPr>
  </w:style>
  <w:style w:type="character" w:customStyle="1" w:styleId="710">
    <w:name w:val="m_341"/>
    <w:semiHidden/>
    <w:qFormat/>
    <w:uiPriority w:val="0"/>
    <w:rPr>
      <w:rFonts w:hint="default" w:ascii="Arial" w:hAnsi="Arial" w:cs="Arial"/>
      <w:color w:val="000000"/>
      <w:sz w:val="21"/>
      <w:szCs w:val="21"/>
    </w:rPr>
  </w:style>
  <w:style w:type="character" w:customStyle="1" w:styleId="711">
    <w:name w:val="gray1"/>
    <w:semiHidden/>
    <w:qFormat/>
    <w:uiPriority w:val="0"/>
    <w:rPr>
      <w:color w:val="666666"/>
    </w:rPr>
  </w:style>
  <w:style w:type="character" w:customStyle="1" w:styleId="712">
    <w:name w:val="表名 Char"/>
    <w:qFormat/>
    <w:uiPriority w:val="0"/>
    <w:rPr>
      <w:rFonts w:eastAsia="黑体"/>
      <w:sz w:val="24"/>
      <w:lang w:val="en-US" w:eastAsia="zh-CN"/>
    </w:rPr>
  </w:style>
  <w:style w:type="paragraph" w:customStyle="1" w:styleId="713">
    <w:name w:val="样式 正文首行缩进 2 + 小四 首行缩进:  2 字符"/>
    <w:basedOn w:val="1"/>
    <w:semiHidden/>
    <w:qFormat/>
    <w:uiPriority w:val="0"/>
    <w:pPr>
      <w:tabs>
        <w:tab w:val="left" w:pos="0"/>
        <w:tab w:val="left" w:pos="1800"/>
        <w:tab w:val="clear" w:pos="480"/>
      </w:tabs>
      <w:jc w:val="center"/>
    </w:pPr>
    <w:rPr>
      <w:b/>
      <w:color w:val="000000"/>
    </w:rPr>
  </w:style>
  <w:style w:type="paragraph" w:customStyle="1" w:styleId="714">
    <w:name w:val="bg"/>
    <w:basedOn w:val="1"/>
    <w:semiHidden/>
    <w:qFormat/>
    <w:uiPriority w:val="0"/>
    <w:pPr>
      <w:widowControl/>
      <w:tabs>
        <w:tab w:val="clear" w:pos="480"/>
      </w:tabs>
      <w:spacing w:line="240" w:lineRule="auto"/>
    </w:pPr>
    <w:rPr>
      <w:kern w:val="0"/>
    </w:rPr>
  </w:style>
  <w:style w:type="paragraph" w:customStyle="1" w:styleId="715">
    <w:name w:val="表标题（自定义）"/>
    <w:semiHidden/>
    <w:qFormat/>
    <w:uiPriority w:val="0"/>
    <w:pPr>
      <w:spacing w:line="360" w:lineRule="auto"/>
      <w:ind w:firstLine="482"/>
      <w:jc w:val="center"/>
    </w:pPr>
    <w:rPr>
      <w:rFonts w:ascii="Times New Roman" w:hAnsi="Times New Roman" w:eastAsia="宋体" w:cs="Times New Roman"/>
      <w:b/>
      <w:color w:val="000000"/>
      <w:kern w:val="2"/>
      <w:sz w:val="24"/>
      <w:szCs w:val="24"/>
      <w:lang w:val="en-US" w:eastAsia="zh-CN" w:bidi="ar-SA"/>
    </w:rPr>
  </w:style>
  <w:style w:type="paragraph" w:customStyle="1" w:styleId="716">
    <w:name w:val="Char Char Char Char Char Char3"/>
    <w:basedOn w:val="1"/>
    <w:semiHidden/>
    <w:qFormat/>
    <w:uiPriority w:val="0"/>
    <w:pPr>
      <w:tabs>
        <w:tab w:val="clear" w:pos="480"/>
      </w:tabs>
      <w:spacing w:line="240" w:lineRule="auto"/>
    </w:pPr>
    <w:rPr>
      <w:sz w:val="21"/>
    </w:rPr>
  </w:style>
  <w:style w:type="paragraph" w:customStyle="1" w:styleId="717">
    <w:name w:val="Char Char Char Char Char Char Char Char Char Char Char Char1 Char Char Char Char"/>
    <w:basedOn w:val="1"/>
    <w:semiHidden/>
    <w:qFormat/>
    <w:uiPriority w:val="0"/>
    <w:pPr>
      <w:tabs>
        <w:tab w:val="clear" w:pos="480"/>
      </w:tabs>
    </w:pPr>
    <w:rPr>
      <w:rFonts w:ascii="宋体" w:hAnsi="宋体" w:cs="宋体"/>
    </w:rPr>
  </w:style>
  <w:style w:type="paragraph" w:customStyle="1" w:styleId="718">
    <w:name w:val="表体"/>
    <w:basedOn w:val="1"/>
    <w:semiHidden/>
    <w:qFormat/>
    <w:uiPriority w:val="0"/>
    <w:pPr>
      <w:tabs>
        <w:tab w:val="clear" w:pos="480"/>
      </w:tabs>
      <w:spacing w:line="240" w:lineRule="auto"/>
      <w:jc w:val="center"/>
    </w:pPr>
    <w:rPr>
      <w:sz w:val="21"/>
      <w:szCs w:val="21"/>
    </w:rPr>
  </w:style>
  <w:style w:type="paragraph" w:customStyle="1" w:styleId="719">
    <w:name w:val="样式 正文文本 + 首行缩进:  2 字符"/>
    <w:basedOn w:val="2"/>
    <w:semiHidden/>
    <w:qFormat/>
    <w:uiPriority w:val="0"/>
    <w:pPr>
      <w:spacing w:line="360" w:lineRule="auto"/>
    </w:pPr>
    <w:rPr>
      <w:rFonts w:ascii="Times New Roman" w:hAnsi="Times New Roman"/>
      <w:color w:val="000000"/>
      <w:kern w:val="0"/>
      <w:sz w:val="28"/>
      <w:szCs w:val="28"/>
    </w:rPr>
  </w:style>
  <w:style w:type="paragraph" w:customStyle="1" w:styleId="720">
    <w:name w:val="填表内容"/>
    <w:basedOn w:val="1"/>
    <w:semiHidden/>
    <w:qFormat/>
    <w:uiPriority w:val="0"/>
    <w:pPr>
      <w:tabs>
        <w:tab w:val="clear" w:pos="480"/>
      </w:tabs>
      <w:adjustRightInd w:val="0"/>
      <w:spacing w:line="480" w:lineRule="exact"/>
      <w:ind w:firstLine="560"/>
      <w:jc w:val="left"/>
      <w:textAlignment w:val="baseline"/>
    </w:pPr>
    <w:rPr>
      <w:rFonts w:ascii="楷体_GB2312" w:eastAsia="楷体_GB2312"/>
      <w:sz w:val="28"/>
      <w:szCs w:val="20"/>
    </w:rPr>
  </w:style>
  <w:style w:type="paragraph" w:customStyle="1" w:styleId="721">
    <w:name w:val="报告 Char"/>
    <w:basedOn w:val="1"/>
    <w:semiHidden/>
    <w:qFormat/>
    <w:uiPriority w:val="0"/>
    <w:pPr>
      <w:tabs>
        <w:tab w:val="clear" w:pos="480"/>
      </w:tabs>
      <w:adjustRightInd w:val="0"/>
      <w:ind w:firstLine="505"/>
      <w:textAlignment w:val="baseline"/>
    </w:pPr>
  </w:style>
  <w:style w:type="paragraph" w:customStyle="1" w:styleId="722">
    <w:name w:val="中文报告书"/>
    <w:basedOn w:val="1"/>
    <w:semiHidden/>
    <w:qFormat/>
    <w:uiPriority w:val="0"/>
    <w:pPr>
      <w:tabs>
        <w:tab w:val="clear" w:pos="480"/>
      </w:tabs>
      <w:adjustRightInd w:val="0"/>
      <w:spacing w:after="80" w:line="420" w:lineRule="atLeast"/>
      <w:jc w:val="left"/>
      <w:textAlignment w:val="baseline"/>
    </w:pPr>
    <w:rPr>
      <w:kern w:val="0"/>
      <w:szCs w:val="20"/>
    </w:rPr>
  </w:style>
  <w:style w:type="paragraph" w:customStyle="1" w:styleId="723">
    <w:name w:val="报告"/>
    <w:basedOn w:val="1"/>
    <w:link w:val="2730"/>
    <w:qFormat/>
    <w:uiPriority w:val="0"/>
    <w:pPr>
      <w:tabs>
        <w:tab w:val="clear" w:pos="480"/>
      </w:tabs>
      <w:overflowPunct w:val="0"/>
      <w:autoSpaceDE w:val="0"/>
      <w:autoSpaceDN w:val="0"/>
      <w:adjustRightInd w:val="0"/>
      <w:spacing w:beforeLines="30" w:afterLines="30" w:line="400" w:lineRule="atLeast"/>
      <w:ind w:left="200" w:leftChars="200"/>
      <w:textAlignment w:val="baseline"/>
    </w:pPr>
    <w:rPr>
      <w:kern w:val="0"/>
      <w:szCs w:val="20"/>
    </w:rPr>
  </w:style>
  <w:style w:type="paragraph" w:customStyle="1" w:styleId="724">
    <w:name w:val="sw_one"/>
    <w:basedOn w:val="1"/>
    <w:semiHidden/>
    <w:qFormat/>
    <w:uiPriority w:val="0"/>
    <w:pPr>
      <w:widowControl/>
      <w:tabs>
        <w:tab w:val="clear" w:pos="480"/>
      </w:tabs>
      <w:spacing w:before="100" w:beforeAutospacing="1" w:after="100" w:afterAutospacing="1" w:line="240" w:lineRule="auto"/>
      <w:ind w:firstLine="573"/>
      <w:jc w:val="left"/>
    </w:pPr>
    <w:rPr>
      <w:rFonts w:ascii="Arial Unicode MS" w:hAnsi="Arial Unicode MS" w:cs="Arial Unicode MS"/>
      <w:kern w:val="0"/>
    </w:rPr>
  </w:style>
  <w:style w:type="paragraph" w:customStyle="1" w:styleId="725">
    <w:name w:val="电镀表"/>
    <w:basedOn w:val="160"/>
    <w:link w:val="1304"/>
    <w:semiHidden/>
    <w:qFormat/>
    <w:uiPriority w:val="0"/>
    <w:pPr>
      <w:spacing w:line="0" w:lineRule="atLeast"/>
      <w:jc w:val="right"/>
    </w:pPr>
    <w:rPr>
      <w:rFonts w:eastAsia="宋体"/>
      <w:sz w:val="21"/>
      <w:szCs w:val="21"/>
    </w:rPr>
  </w:style>
  <w:style w:type="paragraph" w:customStyle="1" w:styleId="726">
    <w:name w:val="样式 宋体 行距: 1.5 倍行距"/>
    <w:basedOn w:val="1"/>
    <w:semiHidden/>
    <w:qFormat/>
    <w:uiPriority w:val="0"/>
    <w:pPr>
      <w:tabs>
        <w:tab w:val="clear" w:pos="480"/>
      </w:tabs>
      <w:snapToGrid w:val="0"/>
      <w:spacing w:line="240" w:lineRule="auto"/>
    </w:pPr>
    <w:rPr>
      <w:rFonts w:ascii="宋体" w:hAnsi="宋体"/>
      <w:sz w:val="21"/>
      <w:szCs w:val="20"/>
    </w:rPr>
  </w:style>
  <w:style w:type="paragraph" w:customStyle="1" w:styleId="727">
    <w:name w:val="Char Char Char1 Char Char Char Char Char Char Char Char Char Char Char Char Char Char Char Char"/>
    <w:basedOn w:val="1"/>
    <w:qFormat/>
    <w:uiPriority w:val="0"/>
    <w:pPr>
      <w:tabs>
        <w:tab w:val="clear" w:pos="480"/>
      </w:tabs>
      <w:spacing w:line="240" w:lineRule="auto"/>
    </w:pPr>
    <w:rPr>
      <w:sz w:val="21"/>
    </w:rPr>
  </w:style>
  <w:style w:type="paragraph" w:customStyle="1" w:styleId="728">
    <w:name w:val="cactus"/>
    <w:semiHidden/>
    <w:qFormat/>
    <w:uiPriority w:val="0"/>
    <w:pPr>
      <w:tabs>
        <w:tab w:val="left" w:pos="870"/>
        <w:tab w:val="left" w:pos="900"/>
      </w:tabs>
      <w:snapToGrid w:val="0"/>
      <w:spacing w:line="360" w:lineRule="auto"/>
      <w:ind w:left="900" w:hanging="180"/>
      <w:jc w:val="center"/>
    </w:pPr>
    <w:rPr>
      <w:rFonts w:ascii="Times New Roman" w:hAnsi="Times New Roman" w:eastAsia="宋体" w:cs="Times New Roman"/>
      <w:kern w:val="2"/>
      <w:sz w:val="24"/>
      <w:szCs w:val="24"/>
      <w:lang w:val="en-US" w:eastAsia="zh-CN" w:bidi="ar-SA"/>
    </w:rPr>
  </w:style>
  <w:style w:type="paragraph" w:customStyle="1" w:styleId="729">
    <w:name w:val="湛江沥青表"/>
    <w:basedOn w:val="1"/>
    <w:semiHidden/>
    <w:qFormat/>
    <w:uiPriority w:val="0"/>
    <w:pPr>
      <w:tabs>
        <w:tab w:val="clear" w:pos="480"/>
      </w:tabs>
      <w:spacing w:line="240" w:lineRule="auto"/>
      <w:jc w:val="center"/>
    </w:pPr>
    <w:rPr>
      <w:color w:val="000000"/>
      <w:sz w:val="21"/>
      <w:szCs w:val="20"/>
    </w:rPr>
  </w:style>
  <w:style w:type="paragraph" w:customStyle="1" w:styleId="730">
    <w:name w:val="Char1"/>
    <w:basedOn w:val="1"/>
    <w:qFormat/>
    <w:uiPriority w:val="0"/>
    <w:pPr>
      <w:tabs>
        <w:tab w:val="clear" w:pos="480"/>
      </w:tabs>
      <w:snapToGrid w:val="0"/>
      <w:ind w:firstLine="529"/>
    </w:pPr>
    <w:rPr>
      <w:sz w:val="21"/>
      <w:szCs w:val="20"/>
    </w:rPr>
  </w:style>
  <w:style w:type="paragraph" w:customStyle="1" w:styleId="731">
    <w:name w:val="表格内容居中"/>
    <w:semiHidden/>
    <w:qFormat/>
    <w:uiPriority w:val="0"/>
    <w:pPr>
      <w:adjustRightInd w:val="0"/>
      <w:snapToGrid w:val="0"/>
      <w:jc w:val="center"/>
    </w:pPr>
    <w:rPr>
      <w:rFonts w:ascii="Times New Roman" w:hAnsi="Times New Roman" w:eastAsia="宋体" w:cs="Times New Roman"/>
      <w:snapToGrid w:val="0"/>
      <w:kern w:val="2"/>
      <w:sz w:val="21"/>
      <w:szCs w:val="21"/>
      <w:lang w:val="en-US" w:eastAsia="zh-CN" w:bidi="ar-SA"/>
    </w:rPr>
  </w:style>
  <w:style w:type="paragraph" w:customStyle="1" w:styleId="732">
    <w:name w:val="默认段落字体 Para Char"/>
    <w:basedOn w:val="1"/>
    <w:next w:val="1"/>
    <w:qFormat/>
    <w:uiPriority w:val="0"/>
    <w:pPr>
      <w:tabs>
        <w:tab w:val="clear" w:pos="480"/>
      </w:tabs>
    </w:pPr>
    <w:rPr>
      <w:rFonts w:ascii="宋体" w:hAnsi="宋体" w:cs="宋体"/>
    </w:rPr>
  </w:style>
  <w:style w:type="paragraph" w:customStyle="1" w:styleId="733">
    <w:name w:val="样式-方格突出"/>
    <w:basedOn w:val="1"/>
    <w:semiHidden/>
    <w:qFormat/>
    <w:uiPriority w:val="0"/>
    <w:pPr>
      <w:widowControl/>
      <w:tabs>
        <w:tab w:val="left" w:pos="851"/>
        <w:tab w:val="clear" w:pos="480"/>
      </w:tabs>
      <w:ind w:left="805" w:hanging="323"/>
      <w:jc w:val="left"/>
    </w:pPr>
  </w:style>
  <w:style w:type="paragraph" w:customStyle="1" w:styleId="734">
    <w:name w:val="Char Char Char Char Char Char1 Char Char Char1 Char Char Char1 Char Char Char Char Char Char Char Char Char Char3"/>
    <w:basedOn w:val="1"/>
    <w:next w:val="1"/>
    <w:semiHidden/>
    <w:qFormat/>
    <w:uiPriority w:val="0"/>
    <w:pPr>
      <w:tabs>
        <w:tab w:val="clear" w:pos="480"/>
      </w:tabs>
    </w:pPr>
    <w:rPr>
      <w:rFonts w:ascii="楷体_GB2312" w:hAnsi="宋体" w:eastAsia="楷体_GB2312" w:cs="宋体"/>
    </w:rPr>
  </w:style>
  <w:style w:type="paragraph" w:customStyle="1" w:styleId="735">
    <w:name w:val="Char13"/>
    <w:basedOn w:val="1"/>
    <w:qFormat/>
    <w:uiPriority w:val="0"/>
    <w:pPr>
      <w:tabs>
        <w:tab w:val="clear" w:pos="480"/>
      </w:tabs>
      <w:spacing w:line="240" w:lineRule="auto"/>
    </w:pPr>
    <w:rPr>
      <w:sz w:val="21"/>
      <w:szCs w:val="20"/>
    </w:rPr>
  </w:style>
  <w:style w:type="paragraph" w:customStyle="1" w:styleId="736">
    <w:name w:val="xl20"/>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宋体" w:hAnsi="宋体" w:cs="宋体"/>
      <w:kern w:val="0"/>
    </w:rPr>
  </w:style>
  <w:style w:type="paragraph" w:customStyle="1" w:styleId="737">
    <w:name w:val="表标头"/>
    <w:basedOn w:val="1"/>
    <w:semiHidden/>
    <w:qFormat/>
    <w:uiPriority w:val="0"/>
    <w:pPr>
      <w:tabs>
        <w:tab w:val="clear" w:pos="480"/>
      </w:tabs>
      <w:spacing w:before="60" w:after="60" w:line="240" w:lineRule="atLeast"/>
      <w:jc w:val="center"/>
    </w:pPr>
    <w:rPr>
      <w:b/>
      <w:bCs/>
    </w:rPr>
  </w:style>
  <w:style w:type="paragraph" w:customStyle="1" w:styleId="738">
    <w:name w:val="maintext"/>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739">
    <w:name w:val="xl19"/>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宋体" w:hAnsi="宋体" w:cs="宋体"/>
      <w:kern w:val="0"/>
    </w:rPr>
  </w:style>
  <w:style w:type="paragraph" w:customStyle="1" w:styleId="740">
    <w:name w:val="样式 样式 样式 正文文本 + 首行缩进:  2 字符 + 宋体 首行缩进:  2 字符 + 首行缩进:  2 字符"/>
    <w:basedOn w:val="1"/>
    <w:semiHidden/>
    <w:qFormat/>
    <w:uiPriority w:val="0"/>
    <w:pPr>
      <w:tabs>
        <w:tab w:val="clear" w:pos="480"/>
      </w:tabs>
    </w:pPr>
    <w:rPr>
      <w:rFonts w:ascii="宋体" w:hAnsi="宋体"/>
      <w:color w:val="000000"/>
      <w:sz w:val="28"/>
      <w:szCs w:val="20"/>
    </w:rPr>
  </w:style>
  <w:style w:type="paragraph" w:customStyle="1" w:styleId="741">
    <w:name w:val="我的正文 Char"/>
    <w:basedOn w:val="1"/>
    <w:next w:val="1"/>
    <w:semiHidden/>
    <w:qFormat/>
    <w:uiPriority w:val="0"/>
    <w:pPr>
      <w:tabs>
        <w:tab w:val="clear" w:pos="480"/>
      </w:tabs>
      <w:spacing w:line="520" w:lineRule="exact"/>
      <w:ind w:firstLine="540" w:firstLineChars="225"/>
    </w:pPr>
  </w:style>
  <w:style w:type="paragraph" w:customStyle="1" w:styleId="742">
    <w:name w:val="字元 字元 Char Char 字元 字元12"/>
    <w:basedOn w:val="1"/>
    <w:semiHidden/>
    <w:qFormat/>
    <w:uiPriority w:val="0"/>
    <w:pPr>
      <w:tabs>
        <w:tab w:val="clear" w:pos="480"/>
      </w:tabs>
      <w:spacing w:line="240" w:lineRule="auto"/>
    </w:pPr>
  </w:style>
  <w:style w:type="paragraph" w:customStyle="1" w:styleId="743">
    <w:name w:val="表标题5"/>
    <w:basedOn w:val="1"/>
    <w:link w:val="1302"/>
    <w:semiHidden/>
    <w:qFormat/>
    <w:uiPriority w:val="0"/>
    <w:pPr>
      <w:keepNext/>
      <w:widowControl/>
      <w:tabs>
        <w:tab w:val="clear" w:pos="480"/>
      </w:tabs>
      <w:autoSpaceDE w:val="0"/>
      <w:autoSpaceDN w:val="0"/>
      <w:adjustRightInd w:val="0"/>
      <w:spacing w:before="180" w:after="120" w:line="408" w:lineRule="atLeast"/>
      <w:jc w:val="center"/>
      <w:textAlignment w:val="baseline"/>
    </w:pPr>
    <w:rPr>
      <w:b/>
      <w:spacing w:val="2"/>
      <w:kern w:val="0"/>
      <w:sz w:val="28"/>
      <w:szCs w:val="20"/>
    </w:rPr>
  </w:style>
  <w:style w:type="paragraph" w:customStyle="1" w:styleId="744">
    <w:name w:val="大标题"/>
    <w:basedOn w:val="1"/>
    <w:semiHidden/>
    <w:qFormat/>
    <w:uiPriority w:val="0"/>
    <w:pPr>
      <w:tabs>
        <w:tab w:val="clear" w:pos="480"/>
      </w:tabs>
      <w:spacing w:beforeLines="100" w:afterLines="50" w:line="480" w:lineRule="auto"/>
      <w:jc w:val="center"/>
    </w:pPr>
    <w:rPr>
      <w:rFonts w:ascii="仿宋_GB2312" w:hAnsi="仿宋体" w:eastAsia="仿宋_GB2312"/>
      <w:b/>
      <w:kern w:val="0"/>
      <w:sz w:val="44"/>
      <w:szCs w:val="44"/>
    </w:rPr>
  </w:style>
  <w:style w:type="paragraph" w:customStyle="1" w:styleId="745">
    <w:name w:val="表内容"/>
    <w:basedOn w:val="1"/>
    <w:semiHidden/>
    <w:qFormat/>
    <w:uiPriority w:val="0"/>
    <w:pPr>
      <w:widowControl/>
      <w:tabs>
        <w:tab w:val="clear" w:pos="480"/>
      </w:tabs>
      <w:adjustRightInd w:val="0"/>
      <w:snapToGrid w:val="0"/>
      <w:spacing w:line="240" w:lineRule="auto"/>
      <w:jc w:val="center"/>
    </w:pPr>
    <w:rPr>
      <w:snapToGrid w:val="0"/>
      <w:kern w:val="0"/>
      <w:sz w:val="21"/>
    </w:rPr>
  </w:style>
  <w:style w:type="paragraph" w:customStyle="1" w:styleId="746">
    <w:name w:val="样式 正正文 Char + 首行缩进:  2 字符"/>
    <w:basedOn w:val="1"/>
    <w:semiHidden/>
    <w:qFormat/>
    <w:uiPriority w:val="0"/>
    <w:pPr>
      <w:widowControl/>
      <w:tabs>
        <w:tab w:val="clear" w:pos="480"/>
      </w:tabs>
      <w:ind w:firstLine="560"/>
      <w:jc w:val="left"/>
    </w:pPr>
    <w:rPr>
      <w:rFonts w:cs="宋体"/>
      <w:sz w:val="28"/>
    </w:rPr>
  </w:style>
  <w:style w:type="paragraph" w:customStyle="1" w:styleId="747">
    <w:name w:val="表名"/>
    <w:basedOn w:val="1"/>
    <w:link w:val="2731"/>
    <w:qFormat/>
    <w:uiPriority w:val="0"/>
    <w:pPr>
      <w:tabs>
        <w:tab w:val="clear" w:pos="480"/>
      </w:tabs>
      <w:adjustRightInd w:val="0"/>
      <w:spacing w:beforeLines="50" w:afterLines="50" w:line="400" w:lineRule="atLeast"/>
      <w:ind w:firstLine="425"/>
      <w:jc w:val="center"/>
      <w:textAlignment w:val="baseline"/>
    </w:pPr>
    <w:rPr>
      <w:rFonts w:eastAsia="黑体"/>
      <w:kern w:val="0"/>
      <w:szCs w:val="20"/>
    </w:rPr>
  </w:style>
  <w:style w:type="paragraph" w:customStyle="1" w:styleId="748">
    <w:name w:val="码头表"/>
    <w:basedOn w:val="224"/>
    <w:semiHidden/>
    <w:qFormat/>
    <w:uiPriority w:val="0"/>
    <w:pPr>
      <w:spacing w:line="0" w:lineRule="atLeast"/>
    </w:pPr>
    <w:rPr>
      <w:color w:val="auto"/>
    </w:rPr>
  </w:style>
  <w:style w:type="paragraph" w:customStyle="1" w:styleId="749">
    <w:name w:val="正文5"/>
    <w:basedOn w:val="1"/>
    <w:semiHidden/>
    <w:qFormat/>
    <w:uiPriority w:val="0"/>
    <w:pPr>
      <w:tabs>
        <w:tab w:val="clear" w:pos="480"/>
      </w:tabs>
      <w:adjustRightInd w:val="0"/>
      <w:spacing w:afterLines="50" w:line="315" w:lineRule="atLeast"/>
      <w:jc w:val="left"/>
      <w:textAlignment w:val="baseline"/>
    </w:pPr>
    <w:rPr>
      <w:rFonts w:ascii="宋体"/>
      <w:kern w:val="0"/>
      <w:sz w:val="21"/>
      <w:szCs w:val="20"/>
    </w:rPr>
  </w:style>
  <w:style w:type="paragraph" w:customStyle="1" w:styleId="750">
    <w:name w:val="Char1 Char Char1 Char"/>
    <w:basedOn w:val="1"/>
    <w:semiHidden/>
    <w:qFormat/>
    <w:uiPriority w:val="0"/>
    <w:pPr>
      <w:tabs>
        <w:tab w:val="clear" w:pos="480"/>
      </w:tabs>
      <w:spacing w:line="240" w:lineRule="auto"/>
    </w:pPr>
    <w:rPr>
      <w:sz w:val="21"/>
      <w:szCs w:val="21"/>
    </w:rPr>
  </w:style>
  <w:style w:type="paragraph" w:customStyle="1" w:styleId="751">
    <w:name w:val="定表"/>
    <w:basedOn w:val="1"/>
    <w:semiHidden/>
    <w:qFormat/>
    <w:uiPriority w:val="0"/>
    <w:pPr>
      <w:tabs>
        <w:tab w:val="clear" w:pos="480"/>
      </w:tabs>
      <w:snapToGrid w:val="0"/>
      <w:spacing w:line="240" w:lineRule="auto"/>
    </w:pPr>
    <w:rPr>
      <w:rFonts w:ascii="仿宋_GB2312" w:eastAsia="仿宋_GB2312"/>
      <w:sz w:val="21"/>
    </w:rPr>
  </w:style>
  <w:style w:type="paragraph" w:customStyle="1" w:styleId="752">
    <w:name w:val="段"/>
    <w:link w:val="3346"/>
    <w:qFormat/>
    <w:uiPriority w:val="0"/>
    <w:pPr>
      <w:autoSpaceDE w:val="0"/>
      <w:autoSpaceDN w:val="0"/>
      <w:ind w:firstLine="200" w:firstLineChars="200"/>
      <w:jc w:val="both"/>
    </w:pPr>
    <w:rPr>
      <w:rFonts w:ascii="宋体" w:hAnsi="Times New Roman" w:eastAsia="宋体" w:cs="Times New Roman"/>
      <w:kern w:val="2"/>
      <w:sz w:val="21"/>
      <w:szCs w:val="24"/>
      <w:lang w:val="en-US" w:eastAsia="zh-CN" w:bidi="ar-SA"/>
    </w:rPr>
  </w:style>
  <w:style w:type="paragraph" w:customStyle="1" w:styleId="753">
    <w:name w:val="海南化工城正文 Char Char"/>
    <w:basedOn w:val="1"/>
    <w:link w:val="1500"/>
    <w:semiHidden/>
    <w:qFormat/>
    <w:uiPriority w:val="0"/>
    <w:pPr>
      <w:tabs>
        <w:tab w:val="clear" w:pos="480"/>
      </w:tabs>
      <w:spacing w:line="324" w:lineRule="auto"/>
      <w:ind w:firstLine="480"/>
    </w:pPr>
    <w:rPr>
      <w:rFonts w:ascii="宋体" w:hAnsi="宋体" w:cs="宋体"/>
    </w:rPr>
  </w:style>
  <w:style w:type="paragraph" w:customStyle="1" w:styleId="754">
    <w:name w:val="样式 样式1 + 加粗"/>
    <w:basedOn w:val="191"/>
    <w:semiHidden/>
    <w:qFormat/>
    <w:uiPriority w:val="0"/>
    <w:pPr>
      <w:widowControl w:val="0"/>
      <w:spacing w:line="360" w:lineRule="auto"/>
      <w:ind w:firstLine="544"/>
    </w:pPr>
    <w:rPr>
      <w:rFonts w:eastAsia="宋体" w:cs="宋体"/>
      <w:bCs/>
      <w:spacing w:val="-4"/>
      <w:szCs w:val="28"/>
    </w:rPr>
  </w:style>
  <w:style w:type="paragraph" w:customStyle="1" w:styleId="755">
    <w:name w:val="注解"/>
    <w:basedOn w:val="1"/>
    <w:semiHidden/>
    <w:qFormat/>
    <w:uiPriority w:val="0"/>
    <w:pPr>
      <w:tabs>
        <w:tab w:val="clear" w:pos="480"/>
      </w:tabs>
      <w:adjustRightInd w:val="0"/>
      <w:snapToGrid w:val="0"/>
      <w:spacing w:line="240" w:lineRule="auto"/>
      <w:ind w:left="624" w:right="170" w:hanging="454"/>
    </w:pPr>
    <w:rPr>
      <w:rFonts w:ascii="宋体" w:hAnsi="宋体"/>
      <w:color w:val="000000"/>
      <w:sz w:val="15"/>
      <w:szCs w:val="20"/>
    </w:rPr>
  </w:style>
  <w:style w:type="table" w:customStyle="1" w:styleId="756">
    <w:name w:val="表格式1"/>
    <w:basedOn w:val="88"/>
    <w:semiHidden/>
    <w:qFormat/>
    <w:uiPriority w:val="0"/>
    <w:pPr>
      <w:widowControl w:val="0"/>
      <w:spacing w:line="360" w:lineRule="auto"/>
      <w:ind w:left="-2" w:leftChars="-1" w:firstLine="456" w:firstLineChars="19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57">
    <w:name w:val="scxhdfoewps1"/>
    <w:semiHidden/>
    <w:qFormat/>
    <w:uiPriority w:val="0"/>
  </w:style>
  <w:style w:type="character" w:customStyle="1" w:styleId="758">
    <w:name w:val="日期 字符"/>
    <w:link w:val="50"/>
    <w:qFormat/>
    <w:uiPriority w:val="0"/>
    <w:rPr>
      <w:rFonts w:eastAsia="宋体"/>
      <w:spacing w:val="-18"/>
      <w:kern w:val="11"/>
      <w:sz w:val="36"/>
      <w:szCs w:val="24"/>
      <w:lang w:val="en-US" w:eastAsia="zh-CN" w:bidi="ar-SA"/>
    </w:rPr>
  </w:style>
  <w:style w:type="character" w:customStyle="1" w:styleId="759">
    <w:name w:val="style191"/>
    <w:semiHidden/>
    <w:qFormat/>
    <w:uiPriority w:val="0"/>
    <w:rPr>
      <w:sz w:val="21"/>
      <w:szCs w:val="21"/>
    </w:rPr>
  </w:style>
  <w:style w:type="character" w:customStyle="1" w:styleId="760">
    <w:name w:val="哈哈正文 Char"/>
    <w:link w:val="699"/>
    <w:qFormat/>
    <w:uiPriority w:val="0"/>
    <w:rPr>
      <w:rFonts w:ascii="宋体" w:hAnsi="宋体" w:eastAsia="宋体"/>
      <w:kern w:val="2"/>
      <w:sz w:val="24"/>
      <w:szCs w:val="24"/>
      <w:lang w:val="en-US" w:eastAsia="zh-CN" w:bidi="ar-SA"/>
    </w:rPr>
  </w:style>
  <w:style w:type="character" w:customStyle="1" w:styleId="761">
    <w:name w:val="款标题1.1.1.1 Char"/>
    <w:qFormat/>
    <w:uiPriority w:val="0"/>
    <w:rPr>
      <w:rFonts w:ascii="Arial" w:hAnsi="Arial" w:eastAsia="黑体" w:cs="Times New Roman"/>
      <w:b/>
      <w:bCs/>
      <w:kern w:val="0"/>
      <w:sz w:val="28"/>
      <w:szCs w:val="28"/>
    </w:rPr>
  </w:style>
  <w:style w:type="character" w:customStyle="1" w:styleId="762">
    <w:name w:val="标题1.1.1.1.1.1 Char"/>
    <w:semiHidden/>
    <w:qFormat/>
    <w:uiPriority w:val="0"/>
    <w:rPr>
      <w:rFonts w:ascii="Arial" w:hAnsi="Arial" w:eastAsia="黑体" w:cs="Times New Roman"/>
      <w:b/>
      <w:spacing w:val="6"/>
      <w:kern w:val="0"/>
      <w:sz w:val="24"/>
      <w:szCs w:val="20"/>
    </w:rPr>
  </w:style>
  <w:style w:type="character" w:customStyle="1" w:styleId="763">
    <w:name w:val="postbody"/>
    <w:basedOn w:val="133"/>
    <w:qFormat/>
    <w:uiPriority w:val="0"/>
  </w:style>
  <w:style w:type="character" w:customStyle="1" w:styleId="764">
    <w:name w:val="项标题(1) Char"/>
    <w:qFormat/>
    <w:uiPriority w:val="0"/>
    <w:rPr>
      <w:rFonts w:ascii="Times New Roman" w:hAnsi="Times New Roman" w:eastAsia="宋体" w:cs="Times New Roman"/>
      <w:b/>
      <w:spacing w:val="6"/>
      <w:kern w:val="0"/>
      <w:sz w:val="24"/>
      <w:szCs w:val="20"/>
    </w:rPr>
  </w:style>
  <w:style w:type="character" w:customStyle="1" w:styleId="765">
    <w:name w:val="标题 8 Char"/>
    <w:qFormat/>
    <w:uiPriority w:val="9"/>
    <w:rPr>
      <w:rFonts w:ascii="Cambria" w:hAnsi="Cambria" w:eastAsia="宋体" w:cs="Times New Roman"/>
      <w:sz w:val="24"/>
      <w:szCs w:val="24"/>
    </w:rPr>
  </w:style>
  <w:style w:type="character" w:customStyle="1" w:styleId="766">
    <w:name w:val="App Heading Char"/>
    <w:semiHidden/>
    <w:qFormat/>
    <w:uiPriority w:val="0"/>
    <w:rPr>
      <w:rFonts w:ascii="Arial" w:hAnsi="Arial" w:eastAsia="黑体" w:cs="Times New Roman"/>
      <w:spacing w:val="10"/>
      <w:kern w:val="0"/>
      <w:szCs w:val="20"/>
    </w:rPr>
  </w:style>
  <w:style w:type="character" w:customStyle="1" w:styleId="767">
    <w:name w:val="表内文字 Char2"/>
    <w:qFormat/>
    <w:uiPriority w:val="0"/>
    <w:rPr>
      <w:rFonts w:ascii="Times New Roman" w:hAnsi="Times New Roman" w:eastAsia="宋体" w:cs="Times New Roman"/>
      <w:kern w:val="0"/>
      <w:sz w:val="24"/>
      <w:szCs w:val="20"/>
    </w:rPr>
  </w:style>
  <w:style w:type="character" w:customStyle="1" w:styleId="768">
    <w:name w:val="Char Char15"/>
    <w:qFormat/>
    <w:uiPriority w:val="0"/>
    <w:rPr>
      <w:rFonts w:ascii="Times New Roman" w:hAnsi="Times New Roman" w:eastAsia="宋体" w:cs="Times New Roman"/>
      <w:kern w:val="0"/>
      <w:sz w:val="24"/>
      <w:szCs w:val="20"/>
    </w:rPr>
  </w:style>
  <w:style w:type="character" w:customStyle="1" w:styleId="769">
    <w:name w:val="正文文字缩进 3 Char2"/>
    <w:qFormat/>
    <w:uiPriority w:val="0"/>
    <w:rPr>
      <w:rFonts w:ascii="Times New Roman" w:hAnsi="Times New Roman" w:eastAsia="宋体" w:cs="Times New Roman"/>
      <w:kern w:val="0"/>
      <w:sz w:val="16"/>
      <w:szCs w:val="16"/>
    </w:rPr>
  </w:style>
  <w:style w:type="character" w:customStyle="1" w:styleId="770">
    <w:name w:val="正文不缩进 Char1"/>
    <w:qFormat/>
    <w:uiPriority w:val="0"/>
    <w:rPr>
      <w:rFonts w:ascii="Times New Roman" w:hAnsi="Times New Roman" w:eastAsia="宋体" w:cs="Times New Roman"/>
      <w:kern w:val="0"/>
      <w:sz w:val="24"/>
      <w:szCs w:val="20"/>
    </w:rPr>
  </w:style>
  <w:style w:type="paragraph" w:customStyle="1" w:styleId="771">
    <w:name w:val="Char Char Char3"/>
    <w:basedOn w:val="1"/>
    <w:qFormat/>
    <w:uiPriority w:val="0"/>
    <w:pPr>
      <w:tabs>
        <w:tab w:val="clear" w:pos="480"/>
      </w:tabs>
      <w:adjustRightInd w:val="0"/>
      <w:snapToGrid w:val="0"/>
      <w:spacing w:line="400" w:lineRule="exact"/>
    </w:pPr>
    <w:rPr>
      <w:szCs w:val="20"/>
    </w:rPr>
  </w:style>
  <w:style w:type="character" w:customStyle="1" w:styleId="772">
    <w:name w:val="正文文字 2 Char3"/>
    <w:qFormat/>
    <w:uiPriority w:val="0"/>
    <w:rPr>
      <w:rFonts w:ascii="Times New Roman" w:hAnsi="Times New Roman" w:eastAsia="宋体" w:cs="Times New Roman"/>
      <w:spacing w:val="6"/>
      <w:kern w:val="0"/>
      <w:sz w:val="24"/>
      <w:szCs w:val="20"/>
    </w:rPr>
  </w:style>
  <w:style w:type="character" w:customStyle="1" w:styleId="773">
    <w:name w:val="正文文本 3 字符"/>
    <w:link w:val="32"/>
    <w:qFormat/>
    <w:uiPriority w:val="0"/>
    <w:rPr>
      <w:rFonts w:eastAsia="仿宋_GB2312"/>
      <w:kern w:val="2"/>
      <w:sz w:val="21"/>
      <w:lang w:val="en-US" w:eastAsia="zh-CN" w:bidi="ar-SA"/>
    </w:rPr>
  </w:style>
  <w:style w:type="character" w:customStyle="1" w:styleId="774">
    <w:name w:val="bt Char4"/>
    <w:semiHidden/>
    <w:qFormat/>
    <w:uiPriority w:val="0"/>
    <w:rPr>
      <w:rFonts w:ascii="Times New Roman" w:hAnsi="Times New Roman" w:eastAsia="宋体" w:cs="Times New Roman"/>
      <w:color w:val="000000"/>
      <w:spacing w:val="6"/>
      <w:kern w:val="0"/>
      <w:sz w:val="24"/>
      <w:szCs w:val="18"/>
    </w:rPr>
  </w:style>
  <w:style w:type="paragraph" w:customStyle="1" w:styleId="775">
    <w:name w:val="正文并列"/>
    <w:basedOn w:val="1"/>
    <w:next w:val="1"/>
    <w:qFormat/>
    <w:uiPriority w:val="0"/>
    <w:pPr>
      <w:tabs>
        <w:tab w:val="clear" w:pos="480"/>
      </w:tabs>
      <w:adjustRightInd w:val="0"/>
      <w:snapToGrid w:val="0"/>
      <w:spacing w:line="400" w:lineRule="exact"/>
    </w:pPr>
    <w:rPr>
      <w:szCs w:val="20"/>
    </w:rPr>
  </w:style>
  <w:style w:type="character" w:customStyle="1" w:styleId="776">
    <w:name w:val="正文首行缩进 Char Char Char"/>
    <w:qFormat/>
    <w:uiPriority w:val="0"/>
    <w:rPr>
      <w:rFonts w:ascii="宋体" w:hAnsi="宋体" w:eastAsia="宋体"/>
      <w:kern w:val="2"/>
      <w:sz w:val="24"/>
      <w:szCs w:val="24"/>
      <w:lang w:val="en-US" w:eastAsia="zh-CN" w:bidi="ar-SA"/>
    </w:rPr>
  </w:style>
  <w:style w:type="character" w:customStyle="1" w:styleId="777">
    <w:name w:val="落款 Char"/>
    <w:qFormat/>
    <w:uiPriority w:val="0"/>
    <w:rPr>
      <w:rFonts w:ascii="Times New Roman" w:hAnsi="Times New Roman" w:eastAsia="宋体" w:cs="Times New Roman"/>
      <w:kern w:val="0"/>
      <w:sz w:val="24"/>
      <w:szCs w:val="20"/>
    </w:rPr>
  </w:style>
  <w:style w:type="paragraph" w:customStyle="1" w:styleId="778">
    <w:name w:val="点项目"/>
    <w:qFormat/>
    <w:uiPriority w:val="0"/>
    <w:pPr>
      <w:tabs>
        <w:tab w:val="left" w:pos="550"/>
      </w:tabs>
      <w:spacing w:before="40" w:after="40" w:line="360" w:lineRule="auto"/>
      <w:ind w:left="550" w:hanging="329" w:firstLineChars="200"/>
      <w:jc w:val="both"/>
    </w:pPr>
    <w:rPr>
      <w:rFonts w:ascii="Times New Roman" w:hAnsi="Times New Roman" w:eastAsia="宋体" w:cs="Times New Roman"/>
      <w:b/>
      <w:spacing w:val="12"/>
      <w:kern w:val="2"/>
      <w:sz w:val="24"/>
      <w:szCs w:val="24"/>
      <w:lang w:val="en-US" w:eastAsia="zh-CN" w:bidi="ar-SA"/>
    </w:rPr>
  </w:style>
  <w:style w:type="paragraph" w:customStyle="1" w:styleId="779">
    <w:name w:val="块项目"/>
    <w:next w:val="1"/>
    <w:qFormat/>
    <w:uiPriority w:val="0"/>
    <w:pPr>
      <w:tabs>
        <w:tab w:val="left" w:pos="550"/>
      </w:tabs>
      <w:spacing w:before="40" w:after="40" w:line="360" w:lineRule="auto"/>
      <w:ind w:left="425" w:hanging="205" w:firstLineChars="200"/>
      <w:jc w:val="both"/>
    </w:pPr>
    <w:rPr>
      <w:rFonts w:ascii="Times New Roman" w:hAnsi="Times New Roman" w:eastAsia="宋体" w:cs="Times New Roman"/>
      <w:b/>
      <w:spacing w:val="20"/>
      <w:kern w:val="2"/>
      <w:sz w:val="24"/>
      <w:szCs w:val="24"/>
      <w:lang w:val="en-US" w:eastAsia="zh-CN" w:bidi="ar-SA"/>
    </w:rPr>
  </w:style>
  <w:style w:type="paragraph" w:customStyle="1" w:styleId="780">
    <w:name w:val="dot"/>
    <w:semiHidden/>
    <w:qFormat/>
    <w:uiPriority w:val="0"/>
    <w:pPr>
      <w:tabs>
        <w:tab w:val="left" w:pos="420"/>
      </w:tabs>
      <w:spacing w:before="40" w:after="40" w:line="360" w:lineRule="auto"/>
      <w:ind w:left="420" w:hanging="420" w:firstLineChars="200"/>
      <w:jc w:val="both"/>
    </w:pPr>
    <w:rPr>
      <w:rFonts w:ascii="Times New Roman" w:hAnsi="Times New Roman" w:eastAsia="宋体" w:cs="Times New Roman"/>
      <w:b/>
      <w:kern w:val="2"/>
      <w:sz w:val="24"/>
      <w:szCs w:val="24"/>
      <w:lang w:val="en-US" w:eastAsia="zh-CN" w:bidi="ar-SA"/>
    </w:rPr>
  </w:style>
  <w:style w:type="paragraph" w:customStyle="1" w:styleId="781">
    <w:name w:val="参考书"/>
    <w:basedOn w:val="1"/>
    <w:qFormat/>
    <w:uiPriority w:val="0"/>
    <w:pPr>
      <w:numPr>
        <w:ilvl w:val="0"/>
        <w:numId w:val="11"/>
      </w:numPr>
      <w:tabs>
        <w:tab w:val="left" w:pos="980"/>
        <w:tab w:val="clear" w:pos="480"/>
      </w:tabs>
      <w:adjustRightInd w:val="0"/>
      <w:spacing w:before="60" w:after="60" w:line="264" w:lineRule="auto"/>
      <w:ind w:firstLine="0"/>
      <w:jc w:val="left"/>
      <w:textAlignment w:val="baseline"/>
    </w:pPr>
    <w:rPr>
      <w:rFonts w:cs="Arial Unicode MS"/>
      <w:spacing w:val="8"/>
      <w:kern w:val="0"/>
      <w:szCs w:val="20"/>
    </w:rPr>
  </w:style>
  <w:style w:type="paragraph" w:customStyle="1" w:styleId="782">
    <w:name w:val="表头8"/>
    <w:basedOn w:val="1"/>
    <w:qFormat/>
    <w:uiPriority w:val="0"/>
    <w:pPr>
      <w:tabs>
        <w:tab w:val="left" w:pos="360"/>
        <w:tab w:val="left" w:pos="1728"/>
        <w:tab w:val="left" w:pos="2866"/>
        <w:tab w:val="clear" w:pos="480"/>
      </w:tabs>
      <w:adjustRightInd w:val="0"/>
      <w:snapToGrid w:val="0"/>
      <w:spacing w:beforeLines="100" w:afterLines="50" w:line="240" w:lineRule="atLeast"/>
      <w:ind w:left="845"/>
    </w:pPr>
    <w:rPr>
      <w:b/>
      <w:color w:val="000000"/>
    </w:rPr>
  </w:style>
  <w:style w:type="paragraph" w:customStyle="1" w:styleId="783">
    <w:name w:val="列项——"/>
    <w:qFormat/>
    <w:uiPriority w:val="0"/>
    <w:pPr>
      <w:widowControl w:val="0"/>
      <w:numPr>
        <w:ilvl w:val="0"/>
        <w:numId w:val="12"/>
      </w:numPr>
      <w:tabs>
        <w:tab w:val="left" w:pos="854"/>
        <w:tab w:val="clear" w:pos="1140"/>
      </w:tabs>
      <w:spacing w:line="360" w:lineRule="auto"/>
      <w:ind w:left="200" w:leftChars="200" w:hanging="200" w:hangingChars="200"/>
      <w:jc w:val="both"/>
    </w:pPr>
    <w:rPr>
      <w:rFonts w:ascii="宋体" w:hAnsi="Times New Roman" w:eastAsia="宋体" w:cs="Times New Roman"/>
      <w:kern w:val="2"/>
      <w:sz w:val="21"/>
      <w:szCs w:val="24"/>
      <w:lang w:val="en-US" w:eastAsia="zh-CN" w:bidi="ar-SA"/>
    </w:rPr>
  </w:style>
  <w:style w:type="paragraph" w:customStyle="1" w:styleId="784">
    <w:name w:val="生物中文类名"/>
    <w:basedOn w:val="1"/>
    <w:qFormat/>
    <w:uiPriority w:val="0"/>
    <w:pPr>
      <w:numPr>
        <w:ilvl w:val="0"/>
        <w:numId w:val="13"/>
      </w:numPr>
      <w:tabs>
        <w:tab w:val="left" w:pos="-120"/>
        <w:tab w:val="clear" w:pos="425"/>
        <w:tab w:val="clear" w:pos="480"/>
      </w:tabs>
      <w:spacing w:before="60" w:line="310" w:lineRule="atLeast"/>
      <w:ind w:left="0" w:firstLine="2714" w:firstLineChars="1082"/>
      <w:jc w:val="center"/>
    </w:pPr>
    <w:rPr>
      <w:b/>
      <w:bCs/>
      <w:spacing w:val="20"/>
      <w:sz w:val="21"/>
      <w:szCs w:val="21"/>
    </w:rPr>
  </w:style>
  <w:style w:type="character" w:customStyle="1" w:styleId="785">
    <w:name w:val="样式2 Char"/>
    <w:qFormat/>
    <w:uiPriority w:val="0"/>
    <w:rPr>
      <w:rFonts w:eastAsia="楷体_GB2312"/>
      <w:kern w:val="2"/>
      <w:sz w:val="28"/>
      <w:szCs w:val="24"/>
      <w:lang w:val="en-US" w:eastAsia="zh-CN" w:bidi="ar-SA"/>
    </w:rPr>
  </w:style>
  <w:style w:type="paragraph" w:customStyle="1" w:styleId="786">
    <w:name w:val="海南化工城正文"/>
    <w:basedOn w:val="1"/>
    <w:link w:val="1310"/>
    <w:qFormat/>
    <w:uiPriority w:val="0"/>
    <w:pPr>
      <w:numPr>
        <w:ilvl w:val="0"/>
        <w:numId w:val="14"/>
      </w:numPr>
      <w:tabs>
        <w:tab w:val="clear" w:pos="360"/>
        <w:tab w:val="clear" w:pos="480"/>
      </w:tabs>
      <w:adjustRightInd w:val="0"/>
      <w:snapToGrid w:val="0"/>
      <w:spacing w:line="324" w:lineRule="auto"/>
      <w:ind w:left="0" w:firstLine="480" w:firstLineChars="200"/>
    </w:pPr>
    <w:rPr>
      <w:rFonts w:ascii="宋体" w:hAnsi="宋体"/>
      <w:kern w:val="0"/>
      <w:szCs w:val="20"/>
      <w:lang w:val="zh-CN"/>
    </w:rPr>
  </w:style>
  <w:style w:type="paragraph" w:customStyle="1" w:styleId="787">
    <w:name w:val="码头正文"/>
    <w:basedOn w:val="21"/>
    <w:qFormat/>
    <w:uiPriority w:val="0"/>
    <w:pPr>
      <w:numPr>
        <w:ilvl w:val="0"/>
        <w:numId w:val="15"/>
      </w:numPr>
      <w:tabs>
        <w:tab w:val="clear" w:pos="2345"/>
      </w:tabs>
      <w:adjustRightInd w:val="0"/>
      <w:snapToGrid w:val="0"/>
      <w:spacing w:line="400" w:lineRule="exact"/>
      <w:ind w:left="0" w:firstLine="480"/>
    </w:pPr>
    <w:rPr>
      <w:bCs/>
      <w:color w:val="0000FF"/>
      <w:kern w:val="0"/>
      <w:szCs w:val="20"/>
      <w:u w:color="000000"/>
    </w:rPr>
  </w:style>
  <w:style w:type="paragraph" w:customStyle="1" w:styleId="788">
    <w:name w:val="样式 表格2 + Times New Roman"/>
    <w:basedOn w:val="1"/>
    <w:qFormat/>
    <w:uiPriority w:val="0"/>
    <w:pPr>
      <w:tabs>
        <w:tab w:val="clear" w:pos="480"/>
      </w:tabs>
      <w:spacing w:beforeLines="5" w:line="240" w:lineRule="auto"/>
      <w:jc w:val="center"/>
    </w:pPr>
    <w:rPr>
      <w:rFonts w:eastAsia="Times New Roman"/>
      <w:sz w:val="21"/>
      <w:szCs w:val="20"/>
      <w:lang w:val="zh-CN"/>
    </w:rPr>
  </w:style>
  <w:style w:type="character" w:customStyle="1" w:styleId="789">
    <w:name w:val="标题 2 Char Char Char"/>
    <w:semiHidden/>
    <w:qFormat/>
    <w:uiPriority w:val="0"/>
    <w:rPr>
      <w:rFonts w:ascii="宋体" w:hAnsi="Arial" w:eastAsia="宋体"/>
      <w:b/>
      <w:sz w:val="30"/>
      <w:lang w:val="en-US" w:eastAsia="zh-CN" w:bidi="ar-SA"/>
    </w:rPr>
  </w:style>
  <w:style w:type="paragraph" w:customStyle="1" w:styleId="790">
    <w:name w:val="Char Char Char Char3"/>
    <w:basedOn w:val="1"/>
    <w:qFormat/>
    <w:uiPriority w:val="0"/>
    <w:pPr>
      <w:tabs>
        <w:tab w:val="clear" w:pos="480"/>
      </w:tabs>
      <w:spacing w:line="240" w:lineRule="auto"/>
    </w:pPr>
    <w:rPr>
      <w:sz w:val="21"/>
    </w:rPr>
  </w:style>
  <w:style w:type="paragraph" w:customStyle="1" w:styleId="791">
    <w:name w:val="Char Char Char2 Char Char Char"/>
    <w:basedOn w:val="1"/>
    <w:semiHidden/>
    <w:qFormat/>
    <w:uiPriority w:val="0"/>
    <w:pPr>
      <w:tabs>
        <w:tab w:val="clear" w:pos="480"/>
      </w:tabs>
      <w:spacing w:line="240" w:lineRule="auto"/>
    </w:pPr>
  </w:style>
  <w:style w:type="paragraph" w:customStyle="1" w:styleId="792">
    <w:name w:val="Char1 Char Char"/>
    <w:basedOn w:val="1"/>
    <w:semiHidden/>
    <w:qFormat/>
    <w:uiPriority w:val="0"/>
    <w:pPr>
      <w:tabs>
        <w:tab w:val="clear" w:pos="480"/>
      </w:tabs>
    </w:pPr>
    <w:rPr>
      <w:rFonts w:ascii="宋体" w:hAnsi="宋体" w:cs="宋体"/>
    </w:rPr>
  </w:style>
  <w:style w:type="paragraph" w:customStyle="1" w:styleId="793">
    <w:name w:val="湛江码头表"/>
    <w:basedOn w:val="224"/>
    <w:qFormat/>
    <w:uiPriority w:val="0"/>
    <w:pPr>
      <w:spacing w:line="0" w:lineRule="atLeast"/>
      <w:ind w:left="480"/>
      <w:outlineLvl w:val="0"/>
    </w:pPr>
    <w:rPr>
      <w:rFonts w:ascii="Calibri" w:hAnsi="Calibri" w:eastAsia="仿宋_GB2312"/>
      <w:color w:val="auto"/>
      <w:kern w:val="0"/>
      <w:position w:val="2"/>
      <w:sz w:val="20"/>
      <w:szCs w:val="24"/>
      <w:lang w:eastAsia="zh-TW"/>
    </w:rPr>
  </w:style>
  <w:style w:type="paragraph" w:customStyle="1" w:styleId="794">
    <w:name w:val="样式 表格1 + 行距: 单倍行距"/>
    <w:basedOn w:val="178"/>
    <w:qFormat/>
    <w:uiPriority w:val="0"/>
    <w:pPr>
      <w:topLinePunct w:val="0"/>
      <w:autoSpaceDE/>
      <w:autoSpaceDN/>
      <w:snapToGrid w:val="0"/>
      <w:textAlignment w:val="auto"/>
    </w:pPr>
    <w:rPr>
      <w:rFonts w:ascii="Calibri" w:hAnsi="Calibri"/>
      <w:kern w:val="0"/>
      <w:sz w:val="20"/>
      <w:szCs w:val="24"/>
    </w:rPr>
  </w:style>
  <w:style w:type="paragraph" w:customStyle="1" w:styleId="795">
    <w:name w:val="湛宝标题"/>
    <w:basedOn w:val="23"/>
    <w:qFormat/>
    <w:uiPriority w:val="0"/>
    <w:pPr>
      <w:widowControl w:val="0"/>
      <w:adjustRightInd/>
      <w:snapToGrid/>
      <w:spacing w:before="0" w:after="0"/>
      <w:ind w:firstLine="0" w:firstLineChars="0"/>
    </w:pPr>
    <w:rPr>
      <w:rFonts w:cs="Times New Roman"/>
      <w:color w:val="auto"/>
      <w:kern w:val="0"/>
    </w:rPr>
  </w:style>
  <w:style w:type="paragraph" w:customStyle="1" w:styleId="796">
    <w:name w:val="表格内文字"/>
    <w:next w:val="1"/>
    <w:link w:val="1840"/>
    <w:qFormat/>
    <w:uiPriority w:val="0"/>
    <w:pPr>
      <w:jc w:val="center"/>
    </w:pPr>
    <w:rPr>
      <w:rFonts w:ascii="Times New Roman" w:hAnsi="Times New Roman" w:eastAsia="宋体" w:cs="Times New Roman"/>
      <w:kern w:val="2"/>
      <w:sz w:val="21"/>
      <w:szCs w:val="21"/>
      <w:lang w:val="zh-CN" w:eastAsia="zh-CN" w:bidi="ar-SA"/>
    </w:rPr>
  </w:style>
  <w:style w:type="paragraph" w:customStyle="1" w:styleId="797">
    <w:name w:val="惠州3"/>
    <w:basedOn w:val="1"/>
    <w:qFormat/>
    <w:uiPriority w:val="0"/>
    <w:pPr>
      <w:tabs>
        <w:tab w:val="clear" w:pos="480"/>
      </w:tabs>
      <w:spacing w:line="580" w:lineRule="exact"/>
      <w:ind w:firstLine="600"/>
    </w:pPr>
    <w:rPr>
      <w:rFonts w:eastAsia="仿宋_GB2312"/>
      <w:sz w:val="30"/>
      <w:szCs w:val="30"/>
    </w:rPr>
  </w:style>
  <w:style w:type="character" w:customStyle="1" w:styleId="798">
    <w:name w:val="纯文本 Char Char Char Char"/>
    <w:qFormat/>
    <w:uiPriority w:val="0"/>
    <w:rPr>
      <w:rFonts w:ascii="宋体" w:hAnsi="Courier New" w:eastAsia="宋体" w:cs="Courier New"/>
      <w:sz w:val="21"/>
      <w:szCs w:val="21"/>
      <w:lang w:val="en-US" w:eastAsia="zh-CN" w:bidi="ar-SA"/>
    </w:rPr>
  </w:style>
  <w:style w:type="paragraph" w:customStyle="1" w:styleId="799">
    <w:name w:val="表格new"/>
    <w:basedOn w:val="1"/>
    <w:next w:val="1"/>
    <w:link w:val="1823"/>
    <w:semiHidden/>
    <w:qFormat/>
    <w:uiPriority w:val="0"/>
    <w:pPr>
      <w:tabs>
        <w:tab w:val="clear" w:pos="480"/>
      </w:tabs>
      <w:spacing w:line="240" w:lineRule="auto"/>
      <w:jc w:val="center"/>
      <w:textAlignment w:val="center"/>
    </w:pPr>
    <w:rPr>
      <w:kern w:val="0"/>
      <w:sz w:val="20"/>
      <w:szCs w:val="21"/>
      <w:lang w:val="zh-CN"/>
    </w:rPr>
  </w:style>
  <w:style w:type="character" w:customStyle="1" w:styleId="800">
    <w:name w:val="正文文本 2 Char1"/>
    <w:qFormat/>
    <w:uiPriority w:val="0"/>
    <w:rPr>
      <w:rFonts w:ascii="Times New Roman" w:hAnsi="Times New Roman" w:eastAsia="宋体" w:cs="Times New Roman"/>
      <w:spacing w:val="6"/>
      <w:kern w:val="0"/>
      <w:sz w:val="24"/>
      <w:szCs w:val="20"/>
    </w:rPr>
  </w:style>
  <w:style w:type="character" w:customStyle="1" w:styleId="801">
    <w:name w:val="正文文本缩进 2 Char1"/>
    <w:qFormat/>
    <w:uiPriority w:val="0"/>
    <w:rPr>
      <w:rFonts w:ascii="Times New Roman" w:hAnsi="Times New Roman" w:eastAsia="宋体" w:cs="Times New Roman"/>
      <w:color w:val="000000"/>
      <w:spacing w:val="6"/>
      <w:kern w:val="0"/>
      <w:sz w:val="24"/>
      <w:szCs w:val="18"/>
    </w:rPr>
  </w:style>
  <w:style w:type="character" w:customStyle="1" w:styleId="802">
    <w:name w:val="样式 小四"/>
    <w:qFormat/>
    <w:uiPriority w:val="0"/>
    <w:rPr>
      <w:sz w:val="24"/>
    </w:rPr>
  </w:style>
  <w:style w:type="paragraph" w:customStyle="1" w:styleId="803">
    <w:name w:val="佛风险表"/>
    <w:basedOn w:val="224"/>
    <w:qFormat/>
    <w:uiPriority w:val="0"/>
    <w:pPr>
      <w:spacing w:line="240" w:lineRule="atLeast"/>
      <w:jc w:val="both"/>
    </w:pPr>
    <w:rPr>
      <w:rFonts w:ascii="宋体" w:hAnsi="宋体"/>
      <w:kern w:val="0"/>
      <w:sz w:val="18"/>
      <w:szCs w:val="18"/>
      <w:lang w:val="sq-AL"/>
    </w:rPr>
  </w:style>
  <w:style w:type="character" w:customStyle="1" w:styleId="804">
    <w:name w:val="下标"/>
    <w:qFormat/>
    <w:uiPriority w:val="0"/>
    <w:rPr>
      <w:rFonts w:ascii="Times New Roman" w:hAnsi="Times New Roman" w:eastAsia="宋体"/>
      <w:spacing w:val="0"/>
      <w:position w:val="-7"/>
      <w:sz w:val="18"/>
    </w:rPr>
  </w:style>
  <w:style w:type="character" w:customStyle="1" w:styleId="805">
    <w:name w:val="上标"/>
    <w:qFormat/>
    <w:uiPriority w:val="0"/>
    <w:rPr>
      <w:spacing w:val="0"/>
      <w:position w:val="7"/>
      <w:sz w:val="21"/>
    </w:rPr>
  </w:style>
  <w:style w:type="paragraph" w:customStyle="1" w:styleId="806">
    <w:name w:val="表格c"/>
    <w:basedOn w:val="1"/>
    <w:next w:val="1"/>
    <w:semiHidden/>
    <w:qFormat/>
    <w:uiPriority w:val="0"/>
    <w:pPr>
      <w:tabs>
        <w:tab w:val="clear" w:pos="480"/>
      </w:tabs>
      <w:spacing w:line="280" w:lineRule="exact"/>
    </w:pPr>
    <w:rPr>
      <w:spacing w:val="-6"/>
      <w:sz w:val="21"/>
    </w:rPr>
  </w:style>
  <w:style w:type="paragraph" w:customStyle="1" w:styleId="807">
    <w:name w:val="表格3"/>
    <w:basedOn w:val="1"/>
    <w:next w:val="1"/>
    <w:semiHidden/>
    <w:qFormat/>
    <w:uiPriority w:val="0"/>
    <w:pPr>
      <w:tabs>
        <w:tab w:val="clear" w:pos="480"/>
      </w:tabs>
      <w:adjustRightInd w:val="0"/>
      <w:spacing w:line="240" w:lineRule="auto"/>
      <w:jc w:val="center"/>
      <w:textAlignment w:val="baseline"/>
    </w:pPr>
    <w:rPr>
      <w:kern w:val="0"/>
      <w:szCs w:val="20"/>
    </w:rPr>
  </w:style>
  <w:style w:type="paragraph" w:customStyle="1" w:styleId="808">
    <w:name w:val="程序"/>
    <w:basedOn w:val="1"/>
    <w:qFormat/>
    <w:uiPriority w:val="0"/>
    <w:pPr>
      <w:tabs>
        <w:tab w:val="clear" w:pos="480"/>
      </w:tabs>
      <w:adjustRightInd w:val="0"/>
      <w:spacing w:line="240" w:lineRule="atLeast"/>
      <w:ind w:firstLine="601"/>
      <w:textAlignment w:val="baseline"/>
    </w:pPr>
    <w:rPr>
      <w:rFonts w:ascii="Courier New" w:hAnsi="Courier New"/>
      <w:spacing w:val="10"/>
      <w:kern w:val="0"/>
      <w:szCs w:val="20"/>
    </w:rPr>
  </w:style>
  <w:style w:type="paragraph" w:customStyle="1" w:styleId="809">
    <w:name w:val="普通2"/>
    <w:basedOn w:val="45"/>
    <w:qFormat/>
    <w:uiPriority w:val="0"/>
    <w:pPr>
      <w:jc w:val="center"/>
    </w:pPr>
    <w:rPr>
      <w:rFonts w:ascii="Times New Roman" w:hAnsi="Times New Roman"/>
      <w:snapToGrid w:val="0"/>
      <w:color w:val="000000"/>
      <w:kern w:val="0"/>
      <w:szCs w:val="24"/>
    </w:rPr>
  </w:style>
  <w:style w:type="character" w:customStyle="1" w:styleId="810">
    <w:name w:val="沥青正文 Char"/>
    <w:qFormat/>
    <w:uiPriority w:val="0"/>
    <w:rPr>
      <w:rFonts w:eastAsia="宋体"/>
      <w:kern w:val="2"/>
      <w:sz w:val="24"/>
      <w:szCs w:val="24"/>
      <w:lang w:val="en-US" w:eastAsia="zh-CN" w:bidi="ar-SA"/>
    </w:rPr>
  </w:style>
  <w:style w:type="paragraph" w:customStyle="1" w:styleId="811">
    <w:name w:val="沥青表"/>
    <w:basedOn w:val="1"/>
    <w:qFormat/>
    <w:uiPriority w:val="0"/>
    <w:pPr>
      <w:tabs>
        <w:tab w:val="clear" w:pos="480"/>
      </w:tabs>
      <w:adjustRightInd w:val="0"/>
      <w:spacing w:line="0" w:lineRule="atLeast"/>
      <w:jc w:val="center"/>
      <w:textAlignment w:val="baseline"/>
    </w:pPr>
    <w:rPr>
      <w:bCs/>
      <w:spacing w:val="10"/>
      <w:kern w:val="0"/>
      <w:sz w:val="21"/>
      <w:szCs w:val="21"/>
    </w:rPr>
  </w:style>
  <w:style w:type="paragraph" w:customStyle="1" w:styleId="812">
    <w:name w:val="表题注"/>
    <w:basedOn w:val="811"/>
    <w:qFormat/>
    <w:uiPriority w:val="0"/>
    <w:pPr>
      <w:spacing w:beforeLines="30"/>
    </w:pPr>
    <w:rPr>
      <w:bCs w:val="0"/>
    </w:rPr>
  </w:style>
  <w:style w:type="paragraph" w:customStyle="1" w:styleId="813">
    <w:name w:val="题注2"/>
    <w:basedOn w:val="23"/>
    <w:next w:val="812"/>
    <w:qFormat/>
    <w:uiPriority w:val="0"/>
    <w:pPr>
      <w:widowControl w:val="0"/>
      <w:adjustRightInd/>
      <w:snapToGrid/>
      <w:spacing w:before="0" w:after="0" w:line="324" w:lineRule="auto"/>
      <w:ind w:firstLine="400"/>
      <w:jc w:val="both"/>
    </w:pPr>
    <w:rPr>
      <w:rFonts w:cs="Times New Roman"/>
      <w:color w:val="auto"/>
      <w:kern w:val="0"/>
      <w:sz w:val="21"/>
    </w:rPr>
  </w:style>
  <w:style w:type="paragraph" w:customStyle="1" w:styleId="814">
    <w:name w:val="表中文字"/>
    <w:basedOn w:val="1"/>
    <w:link w:val="3459"/>
    <w:qFormat/>
    <w:uiPriority w:val="0"/>
    <w:pPr>
      <w:tabs>
        <w:tab w:val="clear" w:pos="480"/>
      </w:tabs>
      <w:spacing w:line="240" w:lineRule="auto"/>
      <w:jc w:val="center"/>
    </w:pPr>
    <w:rPr>
      <w:sz w:val="21"/>
    </w:rPr>
  </w:style>
  <w:style w:type="character" w:customStyle="1" w:styleId="815">
    <w:name w:val="沥青表 Char"/>
    <w:qFormat/>
    <w:uiPriority w:val="0"/>
    <w:rPr>
      <w:rFonts w:eastAsia="宋体"/>
      <w:bCs/>
      <w:spacing w:val="10"/>
      <w:sz w:val="21"/>
      <w:szCs w:val="21"/>
      <w:lang w:val="en-US" w:eastAsia="zh-CN" w:bidi="ar-SA"/>
    </w:rPr>
  </w:style>
  <w:style w:type="paragraph" w:customStyle="1" w:styleId="816">
    <w:name w:val="钢铁表"/>
    <w:basedOn w:val="1"/>
    <w:qFormat/>
    <w:uiPriority w:val="0"/>
    <w:pPr>
      <w:tabs>
        <w:tab w:val="clear" w:pos="480"/>
      </w:tabs>
      <w:adjustRightInd w:val="0"/>
      <w:snapToGrid w:val="0"/>
      <w:spacing w:line="240" w:lineRule="auto"/>
    </w:pPr>
    <w:rPr>
      <w:snapToGrid w:val="0"/>
      <w:sz w:val="21"/>
    </w:rPr>
  </w:style>
  <w:style w:type="paragraph" w:customStyle="1" w:styleId="817">
    <w:name w:val="湛宝表格"/>
    <w:basedOn w:val="1"/>
    <w:qFormat/>
    <w:uiPriority w:val="0"/>
    <w:pPr>
      <w:tabs>
        <w:tab w:val="clear" w:pos="480"/>
      </w:tabs>
      <w:adjustRightInd w:val="0"/>
      <w:spacing w:line="240" w:lineRule="auto"/>
      <w:jc w:val="center"/>
      <w:textAlignment w:val="baseline"/>
    </w:pPr>
    <w:rPr>
      <w:rFonts w:eastAsia="Times New Roman"/>
      <w:spacing w:val="10"/>
      <w:kern w:val="0"/>
      <w:sz w:val="21"/>
      <w:szCs w:val="20"/>
    </w:rPr>
  </w:style>
  <w:style w:type="paragraph" w:customStyle="1" w:styleId="818">
    <w:name w:val="表格文字居中"/>
    <w:basedOn w:val="1"/>
    <w:semiHidden/>
    <w:qFormat/>
    <w:uiPriority w:val="0"/>
    <w:pPr>
      <w:tabs>
        <w:tab w:val="clear" w:pos="480"/>
      </w:tabs>
      <w:adjustRightInd w:val="0"/>
      <w:snapToGrid w:val="0"/>
      <w:spacing w:line="240" w:lineRule="auto"/>
      <w:jc w:val="center"/>
    </w:pPr>
    <w:rPr>
      <w:rFonts w:ascii="宋体" w:hAnsi="宋体"/>
      <w:color w:val="000000"/>
      <w:sz w:val="21"/>
      <w:szCs w:val="21"/>
    </w:rPr>
  </w:style>
  <w:style w:type="paragraph" w:customStyle="1" w:styleId="819">
    <w:name w:val="扉页表"/>
    <w:basedOn w:val="1"/>
    <w:qFormat/>
    <w:uiPriority w:val="0"/>
    <w:pPr>
      <w:tabs>
        <w:tab w:val="clear" w:pos="480"/>
      </w:tabs>
      <w:autoSpaceDE w:val="0"/>
      <w:autoSpaceDN w:val="0"/>
      <w:adjustRightInd w:val="0"/>
      <w:jc w:val="center"/>
      <w:textAlignment w:val="baseline"/>
    </w:pPr>
    <w:rPr>
      <w:rFonts w:ascii="宋体" w:hAnsi="宋体"/>
      <w:kern w:val="24"/>
      <w:position w:val="-28"/>
      <w:sz w:val="28"/>
      <w:szCs w:val="20"/>
    </w:rPr>
  </w:style>
  <w:style w:type="paragraph" w:customStyle="1" w:styleId="820">
    <w:name w:val="标题5"/>
    <w:basedOn w:val="1"/>
    <w:next w:val="1"/>
    <w:qFormat/>
    <w:uiPriority w:val="0"/>
    <w:pPr>
      <w:tabs>
        <w:tab w:val="clear" w:pos="480"/>
      </w:tabs>
      <w:ind w:firstLine="567"/>
      <w:outlineLvl w:val="4"/>
    </w:pPr>
    <w:rPr>
      <w:rFonts w:ascii="宋体"/>
      <w:sz w:val="28"/>
      <w:szCs w:val="28"/>
    </w:rPr>
  </w:style>
  <w:style w:type="paragraph" w:customStyle="1" w:styleId="821">
    <w:name w:val="表中居中文字"/>
    <w:basedOn w:val="1"/>
    <w:qFormat/>
    <w:uiPriority w:val="0"/>
    <w:pPr>
      <w:keepNext/>
      <w:widowControl/>
      <w:tabs>
        <w:tab w:val="clear" w:pos="480"/>
      </w:tabs>
      <w:jc w:val="center"/>
    </w:pPr>
    <w:rPr>
      <w:rFonts w:ascii="宋体" w:hAnsi="宋体" w:cs="Arial"/>
      <w:szCs w:val="18"/>
    </w:rPr>
  </w:style>
  <w:style w:type="paragraph" w:customStyle="1" w:styleId="822">
    <w:name w:val="表格文字左"/>
    <w:basedOn w:val="821"/>
    <w:semiHidden/>
    <w:qFormat/>
    <w:uiPriority w:val="0"/>
    <w:pPr>
      <w:ind w:firstLine="180" w:firstLineChars="75"/>
      <w:jc w:val="left"/>
    </w:pPr>
  </w:style>
  <w:style w:type="paragraph" w:customStyle="1" w:styleId="823">
    <w:name w:val="佛山正文"/>
    <w:basedOn w:val="1"/>
    <w:qFormat/>
    <w:uiPriority w:val="0"/>
    <w:pPr>
      <w:tabs>
        <w:tab w:val="clear" w:pos="480"/>
      </w:tabs>
      <w:spacing w:line="400" w:lineRule="exact"/>
    </w:pPr>
  </w:style>
  <w:style w:type="paragraph" w:customStyle="1" w:styleId="824">
    <w:name w:val="样式qqq"/>
    <w:basedOn w:val="1"/>
    <w:qFormat/>
    <w:uiPriority w:val="0"/>
    <w:pPr>
      <w:tabs>
        <w:tab w:val="clear" w:pos="480"/>
      </w:tabs>
    </w:pPr>
    <w:rPr>
      <w:sz w:val="21"/>
    </w:rPr>
  </w:style>
  <w:style w:type="paragraph" w:customStyle="1" w:styleId="825">
    <w:name w:val="样式 表格1 + 段前: 4.65 磅"/>
    <w:basedOn w:val="178"/>
    <w:qFormat/>
    <w:uiPriority w:val="0"/>
    <w:pPr>
      <w:topLinePunct w:val="0"/>
      <w:autoSpaceDE/>
      <w:autoSpaceDN/>
      <w:spacing w:line="360" w:lineRule="exact"/>
    </w:pPr>
    <w:rPr>
      <w:rFonts w:ascii="CG Times (W1)" w:hAnsi="CG Times (W1)" w:cs="宋体"/>
      <w:kern w:val="0"/>
      <w:sz w:val="24"/>
    </w:rPr>
  </w:style>
  <w:style w:type="paragraph" w:customStyle="1" w:styleId="826">
    <w:name w:val="风险评价正文"/>
    <w:basedOn w:val="1"/>
    <w:qFormat/>
    <w:uiPriority w:val="0"/>
    <w:pPr>
      <w:tabs>
        <w:tab w:val="clear" w:pos="480"/>
      </w:tabs>
      <w:spacing w:line="324" w:lineRule="auto"/>
      <w:ind w:firstLine="512"/>
    </w:pPr>
    <w:rPr>
      <w:color w:val="0000FF"/>
      <w:spacing w:val="8"/>
    </w:rPr>
  </w:style>
  <w:style w:type="paragraph" w:customStyle="1" w:styleId="827">
    <w:name w:val="正文6"/>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paragraph" w:customStyle="1" w:styleId="828">
    <w:name w:val="Char2 Char Char Char Char Char Char"/>
    <w:basedOn w:val="1"/>
    <w:semiHidden/>
    <w:qFormat/>
    <w:uiPriority w:val="0"/>
    <w:pPr>
      <w:tabs>
        <w:tab w:val="clear" w:pos="480"/>
      </w:tabs>
      <w:spacing w:line="240" w:lineRule="auto"/>
    </w:pPr>
    <w:rPr>
      <w:sz w:val="21"/>
    </w:rPr>
  </w:style>
  <w:style w:type="character" w:customStyle="1" w:styleId="829">
    <w:name w:val="表标题 Char"/>
    <w:qFormat/>
    <w:uiPriority w:val="0"/>
    <w:rPr>
      <w:rFonts w:ascii="Times New Roman" w:hAnsi="Times New Roman" w:eastAsia="宋体" w:cs="Times New Roman"/>
      <w:b/>
      <w:snapToGrid w:val="0"/>
      <w:kern w:val="0"/>
      <w:sz w:val="24"/>
      <w:szCs w:val="20"/>
    </w:rPr>
  </w:style>
  <w:style w:type="paragraph" w:customStyle="1" w:styleId="830">
    <w:name w:val="南洋码头正文"/>
    <w:basedOn w:val="1"/>
    <w:qFormat/>
    <w:uiPriority w:val="0"/>
    <w:pPr>
      <w:tabs>
        <w:tab w:val="clear" w:pos="480"/>
      </w:tabs>
      <w:spacing w:line="324" w:lineRule="auto"/>
      <w:ind w:right="-50" w:rightChars="-50" w:firstLine="225" w:firstLineChars="225"/>
    </w:pPr>
    <w:rPr>
      <w:rFonts w:ascii="Times" w:hAnsi="Times"/>
      <w:color w:val="000000"/>
      <w:kern w:val="0"/>
      <w:szCs w:val="20"/>
    </w:rPr>
  </w:style>
  <w:style w:type="paragraph" w:customStyle="1" w:styleId="831">
    <w:name w:val="内容"/>
    <w:basedOn w:val="1"/>
    <w:link w:val="1324"/>
    <w:qFormat/>
    <w:uiPriority w:val="0"/>
    <w:pPr>
      <w:tabs>
        <w:tab w:val="clear" w:pos="480"/>
      </w:tabs>
      <w:adjustRightInd w:val="0"/>
      <w:snapToGrid w:val="0"/>
      <w:ind w:right="-2" w:firstLine="480"/>
    </w:pPr>
    <w:rPr>
      <w:rFonts w:ascii="Arial" w:hAnsi="Arial"/>
      <w:bCs/>
      <w:color w:val="000000"/>
      <w:kern w:val="0"/>
      <w:lang w:val="zh-CN"/>
    </w:rPr>
  </w:style>
  <w:style w:type="paragraph" w:customStyle="1" w:styleId="832">
    <w:name w:val="缩进正文"/>
    <w:basedOn w:val="35"/>
    <w:qFormat/>
    <w:uiPriority w:val="0"/>
    <w:pPr>
      <w:tabs>
        <w:tab w:val="clear" w:pos="480"/>
      </w:tabs>
      <w:adjustRightInd w:val="0"/>
      <w:snapToGrid w:val="0"/>
      <w:spacing w:line="300" w:lineRule="auto"/>
      <w:ind w:firstLine="200" w:firstLineChars="0"/>
    </w:pPr>
    <w:rPr>
      <w:rFonts w:ascii="宋体"/>
      <w:kern w:val="0"/>
      <w:sz w:val="28"/>
      <w:szCs w:val="20"/>
    </w:rPr>
  </w:style>
  <w:style w:type="paragraph" w:customStyle="1" w:styleId="833">
    <w:name w:val="正文文字（首行缩进2字）"/>
    <w:basedOn w:val="1"/>
    <w:semiHidden/>
    <w:qFormat/>
    <w:uiPriority w:val="0"/>
    <w:pPr>
      <w:tabs>
        <w:tab w:val="clear" w:pos="480"/>
      </w:tabs>
      <w:ind w:left="140" w:leftChars="50" w:right="140" w:rightChars="50" w:firstLine="560"/>
    </w:pPr>
    <w:rPr>
      <w:rFonts w:ascii="Arial" w:hAnsi="Arial" w:eastAsia="仿宋_GB2312"/>
      <w:position w:val="-30"/>
      <w:sz w:val="28"/>
    </w:rPr>
  </w:style>
  <w:style w:type="paragraph" w:customStyle="1" w:styleId="834">
    <w:name w:val="表格内部"/>
    <w:basedOn w:val="1"/>
    <w:semiHidden/>
    <w:qFormat/>
    <w:uiPriority w:val="0"/>
    <w:pPr>
      <w:tabs>
        <w:tab w:val="clear" w:pos="480"/>
      </w:tabs>
      <w:adjustRightInd w:val="0"/>
      <w:snapToGrid w:val="0"/>
      <w:spacing w:line="300" w:lineRule="auto"/>
      <w:jc w:val="center"/>
    </w:pPr>
    <w:rPr>
      <w:rFonts w:ascii="Arial" w:hAnsi="Arial" w:eastAsia="仿宋_GB2312"/>
      <w:sz w:val="21"/>
    </w:rPr>
  </w:style>
  <w:style w:type="paragraph" w:customStyle="1" w:styleId="835">
    <w:name w:val="shsj"/>
    <w:basedOn w:val="1"/>
    <w:semiHidden/>
    <w:qFormat/>
    <w:uiPriority w:val="0"/>
    <w:pPr>
      <w:tabs>
        <w:tab w:val="clear" w:pos="480"/>
      </w:tabs>
      <w:spacing w:line="480" w:lineRule="exact"/>
      <w:ind w:firstLine="567"/>
    </w:pPr>
    <w:rPr>
      <w:sz w:val="28"/>
      <w:szCs w:val="20"/>
    </w:rPr>
  </w:style>
  <w:style w:type="paragraph" w:customStyle="1" w:styleId="836">
    <w:name w:val="xxq"/>
    <w:basedOn w:val="21"/>
    <w:semiHidden/>
    <w:qFormat/>
    <w:uiPriority w:val="0"/>
    <w:pPr>
      <w:tabs>
        <w:tab w:val="clear" w:pos="480"/>
      </w:tabs>
      <w:adjustRightInd w:val="0"/>
      <w:snapToGrid w:val="0"/>
      <w:spacing w:beforeLines="50"/>
      <w:ind w:firstLine="424"/>
    </w:pPr>
    <w:rPr>
      <w:rFonts w:hAnsi="宋体"/>
      <w:snapToGrid w:val="0"/>
      <w:kern w:val="0"/>
    </w:rPr>
  </w:style>
  <w:style w:type="paragraph" w:customStyle="1" w:styleId="837">
    <w:name w:val="È±Ê¡ÎÄ±¾"/>
    <w:basedOn w:val="1"/>
    <w:semiHidden/>
    <w:qFormat/>
    <w:uiPriority w:val="0"/>
    <w:pPr>
      <w:widowControl/>
      <w:tabs>
        <w:tab w:val="clear" w:pos="480"/>
      </w:tabs>
      <w:overflowPunct w:val="0"/>
      <w:autoSpaceDE w:val="0"/>
      <w:autoSpaceDN w:val="0"/>
      <w:adjustRightInd w:val="0"/>
      <w:jc w:val="left"/>
      <w:textAlignment w:val="baseline"/>
    </w:pPr>
    <w:rPr>
      <w:rFonts w:ascii="宋体" w:hAnsi="宋体" w:cs="宋体"/>
      <w:kern w:val="0"/>
    </w:rPr>
  </w:style>
  <w:style w:type="paragraph" w:customStyle="1" w:styleId="838">
    <w:name w:val="Char Char Char1 Char Char Char Char Char Char Char Char Char Char Char Char Char"/>
    <w:basedOn w:val="6"/>
    <w:semiHidden/>
    <w:qFormat/>
    <w:uiPriority w:val="0"/>
    <w:pPr>
      <w:widowControl/>
      <w:numPr>
        <w:ilvl w:val="0"/>
        <w:numId w:val="0"/>
      </w:numPr>
      <w:tabs>
        <w:tab w:val="clear" w:pos="480"/>
      </w:tabs>
      <w:spacing w:before="120" w:after="120"/>
      <w:jc w:val="left"/>
    </w:pPr>
    <w:rPr>
      <w:rFonts w:ascii="Times New Roman" w:hAnsi="Times New Roman"/>
      <w:b w:val="0"/>
      <w:bCs w:val="0"/>
      <w:kern w:val="0"/>
    </w:rPr>
  </w:style>
  <w:style w:type="paragraph" w:customStyle="1" w:styleId="839">
    <w:name w:val="样式 标题 2 + 宋体 居中"/>
    <w:basedOn w:val="1"/>
    <w:qFormat/>
    <w:uiPriority w:val="0"/>
    <w:pPr>
      <w:numPr>
        <w:ilvl w:val="1"/>
        <w:numId w:val="16"/>
      </w:numPr>
      <w:tabs>
        <w:tab w:val="clear" w:pos="480"/>
      </w:tabs>
      <w:spacing w:line="240" w:lineRule="auto"/>
    </w:pPr>
    <w:rPr>
      <w:sz w:val="21"/>
      <w:szCs w:val="21"/>
    </w:rPr>
  </w:style>
  <w:style w:type="paragraph" w:customStyle="1" w:styleId="840">
    <w:name w:val="样式 标题 3 + 段后: 0 磅 行距: 1.5 倍行距1"/>
    <w:basedOn w:val="1"/>
    <w:qFormat/>
    <w:uiPriority w:val="0"/>
    <w:pPr>
      <w:tabs>
        <w:tab w:val="left" w:pos="709"/>
        <w:tab w:val="clear" w:pos="480"/>
      </w:tabs>
      <w:spacing w:line="240" w:lineRule="auto"/>
      <w:ind w:left="709" w:hanging="709"/>
    </w:pPr>
    <w:rPr>
      <w:szCs w:val="21"/>
    </w:rPr>
  </w:style>
  <w:style w:type="paragraph" w:customStyle="1" w:styleId="841">
    <w:name w:val="标题 1 宋体 三号 Char Char"/>
    <w:basedOn w:val="3"/>
    <w:semiHidden/>
    <w:qFormat/>
    <w:uiPriority w:val="0"/>
    <w:pPr>
      <w:numPr>
        <w:ilvl w:val="0"/>
        <w:numId w:val="16"/>
      </w:numPr>
      <w:tabs>
        <w:tab w:val="clear" w:pos="480"/>
      </w:tabs>
      <w:spacing w:beforeLines="50" w:afterLines="50"/>
      <w:jc w:val="center"/>
    </w:pPr>
    <w:rPr>
      <w:rFonts w:ascii="宋体" w:hAnsi="宋体" w:eastAsia="宋体"/>
      <w:sz w:val="32"/>
    </w:rPr>
  </w:style>
  <w:style w:type="paragraph" w:customStyle="1" w:styleId="842">
    <w:name w:val="样式 标题 4 + (符号) 宋体 小四 非加粗 两端对齐 Char Char Char"/>
    <w:basedOn w:val="1"/>
    <w:qFormat/>
    <w:uiPriority w:val="0"/>
    <w:pPr>
      <w:tabs>
        <w:tab w:val="left" w:pos="425"/>
        <w:tab w:val="clear" w:pos="480"/>
      </w:tabs>
      <w:spacing w:line="240" w:lineRule="auto"/>
      <w:ind w:left="360" w:hanging="360"/>
    </w:pPr>
    <w:rPr>
      <w:sz w:val="21"/>
      <w:szCs w:val="21"/>
    </w:rPr>
  </w:style>
  <w:style w:type="paragraph" w:customStyle="1" w:styleId="843">
    <w:name w:val="样式 标题 4 + (符号) 宋体 小四 非加粗 两端对齐"/>
    <w:basedOn w:val="1"/>
    <w:qFormat/>
    <w:uiPriority w:val="0"/>
    <w:pPr>
      <w:tabs>
        <w:tab w:val="left" w:pos="425"/>
        <w:tab w:val="clear" w:pos="480"/>
      </w:tabs>
      <w:spacing w:line="240" w:lineRule="auto"/>
      <w:ind w:left="360" w:hanging="360"/>
    </w:pPr>
    <w:rPr>
      <w:sz w:val="21"/>
      <w:szCs w:val="21"/>
    </w:rPr>
  </w:style>
  <w:style w:type="paragraph" w:customStyle="1" w:styleId="844">
    <w:name w:val="标题 1 宋体 三号"/>
    <w:basedOn w:val="3"/>
    <w:semiHidden/>
    <w:qFormat/>
    <w:uiPriority w:val="0"/>
    <w:pPr>
      <w:tabs>
        <w:tab w:val="left" w:pos="425"/>
        <w:tab w:val="clear" w:pos="480"/>
      </w:tabs>
      <w:spacing w:beforeLines="50" w:afterLines="50"/>
      <w:ind w:left="425" w:hanging="425"/>
      <w:jc w:val="center"/>
    </w:pPr>
    <w:rPr>
      <w:rFonts w:ascii="宋体" w:hAnsi="宋体" w:eastAsia="宋体"/>
      <w:sz w:val="32"/>
    </w:rPr>
  </w:style>
  <w:style w:type="paragraph" w:customStyle="1" w:styleId="845">
    <w:name w:val="样式 标题 4 + (符号) 宋体 小四 非加粗 两端对齐 Char"/>
    <w:basedOn w:val="1"/>
    <w:qFormat/>
    <w:uiPriority w:val="0"/>
    <w:pPr>
      <w:tabs>
        <w:tab w:val="left" w:pos="425"/>
        <w:tab w:val="clear" w:pos="480"/>
      </w:tabs>
      <w:spacing w:line="240" w:lineRule="auto"/>
      <w:ind w:left="360" w:hanging="360"/>
    </w:pPr>
    <w:rPr>
      <w:sz w:val="21"/>
      <w:szCs w:val="21"/>
    </w:rPr>
  </w:style>
  <w:style w:type="paragraph" w:customStyle="1" w:styleId="846">
    <w:name w:val="标题 1 宋体 三号 Char"/>
    <w:basedOn w:val="3"/>
    <w:semiHidden/>
    <w:qFormat/>
    <w:uiPriority w:val="0"/>
    <w:pPr>
      <w:tabs>
        <w:tab w:val="left" w:pos="425"/>
        <w:tab w:val="clear" w:pos="480"/>
      </w:tabs>
      <w:spacing w:beforeLines="50" w:afterLines="50"/>
      <w:ind w:left="425" w:hanging="425"/>
      <w:jc w:val="center"/>
    </w:pPr>
    <w:rPr>
      <w:rFonts w:ascii="宋体" w:hAnsi="宋体" w:eastAsia="宋体"/>
      <w:sz w:val="32"/>
    </w:rPr>
  </w:style>
  <w:style w:type="paragraph" w:customStyle="1" w:styleId="847">
    <w:name w:val="Achievement"/>
    <w:basedOn w:val="2"/>
    <w:semiHidden/>
    <w:qFormat/>
    <w:uiPriority w:val="0"/>
    <w:pPr>
      <w:widowControl/>
      <w:spacing w:after="60" w:line="220" w:lineRule="atLeast"/>
      <w:ind w:left="245" w:right="-360" w:hanging="245"/>
      <w:jc w:val="left"/>
    </w:pPr>
    <w:rPr>
      <w:rFonts w:ascii="Times New Roman" w:hAnsi="Times New Roman"/>
      <w:kern w:val="0"/>
      <w:sz w:val="20"/>
    </w:rPr>
  </w:style>
  <w:style w:type="paragraph" w:customStyle="1" w:styleId="848">
    <w:name w:val="正文－ST4"/>
    <w:basedOn w:val="1"/>
    <w:qFormat/>
    <w:uiPriority w:val="0"/>
    <w:pPr>
      <w:tabs>
        <w:tab w:val="clear" w:pos="480"/>
      </w:tabs>
      <w:adjustRightInd w:val="0"/>
      <w:snapToGrid w:val="0"/>
      <w:ind w:left="240" w:leftChars="100" w:right="-57" w:firstLine="480"/>
    </w:pPr>
    <w:rPr>
      <w:kern w:val="0"/>
    </w:rPr>
  </w:style>
  <w:style w:type="paragraph" w:customStyle="1" w:styleId="849">
    <w:name w:val="一级列表"/>
    <w:basedOn w:val="1"/>
    <w:qFormat/>
    <w:uiPriority w:val="0"/>
    <w:pPr>
      <w:tabs>
        <w:tab w:val="left" w:pos="420"/>
        <w:tab w:val="clear" w:pos="480"/>
      </w:tabs>
      <w:ind w:left="420" w:hanging="420"/>
    </w:pPr>
    <w:rPr>
      <w:szCs w:val="20"/>
    </w:rPr>
  </w:style>
  <w:style w:type="paragraph" w:customStyle="1" w:styleId="850">
    <w:name w:val="Char Char2 Char Char Char Char Char Char Char Char Char Char Char Char Char Char Char Char Char Char Char Char Char Char Char"/>
    <w:basedOn w:val="1"/>
    <w:semiHidden/>
    <w:qFormat/>
    <w:uiPriority w:val="0"/>
    <w:pPr>
      <w:tabs>
        <w:tab w:val="clear" w:pos="480"/>
      </w:tabs>
      <w:spacing w:line="240" w:lineRule="auto"/>
    </w:pPr>
    <w:rPr>
      <w:sz w:val="21"/>
      <w:szCs w:val="21"/>
    </w:rPr>
  </w:style>
  <w:style w:type="paragraph" w:customStyle="1" w:styleId="851">
    <w:name w:val="缺省文本"/>
    <w:basedOn w:val="1"/>
    <w:qFormat/>
    <w:uiPriority w:val="0"/>
    <w:pPr>
      <w:tabs>
        <w:tab w:val="clear" w:pos="480"/>
      </w:tabs>
      <w:autoSpaceDE w:val="0"/>
      <w:autoSpaceDN w:val="0"/>
      <w:adjustRightInd w:val="0"/>
      <w:spacing w:line="240" w:lineRule="auto"/>
      <w:jc w:val="left"/>
    </w:pPr>
    <w:rPr>
      <w:kern w:val="0"/>
    </w:rPr>
  </w:style>
  <w:style w:type="paragraph" w:customStyle="1" w:styleId="852">
    <w:name w:val="样式12"/>
    <w:basedOn w:val="3"/>
    <w:qFormat/>
    <w:uiPriority w:val="0"/>
    <w:pPr>
      <w:keepLines w:val="0"/>
      <w:tabs>
        <w:tab w:val="left" w:pos="495"/>
        <w:tab w:val="clear" w:pos="480"/>
      </w:tabs>
      <w:spacing w:beforeLines="50" w:afterLines="50" w:line="240" w:lineRule="auto"/>
      <w:ind w:left="495" w:hanging="375"/>
    </w:pPr>
    <w:rPr>
      <w:rFonts w:ascii="黑体" w:eastAsia="黑体"/>
      <w:bCs w:val="0"/>
      <w:kern w:val="2"/>
      <w:sz w:val="28"/>
      <w:szCs w:val="28"/>
    </w:rPr>
  </w:style>
  <w:style w:type="paragraph" w:customStyle="1" w:styleId="853">
    <w:name w:val="样式 样式 样式12 + 行距: 多倍行距 1.25 字行 + 行距: 1.5 倍行距"/>
    <w:basedOn w:val="1"/>
    <w:qFormat/>
    <w:uiPriority w:val="0"/>
    <w:pPr>
      <w:widowControl/>
      <w:tabs>
        <w:tab w:val="left" w:pos="864"/>
        <w:tab w:val="clear" w:pos="480"/>
      </w:tabs>
      <w:snapToGrid w:val="0"/>
      <w:spacing w:line="480" w:lineRule="auto"/>
      <w:ind w:firstLine="504"/>
      <w:outlineLvl w:val="0"/>
    </w:pPr>
    <w:rPr>
      <w:rFonts w:ascii="黑体" w:eastAsia="黑体"/>
      <w:b/>
      <w:bCs/>
      <w:sz w:val="28"/>
      <w:szCs w:val="28"/>
    </w:rPr>
  </w:style>
  <w:style w:type="character" w:customStyle="1" w:styleId="854">
    <w:name w:val="样式 正文文字缩进 2 + 四号 Char"/>
    <w:qFormat/>
    <w:uiPriority w:val="0"/>
    <w:rPr>
      <w:rFonts w:eastAsia="宋体"/>
      <w:kern w:val="2"/>
      <w:sz w:val="28"/>
      <w:lang w:val="en-US" w:eastAsia="zh-CN" w:bidi="ar-SA"/>
    </w:rPr>
  </w:style>
  <w:style w:type="paragraph" w:customStyle="1" w:styleId="855">
    <w:name w:val="样式6"/>
    <w:basedOn w:val="7"/>
    <w:qFormat/>
    <w:uiPriority w:val="0"/>
    <w:pPr>
      <w:numPr>
        <w:ilvl w:val="0"/>
        <w:numId w:val="0"/>
      </w:numPr>
      <w:tabs>
        <w:tab w:val="clear" w:pos="480"/>
      </w:tabs>
      <w:spacing w:before="280" w:after="290" w:line="300" w:lineRule="auto"/>
    </w:pPr>
    <w:rPr>
      <w:rFonts w:ascii="Times New Roman" w:hAnsi="Times New Roman" w:eastAsia="宋体"/>
      <w:bCs/>
      <w:sz w:val="28"/>
      <w:szCs w:val="28"/>
    </w:rPr>
  </w:style>
  <w:style w:type="character" w:customStyle="1" w:styleId="856">
    <w:name w:val="headline-content"/>
    <w:basedOn w:val="133"/>
    <w:qFormat/>
    <w:uiPriority w:val="0"/>
  </w:style>
  <w:style w:type="paragraph" w:customStyle="1" w:styleId="857">
    <w:name w:val="样式 样式12 + 行距: 多倍行距 1.25 字行"/>
    <w:basedOn w:val="1"/>
    <w:qFormat/>
    <w:uiPriority w:val="0"/>
    <w:pPr>
      <w:keepNext/>
      <w:tabs>
        <w:tab w:val="left" w:pos="425"/>
        <w:tab w:val="clear" w:pos="480"/>
      </w:tabs>
      <w:snapToGrid w:val="0"/>
      <w:spacing w:line="336" w:lineRule="auto"/>
      <w:ind w:left="425" w:hanging="425"/>
      <w:outlineLvl w:val="0"/>
    </w:pPr>
    <w:rPr>
      <w:rFonts w:hint="eastAsia" w:ascii="黑体" w:eastAsia="黑体"/>
      <w:b/>
      <w:bCs/>
      <w:sz w:val="28"/>
      <w:szCs w:val="20"/>
    </w:rPr>
  </w:style>
  <w:style w:type="paragraph" w:customStyle="1" w:styleId="858">
    <w:name w:val="样式 正文文字缩进 2 + 四号"/>
    <w:basedOn w:val="51"/>
    <w:qFormat/>
    <w:uiPriority w:val="0"/>
    <w:pPr>
      <w:spacing w:line="300" w:lineRule="auto"/>
      <w:ind w:left="0" w:firstLine="539" w:firstLineChars="0"/>
    </w:pPr>
    <w:rPr>
      <w:spacing w:val="0"/>
      <w:kern w:val="2"/>
      <w:sz w:val="28"/>
      <w:szCs w:val="20"/>
    </w:rPr>
  </w:style>
  <w:style w:type="paragraph" w:customStyle="1" w:styleId="859">
    <w:name w:val="样式 样式 样式 样式12 + 行距: 多倍行距 1.25 字行 + 行距: 1.5 倍行距 + Times New Roman"/>
    <w:basedOn w:val="853"/>
    <w:qFormat/>
    <w:uiPriority w:val="0"/>
    <w:pPr>
      <w:tabs>
        <w:tab w:val="left" w:pos="425"/>
        <w:tab w:val="clear" w:pos="864"/>
      </w:tabs>
      <w:ind w:left="425" w:hanging="425"/>
    </w:pPr>
    <w:rPr>
      <w:rFonts w:ascii="Times New Roman"/>
    </w:rPr>
  </w:style>
  <w:style w:type="paragraph" w:customStyle="1" w:styleId="860">
    <w:name w:val="样式 样式 样式 样式12 + 行距: 多倍行距 1.25 字行 + 行距: 1.5 倍行距 + 左侧:  0 厘米 首行缩进..."/>
    <w:basedOn w:val="853"/>
    <w:qFormat/>
    <w:uiPriority w:val="0"/>
    <w:pPr>
      <w:tabs>
        <w:tab w:val="left" w:pos="425"/>
        <w:tab w:val="clear" w:pos="864"/>
      </w:tabs>
      <w:spacing w:line="360" w:lineRule="auto"/>
      <w:ind w:firstLine="0"/>
    </w:pPr>
    <w:rPr>
      <w:rFonts w:hint="eastAsia"/>
      <w:szCs w:val="20"/>
    </w:rPr>
  </w:style>
  <w:style w:type="character" w:customStyle="1" w:styleId="861">
    <w:name w:val="样式 三号 加粗"/>
    <w:qFormat/>
    <w:uiPriority w:val="0"/>
    <w:rPr>
      <w:b/>
      <w:bCs/>
      <w:sz w:val="32"/>
    </w:rPr>
  </w:style>
  <w:style w:type="character" w:customStyle="1" w:styleId="862">
    <w:name w:val="正文文字缩进 2 Char"/>
    <w:qFormat/>
    <w:uiPriority w:val="0"/>
    <w:rPr>
      <w:rFonts w:eastAsia="宋体"/>
      <w:kern w:val="2"/>
      <w:sz w:val="21"/>
      <w:lang w:val="en-US" w:eastAsia="zh-CN" w:bidi="ar-SA"/>
    </w:rPr>
  </w:style>
  <w:style w:type="character" w:customStyle="1" w:styleId="863">
    <w:name w:val="样式12 Char"/>
    <w:qFormat/>
    <w:uiPriority w:val="0"/>
    <w:rPr>
      <w:rFonts w:ascii="黑体" w:eastAsia="黑体"/>
      <w:b/>
      <w:bCs/>
      <w:kern w:val="2"/>
      <w:sz w:val="28"/>
      <w:szCs w:val="28"/>
      <w:lang w:val="en-US" w:eastAsia="zh-CN" w:bidi="ar-SA"/>
    </w:rPr>
  </w:style>
  <w:style w:type="character" w:customStyle="1" w:styleId="864">
    <w:name w:val="样式 样式12 + 行距: 多倍行距 1.25 字行 Char"/>
    <w:qFormat/>
    <w:uiPriority w:val="0"/>
    <w:rPr>
      <w:rFonts w:ascii="黑体" w:eastAsia="黑体" w:cs="宋体"/>
      <w:b/>
      <w:bCs/>
      <w:kern w:val="2"/>
      <w:sz w:val="28"/>
      <w:szCs w:val="28"/>
      <w:lang w:val="en-US" w:eastAsia="zh-CN" w:bidi="ar-SA"/>
    </w:rPr>
  </w:style>
  <w:style w:type="character" w:customStyle="1" w:styleId="865">
    <w:name w:val="样式 样式 样式12 + 行距: 多倍行距 1.25 字行 + 行距: 1.5 倍行距 Char"/>
    <w:qFormat/>
    <w:uiPriority w:val="0"/>
    <w:rPr>
      <w:rFonts w:ascii="黑体" w:eastAsia="黑体" w:cs="宋体"/>
      <w:kern w:val="2"/>
      <w:sz w:val="28"/>
      <w:szCs w:val="28"/>
      <w:lang w:val="en-US" w:eastAsia="zh-CN" w:bidi="ar-SA"/>
    </w:rPr>
  </w:style>
  <w:style w:type="character" w:customStyle="1" w:styleId="866">
    <w:name w:val="样式 样式 样式 样式12 + 行距: 多倍行距 1.25 字行 + 行距: 1.5 倍行距 + Times New Roman Char"/>
    <w:qFormat/>
    <w:uiPriority w:val="0"/>
    <w:rPr>
      <w:rFonts w:ascii="黑体" w:eastAsia="黑体" w:cs="宋体"/>
      <w:b/>
      <w:bCs/>
      <w:kern w:val="2"/>
      <w:sz w:val="28"/>
      <w:szCs w:val="28"/>
      <w:lang w:val="en-US" w:eastAsia="zh-CN" w:bidi="ar-SA"/>
    </w:rPr>
  </w:style>
  <w:style w:type="paragraph" w:customStyle="1" w:styleId="867">
    <w:name w:val="样式 标题 2 + 行距: 多倍行距 1.4 字行"/>
    <w:basedOn w:val="4"/>
    <w:qFormat/>
    <w:uiPriority w:val="0"/>
    <w:pPr>
      <w:keepNext w:val="0"/>
      <w:tabs>
        <w:tab w:val="clear" w:pos="480"/>
        <w:tab w:val="clear" w:pos="630"/>
      </w:tabs>
      <w:adjustRightInd w:val="0"/>
      <w:snapToGrid w:val="0"/>
      <w:spacing w:before="0" w:beforeAutospacing="1" w:after="100" w:afterAutospacing="1"/>
      <w:ind w:left="100" w:leftChars="85" w:right="100" w:rightChars="104" w:firstLine="113"/>
      <w:jc w:val="center"/>
      <w:textAlignment w:val="baseline"/>
    </w:pPr>
    <w:rPr>
      <w:rFonts w:ascii="宋体" w:hAnsi="宋体"/>
      <w:b w:val="0"/>
      <w:bCs w:val="0"/>
      <w:kern w:val="0"/>
      <w:sz w:val="28"/>
      <w:szCs w:val="20"/>
    </w:rPr>
  </w:style>
  <w:style w:type="paragraph" w:customStyle="1" w:styleId="868">
    <w:name w:val="Table"/>
    <w:basedOn w:val="1"/>
    <w:next w:val="1"/>
    <w:semiHidden/>
    <w:qFormat/>
    <w:uiPriority w:val="0"/>
    <w:pPr>
      <w:widowControl/>
      <w:tabs>
        <w:tab w:val="clear" w:pos="480"/>
      </w:tabs>
      <w:spacing w:line="240" w:lineRule="auto"/>
      <w:jc w:val="center"/>
    </w:pPr>
    <w:rPr>
      <w:kern w:val="0"/>
      <w:sz w:val="20"/>
      <w:szCs w:val="20"/>
      <w:lang w:val="en-GB"/>
    </w:rPr>
  </w:style>
  <w:style w:type="paragraph" w:customStyle="1" w:styleId="869">
    <w:name w:val="条款"/>
    <w:basedOn w:val="1"/>
    <w:next w:val="45"/>
    <w:qFormat/>
    <w:uiPriority w:val="0"/>
    <w:pPr>
      <w:tabs>
        <w:tab w:val="clear" w:pos="480"/>
      </w:tabs>
      <w:spacing w:line="240" w:lineRule="auto"/>
    </w:pPr>
    <w:rPr>
      <w:rFonts w:ascii="宋体" w:hAnsi="Courier New"/>
      <w:sz w:val="28"/>
      <w:szCs w:val="20"/>
    </w:rPr>
  </w:style>
  <w:style w:type="paragraph" w:customStyle="1" w:styleId="870">
    <w:name w:val="正缩进"/>
    <w:basedOn w:val="1"/>
    <w:qFormat/>
    <w:uiPriority w:val="0"/>
    <w:pPr>
      <w:tabs>
        <w:tab w:val="clear" w:pos="480"/>
      </w:tabs>
      <w:ind w:firstLine="454"/>
    </w:pPr>
    <w:rPr>
      <w:szCs w:val="20"/>
    </w:rPr>
  </w:style>
  <w:style w:type="character" w:customStyle="1" w:styleId="871">
    <w:name w:val="信息标题 字符"/>
    <w:link w:val="79"/>
    <w:qFormat/>
    <w:uiPriority w:val="0"/>
    <w:rPr>
      <w:rFonts w:ascii="Arial" w:hAnsi="Arial" w:eastAsia="宋体" w:cs="Arial"/>
      <w:kern w:val="2"/>
      <w:sz w:val="24"/>
      <w:szCs w:val="24"/>
      <w:lang w:val="en-US" w:eastAsia="zh-CN" w:bidi="ar-SA"/>
    </w:rPr>
  </w:style>
  <w:style w:type="paragraph" w:customStyle="1" w:styleId="872">
    <w:name w:val="referenze"/>
    <w:basedOn w:val="21"/>
    <w:semiHidden/>
    <w:qFormat/>
    <w:uiPriority w:val="0"/>
    <w:pPr>
      <w:widowControl/>
      <w:tabs>
        <w:tab w:val="clear" w:pos="480"/>
      </w:tabs>
      <w:spacing w:line="240" w:lineRule="atLeast"/>
      <w:ind w:left="1701" w:right="851" w:hanging="708" w:firstLineChars="0"/>
    </w:pPr>
    <w:rPr>
      <w:rFonts w:ascii="Arial" w:hAnsi="Arial"/>
      <w:kern w:val="0"/>
      <w:sz w:val="22"/>
      <w:szCs w:val="20"/>
      <w:lang w:val="en-GB" w:eastAsia="it-IT"/>
    </w:rPr>
  </w:style>
  <w:style w:type="paragraph" w:customStyle="1" w:styleId="873">
    <w:name w:val="puce"/>
    <w:basedOn w:val="1"/>
    <w:semiHidden/>
    <w:qFormat/>
    <w:uiPriority w:val="0"/>
    <w:pPr>
      <w:widowControl/>
      <w:tabs>
        <w:tab w:val="left" w:pos="840"/>
        <w:tab w:val="left" w:pos="8647"/>
        <w:tab w:val="clear" w:pos="480"/>
      </w:tabs>
      <w:adjustRightInd w:val="0"/>
      <w:snapToGrid w:val="0"/>
      <w:spacing w:after="120" w:line="320" w:lineRule="exact"/>
      <w:ind w:left="851" w:hanging="284"/>
    </w:pPr>
    <w:rPr>
      <w:rFonts w:ascii="宋体" w:hAnsi="宋体"/>
      <w:color w:val="000000"/>
      <w:kern w:val="0"/>
      <w:szCs w:val="20"/>
      <w:lang w:val="fr-FR"/>
    </w:rPr>
  </w:style>
  <w:style w:type="paragraph" w:customStyle="1" w:styleId="874">
    <w:name w:val="样式 首行缩进:  2 字符 段前: 0.5 行"/>
    <w:basedOn w:val="1"/>
    <w:qFormat/>
    <w:uiPriority w:val="0"/>
    <w:pPr>
      <w:keepNext/>
      <w:tabs>
        <w:tab w:val="clear" w:pos="480"/>
      </w:tabs>
      <w:snapToGrid w:val="0"/>
      <w:spacing w:line="300" w:lineRule="auto"/>
    </w:pPr>
    <w:rPr>
      <w:rFonts w:ascii="宋体"/>
      <w:sz w:val="28"/>
      <w:szCs w:val="20"/>
    </w:rPr>
  </w:style>
  <w:style w:type="paragraph" w:customStyle="1" w:styleId="875">
    <w:name w:val="样式 标题 7 + 段前: 0.5 行"/>
    <w:basedOn w:val="9"/>
    <w:qFormat/>
    <w:uiPriority w:val="0"/>
    <w:pPr>
      <w:keepLines w:val="0"/>
      <w:numPr>
        <w:ilvl w:val="0"/>
        <w:numId w:val="0"/>
      </w:numPr>
      <w:tabs>
        <w:tab w:val="left" w:pos="360"/>
        <w:tab w:val="left" w:pos="432"/>
        <w:tab w:val="clear" w:pos="480"/>
      </w:tabs>
      <w:autoSpaceDE/>
      <w:autoSpaceDN/>
      <w:adjustRightInd/>
      <w:snapToGrid w:val="0"/>
      <w:spacing w:before="0" w:after="0" w:line="300" w:lineRule="auto"/>
      <w:jc w:val="center"/>
      <w:textAlignment w:val="auto"/>
    </w:pPr>
    <w:rPr>
      <w:rFonts w:ascii="黑体" w:hAnsi="Times New Roman" w:eastAsia="黑体"/>
      <w:b w:val="0"/>
      <w:kern w:val="2"/>
    </w:rPr>
  </w:style>
  <w:style w:type="paragraph" w:customStyle="1" w:styleId="876">
    <w:name w:val="报告名"/>
    <w:basedOn w:val="1"/>
    <w:semiHidden/>
    <w:qFormat/>
    <w:uiPriority w:val="0"/>
    <w:pPr>
      <w:keepNext/>
      <w:tabs>
        <w:tab w:val="clear" w:pos="480"/>
      </w:tabs>
      <w:adjustRightInd w:val="0"/>
      <w:snapToGrid w:val="0"/>
      <w:spacing w:beforeLines="50" w:line="300" w:lineRule="auto"/>
      <w:ind w:firstLine="5" w:firstLineChars="2"/>
      <w:jc w:val="center"/>
    </w:pPr>
    <w:rPr>
      <w:rFonts w:ascii="文鼎大标宋简" w:eastAsia="文鼎大标宋简"/>
      <w:sz w:val="56"/>
      <w:szCs w:val="20"/>
    </w:rPr>
  </w:style>
  <w:style w:type="paragraph" w:customStyle="1" w:styleId="877">
    <w:name w:val="编制单位"/>
    <w:basedOn w:val="1"/>
    <w:semiHidden/>
    <w:qFormat/>
    <w:uiPriority w:val="0"/>
    <w:pPr>
      <w:keepNext/>
      <w:tabs>
        <w:tab w:val="clear" w:pos="480"/>
      </w:tabs>
      <w:snapToGrid w:val="0"/>
      <w:spacing w:beforeLines="50" w:line="300" w:lineRule="auto"/>
      <w:jc w:val="center"/>
    </w:pPr>
    <w:rPr>
      <w:rFonts w:ascii="黑体" w:eastAsia="黑体"/>
      <w:sz w:val="32"/>
      <w:szCs w:val="20"/>
    </w:rPr>
  </w:style>
  <w:style w:type="paragraph" w:customStyle="1" w:styleId="878">
    <w:name w:val="编制人员"/>
    <w:basedOn w:val="1"/>
    <w:semiHidden/>
    <w:qFormat/>
    <w:uiPriority w:val="0"/>
    <w:pPr>
      <w:keepNext/>
      <w:tabs>
        <w:tab w:val="clear" w:pos="480"/>
      </w:tabs>
      <w:snapToGrid w:val="0"/>
      <w:spacing w:line="300" w:lineRule="auto"/>
      <w:jc w:val="center"/>
    </w:pPr>
    <w:rPr>
      <w:rFonts w:ascii="黑体" w:eastAsia="黑体"/>
      <w:sz w:val="32"/>
      <w:szCs w:val="20"/>
    </w:rPr>
  </w:style>
  <w:style w:type="paragraph" w:customStyle="1" w:styleId="879">
    <w:name w:val="编制日期"/>
    <w:basedOn w:val="1"/>
    <w:qFormat/>
    <w:uiPriority w:val="0"/>
    <w:pPr>
      <w:keepNext/>
      <w:tabs>
        <w:tab w:val="clear" w:pos="480"/>
      </w:tabs>
      <w:snapToGrid w:val="0"/>
      <w:spacing w:line="300" w:lineRule="auto"/>
      <w:jc w:val="center"/>
    </w:pPr>
    <w:rPr>
      <w:rFonts w:ascii="宋体"/>
      <w:sz w:val="32"/>
      <w:szCs w:val="20"/>
    </w:rPr>
  </w:style>
  <w:style w:type="paragraph" w:customStyle="1" w:styleId="880">
    <w:name w:val="专业签署"/>
    <w:basedOn w:val="1"/>
    <w:qFormat/>
    <w:uiPriority w:val="0"/>
    <w:pPr>
      <w:keepNext/>
      <w:tabs>
        <w:tab w:val="clear" w:pos="480"/>
      </w:tabs>
      <w:snapToGrid w:val="0"/>
      <w:spacing w:beforeLines="50" w:after="120" w:line="300" w:lineRule="auto"/>
      <w:jc w:val="center"/>
    </w:pPr>
    <w:rPr>
      <w:rFonts w:ascii="宋体"/>
      <w:sz w:val="32"/>
      <w:szCs w:val="20"/>
    </w:rPr>
  </w:style>
  <w:style w:type="paragraph" w:customStyle="1" w:styleId="881">
    <w:name w:val="表右"/>
    <w:basedOn w:val="1"/>
    <w:qFormat/>
    <w:uiPriority w:val="0"/>
    <w:pPr>
      <w:keepNext/>
      <w:tabs>
        <w:tab w:val="clear" w:pos="480"/>
      </w:tabs>
      <w:spacing w:line="240" w:lineRule="atLeast"/>
      <w:ind w:right="84" w:rightChars="30"/>
      <w:jc w:val="right"/>
    </w:pPr>
    <w:rPr>
      <w:rFonts w:ascii="宋体" w:hAnsi="宋体"/>
      <w:szCs w:val="20"/>
    </w:rPr>
  </w:style>
  <w:style w:type="paragraph" w:customStyle="1" w:styleId="882">
    <w:name w:val="表中"/>
    <w:basedOn w:val="1"/>
    <w:qFormat/>
    <w:uiPriority w:val="0"/>
    <w:pPr>
      <w:keepNext/>
      <w:tabs>
        <w:tab w:val="clear" w:pos="480"/>
      </w:tabs>
      <w:snapToGrid w:val="0"/>
      <w:spacing w:line="200" w:lineRule="atLeast"/>
      <w:jc w:val="center"/>
    </w:pPr>
    <w:rPr>
      <w:rFonts w:ascii="宋体" w:hAnsi="宋体"/>
      <w:szCs w:val="22"/>
    </w:rPr>
  </w:style>
  <w:style w:type="paragraph" w:customStyle="1" w:styleId="883">
    <w:name w:val="建设（委托）单位"/>
    <w:basedOn w:val="1"/>
    <w:qFormat/>
    <w:uiPriority w:val="0"/>
    <w:pPr>
      <w:keepNext/>
      <w:tabs>
        <w:tab w:val="clear" w:pos="480"/>
      </w:tabs>
      <w:snapToGrid w:val="0"/>
      <w:spacing w:line="300" w:lineRule="auto"/>
      <w:jc w:val="center"/>
    </w:pPr>
    <w:rPr>
      <w:rFonts w:ascii="宋体"/>
      <w:sz w:val="32"/>
      <w:szCs w:val="20"/>
    </w:rPr>
  </w:style>
  <w:style w:type="paragraph" w:customStyle="1" w:styleId="884">
    <w:name w:val="密级"/>
    <w:basedOn w:val="1"/>
    <w:qFormat/>
    <w:uiPriority w:val="0"/>
    <w:pPr>
      <w:keepNext/>
      <w:tabs>
        <w:tab w:val="clear" w:pos="480"/>
      </w:tabs>
      <w:snapToGrid w:val="0"/>
      <w:spacing w:line="300" w:lineRule="auto"/>
      <w:jc w:val="left"/>
    </w:pPr>
    <w:rPr>
      <w:rFonts w:ascii="宋体"/>
      <w:sz w:val="28"/>
      <w:szCs w:val="20"/>
    </w:rPr>
  </w:style>
  <w:style w:type="paragraph" w:customStyle="1" w:styleId="885">
    <w:name w:val="目次"/>
    <w:basedOn w:val="1"/>
    <w:qFormat/>
    <w:uiPriority w:val="0"/>
    <w:pPr>
      <w:keepNext/>
      <w:tabs>
        <w:tab w:val="clear" w:pos="480"/>
      </w:tabs>
      <w:snapToGrid w:val="0"/>
      <w:spacing w:beforeLines="50" w:line="300" w:lineRule="auto"/>
      <w:ind w:firstLine="1304"/>
      <w:jc w:val="center"/>
    </w:pPr>
    <w:rPr>
      <w:rFonts w:ascii="宋体" w:eastAsia="黑体"/>
      <w:spacing w:val="480"/>
      <w:sz w:val="32"/>
      <w:szCs w:val="20"/>
    </w:rPr>
  </w:style>
  <w:style w:type="paragraph" w:customStyle="1" w:styleId="886">
    <w:name w:val="设计证书编号"/>
    <w:basedOn w:val="1"/>
    <w:qFormat/>
    <w:uiPriority w:val="0"/>
    <w:pPr>
      <w:keepNext/>
      <w:tabs>
        <w:tab w:val="clear" w:pos="480"/>
      </w:tabs>
      <w:snapToGrid w:val="0"/>
      <w:spacing w:line="300" w:lineRule="auto"/>
      <w:jc w:val="center"/>
    </w:pPr>
    <w:rPr>
      <w:rFonts w:ascii="宋体"/>
      <w:sz w:val="32"/>
      <w:szCs w:val="20"/>
    </w:rPr>
  </w:style>
  <w:style w:type="paragraph" w:customStyle="1" w:styleId="887">
    <w:name w:val="项目负责人"/>
    <w:basedOn w:val="1"/>
    <w:qFormat/>
    <w:uiPriority w:val="0"/>
    <w:pPr>
      <w:keepNext/>
      <w:tabs>
        <w:tab w:val="clear" w:pos="480"/>
      </w:tabs>
      <w:snapToGrid w:val="0"/>
      <w:spacing w:beforeLines="50" w:line="300" w:lineRule="auto"/>
      <w:jc w:val="left"/>
    </w:pPr>
    <w:rPr>
      <w:rFonts w:ascii="宋体"/>
      <w:spacing w:val="66"/>
      <w:kern w:val="0"/>
      <w:sz w:val="32"/>
      <w:szCs w:val="20"/>
    </w:rPr>
  </w:style>
  <w:style w:type="paragraph" w:customStyle="1" w:styleId="888">
    <w:name w:val="项目号"/>
    <w:basedOn w:val="1"/>
    <w:qFormat/>
    <w:uiPriority w:val="0"/>
    <w:pPr>
      <w:keepNext/>
      <w:tabs>
        <w:tab w:val="clear" w:pos="480"/>
      </w:tabs>
      <w:snapToGrid w:val="0"/>
      <w:spacing w:beforeLines="50" w:line="300" w:lineRule="auto"/>
      <w:jc w:val="center"/>
    </w:pPr>
    <w:rPr>
      <w:rFonts w:ascii="宋体"/>
      <w:sz w:val="32"/>
      <w:szCs w:val="20"/>
    </w:rPr>
  </w:style>
  <w:style w:type="paragraph" w:customStyle="1" w:styleId="889">
    <w:name w:val="专业名称"/>
    <w:basedOn w:val="1"/>
    <w:qFormat/>
    <w:uiPriority w:val="0"/>
    <w:pPr>
      <w:keepNext/>
      <w:tabs>
        <w:tab w:val="clear" w:pos="480"/>
      </w:tabs>
      <w:snapToGrid w:val="0"/>
      <w:spacing w:beforeLines="50" w:line="300" w:lineRule="auto"/>
      <w:jc w:val="center"/>
    </w:pPr>
    <w:rPr>
      <w:rFonts w:ascii="黑体" w:eastAsia="黑体"/>
      <w:sz w:val="32"/>
      <w:szCs w:val="20"/>
    </w:rPr>
  </w:style>
  <w:style w:type="paragraph" w:customStyle="1" w:styleId="890">
    <w:name w:val="备注"/>
    <w:basedOn w:val="1"/>
    <w:semiHidden/>
    <w:qFormat/>
    <w:uiPriority w:val="0"/>
    <w:pPr>
      <w:keepNext/>
      <w:tabs>
        <w:tab w:val="clear" w:pos="480"/>
      </w:tabs>
      <w:snapToGrid w:val="0"/>
      <w:spacing w:line="240" w:lineRule="atLeast"/>
      <w:ind w:firstLine="480"/>
    </w:pPr>
    <w:rPr>
      <w:rFonts w:ascii="宋体"/>
    </w:rPr>
  </w:style>
  <w:style w:type="paragraph" w:customStyle="1" w:styleId="891">
    <w:name w:val="小表左"/>
    <w:basedOn w:val="1"/>
    <w:qFormat/>
    <w:uiPriority w:val="0"/>
    <w:pPr>
      <w:keepNext/>
      <w:tabs>
        <w:tab w:val="clear" w:pos="480"/>
      </w:tabs>
      <w:adjustRightInd w:val="0"/>
      <w:snapToGrid w:val="0"/>
      <w:spacing w:line="240" w:lineRule="atLeast"/>
      <w:jc w:val="center"/>
    </w:pPr>
    <w:rPr>
      <w:rFonts w:ascii="宋体" w:hAnsi="宋体"/>
      <w:color w:val="000000"/>
      <w:kern w:val="0"/>
    </w:rPr>
  </w:style>
  <w:style w:type="paragraph" w:customStyle="1" w:styleId="892">
    <w:name w:val="小表中"/>
    <w:basedOn w:val="1"/>
    <w:qFormat/>
    <w:uiPriority w:val="0"/>
    <w:pPr>
      <w:tabs>
        <w:tab w:val="clear" w:pos="480"/>
      </w:tabs>
      <w:adjustRightInd w:val="0"/>
      <w:snapToGrid w:val="0"/>
      <w:spacing w:line="240" w:lineRule="auto"/>
      <w:jc w:val="center"/>
    </w:pPr>
    <w:rPr>
      <w:rFonts w:ascii="宋体" w:hAnsi="宋体"/>
      <w:sz w:val="21"/>
    </w:rPr>
  </w:style>
  <w:style w:type="paragraph" w:customStyle="1" w:styleId="893">
    <w:name w:val="小表右"/>
    <w:basedOn w:val="1"/>
    <w:qFormat/>
    <w:uiPriority w:val="0"/>
    <w:pPr>
      <w:keepNext/>
      <w:tabs>
        <w:tab w:val="clear" w:pos="480"/>
      </w:tabs>
      <w:snapToGrid w:val="0"/>
      <w:spacing w:line="240" w:lineRule="atLeast"/>
      <w:ind w:right="84" w:rightChars="30"/>
      <w:jc w:val="right"/>
    </w:pPr>
    <w:rPr>
      <w:rFonts w:ascii="宋体" w:hAnsi="宋体"/>
      <w:sz w:val="21"/>
      <w:szCs w:val="22"/>
    </w:rPr>
  </w:style>
  <w:style w:type="paragraph" w:customStyle="1" w:styleId="894">
    <w:name w:val="续表"/>
    <w:basedOn w:val="9"/>
    <w:qFormat/>
    <w:uiPriority w:val="0"/>
    <w:pPr>
      <w:keepLines w:val="0"/>
      <w:numPr>
        <w:ilvl w:val="0"/>
        <w:numId w:val="0"/>
      </w:numPr>
      <w:tabs>
        <w:tab w:val="left" w:pos="432"/>
        <w:tab w:val="clear" w:pos="480"/>
      </w:tabs>
      <w:autoSpaceDE/>
      <w:autoSpaceDN/>
      <w:adjustRightInd/>
      <w:snapToGrid w:val="0"/>
      <w:spacing w:before="0" w:after="0" w:line="300" w:lineRule="auto"/>
      <w:jc w:val="center"/>
      <w:textAlignment w:val="auto"/>
    </w:pPr>
    <w:rPr>
      <w:rFonts w:ascii="黑体" w:hAnsi="Times New Roman" w:eastAsia="黑体"/>
      <w:b w:val="0"/>
      <w:kern w:val="2"/>
    </w:rPr>
  </w:style>
  <w:style w:type="paragraph" w:customStyle="1" w:styleId="895">
    <w:name w:val="表左"/>
    <w:basedOn w:val="1"/>
    <w:qFormat/>
    <w:uiPriority w:val="0"/>
    <w:pPr>
      <w:keepNext/>
      <w:tabs>
        <w:tab w:val="clear" w:pos="480"/>
      </w:tabs>
      <w:adjustRightInd w:val="0"/>
      <w:snapToGrid w:val="0"/>
      <w:spacing w:line="320" w:lineRule="atLeast"/>
      <w:ind w:right="63" w:rightChars="30"/>
      <w:jc w:val="center"/>
    </w:pPr>
    <w:rPr>
      <w:rFonts w:ascii="宋体" w:hAnsi="宋体"/>
      <w:szCs w:val="20"/>
    </w:rPr>
  </w:style>
  <w:style w:type="paragraph" w:customStyle="1" w:styleId="896">
    <w:name w:val="规定原文"/>
    <w:basedOn w:val="1"/>
    <w:qFormat/>
    <w:uiPriority w:val="0"/>
    <w:pPr>
      <w:keepNext/>
      <w:tabs>
        <w:tab w:val="clear" w:pos="480"/>
      </w:tabs>
      <w:snapToGrid w:val="0"/>
      <w:spacing w:beforeLines="50" w:line="300" w:lineRule="auto"/>
      <w:ind w:firstLine="560"/>
    </w:pPr>
    <w:rPr>
      <w:rFonts w:ascii="楷体_GB2312" w:eastAsia="楷体_GB2312"/>
      <w:color w:val="FF0000"/>
      <w:sz w:val="28"/>
      <w:szCs w:val="20"/>
    </w:rPr>
  </w:style>
  <w:style w:type="paragraph" w:customStyle="1" w:styleId="897">
    <w:name w:val="签署栏"/>
    <w:basedOn w:val="1"/>
    <w:qFormat/>
    <w:uiPriority w:val="0"/>
    <w:pPr>
      <w:keepNext/>
      <w:tabs>
        <w:tab w:val="clear" w:pos="480"/>
      </w:tabs>
      <w:spacing w:line="300" w:lineRule="auto"/>
      <w:jc w:val="center"/>
    </w:pPr>
    <w:rPr>
      <w:rFonts w:ascii="黑体" w:eastAsia="黑体"/>
      <w:spacing w:val="80"/>
      <w:sz w:val="32"/>
      <w:szCs w:val="20"/>
    </w:rPr>
  </w:style>
  <w:style w:type="paragraph" w:customStyle="1" w:styleId="898">
    <w:name w:val="签署内容"/>
    <w:basedOn w:val="1"/>
    <w:qFormat/>
    <w:uiPriority w:val="0"/>
    <w:pPr>
      <w:keepNext/>
      <w:tabs>
        <w:tab w:val="clear" w:pos="480"/>
      </w:tabs>
      <w:spacing w:line="300" w:lineRule="auto"/>
      <w:ind w:firstLine="800" w:firstLineChars="250"/>
    </w:pPr>
    <w:rPr>
      <w:sz w:val="32"/>
      <w:szCs w:val="20"/>
    </w:rPr>
  </w:style>
  <w:style w:type="paragraph" w:customStyle="1" w:styleId="899">
    <w:name w:val="附件"/>
    <w:basedOn w:val="3"/>
    <w:link w:val="3360"/>
    <w:qFormat/>
    <w:uiPriority w:val="0"/>
    <w:pPr>
      <w:tabs>
        <w:tab w:val="clear" w:pos="480"/>
      </w:tabs>
      <w:snapToGrid w:val="0"/>
      <w:spacing w:beforeLines="50" w:afterLines="50" w:line="420" w:lineRule="auto"/>
    </w:pPr>
    <w:rPr>
      <w:rFonts w:ascii="Times New Roman" w:eastAsia="黑体"/>
      <w:b w:val="0"/>
      <w:bCs w:val="0"/>
      <w:sz w:val="30"/>
      <w:szCs w:val="20"/>
    </w:rPr>
  </w:style>
  <w:style w:type="paragraph" w:customStyle="1" w:styleId="900">
    <w:name w:val="假标题"/>
    <w:basedOn w:val="1"/>
    <w:qFormat/>
    <w:uiPriority w:val="0"/>
    <w:pPr>
      <w:keepNext/>
      <w:tabs>
        <w:tab w:val="clear" w:pos="480"/>
      </w:tabs>
      <w:snapToGrid w:val="0"/>
      <w:spacing w:beforeLines="50" w:line="300" w:lineRule="auto"/>
      <w:outlineLvl w:val="2"/>
    </w:pPr>
    <w:rPr>
      <w:rFonts w:ascii="宋体"/>
      <w:b/>
      <w:sz w:val="28"/>
      <w:szCs w:val="20"/>
    </w:rPr>
  </w:style>
  <w:style w:type="paragraph" w:customStyle="1" w:styleId="901">
    <w:name w:val="假标题1"/>
    <w:basedOn w:val="900"/>
    <w:qFormat/>
    <w:uiPriority w:val="0"/>
    <w:pPr>
      <w:keepNext w:val="0"/>
      <w:autoSpaceDE w:val="0"/>
      <w:autoSpaceDN w:val="0"/>
      <w:adjustRightInd w:val="0"/>
      <w:spacing w:beforeLines="0" w:line="336" w:lineRule="auto"/>
      <w:outlineLvl w:val="9"/>
    </w:pPr>
    <w:rPr>
      <w:rFonts w:hAnsi="宋体" w:cs="黑体"/>
      <w:b w:val="0"/>
      <w:kern w:val="0"/>
      <w:sz w:val="15"/>
      <w:szCs w:val="15"/>
      <w:lang w:val="zh-CN"/>
    </w:rPr>
  </w:style>
  <w:style w:type="paragraph" w:customStyle="1" w:styleId="902">
    <w:name w:val="小表右A"/>
    <w:basedOn w:val="893"/>
    <w:qFormat/>
    <w:uiPriority w:val="0"/>
    <w:pPr>
      <w:ind w:right="28" w:rightChars="10"/>
    </w:pPr>
  </w:style>
  <w:style w:type="character" w:customStyle="1" w:styleId="903">
    <w:name w:val="篇号"/>
    <w:qFormat/>
    <w:uiPriority w:val="0"/>
    <w:rPr>
      <w:rFonts w:eastAsia="宋体"/>
    </w:rPr>
  </w:style>
  <w:style w:type="paragraph" w:customStyle="1" w:styleId="904">
    <w:name w:val="列表1"/>
    <w:basedOn w:val="66"/>
    <w:qFormat/>
    <w:uiPriority w:val="0"/>
    <w:pPr>
      <w:tabs>
        <w:tab w:val="left" w:pos="1727"/>
        <w:tab w:val="left" w:pos="1884"/>
      </w:tabs>
      <w:spacing w:line="300" w:lineRule="auto"/>
      <w:ind w:left="0" w:firstLine="0" w:firstLineChars="0"/>
      <w:jc w:val="center"/>
      <w:outlineLvl w:val="0"/>
    </w:pPr>
    <w:rPr>
      <w:rFonts w:ascii="宋体"/>
      <w:sz w:val="32"/>
      <w:szCs w:val="20"/>
    </w:rPr>
  </w:style>
  <w:style w:type="paragraph" w:customStyle="1" w:styleId="905">
    <w:name w:val="页眉1"/>
    <w:basedOn w:val="57"/>
    <w:qFormat/>
    <w:uiPriority w:val="0"/>
    <w:pPr>
      <w:pBdr>
        <w:bottom w:val="none" w:color="auto" w:sz="0" w:space="0"/>
      </w:pBdr>
      <w:tabs>
        <w:tab w:val="left" w:pos="1727"/>
        <w:tab w:val="left" w:pos="1884"/>
        <w:tab w:val="clear" w:pos="480"/>
      </w:tabs>
      <w:spacing w:line="240" w:lineRule="auto"/>
      <w:outlineLvl w:val="0"/>
    </w:pPr>
    <w:rPr>
      <w:rFonts w:ascii="隶书" w:hAnsi="Calibri" w:eastAsia="隶书"/>
      <w:w w:val="90"/>
      <w:kern w:val="0"/>
      <w:sz w:val="21"/>
      <w:szCs w:val="20"/>
    </w:rPr>
  </w:style>
  <w:style w:type="paragraph" w:customStyle="1" w:styleId="906">
    <w:name w:val="图章"/>
    <w:basedOn w:val="1"/>
    <w:qFormat/>
    <w:uiPriority w:val="0"/>
    <w:pPr>
      <w:tabs>
        <w:tab w:val="left" w:pos="1727"/>
        <w:tab w:val="left" w:pos="1884"/>
        <w:tab w:val="clear" w:pos="480"/>
      </w:tabs>
      <w:adjustRightInd w:val="0"/>
      <w:snapToGrid w:val="0"/>
      <w:spacing w:line="240" w:lineRule="auto"/>
      <w:jc w:val="left"/>
      <w:outlineLvl w:val="0"/>
    </w:pPr>
    <w:rPr>
      <w:rFonts w:ascii="宋体"/>
      <w:snapToGrid w:val="0"/>
      <w:kern w:val="0"/>
      <w:sz w:val="18"/>
      <w:szCs w:val="20"/>
    </w:rPr>
  </w:style>
  <w:style w:type="paragraph" w:customStyle="1" w:styleId="907">
    <w:name w:val="样式 首行缩进:  2 字符 段前: 0.5 行1"/>
    <w:basedOn w:val="1"/>
    <w:qFormat/>
    <w:uiPriority w:val="0"/>
    <w:pPr>
      <w:keepNext/>
      <w:tabs>
        <w:tab w:val="clear" w:pos="480"/>
      </w:tabs>
      <w:snapToGrid w:val="0"/>
      <w:spacing w:line="300" w:lineRule="auto"/>
    </w:pPr>
    <w:rPr>
      <w:rFonts w:ascii="宋体"/>
      <w:sz w:val="28"/>
      <w:szCs w:val="20"/>
    </w:rPr>
  </w:style>
  <w:style w:type="paragraph" w:customStyle="1" w:styleId="908">
    <w:name w:val="样式 首行缩进:  2 字符 段前: 0.5 行2"/>
    <w:basedOn w:val="1"/>
    <w:qFormat/>
    <w:uiPriority w:val="0"/>
    <w:pPr>
      <w:keepNext/>
      <w:tabs>
        <w:tab w:val="clear" w:pos="480"/>
      </w:tabs>
      <w:snapToGrid w:val="0"/>
      <w:spacing w:line="300" w:lineRule="auto"/>
    </w:pPr>
    <w:rPr>
      <w:rFonts w:ascii="宋体"/>
      <w:sz w:val="28"/>
      <w:szCs w:val="20"/>
    </w:rPr>
  </w:style>
  <w:style w:type="paragraph" w:customStyle="1" w:styleId="909">
    <w:name w:val="样式 首行缩进:  2 字符 段前: 0.5 行3"/>
    <w:basedOn w:val="1"/>
    <w:qFormat/>
    <w:uiPriority w:val="0"/>
    <w:pPr>
      <w:keepNext/>
      <w:tabs>
        <w:tab w:val="clear" w:pos="480"/>
      </w:tabs>
      <w:snapToGrid w:val="0"/>
      <w:spacing w:line="300" w:lineRule="auto"/>
    </w:pPr>
    <w:rPr>
      <w:rFonts w:ascii="宋体"/>
      <w:sz w:val="28"/>
      <w:szCs w:val="20"/>
    </w:rPr>
  </w:style>
  <w:style w:type="paragraph" w:customStyle="1" w:styleId="910">
    <w:name w:val="样式 标题 1 + 段前: 0.5 行"/>
    <w:basedOn w:val="3"/>
    <w:qFormat/>
    <w:uiPriority w:val="0"/>
    <w:pPr>
      <w:tabs>
        <w:tab w:val="left" w:pos="360"/>
        <w:tab w:val="clear" w:pos="480"/>
      </w:tabs>
      <w:snapToGrid w:val="0"/>
      <w:spacing w:beforeLines="50" w:afterLines="50" w:line="480" w:lineRule="auto"/>
    </w:pPr>
    <w:rPr>
      <w:rFonts w:ascii="Times New Roman" w:eastAsia="黑体"/>
      <w:b w:val="0"/>
      <w:bCs w:val="0"/>
      <w:sz w:val="28"/>
      <w:szCs w:val="20"/>
    </w:rPr>
  </w:style>
  <w:style w:type="paragraph" w:customStyle="1" w:styleId="911">
    <w:name w:val="节内编号2"/>
    <w:qFormat/>
    <w:uiPriority w:val="0"/>
    <w:pPr>
      <w:adjustRightInd w:val="0"/>
      <w:snapToGrid w:val="0"/>
      <w:spacing w:line="300" w:lineRule="auto"/>
      <w:ind w:right="210" w:rightChars="100" w:firstLine="200" w:firstLineChars="200"/>
      <w:jc w:val="both"/>
    </w:pPr>
    <w:rPr>
      <w:rFonts w:ascii="宋体" w:hAnsi="宋体" w:eastAsia="宋体" w:cs="Times New Roman"/>
      <w:color w:val="000000"/>
      <w:kern w:val="2"/>
      <w:sz w:val="28"/>
      <w:szCs w:val="28"/>
      <w:lang w:val="en-US" w:eastAsia="zh-CN" w:bidi="ar-SA"/>
    </w:rPr>
  </w:style>
  <w:style w:type="paragraph" w:customStyle="1" w:styleId="912">
    <w:name w:val="表头2"/>
    <w:basedOn w:val="913"/>
    <w:qFormat/>
    <w:uiPriority w:val="0"/>
    <w:pPr>
      <w:tabs>
        <w:tab w:val="left" w:pos="284"/>
        <w:tab w:val="center" w:pos="4253"/>
        <w:tab w:val="center" w:pos="6237"/>
        <w:tab w:val="left" w:pos="7938"/>
      </w:tabs>
    </w:pPr>
  </w:style>
  <w:style w:type="paragraph" w:customStyle="1" w:styleId="913">
    <w:name w:val="表头1"/>
    <w:link w:val="2191"/>
    <w:qFormat/>
    <w:uiPriority w:val="0"/>
    <w:pPr>
      <w:tabs>
        <w:tab w:val="left" w:pos="284"/>
        <w:tab w:val="center" w:pos="4253"/>
        <w:tab w:val="left" w:pos="7938"/>
      </w:tabs>
      <w:spacing w:before="240" w:after="240" w:line="360" w:lineRule="auto"/>
      <w:ind w:firstLine="200" w:firstLineChars="200"/>
      <w:jc w:val="both"/>
    </w:pPr>
    <w:rPr>
      <w:rFonts w:ascii="黑体" w:hAnsi="Times New Roman" w:eastAsia="黑体" w:cs="Times New Roman"/>
      <w:kern w:val="2"/>
      <w:sz w:val="24"/>
      <w:szCs w:val="24"/>
      <w:lang w:val="en-US" w:eastAsia="zh-CN" w:bidi="ar-SA"/>
    </w:rPr>
  </w:style>
  <w:style w:type="paragraph" w:customStyle="1" w:styleId="914">
    <w:name w:val="正文-ST-4"/>
    <w:basedOn w:val="1"/>
    <w:qFormat/>
    <w:uiPriority w:val="0"/>
    <w:pPr>
      <w:widowControl/>
      <w:tabs>
        <w:tab w:val="clear" w:pos="480"/>
      </w:tabs>
      <w:ind w:firstLine="567"/>
    </w:pPr>
    <w:rPr>
      <w:kern w:val="0"/>
      <w:sz w:val="28"/>
      <w:szCs w:val="20"/>
    </w:rPr>
  </w:style>
  <w:style w:type="paragraph" w:customStyle="1" w:styleId="915">
    <w:name w:val="报告标1"/>
    <w:basedOn w:val="1"/>
    <w:next w:val="211"/>
    <w:semiHidden/>
    <w:qFormat/>
    <w:uiPriority w:val="0"/>
    <w:pPr>
      <w:tabs>
        <w:tab w:val="clear" w:pos="480"/>
      </w:tabs>
      <w:adjustRightInd w:val="0"/>
      <w:snapToGrid w:val="0"/>
      <w:spacing w:line="300" w:lineRule="auto"/>
    </w:pPr>
    <w:rPr>
      <w:rFonts w:ascii="黑体" w:eastAsia="黑体"/>
      <w:sz w:val="28"/>
      <w:szCs w:val="20"/>
    </w:rPr>
  </w:style>
  <w:style w:type="paragraph" w:customStyle="1" w:styleId="916">
    <w:name w:val="报告标2"/>
    <w:basedOn w:val="1"/>
    <w:next w:val="1"/>
    <w:semiHidden/>
    <w:qFormat/>
    <w:uiPriority w:val="0"/>
    <w:pPr>
      <w:tabs>
        <w:tab w:val="clear" w:pos="480"/>
      </w:tabs>
      <w:adjustRightInd w:val="0"/>
      <w:snapToGrid w:val="0"/>
      <w:spacing w:line="300" w:lineRule="auto"/>
    </w:pPr>
    <w:rPr>
      <w:rFonts w:ascii="黑体" w:eastAsia="黑体"/>
      <w:sz w:val="28"/>
      <w:szCs w:val="20"/>
    </w:rPr>
  </w:style>
  <w:style w:type="paragraph" w:customStyle="1" w:styleId="917">
    <w:name w:val="报告标3"/>
    <w:basedOn w:val="1"/>
    <w:semiHidden/>
    <w:qFormat/>
    <w:uiPriority w:val="0"/>
    <w:pPr>
      <w:tabs>
        <w:tab w:val="clear" w:pos="480"/>
      </w:tabs>
      <w:adjustRightInd w:val="0"/>
      <w:snapToGrid w:val="0"/>
      <w:spacing w:line="300" w:lineRule="auto"/>
    </w:pPr>
    <w:rPr>
      <w:rFonts w:ascii="宋体"/>
      <w:sz w:val="28"/>
      <w:szCs w:val="20"/>
    </w:rPr>
  </w:style>
  <w:style w:type="paragraph" w:customStyle="1" w:styleId="918">
    <w:name w:val="节内编号1"/>
    <w:basedOn w:val="1"/>
    <w:qFormat/>
    <w:uiPriority w:val="0"/>
    <w:pPr>
      <w:tabs>
        <w:tab w:val="clear" w:pos="480"/>
      </w:tabs>
      <w:adjustRightInd w:val="0"/>
      <w:snapToGrid w:val="0"/>
      <w:spacing w:line="336" w:lineRule="auto"/>
      <w:ind w:right="210" w:rightChars="100" w:firstLine="528"/>
      <w:jc w:val="left"/>
    </w:pPr>
    <w:rPr>
      <w:rFonts w:ascii="宋体" w:hAnsi="宋体"/>
      <w:color w:val="000000"/>
      <w:spacing w:val="-8"/>
      <w:sz w:val="28"/>
      <w:szCs w:val="20"/>
    </w:rPr>
  </w:style>
  <w:style w:type="paragraph" w:customStyle="1" w:styleId="919">
    <w:name w:val="标题31"/>
    <w:semiHidden/>
    <w:qFormat/>
    <w:uiPriority w:val="0"/>
    <w:pPr>
      <w:tabs>
        <w:tab w:val="left" w:pos="420"/>
      </w:tabs>
      <w:adjustRightInd w:val="0"/>
      <w:snapToGrid w:val="0"/>
      <w:spacing w:line="360" w:lineRule="auto"/>
      <w:ind w:left="420" w:hanging="420" w:firstLineChars="200"/>
      <w:jc w:val="both"/>
    </w:pPr>
    <w:rPr>
      <w:rFonts w:ascii="Times New Roman" w:hAnsi="Times New Roman" w:eastAsia="宋体" w:cs="Times New Roman"/>
      <w:color w:val="000000"/>
      <w:kern w:val="2"/>
      <w:sz w:val="28"/>
      <w:szCs w:val="28"/>
      <w:lang w:val="en-US" w:eastAsia="zh-CN" w:bidi="ar-SA"/>
    </w:rPr>
  </w:style>
  <w:style w:type="paragraph" w:customStyle="1" w:styleId="920">
    <w:name w:val="正文-FS-L"/>
    <w:qFormat/>
    <w:uiPriority w:val="0"/>
    <w:pPr>
      <w:spacing w:line="360" w:lineRule="auto"/>
      <w:ind w:firstLine="567" w:firstLineChars="200"/>
      <w:jc w:val="both"/>
    </w:pPr>
    <w:rPr>
      <w:rFonts w:ascii="Times New Roman" w:hAnsi="Times New Roman" w:eastAsia="仿宋_GB2312" w:cs="Times New Roman"/>
      <w:kern w:val="2"/>
      <w:sz w:val="28"/>
      <w:szCs w:val="24"/>
      <w:lang w:val="en-US" w:eastAsia="zh-CN" w:bidi="ar-SA"/>
    </w:rPr>
  </w:style>
  <w:style w:type="character" w:customStyle="1" w:styleId="921">
    <w:name w:val="称呼 字符"/>
    <w:link w:val="31"/>
    <w:qFormat/>
    <w:uiPriority w:val="0"/>
    <w:rPr>
      <w:rFonts w:eastAsia="宋体"/>
      <w:kern w:val="2"/>
      <w:sz w:val="24"/>
      <w:szCs w:val="24"/>
      <w:lang w:val="en-US" w:eastAsia="zh-CN" w:bidi="ar-SA"/>
    </w:rPr>
  </w:style>
  <w:style w:type="paragraph" w:customStyle="1" w:styleId="922">
    <w:name w:val="Normal-Ariel"/>
    <w:basedOn w:val="1"/>
    <w:semiHidden/>
    <w:qFormat/>
    <w:uiPriority w:val="0"/>
    <w:pPr>
      <w:widowControl/>
      <w:tabs>
        <w:tab w:val="clear" w:pos="480"/>
      </w:tabs>
      <w:spacing w:after="160" w:line="320" w:lineRule="atLeast"/>
      <w:ind w:left="900"/>
    </w:pPr>
    <w:rPr>
      <w:rFonts w:ascii="Arial" w:hAnsi="Arial"/>
      <w:kern w:val="0"/>
      <w:sz w:val="22"/>
      <w:szCs w:val="20"/>
      <w:lang w:val="de-DE" w:eastAsia="de-DE"/>
    </w:rPr>
  </w:style>
  <w:style w:type="paragraph" w:customStyle="1" w:styleId="923">
    <w:name w:val="节1"/>
    <w:basedOn w:val="45"/>
    <w:qFormat/>
    <w:uiPriority w:val="0"/>
    <w:pPr>
      <w:snapToGrid w:val="0"/>
      <w:spacing w:before="120" w:after="120" w:line="312" w:lineRule="auto"/>
      <w:ind w:firstLine="567"/>
      <w:outlineLvl w:val="1"/>
    </w:pPr>
    <w:rPr>
      <w:rFonts w:hAnsi="Times New Roman"/>
      <w:b/>
      <w:spacing w:val="6"/>
      <w:kern w:val="0"/>
      <w:sz w:val="32"/>
    </w:rPr>
  </w:style>
  <w:style w:type="character" w:customStyle="1" w:styleId="924">
    <w:name w:val="style41"/>
    <w:qFormat/>
    <w:uiPriority w:val="0"/>
    <w:rPr>
      <w:color w:val="666666"/>
    </w:rPr>
  </w:style>
  <w:style w:type="character" w:customStyle="1" w:styleId="925">
    <w:name w:val="yuzhifeng"/>
    <w:semiHidden/>
    <w:qFormat/>
    <w:uiPriority w:val="0"/>
    <w:rPr>
      <w:rFonts w:ascii="Arial" w:hAnsi="Arial" w:eastAsia="宋体" w:cs="Arial"/>
      <w:color w:val="auto"/>
      <w:sz w:val="18"/>
      <w:szCs w:val="20"/>
    </w:rPr>
  </w:style>
  <w:style w:type="paragraph" w:customStyle="1" w:styleId="926">
    <w:name w:val="Text"/>
    <w:basedOn w:val="1"/>
    <w:semiHidden/>
    <w:qFormat/>
    <w:uiPriority w:val="0"/>
    <w:pPr>
      <w:widowControl/>
      <w:tabs>
        <w:tab w:val="clear" w:pos="480"/>
      </w:tabs>
      <w:spacing w:line="240" w:lineRule="auto"/>
    </w:pPr>
    <w:rPr>
      <w:kern w:val="0"/>
      <w:szCs w:val="20"/>
      <w:lang w:eastAsia="en-US"/>
    </w:rPr>
  </w:style>
  <w:style w:type="paragraph" w:customStyle="1" w:styleId="927">
    <w:name w:val="新表"/>
    <w:basedOn w:val="1"/>
    <w:qFormat/>
    <w:uiPriority w:val="0"/>
    <w:pPr>
      <w:tabs>
        <w:tab w:val="clear" w:pos="480"/>
      </w:tabs>
      <w:adjustRightInd w:val="0"/>
      <w:snapToGrid w:val="0"/>
      <w:spacing w:before="60" w:after="60" w:line="240" w:lineRule="auto"/>
      <w:jc w:val="center"/>
    </w:pPr>
    <w:rPr>
      <w:rFonts w:ascii="宋体" w:hAnsi="宋体"/>
      <w:spacing w:val="6"/>
    </w:rPr>
  </w:style>
  <w:style w:type="paragraph" w:customStyle="1" w:styleId="928">
    <w:name w:val="样式表头1"/>
    <w:basedOn w:val="1"/>
    <w:qFormat/>
    <w:uiPriority w:val="0"/>
    <w:pPr>
      <w:tabs>
        <w:tab w:val="clear" w:pos="480"/>
      </w:tabs>
      <w:adjustRightInd w:val="0"/>
      <w:snapToGrid w:val="0"/>
      <w:spacing w:line="312" w:lineRule="auto"/>
      <w:jc w:val="center"/>
      <w:textAlignment w:val="baseline"/>
    </w:pPr>
    <w:rPr>
      <w:rFonts w:ascii="黑体" w:eastAsia="黑体"/>
      <w:b/>
      <w:kern w:val="0"/>
      <w:sz w:val="32"/>
      <w:szCs w:val="20"/>
    </w:rPr>
  </w:style>
  <w:style w:type="paragraph" w:customStyle="1" w:styleId="929">
    <w:name w:val="Right Par 3"/>
    <w:semiHidden/>
    <w:qFormat/>
    <w:uiPriority w:val="0"/>
    <w:pPr>
      <w:tabs>
        <w:tab w:val="left" w:pos="-720"/>
        <w:tab w:val="left" w:pos="0"/>
        <w:tab w:val="left" w:pos="720"/>
        <w:tab w:val="left" w:pos="1440"/>
        <w:tab w:val="decimal" w:pos="2160"/>
      </w:tabs>
      <w:suppressAutoHyphens/>
      <w:overflowPunct w:val="0"/>
      <w:autoSpaceDE w:val="0"/>
      <w:autoSpaceDN w:val="0"/>
      <w:adjustRightInd w:val="0"/>
      <w:spacing w:line="360" w:lineRule="auto"/>
      <w:ind w:left="2160" w:firstLine="200" w:firstLineChars="200"/>
      <w:jc w:val="both"/>
      <w:textAlignment w:val="baseline"/>
    </w:pPr>
    <w:rPr>
      <w:rFonts w:ascii="Courier" w:hAnsi="Courier" w:eastAsia="宋体" w:cs="Times New Roman"/>
      <w:kern w:val="2"/>
      <w:sz w:val="24"/>
      <w:szCs w:val="24"/>
      <w:lang w:val="en-US" w:eastAsia="en-US" w:bidi="ar-SA"/>
    </w:rPr>
  </w:style>
  <w:style w:type="paragraph" w:customStyle="1" w:styleId="930">
    <w:name w:val="短简表28"/>
    <w:basedOn w:val="1"/>
    <w:qFormat/>
    <w:uiPriority w:val="0"/>
    <w:pPr>
      <w:tabs>
        <w:tab w:val="clear" w:pos="480"/>
      </w:tabs>
      <w:adjustRightInd w:val="0"/>
      <w:snapToGrid w:val="0"/>
      <w:spacing w:before="120" w:after="120" w:line="240" w:lineRule="auto"/>
      <w:ind w:left="445" w:leftChars="245" w:hanging="200" w:hangingChars="200"/>
    </w:pPr>
    <w:rPr>
      <w:sz w:val="28"/>
    </w:rPr>
  </w:style>
  <w:style w:type="paragraph" w:customStyle="1" w:styleId="931">
    <w:name w:val="样式 正文文字 + 首行缩进:  2 字符"/>
    <w:basedOn w:val="2"/>
    <w:qFormat/>
    <w:uiPriority w:val="0"/>
    <w:pPr>
      <w:spacing w:line="500" w:lineRule="exact"/>
      <w:ind w:firstLine="560"/>
    </w:pPr>
    <w:rPr>
      <w:rFonts w:ascii="Times New Roman" w:hAnsi="Times New Roman"/>
      <w:kern w:val="0"/>
      <w:sz w:val="28"/>
    </w:rPr>
  </w:style>
  <w:style w:type="character" w:customStyle="1" w:styleId="932">
    <w:name w:val="even Char Char Char"/>
    <w:semiHidden/>
    <w:qFormat/>
    <w:uiPriority w:val="0"/>
    <w:rPr>
      <w:rFonts w:eastAsia="宋体"/>
      <w:kern w:val="2"/>
      <w:sz w:val="18"/>
      <w:szCs w:val="18"/>
      <w:lang w:val="en-US" w:eastAsia="zh-CN" w:bidi="ar-SA"/>
    </w:rPr>
  </w:style>
  <w:style w:type="character" w:customStyle="1" w:styleId="933">
    <w:name w:val="标题 3 Char Char Char1"/>
    <w:qFormat/>
    <w:uiPriority w:val="0"/>
    <w:rPr>
      <w:rFonts w:eastAsia="宋体"/>
      <w:b/>
      <w:bCs/>
      <w:kern w:val="2"/>
      <w:sz w:val="32"/>
      <w:szCs w:val="32"/>
      <w:lang w:val="en-US" w:eastAsia="zh-CN" w:bidi="ar-SA"/>
    </w:rPr>
  </w:style>
  <w:style w:type="paragraph" w:customStyle="1" w:styleId="934">
    <w:name w:val="表格内"/>
    <w:basedOn w:val="1"/>
    <w:semiHidden/>
    <w:qFormat/>
    <w:uiPriority w:val="0"/>
    <w:pPr>
      <w:widowControl/>
      <w:tabs>
        <w:tab w:val="clear" w:pos="480"/>
      </w:tabs>
      <w:adjustRightInd w:val="0"/>
      <w:spacing w:line="360" w:lineRule="exact"/>
      <w:jc w:val="center"/>
    </w:pPr>
    <w:rPr>
      <w:rFonts w:ascii="宋体" w:hAnsi="宋体" w:cs="宋体"/>
      <w:snapToGrid w:val="0"/>
      <w:kern w:val="0"/>
      <w:sz w:val="21"/>
      <w:szCs w:val="21"/>
    </w:rPr>
  </w:style>
  <w:style w:type="paragraph" w:customStyle="1" w:styleId="935">
    <w:name w:val="样式 表名称"/>
    <w:basedOn w:val="1"/>
    <w:qFormat/>
    <w:uiPriority w:val="0"/>
    <w:pPr>
      <w:widowControl/>
      <w:tabs>
        <w:tab w:val="clear" w:pos="480"/>
      </w:tabs>
      <w:autoSpaceDE w:val="0"/>
      <w:autoSpaceDN w:val="0"/>
      <w:adjustRightInd w:val="0"/>
      <w:spacing w:line="460" w:lineRule="atLeast"/>
      <w:ind w:right="25" w:rightChars="12"/>
      <w:jc w:val="center"/>
      <w:textAlignment w:val="baseline"/>
    </w:pPr>
    <w:rPr>
      <w:rFonts w:ascii="仿宋_GB2312" w:hAnsi="宋体" w:eastAsia="仿宋_GB2312" w:cs="宋体"/>
      <w:snapToGrid w:val="0"/>
      <w:kern w:val="0"/>
      <w:szCs w:val="28"/>
    </w:rPr>
  </w:style>
  <w:style w:type="paragraph" w:customStyle="1" w:styleId="936">
    <w:name w:val="lei07-标题1"/>
    <w:basedOn w:val="3"/>
    <w:semiHidden/>
    <w:qFormat/>
    <w:uiPriority w:val="0"/>
    <w:pPr>
      <w:keepLines w:val="0"/>
      <w:numPr>
        <w:ilvl w:val="0"/>
        <w:numId w:val="17"/>
      </w:numPr>
      <w:tabs>
        <w:tab w:val="clear" w:pos="480"/>
      </w:tabs>
      <w:spacing w:beforeLines="50" w:afterLines="50"/>
      <w:jc w:val="center"/>
    </w:pPr>
    <w:rPr>
      <w:rFonts w:ascii="Times New Roman" w:eastAsia="宋体"/>
      <w:spacing w:val="-4"/>
      <w:kern w:val="2"/>
      <w:sz w:val="28"/>
      <w:szCs w:val="24"/>
    </w:rPr>
  </w:style>
  <w:style w:type="paragraph" w:customStyle="1" w:styleId="937">
    <w:name w:val="lei07-标题2"/>
    <w:basedOn w:val="4"/>
    <w:semiHidden/>
    <w:qFormat/>
    <w:uiPriority w:val="0"/>
    <w:pPr>
      <w:tabs>
        <w:tab w:val="left" w:pos="425"/>
        <w:tab w:val="left" w:pos="567"/>
        <w:tab w:val="clear" w:pos="480"/>
        <w:tab w:val="clear" w:pos="630"/>
      </w:tabs>
      <w:snapToGrid w:val="0"/>
      <w:spacing w:before="0" w:after="0"/>
      <w:ind w:left="425" w:hanging="425"/>
      <w:jc w:val="center"/>
    </w:pPr>
    <w:rPr>
      <w:b w:val="0"/>
      <w:sz w:val="24"/>
      <w:szCs w:val="28"/>
    </w:rPr>
  </w:style>
  <w:style w:type="paragraph" w:customStyle="1" w:styleId="938">
    <w:name w:val="lei-标题3"/>
    <w:basedOn w:val="5"/>
    <w:semiHidden/>
    <w:qFormat/>
    <w:uiPriority w:val="0"/>
    <w:pPr>
      <w:tabs>
        <w:tab w:val="left" w:pos="425"/>
        <w:tab w:val="left" w:pos="709"/>
        <w:tab w:val="left" w:pos="1764"/>
        <w:tab w:val="clear" w:pos="480"/>
        <w:tab w:val="clear" w:pos="840"/>
      </w:tabs>
      <w:spacing w:before="0" w:after="0" w:line="360" w:lineRule="auto"/>
      <w:ind w:left="1764" w:hanging="420"/>
    </w:pPr>
    <w:rPr>
      <w:rFonts w:ascii="Times New Roman" w:eastAsia="宋体"/>
      <w:b w:val="0"/>
      <w:sz w:val="24"/>
    </w:rPr>
  </w:style>
  <w:style w:type="paragraph" w:customStyle="1" w:styleId="939">
    <w:name w:val="总院"/>
    <w:basedOn w:val="1"/>
    <w:qFormat/>
    <w:uiPriority w:val="0"/>
    <w:pPr>
      <w:tabs>
        <w:tab w:val="clear" w:pos="480"/>
      </w:tabs>
      <w:snapToGrid w:val="0"/>
      <w:spacing w:line="300" w:lineRule="auto"/>
      <w:ind w:firstLine="560"/>
    </w:pPr>
    <w:rPr>
      <w:rFonts w:ascii="宋体" w:hAnsi="宋体" w:cs="Arial"/>
      <w:bCs/>
      <w:sz w:val="28"/>
      <w:szCs w:val="28"/>
      <w:lang w:val="ru-RU"/>
    </w:rPr>
  </w:style>
  <w:style w:type="paragraph" w:customStyle="1" w:styleId="940">
    <w:name w:val="lei07-正文"/>
    <w:basedOn w:val="1"/>
    <w:semiHidden/>
    <w:qFormat/>
    <w:uiPriority w:val="0"/>
    <w:pPr>
      <w:tabs>
        <w:tab w:val="clear" w:pos="480"/>
      </w:tabs>
    </w:pPr>
  </w:style>
  <w:style w:type="paragraph" w:customStyle="1" w:styleId="941">
    <w:name w:val="Char Char Char1 Char Char Char Char Char Char Char Char Char Char"/>
    <w:basedOn w:val="1"/>
    <w:qFormat/>
    <w:uiPriority w:val="0"/>
    <w:pPr>
      <w:widowControl/>
      <w:tabs>
        <w:tab w:val="clear" w:pos="480"/>
      </w:tabs>
      <w:spacing w:line="240" w:lineRule="auto"/>
      <w:jc w:val="left"/>
    </w:pPr>
    <w:rPr>
      <w:rFonts w:ascii="宋体" w:hAnsi="宋体" w:cs="宋体"/>
      <w:kern w:val="0"/>
    </w:rPr>
  </w:style>
  <w:style w:type="paragraph" w:customStyle="1" w:styleId="942">
    <w:name w:val="样式13"/>
    <w:basedOn w:val="1"/>
    <w:next w:val="1"/>
    <w:link w:val="2873"/>
    <w:qFormat/>
    <w:uiPriority w:val="0"/>
    <w:pPr>
      <w:keepNext/>
      <w:keepLines/>
      <w:pageBreakBefore/>
      <w:tabs>
        <w:tab w:val="clear" w:pos="480"/>
      </w:tabs>
      <w:adjustRightInd w:val="0"/>
      <w:snapToGrid w:val="0"/>
      <w:ind w:left="40" w:leftChars="-85" w:hanging="278" w:hangingChars="99"/>
      <w:jc w:val="center"/>
      <w:textAlignment w:val="baseline"/>
      <w:outlineLvl w:val="0"/>
    </w:pPr>
    <w:rPr>
      <w:rFonts w:ascii="Arial" w:hAnsi="Arial" w:cs="Arial"/>
      <w:b/>
      <w:kern w:val="44"/>
      <w:sz w:val="28"/>
      <w:szCs w:val="28"/>
    </w:rPr>
  </w:style>
  <w:style w:type="paragraph" w:customStyle="1" w:styleId="943">
    <w:name w:val="Char Char Char1 Char Char Char Char Char Char Char Char Char Char1"/>
    <w:basedOn w:val="1"/>
    <w:qFormat/>
    <w:uiPriority w:val="0"/>
    <w:pPr>
      <w:widowControl/>
      <w:tabs>
        <w:tab w:val="clear" w:pos="480"/>
      </w:tabs>
      <w:spacing w:line="240" w:lineRule="auto"/>
      <w:jc w:val="left"/>
    </w:pPr>
    <w:rPr>
      <w:rFonts w:ascii="宋体" w:hAnsi="宋体" w:cs="宋体"/>
      <w:kern w:val="0"/>
    </w:rPr>
  </w:style>
  <w:style w:type="paragraph" w:customStyle="1" w:styleId="944">
    <w:name w:val="样式 正文-z Char Char"/>
    <w:basedOn w:val="1"/>
    <w:link w:val="945"/>
    <w:qFormat/>
    <w:uiPriority w:val="0"/>
    <w:pPr>
      <w:widowControl/>
      <w:tabs>
        <w:tab w:val="clear" w:pos="480"/>
      </w:tabs>
      <w:spacing w:line="240" w:lineRule="auto"/>
      <w:ind w:firstLine="560"/>
      <w:jc w:val="left"/>
    </w:pPr>
    <w:rPr>
      <w:rFonts w:ascii="宋体" w:hAnsi="宋体"/>
      <w:snapToGrid w:val="0"/>
      <w:kern w:val="0"/>
      <w:szCs w:val="28"/>
      <w:lang w:val="zh-CN"/>
    </w:rPr>
  </w:style>
  <w:style w:type="character" w:customStyle="1" w:styleId="945">
    <w:name w:val="样式 正文-z Char Char Char"/>
    <w:link w:val="944"/>
    <w:qFormat/>
    <w:uiPriority w:val="0"/>
    <w:rPr>
      <w:rFonts w:ascii="宋体" w:hAnsi="宋体" w:eastAsia="宋体"/>
      <w:snapToGrid w:val="0"/>
      <w:sz w:val="24"/>
      <w:szCs w:val="28"/>
      <w:lang w:bidi="ar-SA"/>
    </w:rPr>
  </w:style>
  <w:style w:type="paragraph" w:customStyle="1" w:styleId="946">
    <w:name w:val="样式 样式 正文-z + (符号) Arial 小五 黑色 首行缩进:  2 字符"/>
    <w:basedOn w:val="944"/>
    <w:qFormat/>
    <w:uiPriority w:val="0"/>
    <w:pPr>
      <w:snapToGrid w:val="0"/>
      <w:ind w:firstLine="0" w:firstLineChars="0"/>
      <w:jc w:val="center"/>
    </w:pPr>
    <w:rPr>
      <w:rFonts w:hAnsi="Arial"/>
      <w:sz w:val="21"/>
      <w:szCs w:val="21"/>
    </w:rPr>
  </w:style>
  <w:style w:type="paragraph" w:customStyle="1" w:styleId="947">
    <w:name w:val="样式 正文-z"/>
    <w:basedOn w:val="1"/>
    <w:qFormat/>
    <w:uiPriority w:val="0"/>
    <w:pPr>
      <w:widowControl/>
      <w:tabs>
        <w:tab w:val="clear" w:pos="480"/>
      </w:tabs>
      <w:spacing w:line="240" w:lineRule="auto"/>
      <w:ind w:firstLine="560"/>
      <w:jc w:val="left"/>
    </w:pPr>
    <w:rPr>
      <w:rFonts w:ascii="宋体" w:hAnsi="宋体" w:eastAsia="仿宋_GB2312" w:cs="宋体"/>
      <w:bCs/>
      <w:kern w:val="0"/>
      <w:szCs w:val="28"/>
    </w:rPr>
  </w:style>
  <w:style w:type="paragraph" w:customStyle="1" w:styleId="948">
    <w:name w:val="样式 (中文) 楷体_GB2312 四号 行距: 1.5 倍行距"/>
    <w:basedOn w:val="1"/>
    <w:qFormat/>
    <w:uiPriority w:val="0"/>
    <w:pPr>
      <w:widowControl/>
      <w:tabs>
        <w:tab w:val="clear" w:pos="480"/>
      </w:tabs>
      <w:ind w:firstLine="560"/>
      <w:jc w:val="left"/>
    </w:pPr>
    <w:rPr>
      <w:rFonts w:ascii="宋体" w:hAnsi="宋体" w:eastAsia="仿宋_GB2312" w:cs="宋体"/>
      <w:kern w:val="28"/>
      <w:szCs w:val="28"/>
    </w:rPr>
  </w:style>
  <w:style w:type="paragraph" w:customStyle="1" w:styleId="949">
    <w:name w:val="样式 表头 + 五号 (西文)粗体"/>
    <w:basedOn w:val="1"/>
    <w:link w:val="950"/>
    <w:qFormat/>
    <w:uiPriority w:val="0"/>
    <w:pPr>
      <w:widowControl/>
      <w:tabs>
        <w:tab w:val="clear" w:pos="480"/>
      </w:tabs>
      <w:spacing w:line="240" w:lineRule="auto"/>
      <w:jc w:val="center"/>
    </w:pPr>
    <w:rPr>
      <w:rFonts w:ascii="黑体" w:hAnsi="宋体" w:eastAsia="黑体"/>
      <w:kern w:val="28"/>
      <w:lang w:val="zh-CN"/>
    </w:rPr>
  </w:style>
  <w:style w:type="character" w:customStyle="1" w:styleId="950">
    <w:name w:val="样式 表头 + 五号 (西文)粗体 Char"/>
    <w:link w:val="949"/>
    <w:qFormat/>
    <w:uiPriority w:val="0"/>
    <w:rPr>
      <w:rFonts w:ascii="黑体" w:hAnsi="宋体" w:eastAsia="黑体"/>
      <w:kern w:val="28"/>
      <w:sz w:val="24"/>
      <w:szCs w:val="24"/>
      <w:lang w:bidi="ar-SA"/>
    </w:rPr>
  </w:style>
  <w:style w:type="paragraph" w:customStyle="1" w:styleId="951">
    <w:name w:val="样式 AA正文首行缩进 2 + 首行缩进:  2 字符 Char Char Char Char Char Char Char Char Char"/>
    <w:basedOn w:val="1"/>
    <w:qFormat/>
    <w:uiPriority w:val="0"/>
    <w:pPr>
      <w:widowControl/>
      <w:tabs>
        <w:tab w:val="clear" w:pos="480"/>
      </w:tabs>
      <w:spacing w:after="120" w:line="240" w:lineRule="auto"/>
      <w:ind w:firstLine="560"/>
      <w:jc w:val="left"/>
    </w:pPr>
    <w:rPr>
      <w:rFonts w:ascii="宋体" w:hAnsi="宋体" w:eastAsia="仿宋_GB2312" w:cs="宋体"/>
      <w:kern w:val="28"/>
      <w:szCs w:val="28"/>
    </w:rPr>
  </w:style>
  <w:style w:type="paragraph" w:customStyle="1" w:styleId="952">
    <w:name w:val="Char Char Char1 Char Char Char Char Char Char Char Char Char Char Char Char Char Char Char Char1"/>
    <w:basedOn w:val="6"/>
    <w:qFormat/>
    <w:uiPriority w:val="0"/>
    <w:pPr>
      <w:widowControl/>
      <w:numPr>
        <w:ilvl w:val="0"/>
        <w:numId w:val="0"/>
      </w:numPr>
      <w:tabs>
        <w:tab w:val="clear" w:pos="480"/>
      </w:tabs>
      <w:spacing w:before="120" w:after="120"/>
      <w:jc w:val="left"/>
    </w:pPr>
    <w:rPr>
      <w:rFonts w:ascii="宋体" w:cs="宋体"/>
      <w:b w:val="0"/>
      <w:kern w:val="0"/>
      <w:sz w:val="24"/>
    </w:rPr>
  </w:style>
  <w:style w:type="paragraph" w:customStyle="1" w:styleId="953">
    <w:name w:val="Char Char Char1 Char Char Char Char Char Char Char Char Char Char Char Char Char Char Char Char Char Char Char Char Char Char"/>
    <w:basedOn w:val="6"/>
    <w:semiHidden/>
    <w:qFormat/>
    <w:uiPriority w:val="0"/>
    <w:pPr>
      <w:widowControl/>
      <w:numPr>
        <w:ilvl w:val="0"/>
        <w:numId w:val="0"/>
      </w:numPr>
      <w:tabs>
        <w:tab w:val="clear" w:pos="480"/>
      </w:tabs>
      <w:spacing w:before="120" w:after="120"/>
      <w:jc w:val="left"/>
    </w:pPr>
    <w:rPr>
      <w:rFonts w:ascii="宋体" w:cs="宋体"/>
      <w:b w:val="0"/>
      <w:kern w:val="0"/>
      <w:sz w:val="24"/>
    </w:rPr>
  </w:style>
  <w:style w:type="paragraph" w:customStyle="1" w:styleId="954">
    <w:name w:val="样式 正文-z Char"/>
    <w:basedOn w:val="1"/>
    <w:qFormat/>
    <w:uiPriority w:val="0"/>
    <w:pPr>
      <w:widowControl/>
      <w:tabs>
        <w:tab w:val="clear" w:pos="480"/>
      </w:tabs>
      <w:adjustRightInd w:val="0"/>
      <w:ind w:firstLine="560"/>
      <w:jc w:val="left"/>
    </w:pPr>
    <w:rPr>
      <w:rFonts w:ascii="宋体" w:hAnsi="宋体" w:cs="宋体"/>
      <w:snapToGrid w:val="0"/>
      <w:kern w:val="0"/>
      <w:szCs w:val="28"/>
    </w:rPr>
  </w:style>
  <w:style w:type="character" w:customStyle="1" w:styleId="955">
    <w:name w:val="样式 页码 + (中文) 仿宋_GB2312"/>
    <w:qFormat/>
    <w:uiPriority w:val="0"/>
    <w:rPr>
      <w:rFonts w:ascii="Times New Roman" w:hAnsi="Times New Roman" w:eastAsia="仿宋_GB2312" w:cs="宋体"/>
      <w:bCs/>
      <w:spacing w:val="0"/>
      <w:sz w:val="28"/>
      <w:szCs w:val="28"/>
      <w:lang w:val="en-US" w:eastAsia="zh-CN" w:bidi="ar-SA"/>
    </w:rPr>
  </w:style>
  <w:style w:type="paragraph" w:customStyle="1" w:styleId="956">
    <w:name w:val="文本一"/>
    <w:basedOn w:val="2"/>
    <w:qFormat/>
    <w:uiPriority w:val="0"/>
    <w:pPr>
      <w:widowControl/>
      <w:tabs>
        <w:tab w:val="left" w:pos="525"/>
      </w:tabs>
      <w:spacing w:line="360" w:lineRule="auto"/>
      <w:ind w:firstLine="560"/>
      <w:jc w:val="left"/>
    </w:pPr>
    <w:rPr>
      <w:rFonts w:cs="宋体"/>
      <w:kern w:val="0"/>
      <w:sz w:val="28"/>
      <w:szCs w:val="24"/>
    </w:rPr>
  </w:style>
  <w:style w:type="paragraph" w:customStyle="1" w:styleId="957">
    <w:name w:val="样式 正文缩进 + (西文) 宋体 四号"/>
    <w:basedOn w:val="21"/>
    <w:link w:val="958"/>
    <w:qFormat/>
    <w:uiPriority w:val="0"/>
    <w:pPr>
      <w:widowControl/>
      <w:tabs>
        <w:tab w:val="clear" w:pos="480"/>
      </w:tabs>
      <w:adjustRightInd w:val="0"/>
      <w:spacing w:line="336" w:lineRule="auto"/>
      <w:ind w:firstLine="480"/>
      <w:jc w:val="center"/>
      <w:textAlignment w:val="baseline"/>
    </w:pPr>
    <w:rPr>
      <w:rFonts w:ascii="黑体" w:hAnsi="宋体" w:eastAsia="黑体"/>
      <w:color w:val="000000"/>
      <w:kern w:val="0"/>
      <w:lang w:val="zh-CN"/>
    </w:rPr>
  </w:style>
  <w:style w:type="character" w:customStyle="1" w:styleId="958">
    <w:name w:val="样式 正文缩进 + (西文) 宋体 四号 Char"/>
    <w:link w:val="957"/>
    <w:qFormat/>
    <w:uiPriority w:val="0"/>
    <w:rPr>
      <w:rFonts w:ascii="黑体" w:hAnsi="宋体" w:eastAsia="黑体"/>
      <w:color w:val="000000"/>
      <w:sz w:val="24"/>
      <w:szCs w:val="24"/>
      <w:lang w:bidi="ar-SA"/>
    </w:rPr>
  </w:style>
  <w:style w:type="paragraph" w:customStyle="1" w:styleId="959">
    <w:name w:val="八角图表名"/>
    <w:basedOn w:val="1"/>
    <w:semiHidden/>
    <w:qFormat/>
    <w:uiPriority w:val="0"/>
    <w:pPr>
      <w:widowControl/>
      <w:tabs>
        <w:tab w:val="clear" w:pos="480"/>
      </w:tabs>
      <w:spacing w:line="300" w:lineRule="auto"/>
      <w:jc w:val="center"/>
    </w:pPr>
    <w:rPr>
      <w:rFonts w:ascii="宋体" w:hAnsi="宋体" w:cs="宋体"/>
      <w:color w:val="FF0000"/>
      <w:kern w:val="0"/>
      <w:szCs w:val="30"/>
    </w:rPr>
  </w:style>
  <w:style w:type="character" w:customStyle="1" w:styleId="960">
    <w:name w:val="样式 AA正文首行缩进 2 + 首行缩进:  2 字符 Char Char Char Char Char Char Char Char Char Char Char Char"/>
    <w:qFormat/>
    <w:uiPriority w:val="0"/>
    <w:rPr>
      <w:rFonts w:eastAsia="宋体" w:cs="宋体"/>
      <w:kern w:val="2"/>
      <w:sz w:val="28"/>
      <w:szCs w:val="24"/>
      <w:lang w:val="en-US" w:eastAsia="zh-CN" w:bidi="ar-SA"/>
    </w:rPr>
  </w:style>
  <w:style w:type="paragraph" w:customStyle="1" w:styleId="961">
    <w:name w:val="样式 楷体_GB2312 四号 行距: 1.5 倍行距"/>
    <w:basedOn w:val="5"/>
    <w:qFormat/>
    <w:uiPriority w:val="0"/>
    <w:pPr>
      <w:widowControl/>
      <w:tabs>
        <w:tab w:val="clear" w:pos="480"/>
        <w:tab w:val="clear" w:pos="840"/>
      </w:tabs>
      <w:spacing w:beforeLines="50" w:afterLines="50" w:line="360" w:lineRule="auto"/>
      <w:ind w:left="560" w:leftChars="200"/>
      <w:jc w:val="left"/>
    </w:pPr>
    <w:rPr>
      <w:rFonts w:ascii="楷体_GB2312" w:hAnsi="宋体" w:eastAsia="楷体_GB2312" w:cs="宋体"/>
      <w:color w:val="FF0000"/>
      <w:kern w:val="28"/>
      <w:sz w:val="24"/>
      <w:szCs w:val="28"/>
    </w:rPr>
  </w:style>
  <w:style w:type="paragraph" w:customStyle="1" w:styleId="962">
    <w:name w:val="样式 标题 1 + 段前: 0.5 行 段后: 0.5 行"/>
    <w:basedOn w:val="3"/>
    <w:qFormat/>
    <w:uiPriority w:val="0"/>
    <w:pPr>
      <w:widowControl/>
      <w:tabs>
        <w:tab w:val="clear" w:pos="480"/>
      </w:tabs>
      <w:spacing w:beforeLines="50" w:beforeAutospacing="1" w:afterLines="50" w:afterAutospacing="1" w:line="240" w:lineRule="auto"/>
      <w:jc w:val="center"/>
    </w:pPr>
    <w:rPr>
      <w:rFonts w:ascii="黑体" w:hAnsi="宋体" w:eastAsia="黑体" w:cs="宋体"/>
      <w:b w:val="0"/>
      <w:color w:val="000000"/>
      <w:kern w:val="28"/>
      <w:sz w:val="32"/>
      <w:szCs w:val="32"/>
    </w:rPr>
  </w:style>
  <w:style w:type="character" w:customStyle="1" w:styleId="963">
    <w:name w:val="样式 (中文) 楷体_GB2312 四号"/>
    <w:qFormat/>
    <w:uiPriority w:val="0"/>
    <w:rPr>
      <w:rFonts w:eastAsia="仿宋_GB2312"/>
      <w:kern w:val="28"/>
      <w:sz w:val="28"/>
      <w:szCs w:val="28"/>
    </w:rPr>
  </w:style>
  <w:style w:type="paragraph" w:customStyle="1" w:styleId="964">
    <w:name w:val="样式 标题 2 + 字距调整四号"/>
    <w:basedOn w:val="4"/>
    <w:qFormat/>
    <w:uiPriority w:val="0"/>
    <w:pPr>
      <w:widowControl/>
      <w:tabs>
        <w:tab w:val="clear" w:pos="480"/>
        <w:tab w:val="clear" w:pos="630"/>
      </w:tabs>
      <w:spacing w:before="20" w:after="20" w:line="240" w:lineRule="auto"/>
      <w:ind w:left="560" w:leftChars="200"/>
      <w:jc w:val="center"/>
    </w:pPr>
    <w:rPr>
      <w:rFonts w:hAnsi="宋体" w:eastAsia="华文中宋" w:cs="宋体"/>
      <w:iCs/>
      <w:color w:val="000000"/>
      <w:kern w:val="28"/>
      <w:sz w:val="24"/>
      <w:szCs w:val="28"/>
    </w:rPr>
  </w:style>
  <w:style w:type="paragraph" w:customStyle="1" w:styleId="965">
    <w:name w:val="样式 标题 3 + 字距调整四号"/>
    <w:basedOn w:val="5"/>
    <w:qFormat/>
    <w:uiPriority w:val="0"/>
    <w:pPr>
      <w:widowControl/>
      <w:tabs>
        <w:tab w:val="clear" w:pos="480"/>
        <w:tab w:val="clear" w:pos="840"/>
      </w:tabs>
      <w:spacing w:before="0" w:after="0" w:line="560" w:lineRule="exact"/>
      <w:ind w:left="980" w:hanging="980" w:hangingChars="350"/>
      <w:jc w:val="left"/>
    </w:pPr>
    <w:rPr>
      <w:rFonts w:ascii="宋体" w:hAnsi="宋体" w:cs="宋体"/>
      <w:color w:val="FF0000"/>
      <w:kern w:val="28"/>
      <w:sz w:val="24"/>
      <w:szCs w:val="30"/>
    </w:rPr>
  </w:style>
  <w:style w:type="paragraph" w:customStyle="1" w:styleId="966">
    <w:name w:val="样式 AA正文首行缩进 2 + 首行缩进:  2 字符 Char Char Char Char Char Char Char Char Char Char"/>
    <w:basedOn w:val="1"/>
    <w:qFormat/>
    <w:uiPriority w:val="0"/>
    <w:pPr>
      <w:widowControl/>
      <w:tabs>
        <w:tab w:val="clear" w:pos="480"/>
      </w:tabs>
      <w:spacing w:after="120" w:line="240" w:lineRule="auto"/>
      <w:ind w:firstLine="560"/>
      <w:jc w:val="left"/>
    </w:pPr>
    <w:rPr>
      <w:rFonts w:ascii="Arial" w:hAnsi="Arial" w:cs="宋体"/>
      <w:spacing w:val="2"/>
      <w:kern w:val="0"/>
      <w:szCs w:val="28"/>
    </w:rPr>
  </w:style>
  <w:style w:type="character" w:customStyle="1" w:styleId="967">
    <w:name w:val="正文1234"/>
    <w:qFormat/>
    <w:uiPriority w:val="0"/>
    <w:rPr>
      <w:sz w:val="28"/>
    </w:rPr>
  </w:style>
  <w:style w:type="paragraph" w:customStyle="1" w:styleId="968">
    <w:name w:val="图表名"/>
    <w:basedOn w:val="1"/>
    <w:next w:val="1"/>
    <w:qFormat/>
    <w:uiPriority w:val="0"/>
    <w:pPr>
      <w:widowControl/>
      <w:tabs>
        <w:tab w:val="clear" w:pos="480"/>
      </w:tabs>
      <w:spacing w:beforeLines="50" w:line="300" w:lineRule="auto"/>
      <w:jc w:val="center"/>
    </w:pPr>
    <w:rPr>
      <w:rFonts w:ascii="黑体" w:hAnsi="宋体" w:eastAsia="黑体" w:cs="宋体"/>
      <w:color w:val="000000"/>
      <w:kern w:val="0"/>
    </w:rPr>
  </w:style>
  <w:style w:type="paragraph" w:customStyle="1" w:styleId="969">
    <w:name w:val="制表时的表文样式"/>
    <w:basedOn w:val="4"/>
    <w:qFormat/>
    <w:uiPriority w:val="0"/>
    <w:pPr>
      <w:keepNext w:val="0"/>
      <w:keepLines w:val="0"/>
      <w:widowControl/>
      <w:tabs>
        <w:tab w:val="clear" w:pos="480"/>
        <w:tab w:val="clear" w:pos="630"/>
      </w:tabs>
      <w:autoSpaceDE w:val="0"/>
      <w:autoSpaceDN w:val="0"/>
      <w:spacing w:before="0" w:after="0" w:line="240" w:lineRule="atLeast"/>
      <w:jc w:val="center"/>
      <w:outlineLvl w:val="9"/>
    </w:pPr>
    <w:rPr>
      <w:rFonts w:ascii="宋体" w:hAnsi="宋体" w:cs="宋体"/>
      <w:b w:val="0"/>
      <w:iCs/>
      <w:kern w:val="0"/>
      <w:sz w:val="21"/>
      <w:szCs w:val="21"/>
    </w:rPr>
  </w:style>
  <w:style w:type="paragraph" w:customStyle="1" w:styleId="970">
    <w:name w:val="样式2图名"/>
    <w:basedOn w:val="1"/>
    <w:qFormat/>
    <w:uiPriority w:val="0"/>
    <w:pPr>
      <w:widowControl/>
      <w:tabs>
        <w:tab w:val="clear" w:pos="480"/>
      </w:tabs>
      <w:jc w:val="center"/>
    </w:pPr>
    <w:rPr>
      <w:rFonts w:ascii="黑体" w:hAnsi="宋体" w:eastAsia="黑体" w:cs="宋体"/>
      <w:kern w:val="0"/>
      <w:sz w:val="21"/>
    </w:rPr>
  </w:style>
  <w:style w:type="paragraph" w:customStyle="1" w:styleId="971">
    <w:name w:val="标题   4"/>
    <w:basedOn w:val="5"/>
    <w:semiHidden/>
    <w:qFormat/>
    <w:uiPriority w:val="0"/>
    <w:pPr>
      <w:widowControl/>
      <w:tabs>
        <w:tab w:val="clear" w:pos="480"/>
        <w:tab w:val="clear" w:pos="840"/>
      </w:tabs>
      <w:spacing w:beforeLines="20" w:afterLines="20" w:line="360" w:lineRule="auto"/>
      <w:ind w:firstLine="614" w:firstLineChars="255"/>
      <w:jc w:val="left"/>
    </w:pPr>
    <w:rPr>
      <w:rFonts w:ascii="宋体" w:hAnsi="宋体" w:eastAsia="宋体" w:cs="宋体"/>
      <w:color w:val="000000"/>
      <w:kern w:val="24"/>
      <w:sz w:val="24"/>
      <w:szCs w:val="24"/>
    </w:rPr>
  </w:style>
  <w:style w:type="paragraph" w:customStyle="1" w:styleId="972">
    <w:name w:val="标题  4"/>
    <w:basedOn w:val="1"/>
    <w:semiHidden/>
    <w:qFormat/>
    <w:uiPriority w:val="0"/>
    <w:pPr>
      <w:widowControl/>
      <w:tabs>
        <w:tab w:val="clear" w:pos="480"/>
      </w:tabs>
      <w:jc w:val="center"/>
    </w:pPr>
    <w:rPr>
      <w:rFonts w:ascii="黑体" w:hAnsi="黑体" w:eastAsia="黑体" w:cs="宋体"/>
      <w:b/>
      <w:kern w:val="0"/>
    </w:rPr>
  </w:style>
  <w:style w:type="paragraph" w:customStyle="1" w:styleId="973">
    <w:name w:val="表名样式"/>
    <w:basedOn w:val="1"/>
    <w:semiHidden/>
    <w:qFormat/>
    <w:uiPriority w:val="0"/>
    <w:pPr>
      <w:widowControl/>
      <w:tabs>
        <w:tab w:val="clear" w:pos="480"/>
      </w:tabs>
      <w:autoSpaceDE w:val="0"/>
      <w:autoSpaceDN w:val="0"/>
      <w:spacing w:before="100" w:line="312" w:lineRule="auto"/>
      <w:jc w:val="center"/>
    </w:pPr>
    <w:rPr>
      <w:rFonts w:ascii="黑体" w:hAnsi="宋体" w:eastAsia="黑体" w:cs="宋体"/>
      <w:kern w:val="0"/>
      <w:sz w:val="21"/>
    </w:rPr>
  </w:style>
  <w:style w:type="paragraph" w:customStyle="1" w:styleId="974">
    <w:name w:val="图名样式"/>
    <w:basedOn w:val="1"/>
    <w:qFormat/>
    <w:uiPriority w:val="0"/>
    <w:pPr>
      <w:widowControl/>
      <w:tabs>
        <w:tab w:val="clear" w:pos="480"/>
      </w:tabs>
      <w:jc w:val="center"/>
    </w:pPr>
    <w:rPr>
      <w:rFonts w:ascii="黑体" w:hAnsi="宋体" w:eastAsia="黑体" w:cs="宋体"/>
      <w:kern w:val="0"/>
      <w:sz w:val="21"/>
    </w:rPr>
  </w:style>
  <w:style w:type="paragraph" w:customStyle="1" w:styleId="975">
    <w:name w:val="样式2表名"/>
    <w:basedOn w:val="973"/>
    <w:qFormat/>
    <w:uiPriority w:val="0"/>
    <w:pPr/>
    <w:rPr>
      <w:lang w:val="zh-CN"/>
    </w:rPr>
  </w:style>
  <w:style w:type="paragraph" w:customStyle="1" w:styleId="976">
    <w:name w:val="正文8"/>
    <w:basedOn w:val="1"/>
    <w:qFormat/>
    <w:uiPriority w:val="0"/>
    <w:pPr>
      <w:widowControl/>
      <w:tabs>
        <w:tab w:val="clear" w:pos="480"/>
      </w:tabs>
      <w:spacing w:line="240" w:lineRule="auto"/>
      <w:ind w:firstLine="420"/>
      <w:jc w:val="left"/>
    </w:pPr>
    <w:rPr>
      <w:rFonts w:ascii="楷体_GB2312" w:hAnsi="宋体" w:eastAsia="楷体_GB2312" w:cs="宋体"/>
      <w:kern w:val="0"/>
      <w:sz w:val="21"/>
    </w:rPr>
  </w:style>
  <w:style w:type="paragraph" w:customStyle="1" w:styleId="977">
    <w:name w:val="样式1表名"/>
    <w:basedOn w:val="1"/>
    <w:qFormat/>
    <w:uiPriority w:val="0"/>
    <w:pPr>
      <w:widowControl/>
      <w:tabs>
        <w:tab w:val="clear" w:pos="480"/>
      </w:tabs>
      <w:spacing w:before="120" w:after="120"/>
      <w:jc w:val="center"/>
    </w:pPr>
    <w:rPr>
      <w:rFonts w:ascii="黑体" w:hAnsi="宋体" w:eastAsia="黑体" w:cs="宋体"/>
      <w:kern w:val="0"/>
      <w:sz w:val="21"/>
    </w:rPr>
  </w:style>
  <w:style w:type="paragraph" w:customStyle="1" w:styleId="978">
    <w:name w:val="样式1图名"/>
    <w:basedOn w:val="1"/>
    <w:qFormat/>
    <w:uiPriority w:val="0"/>
    <w:pPr>
      <w:widowControl/>
      <w:tabs>
        <w:tab w:val="clear" w:pos="480"/>
      </w:tabs>
      <w:spacing w:before="120" w:after="120" w:line="240" w:lineRule="auto"/>
      <w:jc w:val="center"/>
    </w:pPr>
    <w:rPr>
      <w:rFonts w:ascii="黑体" w:hAnsi="宋体" w:eastAsia="黑体" w:cs="宋体"/>
      <w:kern w:val="0"/>
      <w:sz w:val="21"/>
    </w:rPr>
  </w:style>
  <w:style w:type="paragraph" w:customStyle="1" w:styleId="979">
    <w:name w:val="样式表名"/>
    <w:basedOn w:val="1"/>
    <w:qFormat/>
    <w:uiPriority w:val="0"/>
    <w:pPr>
      <w:widowControl/>
      <w:tabs>
        <w:tab w:val="clear" w:pos="480"/>
      </w:tabs>
      <w:jc w:val="center"/>
    </w:pPr>
    <w:rPr>
      <w:rFonts w:ascii="黑体" w:hAnsi="宋体" w:eastAsia="黑体" w:cs="宋体"/>
      <w:kern w:val="0"/>
      <w:sz w:val="21"/>
    </w:rPr>
  </w:style>
  <w:style w:type="paragraph" w:customStyle="1" w:styleId="980">
    <w:name w:val="Table text"/>
    <w:basedOn w:val="1"/>
    <w:semiHidden/>
    <w:qFormat/>
    <w:uiPriority w:val="0"/>
    <w:pPr>
      <w:widowControl/>
      <w:tabs>
        <w:tab w:val="clear" w:pos="480"/>
      </w:tabs>
      <w:spacing w:line="240" w:lineRule="auto"/>
      <w:jc w:val="left"/>
    </w:pPr>
    <w:rPr>
      <w:rFonts w:ascii="宋体" w:hAnsi="宋体" w:cs="宋体"/>
      <w:kern w:val="0"/>
      <w:sz w:val="20"/>
      <w:lang w:val="en-GB" w:eastAsia="en-US"/>
    </w:rPr>
  </w:style>
  <w:style w:type="paragraph" w:customStyle="1" w:styleId="981">
    <w:name w:val="Table header"/>
    <w:basedOn w:val="1"/>
    <w:semiHidden/>
    <w:qFormat/>
    <w:uiPriority w:val="0"/>
    <w:pPr>
      <w:keepNext/>
      <w:widowControl/>
      <w:tabs>
        <w:tab w:val="clear" w:pos="480"/>
      </w:tabs>
      <w:spacing w:line="240" w:lineRule="auto"/>
      <w:jc w:val="left"/>
    </w:pPr>
    <w:rPr>
      <w:rFonts w:ascii="宋体" w:hAnsi="宋体" w:cs="宋体"/>
      <w:b/>
      <w:bCs/>
      <w:kern w:val="0"/>
      <w:sz w:val="20"/>
      <w:lang w:val="en-GB" w:eastAsia="en-US"/>
    </w:rPr>
  </w:style>
  <w:style w:type="paragraph" w:customStyle="1" w:styleId="982">
    <w:name w:val="十五（表）"/>
    <w:basedOn w:val="1"/>
    <w:qFormat/>
    <w:uiPriority w:val="0"/>
    <w:pPr>
      <w:widowControl/>
      <w:tabs>
        <w:tab w:val="clear" w:pos="480"/>
      </w:tabs>
      <w:jc w:val="center"/>
    </w:pPr>
    <w:rPr>
      <w:rFonts w:ascii="黑体" w:hAnsi="宋体" w:eastAsia="黑体" w:cs="黑体"/>
      <w:kern w:val="0"/>
      <w:sz w:val="21"/>
      <w:szCs w:val="21"/>
      <w:lang w:val="zh-CN"/>
    </w:rPr>
  </w:style>
  <w:style w:type="paragraph" w:customStyle="1" w:styleId="983">
    <w:name w:val="Body"/>
    <w:semiHidden/>
    <w:qFormat/>
    <w:uiPriority w:val="0"/>
    <w:pPr>
      <w:tabs>
        <w:tab w:val="left" w:pos="-720"/>
      </w:tabs>
      <w:suppressAutoHyphens/>
      <w:spacing w:line="360" w:lineRule="auto"/>
      <w:ind w:firstLine="200" w:firstLineChars="200"/>
      <w:jc w:val="both"/>
    </w:pPr>
    <w:rPr>
      <w:rFonts w:ascii="Helvetica" w:hAnsi="Helvetica" w:eastAsia="宋体" w:cs="Times New Roman"/>
      <w:spacing w:val="-3"/>
      <w:kern w:val="2"/>
      <w:sz w:val="24"/>
      <w:szCs w:val="24"/>
      <w:lang w:val="en-US" w:eastAsia="en-US" w:bidi="ar-SA"/>
    </w:rPr>
  </w:style>
  <w:style w:type="character" w:customStyle="1" w:styleId="984">
    <w:name w:val="标题 1 Char Char Char Char Char Char Char Char Char Char Char"/>
    <w:semiHidden/>
    <w:qFormat/>
    <w:uiPriority w:val="0"/>
    <w:rPr>
      <w:rFonts w:eastAsia="宋体"/>
      <w:kern w:val="2"/>
      <w:sz w:val="28"/>
      <w:szCs w:val="24"/>
      <w:lang w:val="en-US" w:eastAsia="zh-CN" w:bidi="ar-SA"/>
    </w:rPr>
  </w:style>
  <w:style w:type="paragraph" w:customStyle="1" w:styleId="985">
    <w:name w:val="标题  2"/>
    <w:basedOn w:val="4"/>
    <w:semiHidden/>
    <w:qFormat/>
    <w:uiPriority w:val="0"/>
    <w:pPr>
      <w:keepNext w:val="0"/>
      <w:keepLines w:val="0"/>
      <w:widowControl/>
      <w:tabs>
        <w:tab w:val="clear" w:pos="480"/>
        <w:tab w:val="clear" w:pos="630"/>
      </w:tabs>
      <w:spacing w:before="0" w:after="0"/>
      <w:jc w:val="left"/>
    </w:pPr>
    <w:rPr>
      <w:rFonts w:ascii="宋体" w:hAnsi="Arial" w:cs="宋体"/>
      <w:bCs w:val="0"/>
      <w:iCs/>
      <w:color w:val="000000"/>
      <w:kern w:val="0"/>
    </w:rPr>
  </w:style>
  <w:style w:type="paragraph" w:customStyle="1" w:styleId="986">
    <w:name w:val="内容1"/>
    <w:basedOn w:val="1"/>
    <w:qFormat/>
    <w:uiPriority w:val="0"/>
    <w:pPr>
      <w:widowControl/>
      <w:tabs>
        <w:tab w:val="clear" w:pos="480"/>
      </w:tabs>
      <w:spacing w:line="240" w:lineRule="auto"/>
      <w:ind w:left="100" w:leftChars="100" w:right="100" w:rightChars="100"/>
      <w:jc w:val="left"/>
    </w:pPr>
    <w:rPr>
      <w:rFonts w:ascii="宋体" w:hAnsi="宋体" w:eastAsia="仿宋_GB2312" w:cs="宋体"/>
      <w:kern w:val="0"/>
    </w:rPr>
  </w:style>
  <w:style w:type="paragraph" w:customStyle="1" w:styleId="987">
    <w:name w:val="标题 2（用）"/>
    <w:basedOn w:val="4"/>
    <w:semiHidden/>
    <w:qFormat/>
    <w:uiPriority w:val="0"/>
    <w:pPr>
      <w:widowControl/>
      <w:tabs>
        <w:tab w:val="clear" w:pos="480"/>
        <w:tab w:val="clear" w:pos="630"/>
      </w:tabs>
      <w:adjustRightInd w:val="0"/>
      <w:spacing w:before="50" w:afterLines="25" w:line="240" w:lineRule="auto"/>
      <w:ind w:left="278" w:right="40"/>
      <w:jc w:val="center"/>
    </w:pPr>
    <w:rPr>
      <w:rFonts w:ascii="宋体" w:hAnsi="宋体" w:cs="宋体"/>
      <w:iCs/>
      <w:color w:val="000000"/>
      <w:kern w:val="0"/>
      <w:sz w:val="44"/>
      <w:szCs w:val="44"/>
    </w:rPr>
  </w:style>
  <w:style w:type="character" w:customStyle="1" w:styleId="988">
    <w:name w:val="textlargeheadingspecial1"/>
    <w:semiHidden/>
    <w:qFormat/>
    <w:uiPriority w:val="0"/>
    <w:rPr>
      <w:rFonts w:hint="default" w:ascii="Tahoma" w:hAnsi="Tahoma" w:cs="Tahoma"/>
      <w:b/>
      <w:bCs/>
      <w:color w:val="666666"/>
      <w:sz w:val="24"/>
      <w:szCs w:val="24"/>
      <w:shd w:val="clear" w:color="auto" w:fill="auto"/>
    </w:rPr>
  </w:style>
  <w:style w:type="paragraph" w:customStyle="1" w:styleId="989">
    <w:name w:val="样式 标题 3 + (西文) Times New Roman (中文) 宋体 小四 加粗 两端对齐 段前: 0 磅 ..."/>
    <w:basedOn w:val="5"/>
    <w:qFormat/>
    <w:uiPriority w:val="0"/>
    <w:pPr>
      <w:widowControl/>
      <w:tabs>
        <w:tab w:val="clear" w:pos="480"/>
        <w:tab w:val="clear" w:pos="840"/>
      </w:tabs>
      <w:spacing w:before="0" w:after="0" w:line="312" w:lineRule="auto"/>
      <w:ind w:firstLine="472" w:firstLineChars="196"/>
      <w:jc w:val="center"/>
    </w:pPr>
    <w:rPr>
      <w:rFonts w:ascii="宋体" w:hAnsi="宋体" w:eastAsia="黑体" w:cs="宋体"/>
      <w:b w:val="0"/>
      <w:kern w:val="0"/>
      <w:sz w:val="21"/>
      <w:szCs w:val="24"/>
    </w:rPr>
  </w:style>
  <w:style w:type="paragraph" w:customStyle="1" w:styleId="990">
    <w:name w:val="标题 3H3 + 四号"/>
    <w:basedOn w:val="5"/>
    <w:semiHidden/>
    <w:qFormat/>
    <w:uiPriority w:val="0"/>
    <w:pPr>
      <w:widowControl/>
      <w:tabs>
        <w:tab w:val="clear" w:pos="480"/>
        <w:tab w:val="clear" w:pos="840"/>
      </w:tabs>
      <w:spacing w:before="260" w:line="415" w:lineRule="auto"/>
      <w:ind w:firstLine="200"/>
      <w:jc w:val="center"/>
    </w:pPr>
    <w:rPr>
      <w:rFonts w:ascii="宋体" w:hAnsi="宋体" w:cs="宋体"/>
      <w:kern w:val="0"/>
      <w:sz w:val="24"/>
      <w:szCs w:val="24"/>
    </w:rPr>
  </w:style>
  <w:style w:type="paragraph" w:customStyle="1" w:styleId="991">
    <w:name w:val="7级(表)"/>
    <w:basedOn w:val="1"/>
    <w:semiHidden/>
    <w:qFormat/>
    <w:uiPriority w:val="0"/>
    <w:pPr>
      <w:widowControl/>
      <w:tabs>
        <w:tab w:val="clear" w:pos="480"/>
      </w:tabs>
      <w:jc w:val="center"/>
    </w:pPr>
    <w:rPr>
      <w:rFonts w:ascii="黑体" w:hAnsi="宋体" w:eastAsia="黑体" w:cs="宋体"/>
      <w:kern w:val="0"/>
      <w:sz w:val="21"/>
    </w:rPr>
  </w:style>
  <w:style w:type="paragraph" w:customStyle="1" w:styleId="992">
    <w:name w:val="6级(图)"/>
    <w:basedOn w:val="1"/>
    <w:semiHidden/>
    <w:qFormat/>
    <w:uiPriority w:val="0"/>
    <w:pPr>
      <w:widowControl/>
      <w:tabs>
        <w:tab w:val="clear" w:pos="480"/>
      </w:tabs>
      <w:jc w:val="center"/>
    </w:pPr>
    <w:rPr>
      <w:rFonts w:ascii="宋体" w:hAnsi="宋体" w:cs="宋体"/>
      <w:kern w:val="0"/>
      <w:sz w:val="21"/>
    </w:rPr>
  </w:style>
  <w:style w:type="paragraph" w:customStyle="1" w:styleId="993">
    <w:name w:val="6级new(图）"/>
    <w:basedOn w:val="1"/>
    <w:semiHidden/>
    <w:qFormat/>
    <w:uiPriority w:val="0"/>
    <w:pPr>
      <w:widowControl/>
      <w:tabs>
        <w:tab w:val="clear" w:pos="480"/>
      </w:tabs>
      <w:ind w:firstLine="420"/>
      <w:jc w:val="center"/>
    </w:pPr>
    <w:rPr>
      <w:rFonts w:ascii="宋体" w:hAnsi="宋体" w:cs="宋体"/>
      <w:kern w:val="0"/>
      <w:sz w:val="21"/>
    </w:rPr>
  </w:style>
  <w:style w:type="paragraph" w:customStyle="1" w:styleId="994">
    <w:name w:val="7new（表）"/>
    <w:basedOn w:val="1"/>
    <w:semiHidden/>
    <w:qFormat/>
    <w:uiPriority w:val="0"/>
    <w:pPr>
      <w:widowControl/>
      <w:tabs>
        <w:tab w:val="clear" w:pos="480"/>
      </w:tabs>
      <w:spacing w:line="240" w:lineRule="auto"/>
      <w:jc w:val="center"/>
    </w:pPr>
    <w:rPr>
      <w:rFonts w:ascii="黑体" w:hAnsi="宋体" w:eastAsia="黑体" w:cs="宋体"/>
      <w:kern w:val="0"/>
      <w:sz w:val="21"/>
    </w:rPr>
  </w:style>
  <w:style w:type="paragraph" w:customStyle="1" w:styleId="995">
    <w:name w:val="汇总1"/>
    <w:basedOn w:val="3"/>
    <w:qFormat/>
    <w:uiPriority w:val="0"/>
    <w:pPr>
      <w:widowControl/>
      <w:tabs>
        <w:tab w:val="clear" w:pos="480"/>
      </w:tabs>
      <w:spacing w:beforeLines="50" w:afterLines="50" w:line="578" w:lineRule="auto"/>
      <w:jc w:val="center"/>
    </w:pPr>
    <w:rPr>
      <w:rFonts w:ascii="宋体" w:hAnsi="宋体" w:eastAsia="宋体" w:cs="宋体"/>
      <w:b w:val="0"/>
      <w:bCs w:val="0"/>
      <w:szCs w:val="36"/>
    </w:rPr>
  </w:style>
  <w:style w:type="paragraph" w:customStyle="1" w:styleId="996">
    <w:name w:val="汇总2"/>
    <w:basedOn w:val="4"/>
    <w:qFormat/>
    <w:uiPriority w:val="0"/>
    <w:pPr>
      <w:keepLines w:val="0"/>
      <w:widowControl/>
      <w:tabs>
        <w:tab w:val="clear" w:pos="480"/>
        <w:tab w:val="clear" w:pos="630"/>
      </w:tabs>
      <w:spacing w:before="340" w:after="330" w:line="480" w:lineRule="auto"/>
      <w:jc w:val="center"/>
    </w:pPr>
    <w:rPr>
      <w:rFonts w:ascii="宋体" w:hAnsi="宋体" w:cs="宋体"/>
      <w:iCs/>
      <w:color w:val="000000"/>
      <w:kern w:val="0"/>
      <w:lang w:val="en-GB"/>
    </w:rPr>
  </w:style>
  <w:style w:type="paragraph" w:customStyle="1" w:styleId="997">
    <w:name w:val="汇总2x"/>
    <w:basedOn w:val="1"/>
    <w:qFormat/>
    <w:uiPriority w:val="0"/>
    <w:pPr>
      <w:widowControl/>
      <w:tabs>
        <w:tab w:val="clear" w:pos="480"/>
      </w:tabs>
      <w:spacing w:before="260" w:after="260" w:line="415" w:lineRule="auto"/>
      <w:jc w:val="center"/>
    </w:pPr>
    <w:rPr>
      <w:rFonts w:ascii="宋体" w:hAnsi="宋体" w:cs="宋体"/>
      <w:b/>
      <w:kern w:val="0"/>
      <w:sz w:val="32"/>
      <w:szCs w:val="32"/>
    </w:rPr>
  </w:style>
  <w:style w:type="paragraph" w:customStyle="1" w:styleId="998">
    <w:name w:val="汇总3"/>
    <w:basedOn w:val="1"/>
    <w:qFormat/>
    <w:uiPriority w:val="0"/>
    <w:pPr>
      <w:widowControl/>
      <w:tabs>
        <w:tab w:val="clear" w:pos="480"/>
      </w:tabs>
      <w:spacing w:before="260" w:after="260"/>
      <w:ind w:firstLine="560"/>
      <w:jc w:val="left"/>
    </w:pPr>
    <w:rPr>
      <w:rFonts w:ascii="仿宋_GB2312" w:hAnsi="宋体" w:eastAsia="仿宋_GB2312" w:cs="宋体"/>
      <w:kern w:val="0"/>
      <w:szCs w:val="28"/>
    </w:rPr>
  </w:style>
  <w:style w:type="paragraph" w:customStyle="1" w:styleId="999">
    <w:name w:val="汇总4"/>
    <w:basedOn w:val="1"/>
    <w:qFormat/>
    <w:uiPriority w:val="0"/>
    <w:pPr>
      <w:widowControl/>
      <w:tabs>
        <w:tab w:val="clear" w:pos="480"/>
      </w:tabs>
      <w:ind w:firstLine="480"/>
      <w:jc w:val="left"/>
    </w:pPr>
    <w:rPr>
      <w:rFonts w:ascii="黑体" w:hAnsi="宋体" w:eastAsia="黑体" w:cs="宋体"/>
      <w:kern w:val="0"/>
    </w:rPr>
  </w:style>
  <w:style w:type="paragraph" w:customStyle="1" w:styleId="1000">
    <w:name w:val="汇总5"/>
    <w:basedOn w:val="1"/>
    <w:qFormat/>
    <w:uiPriority w:val="0"/>
    <w:pPr>
      <w:widowControl/>
      <w:tabs>
        <w:tab w:val="clear" w:pos="480"/>
      </w:tabs>
      <w:ind w:firstLine="480"/>
      <w:jc w:val="left"/>
    </w:pPr>
    <w:rPr>
      <w:rFonts w:ascii="楷体_GB2312" w:hAnsi="宋体" w:eastAsia="楷体_GB2312" w:cs="宋体"/>
      <w:kern w:val="0"/>
    </w:rPr>
  </w:style>
  <w:style w:type="paragraph" w:customStyle="1" w:styleId="1001">
    <w:name w:val="汇总表"/>
    <w:basedOn w:val="1"/>
    <w:qFormat/>
    <w:uiPriority w:val="0"/>
    <w:pPr>
      <w:widowControl/>
      <w:tabs>
        <w:tab w:val="clear" w:pos="480"/>
      </w:tabs>
      <w:spacing w:line="240" w:lineRule="auto"/>
      <w:jc w:val="center"/>
    </w:pPr>
    <w:rPr>
      <w:rFonts w:ascii="黑体" w:hAnsi="宋体" w:eastAsia="黑体" w:cs="宋体"/>
      <w:kern w:val="0"/>
      <w:sz w:val="21"/>
    </w:rPr>
  </w:style>
  <w:style w:type="paragraph" w:customStyle="1" w:styleId="1002">
    <w:name w:val="汇总图"/>
    <w:basedOn w:val="23"/>
    <w:qFormat/>
    <w:uiPriority w:val="0"/>
    <w:pPr>
      <w:keepNext/>
      <w:adjustRightInd/>
      <w:snapToGrid/>
      <w:spacing w:before="0" w:after="0" w:line="240" w:lineRule="auto"/>
      <w:ind w:firstLine="0" w:firstLineChars="0"/>
    </w:pPr>
    <w:rPr>
      <w:rFonts w:ascii="宋体" w:hAnsi="宋体" w:cs="宋体"/>
      <w:bCs/>
      <w:color w:val="auto"/>
      <w:kern w:val="0"/>
      <w:sz w:val="21"/>
      <w:szCs w:val="21"/>
      <w:lang w:val="en-GB"/>
    </w:rPr>
  </w:style>
  <w:style w:type="paragraph" w:customStyle="1" w:styleId="1003">
    <w:name w:val="汇总1x"/>
    <w:basedOn w:val="995"/>
    <w:qFormat/>
    <w:uiPriority w:val="0"/>
    <w:pPr/>
    <w:rPr>
      <w:rFonts w:ascii="黑体" w:eastAsia="黑体"/>
    </w:rPr>
  </w:style>
  <w:style w:type="paragraph" w:customStyle="1" w:styleId="1004">
    <w:name w:val="JLKC3标题1"/>
    <w:basedOn w:val="1"/>
    <w:semiHidden/>
    <w:qFormat/>
    <w:uiPriority w:val="0"/>
    <w:pPr>
      <w:widowControl/>
      <w:tabs>
        <w:tab w:val="clear" w:pos="480"/>
      </w:tabs>
      <w:ind w:firstLine="601"/>
      <w:jc w:val="left"/>
    </w:pPr>
    <w:rPr>
      <w:rFonts w:ascii="宋体" w:hAnsi="宋体" w:cs="宋体"/>
      <w:b/>
      <w:kern w:val="0"/>
      <w:szCs w:val="28"/>
    </w:rPr>
  </w:style>
  <w:style w:type="paragraph" w:customStyle="1" w:styleId="1005">
    <w:name w:val="JLKC3标题2"/>
    <w:basedOn w:val="1"/>
    <w:semiHidden/>
    <w:qFormat/>
    <w:uiPriority w:val="0"/>
    <w:pPr>
      <w:widowControl/>
      <w:tabs>
        <w:tab w:val="clear" w:pos="480"/>
      </w:tabs>
      <w:spacing w:line="348" w:lineRule="auto"/>
      <w:ind w:firstLine="500"/>
      <w:jc w:val="left"/>
    </w:pPr>
    <w:rPr>
      <w:rFonts w:ascii="宋体" w:hAnsi="宋体" w:cs="宋体"/>
      <w:b/>
      <w:kern w:val="0"/>
    </w:rPr>
  </w:style>
  <w:style w:type="paragraph" w:customStyle="1" w:styleId="1006">
    <w:name w:val="样式 标题 1 + 行距: 1.5 倍行距"/>
    <w:basedOn w:val="3"/>
    <w:qFormat/>
    <w:uiPriority w:val="0"/>
    <w:pPr>
      <w:widowControl/>
      <w:tabs>
        <w:tab w:val="clear" w:pos="480"/>
      </w:tabs>
      <w:spacing w:beforeLines="50" w:afterLines="50" w:line="480" w:lineRule="auto"/>
      <w:jc w:val="left"/>
    </w:pPr>
    <w:rPr>
      <w:rFonts w:ascii="Times New Roman" w:hAnsi="宋体" w:eastAsia="宋体" w:cs="宋体"/>
      <w:b w:val="0"/>
      <w:sz w:val="24"/>
      <w:szCs w:val="24"/>
    </w:rPr>
  </w:style>
  <w:style w:type="paragraph" w:customStyle="1" w:styleId="1007">
    <w:name w:val="YTK标题1"/>
    <w:basedOn w:val="1"/>
    <w:semiHidden/>
    <w:qFormat/>
    <w:uiPriority w:val="0"/>
    <w:pPr>
      <w:widowControl/>
      <w:tabs>
        <w:tab w:val="clear" w:pos="480"/>
      </w:tabs>
      <w:spacing w:line="240" w:lineRule="auto"/>
      <w:jc w:val="left"/>
    </w:pPr>
    <w:rPr>
      <w:rFonts w:ascii="宋体" w:hAnsi="宋体" w:cs="宋体"/>
      <w:b/>
      <w:color w:val="000000"/>
      <w:kern w:val="0"/>
    </w:rPr>
  </w:style>
  <w:style w:type="paragraph" w:customStyle="1" w:styleId="1008">
    <w:name w:val="YTK标题2"/>
    <w:basedOn w:val="1"/>
    <w:semiHidden/>
    <w:qFormat/>
    <w:uiPriority w:val="0"/>
    <w:pPr>
      <w:widowControl/>
      <w:tabs>
        <w:tab w:val="clear" w:pos="480"/>
      </w:tabs>
      <w:jc w:val="left"/>
    </w:pPr>
    <w:rPr>
      <w:rFonts w:ascii="宋体" w:hAnsi="宋体" w:cs="宋体"/>
      <w:b/>
      <w:color w:val="000000"/>
      <w:kern w:val="0"/>
    </w:rPr>
  </w:style>
  <w:style w:type="paragraph" w:customStyle="1" w:styleId="1009">
    <w:name w:val="YTK标题3"/>
    <w:basedOn w:val="1"/>
    <w:semiHidden/>
    <w:qFormat/>
    <w:uiPriority w:val="0"/>
    <w:pPr>
      <w:widowControl/>
      <w:tabs>
        <w:tab w:val="clear" w:pos="480"/>
      </w:tabs>
      <w:jc w:val="left"/>
    </w:pPr>
    <w:rPr>
      <w:rFonts w:ascii="宋体" w:hAnsi="宋体" w:cs="宋体"/>
      <w:b/>
      <w:color w:val="000000"/>
      <w:kern w:val="0"/>
    </w:rPr>
  </w:style>
  <w:style w:type="paragraph" w:customStyle="1" w:styleId="1010">
    <w:name w:val="YTK标题4"/>
    <w:basedOn w:val="1"/>
    <w:semiHidden/>
    <w:qFormat/>
    <w:uiPriority w:val="0"/>
    <w:pPr>
      <w:widowControl/>
      <w:tabs>
        <w:tab w:val="clear" w:pos="480"/>
      </w:tabs>
      <w:jc w:val="left"/>
    </w:pPr>
    <w:rPr>
      <w:rFonts w:ascii="宋体" w:hAnsi="宋体" w:cs="宋体"/>
      <w:b/>
      <w:bCs/>
      <w:color w:val="000000"/>
      <w:kern w:val="0"/>
    </w:rPr>
  </w:style>
  <w:style w:type="paragraph" w:customStyle="1" w:styleId="1011">
    <w:name w:val="YTK标题5"/>
    <w:basedOn w:val="1"/>
    <w:semiHidden/>
    <w:qFormat/>
    <w:uiPriority w:val="0"/>
    <w:pPr>
      <w:widowControl/>
      <w:tabs>
        <w:tab w:val="clear" w:pos="480"/>
      </w:tabs>
      <w:jc w:val="left"/>
    </w:pPr>
    <w:rPr>
      <w:rFonts w:ascii="宋体" w:hAnsi="宋体" w:cs="宋体"/>
      <w:b/>
      <w:color w:val="000000"/>
      <w:kern w:val="0"/>
      <w:szCs w:val="28"/>
      <w:lang w:val="zh-CN"/>
    </w:rPr>
  </w:style>
  <w:style w:type="paragraph" w:customStyle="1" w:styleId="1012">
    <w:name w:val="样式 (西文) 宋体 小四 黑色 段前: 7.8 磅 行距: 1.5 倍行距"/>
    <w:basedOn w:val="1"/>
    <w:qFormat/>
    <w:uiPriority w:val="0"/>
    <w:pPr>
      <w:widowControl/>
      <w:tabs>
        <w:tab w:val="clear" w:pos="480"/>
      </w:tabs>
      <w:spacing w:before="156"/>
      <w:ind w:firstLine="540" w:firstLineChars="225"/>
      <w:jc w:val="left"/>
    </w:pPr>
    <w:rPr>
      <w:rFonts w:ascii="宋体" w:hAnsi="宋体" w:cs="宋体"/>
      <w:color w:val="000000"/>
      <w:kern w:val="0"/>
    </w:rPr>
  </w:style>
  <w:style w:type="paragraph" w:customStyle="1" w:styleId="1013">
    <w:name w:val="样式 标题 2 + 小四"/>
    <w:basedOn w:val="4"/>
    <w:qFormat/>
    <w:uiPriority w:val="0"/>
    <w:pPr>
      <w:widowControl/>
      <w:tabs>
        <w:tab w:val="clear" w:pos="480"/>
        <w:tab w:val="clear" w:pos="630"/>
      </w:tabs>
      <w:spacing w:before="0" w:after="0"/>
      <w:jc w:val="left"/>
    </w:pPr>
    <w:rPr>
      <w:rFonts w:hAnsi="宋体" w:cs="宋体"/>
      <w:b w:val="0"/>
      <w:bCs w:val="0"/>
      <w:iCs/>
      <w:kern w:val="0"/>
      <w:sz w:val="30"/>
      <w:szCs w:val="30"/>
    </w:rPr>
  </w:style>
  <w:style w:type="paragraph" w:customStyle="1" w:styleId="1014">
    <w:name w:val="样式 标题 2 + 首行缩进:  0 字符"/>
    <w:basedOn w:val="4"/>
    <w:qFormat/>
    <w:uiPriority w:val="0"/>
    <w:pPr>
      <w:widowControl/>
      <w:tabs>
        <w:tab w:val="clear" w:pos="480"/>
        <w:tab w:val="clear" w:pos="630"/>
      </w:tabs>
      <w:spacing w:before="50" w:after="0"/>
      <w:jc w:val="left"/>
    </w:pPr>
    <w:rPr>
      <w:rFonts w:hAnsi="宋体" w:cs="宋体"/>
      <w:bCs w:val="0"/>
      <w:iCs/>
      <w:kern w:val="0"/>
      <w:sz w:val="30"/>
      <w:szCs w:val="24"/>
    </w:rPr>
  </w:style>
  <w:style w:type="paragraph" w:customStyle="1" w:styleId="1015">
    <w:name w:val="样式 样式 标题 2 + 首行缩进:  0 字符 + 段前: 0.5 行"/>
    <w:basedOn w:val="1014"/>
    <w:qFormat/>
    <w:uiPriority w:val="0"/>
    <w:pPr/>
  </w:style>
  <w:style w:type="paragraph" w:customStyle="1" w:styleId="1016">
    <w:name w:val="样式 样式 标题 2 + 首行缩进:  0 字符 + 段前: 0.5 行1"/>
    <w:basedOn w:val="1014"/>
    <w:qFormat/>
    <w:uiPriority w:val="0"/>
    <w:pPr/>
  </w:style>
  <w:style w:type="character" w:customStyle="1" w:styleId="1017">
    <w:name w:val="Char3"/>
    <w:semiHidden/>
    <w:qFormat/>
    <w:uiPriority w:val="0"/>
    <w:rPr>
      <w:rFonts w:eastAsia="宋体"/>
      <w:b/>
      <w:bCs/>
      <w:kern w:val="44"/>
      <w:sz w:val="30"/>
      <w:szCs w:val="44"/>
      <w:lang w:val="en-US" w:eastAsia="zh-CN" w:bidi="ar-SA"/>
    </w:rPr>
  </w:style>
  <w:style w:type="paragraph" w:customStyle="1" w:styleId="1018">
    <w:name w:val="表 名"/>
    <w:basedOn w:val="1"/>
    <w:semiHidden/>
    <w:qFormat/>
    <w:uiPriority w:val="0"/>
    <w:pPr>
      <w:widowControl/>
      <w:tabs>
        <w:tab w:val="clear" w:pos="480"/>
      </w:tabs>
      <w:spacing w:line="240" w:lineRule="auto"/>
      <w:jc w:val="center"/>
    </w:pPr>
    <w:rPr>
      <w:rFonts w:ascii="宋体" w:hAnsi="宋体" w:cs="宋体"/>
      <w:kern w:val="0"/>
    </w:rPr>
  </w:style>
  <w:style w:type="character" w:customStyle="1" w:styleId="1019">
    <w:name w:val="表 名 Char"/>
    <w:semiHidden/>
    <w:qFormat/>
    <w:uiPriority w:val="0"/>
    <w:rPr>
      <w:rFonts w:eastAsia="宋体"/>
      <w:kern w:val="2"/>
      <w:sz w:val="24"/>
      <w:szCs w:val="24"/>
      <w:lang w:val="en-US" w:eastAsia="zh-CN" w:bidi="ar-SA"/>
    </w:rPr>
  </w:style>
  <w:style w:type="character" w:customStyle="1" w:styleId="1020">
    <w:name w:val="图 名 Char"/>
    <w:qFormat/>
    <w:uiPriority w:val="0"/>
    <w:rPr>
      <w:rFonts w:ascii="宋体" w:hAnsi="宋体" w:eastAsia="宋体" w:cs="宋体"/>
      <w:kern w:val="2"/>
      <w:sz w:val="24"/>
      <w:lang w:val="en-US" w:eastAsia="zh-CN" w:bidi="ar-SA"/>
    </w:rPr>
  </w:style>
  <w:style w:type="paragraph" w:customStyle="1" w:styleId="1021">
    <w:name w:val="图 名"/>
    <w:basedOn w:val="1"/>
    <w:qFormat/>
    <w:uiPriority w:val="0"/>
    <w:pPr>
      <w:widowControl/>
      <w:tabs>
        <w:tab w:val="clear" w:pos="480"/>
      </w:tabs>
      <w:ind w:firstLine="640"/>
      <w:jc w:val="center"/>
    </w:pPr>
    <w:rPr>
      <w:rFonts w:ascii="宋体" w:hAnsi="宋体" w:cs="宋体"/>
      <w:kern w:val="0"/>
    </w:rPr>
  </w:style>
  <w:style w:type="paragraph" w:customStyle="1" w:styleId="1022">
    <w:name w:val="样式 标题 2 + 首行缩进:  1.13 厘米"/>
    <w:basedOn w:val="4"/>
    <w:qFormat/>
    <w:uiPriority w:val="0"/>
    <w:pPr>
      <w:widowControl/>
      <w:tabs>
        <w:tab w:val="clear" w:pos="480"/>
        <w:tab w:val="clear" w:pos="630"/>
      </w:tabs>
      <w:spacing w:after="260" w:line="415" w:lineRule="auto"/>
      <w:jc w:val="left"/>
    </w:pPr>
    <w:rPr>
      <w:rFonts w:ascii="Arial" w:hAnsi="Arial" w:cs="宋体"/>
      <w:bCs w:val="0"/>
      <w:iCs/>
      <w:kern w:val="0"/>
      <w:szCs w:val="24"/>
    </w:rPr>
  </w:style>
  <w:style w:type="paragraph" w:customStyle="1" w:styleId="1023">
    <w:name w:val="正文-1"/>
    <w:basedOn w:val="1"/>
    <w:qFormat/>
    <w:uiPriority w:val="0"/>
    <w:pPr>
      <w:widowControl/>
      <w:tabs>
        <w:tab w:val="clear" w:pos="480"/>
      </w:tabs>
      <w:ind w:left="1" w:firstLine="539"/>
      <w:jc w:val="left"/>
    </w:pPr>
    <w:rPr>
      <w:rFonts w:ascii="宋体" w:hAnsi="宋体" w:cs="宋体"/>
      <w:color w:val="000000"/>
      <w:kern w:val="0"/>
    </w:rPr>
  </w:style>
  <w:style w:type="paragraph" w:customStyle="1" w:styleId="1024">
    <w:name w:val="样式 标题 1 + 四号 加粗 行距: 1.5 倍行距"/>
    <w:basedOn w:val="3"/>
    <w:qFormat/>
    <w:uiPriority w:val="0"/>
    <w:pPr>
      <w:keepLines w:val="0"/>
      <w:widowControl/>
      <w:tabs>
        <w:tab w:val="left" w:pos="0"/>
        <w:tab w:val="clear" w:pos="480"/>
      </w:tabs>
      <w:spacing w:beforeLines="50" w:afterLines="50" w:line="480" w:lineRule="auto"/>
      <w:jc w:val="left"/>
    </w:pPr>
    <w:rPr>
      <w:rFonts w:ascii="Times New Roman" w:hAnsi="宋体" w:eastAsia="黑体" w:cs="宋体"/>
      <w:b w:val="0"/>
      <w:kern w:val="0"/>
      <w:sz w:val="24"/>
      <w:szCs w:val="28"/>
    </w:rPr>
  </w:style>
  <w:style w:type="paragraph" w:customStyle="1" w:styleId="1025">
    <w:name w:val="样式 标题 1 + 宋体 四号 加粗 黑色 行距: 1.5 倍行距"/>
    <w:basedOn w:val="3"/>
    <w:qFormat/>
    <w:uiPriority w:val="0"/>
    <w:pPr>
      <w:keepLines w:val="0"/>
      <w:widowControl/>
      <w:tabs>
        <w:tab w:val="left" w:pos="0"/>
        <w:tab w:val="clear" w:pos="480"/>
      </w:tabs>
      <w:spacing w:beforeLines="50" w:afterLines="50" w:line="480" w:lineRule="auto"/>
      <w:jc w:val="left"/>
    </w:pPr>
    <w:rPr>
      <w:rFonts w:ascii="Times New Roman" w:hAnsi="宋体" w:eastAsia="黑体" w:cs="宋体"/>
      <w:b w:val="0"/>
      <w:color w:val="000000"/>
      <w:kern w:val="0"/>
      <w:sz w:val="32"/>
      <w:szCs w:val="28"/>
    </w:rPr>
  </w:style>
  <w:style w:type="paragraph" w:customStyle="1" w:styleId="1026">
    <w:name w:val="样式 标题 2 + (符号) 宋体"/>
    <w:basedOn w:val="4"/>
    <w:qFormat/>
    <w:uiPriority w:val="0"/>
    <w:pPr>
      <w:widowControl/>
      <w:tabs>
        <w:tab w:val="clear" w:pos="480"/>
        <w:tab w:val="clear" w:pos="630"/>
      </w:tabs>
      <w:spacing w:before="0" w:after="0"/>
      <w:jc w:val="left"/>
    </w:pPr>
    <w:rPr>
      <w:rFonts w:hAnsi="Arial" w:cs="宋体"/>
      <w:iCs/>
      <w:kern w:val="0"/>
      <w:sz w:val="30"/>
      <w:szCs w:val="24"/>
    </w:rPr>
  </w:style>
  <w:style w:type="paragraph" w:customStyle="1" w:styleId="1027">
    <w:name w:val="样式 样式 标题 1 + 四号 加粗 行距: 1.5 倍行距 + 行距: 固定值 20 磅"/>
    <w:basedOn w:val="1024"/>
    <w:qFormat/>
    <w:uiPriority w:val="0"/>
    <w:pPr>
      <w:spacing w:line="400" w:lineRule="exact"/>
    </w:pPr>
    <w:rPr>
      <w:sz w:val="30"/>
      <w:szCs w:val="20"/>
    </w:rPr>
  </w:style>
  <w:style w:type="paragraph" w:customStyle="1" w:styleId="1028">
    <w:name w:val="样式 样式 标题 1 + 四号 加粗 行距: 1.5 倍行距 + 行距: 固定值 21 磅"/>
    <w:basedOn w:val="1024"/>
    <w:qFormat/>
    <w:uiPriority w:val="0"/>
    <w:pPr>
      <w:spacing w:line="420" w:lineRule="exact"/>
    </w:pPr>
    <w:rPr>
      <w:sz w:val="30"/>
      <w:szCs w:val="20"/>
    </w:rPr>
  </w:style>
  <w:style w:type="paragraph" w:customStyle="1" w:styleId="1029">
    <w:name w:val="样式 正文文本缩进 + 首行缩进:  2 字符"/>
    <w:basedOn w:val="35"/>
    <w:qFormat/>
    <w:uiPriority w:val="0"/>
    <w:pPr>
      <w:widowControl/>
      <w:tabs>
        <w:tab w:val="left" w:pos="2448"/>
        <w:tab w:val="clear" w:pos="480"/>
      </w:tabs>
      <w:spacing w:line="240" w:lineRule="auto"/>
      <w:ind w:firstLine="200"/>
      <w:jc w:val="left"/>
    </w:pPr>
    <w:rPr>
      <w:rFonts w:ascii="宋体" w:hAnsi="宋体" w:cs="宋体"/>
      <w:kern w:val="0"/>
      <w:szCs w:val="28"/>
    </w:rPr>
  </w:style>
  <w:style w:type="paragraph" w:customStyle="1" w:styleId="1030">
    <w:name w:val="tz6样式"/>
    <w:basedOn w:val="5"/>
    <w:next w:val="5"/>
    <w:semiHidden/>
    <w:qFormat/>
    <w:uiPriority w:val="0"/>
    <w:pPr>
      <w:widowControl/>
      <w:tabs>
        <w:tab w:val="left" w:pos="0"/>
        <w:tab w:val="clear" w:pos="480"/>
        <w:tab w:val="clear" w:pos="840"/>
      </w:tabs>
      <w:spacing w:before="0" w:after="0" w:line="360" w:lineRule="auto"/>
      <w:ind w:firstLine="549" w:firstLineChars="196"/>
      <w:jc w:val="left"/>
    </w:pPr>
    <w:rPr>
      <w:rFonts w:ascii="黑体" w:hAnsi="宋体" w:eastAsia="黑体" w:cs="宋体"/>
      <w:bCs w:val="0"/>
      <w:color w:val="000000"/>
      <w:kern w:val="0"/>
      <w:sz w:val="24"/>
      <w:szCs w:val="28"/>
    </w:rPr>
  </w:style>
  <w:style w:type="paragraph" w:customStyle="1" w:styleId="1031">
    <w:name w:val="A标题2"/>
    <w:basedOn w:val="5"/>
    <w:next w:val="1"/>
    <w:semiHidden/>
    <w:qFormat/>
    <w:uiPriority w:val="0"/>
    <w:pPr>
      <w:widowControl/>
      <w:tabs>
        <w:tab w:val="clear" w:pos="480"/>
        <w:tab w:val="clear" w:pos="840"/>
      </w:tabs>
      <w:spacing w:before="0" w:after="0" w:line="360" w:lineRule="auto"/>
      <w:ind w:left="-17" w:leftChars="-8" w:firstLine="1" w:firstLineChars="196"/>
      <w:jc w:val="left"/>
    </w:pPr>
    <w:rPr>
      <w:rFonts w:ascii="黑体" w:hAnsi="宋体" w:eastAsia="黑体" w:cs="宋体"/>
      <w:b w:val="0"/>
      <w:bCs w:val="0"/>
      <w:color w:val="000000"/>
      <w:kern w:val="44"/>
      <w:sz w:val="24"/>
      <w:szCs w:val="28"/>
    </w:rPr>
  </w:style>
  <w:style w:type="paragraph" w:customStyle="1" w:styleId="1032">
    <w:name w:val="A标题1"/>
    <w:basedOn w:val="3"/>
    <w:semiHidden/>
    <w:qFormat/>
    <w:uiPriority w:val="0"/>
    <w:pPr>
      <w:widowControl/>
      <w:tabs>
        <w:tab w:val="clear" w:pos="480"/>
      </w:tabs>
      <w:spacing w:beforeLines="50" w:afterLines="50" w:line="480" w:lineRule="auto"/>
      <w:jc w:val="left"/>
    </w:pPr>
    <w:rPr>
      <w:rFonts w:ascii="黑体" w:hAnsi="宋体" w:eastAsia="黑体" w:cs="宋体"/>
      <w:bCs w:val="0"/>
      <w:color w:val="000000"/>
      <w:sz w:val="32"/>
      <w:szCs w:val="32"/>
    </w:rPr>
  </w:style>
  <w:style w:type="paragraph" w:customStyle="1" w:styleId="1033">
    <w:name w:val="A1"/>
    <w:basedOn w:val="45"/>
    <w:semiHidden/>
    <w:qFormat/>
    <w:uiPriority w:val="0"/>
    <w:pPr>
      <w:widowControl/>
      <w:spacing w:line="360" w:lineRule="auto"/>
      <w:jc w:val="left"/>
    </w:pPr>
    <w:rPr>
      <w:rFonts w:hAnsi="宋体" w:eastAsia="黑体" w:cs="宋体"/>
      <w:kern w:val="0"/>
      <w:sz w:val="30"/>
      <w:szCs w:val="24"/>
    </w:rPr>
  </w:style>
  <w:style w:type="paragraph" w:customStyle="1" w:styleId="1034">
    <w:name w:val="A标题二级"/>
    <w:basedOn w:val="1"/>
    <w:semiHidden/>
    <w:qFormat/>
    <w:uiPriority w:val="0"/>
    <w:pPr>
      <w:widowControl/>
      <w:tabs>
        <w:tab w:val="clear" w:pos="480"/>
      </w:tabs>
      <w:ind w:left="11" w:hanging="11" w:hangingChars="4"/>
      <w:jc w:val="left"/>
    </w:pPr>
    <w:rPr>
      <w:rFonts w:ascii="宋体" w:hAnsi="宋体" w:cs="宋体"/>
      <w:b/>
      <w:bCs/>
      <w:color w:val="000000"/>
      <w:kern w:val="0"/>
      <w:szCs w:val="28"/>
    </w:rPr>
  </w:style>
  <w:style w:type="paragraph" w:customStyle="1" w:styleId="1035">
    <w:name w:val="A标题三级"/>
    <w:basedOn w:val="1"/>
    <w:semiHidden/>
    <w:qFormat/>
    <w:uiPriority w:val="0"/>
    <w:pPr>
      <w:widowControl/>
      <w:tabs>
        <w:tab w:val="center" w:pos="1300"/>
        <w:tab w:val="clear" w:pos="480"/>
      </w:tabs>
      <w:jc w:val="left"/>
    </w:pPr>
    <w:rPr>
      <w:rFonts w:ascii="宋体" w:hAnsi="宋体" w:cs="宋体"/>
      <w:b/>
      <w:bCs/>
      <w:kern w:val="0"/>
    </w:rPr>
  </w:style>
  <w:style w:type="paragraph" w:customStyle="1" w:styleId="1036">
    <w:name w:val="标题1 + 宋体"/>
    <w:basedOn w:val="181"/>
    <w:semiHidden/>
    <w:qFormat/>
    <w:uiPriority w:val="0"/>
    <w:pPr>
      <w:keepNext/>
      <w:keepLines/>
      <w:widowControl/>
      <w:adjustRightInd/>
      <w:spacing w:before="240" w:line="480" w:lineRule="auto"/>
      <w:ind w:left="0" w:firstLine="0"/>
      <w:textAlignment w:val="auto"/>
      <w:outlineLvl w:val="0"/>
    </w:pPr>
    <w:rPr>
      <w:rFonts w:ascii="宋体" w:hAnsi="宋体" w:cs="宋体"/>
      <w:color w:val="000000"/>
      <w:kern w:val="44"/>
      <w:sz w:val="30"/>
      <w:szCs w:val="30"/>
    </w:rPr>
  </w:style>
  <w:style w:type="paragraph" w:customStyle="1" w:styleId="1037">
    <w:name w:val="标题3-3"/>
    <w:basedOn w:val="5"/>
    <w:semiHidden/>
    <w:qFormat/>
    <w:uiPriority w:val="0"/>
    <w:pPr>
      <w:widowControl/>
      <w:tabs>
        <w:tab w:val="clear" w:pos="480"/>
        <w:tab w:val="clear" w:pos="840"/>
      </w:tabs>
      <w:spacing w:after="120" w:line="400" w:lineRule="exact"/>
      <w:ind w:firstLine="549" w:firstLineChars="196"/>
      <w:jc w:val="left"/>
    </w:pPr>
    <w:rPr>
      <w:rFonts w:hAnsi="仿宋_GB2312" w:cs="宋体"/>
      <w:color w:val="000000"/>
      <w:kern w:val="0"/>
      <w:sz w:val="24"/>
      <w:szCs w:val="24"/>
    </w:rPr>
  </w:style>
  <w:style w:type="paragraph" w:customStyle="1" w:styleId="1038">
    <w:name w:val="Style Heading 3H3 + Univers 57 Condensed Before:  6 pt After:  6..."/>
    <w:basedOn w:val="5"/>
    <w:semiHidden/>
    <w:qFormat/>
    <w:uiPriority w:val="0"/>
    <w:pPr>
      <w:keepLines w:val="0"/>
      <w:widowControl/>
      <w:tabs>
        <w:tab w:val="left" w:pos="900"/>
        <w:tab w:val="left" w:pos="1080"/>
        <w:tab w:val="clear" w:pos="480"/>
        <w:tab w:val="clear" w:pos="840"/>
      </w:tabs>
      <w:spacing w:after="120" w:line="240" w:lineRule="auto"/>
      <w:ind w:left="851" w:hanging="851"/>
      <w:jc w:val="left"/>
    </w:pPr>
    <w:rPr>
      <w:rFonts w:ascii="Univers 57 Condensed" w:hAnsi="Univers 57 Condensed" w:eastAsia="黑体" w:cs="宋体"/>
      <w:color w:val="000000"/>
      <w:kern w:val="0"/>
      <w:sz w:val="26"/>
      <w:szCs w:val="24"/>
    </w:rPr>
  </w:style>
  <w:style w:type="paragraph" w:customStyle="1" w:styleId="1039">
    <w:name w:val="zhao normal"/>
    <w:basedOn w:val="1"/>
    <w:link w:val="1040"/>
    <w:semiHidden/>
    <w:qFormat/>
    <w:uiPriority w:val="0"/>
    <w:pPr>
      <w:widowControl/>
      <w:tabs>
        <w:tab w:val="clear" w:pos="480"/>
      </w:tabs>
      <w:spacing w:line="240" w:lineRule="auto"/>
      <w:ind w:firstLine="646"/>
      <w:jc w:val="left"/>
    </w:pPr>
    <w:rPr>
      <w:rFonts w:ascii="Univers 57 Condensed" w:hAnsi="Univers 57 Condensed"/>
      <w:kern w:val="0"/>
      <w:lang w:val="zh-CN" w:eastAsia="en-US"/>
    </w:rPr>
  </w:style>
  <w:style w:type="character" w:customStyle="1" w:styleId="1040">
    <w:name w:val="zhao normal Char"/>
    <w:link w:val="1039"/>
    <w:qFormat/>
    <w:uiPriority w:val="0"/>
    <w:rPr>
      <w:rFonts w:ascii="Univers 57 Condensed" w:hAnsi="Univers 57 Condensed" w:eastAsia="宋体"/>
      <w:sz w:val="24"/>
      <w:szCs w:val="24"/>
      <w:lang w:eastAsia="en-US" w:bidi="ar-SA"/>
    </w:rPr>
  </w:style>
  <w:style w:type="character" w:customStyle="1" w:styleId="1041">
    <w:name w:val="样式4 Char"/>
    <w:link w:val="156"/>
    <w:qFormat/>
    <w:uiPriority w:val="0"/>
    <w:rPr>
      <w:rFonts w:eastAsia="宋体"/>
      <w:bCs/>
      <w:snapToGrid w:val="0"/>
      <w:color w:val="000000"/>
      <w:kern w:val="2"/>
      <w:sz w:val="24"/>
      <w:szCs w:val="24"/>
      <w:lang w:val="en-US" w:eastAsia="zh-CN" w:bidi="ar-SA"/>
    </w:rPr>
  </w:style>
  <w:style w:type="paragraph" w:customStyle="1" w:styleId="1042">
    <w:name w:val="表名、图名"/>
    <w:basedOn w:val="1"/>
    <w:link w:val="1043"/>
    <w:semiHidden/>
    <w:qFormat/>
    <w:uiPriority w:val="0"/>
    <w:pPr>
      <w:widowControl/>
      <w:tabs>
        <w:tab w:val="clear" w:pos="480"/>
      </w:tabs>
      <w:jc w:val="center"/>
    </w:pPr>
    <w:rPr>
      <w:rFonts w:ascii="Arial" w:hAnsi="Arial"/>
      <w:color w:val="000000"/>
      <w:spacing w:val="4"/>
      <w:kern w:val="0"/>
      <w:sz w:val="20"/>
      <w:szCs w:val="21"/>
      <w:lang w:val="zh-CN"/>
    </w:rPr>
  </w:style>
  <w:style w:type="character" w:customStyle="1" w:styleId="1043">
    <w:name w:val="表名、图名 Char"/>
    <w:link w:val="1042"/>
    <w:qFormat/>
    <w:uiPriority w:val="0"/>
    <w:rPr>
      <w:rFonts w:ascii="Arial" w:hAnsi="Arial" w:eastAsia="宋体"/>
      <w:color w:val="000000"/>
      <w:spacing w:val="4"/>
      <w:szCs w:val="21"/>
      <w:lang w:bidi="ar-SA"/>
    </w:rPr>
  </w:style>
  <w:style w:type="paragraph" w:customStyle="1" w:styleId="1044">
    <w:name w:val="样式 标题 3三级标题标题 3ll标题 3 Char Char三级标题 3 + 首行缩进:  2 字符"/>
    <w:basedOn w:val="5"/>
    <w:qFormat/>
    <w:uiPriority w:val="0"/>
    <w:pPr>
      <w:widowControl/>
      <w:tabs>
        <w:tab w:val="clear" w:pos="480"/>
        <w:tab w:val="clear" w:pos="840"/>
      </w:tabs>
      <w:spacing w:before="260" w:line="360" w:lineRule="auto"/>
      <w:jc w:val="center"/>
    </w:pPr>
    <w:rPr>
      <w:rFonts w:ascii="黑体" w:hAnsi="宋体" w:eastAsia="黑体" w:cs="宋体"/>
      <w:b w:val="0"/>
      <w:kern w:val="0"/>
      <w:sz w:val="24"/>
      <w:szCs w:val="28"/>
    </w:rPr>
  </w:style>
  <w:style w:type="paragraph" w:customStyle="1" w:styleId="1045">
    <w:name w:val="油藏描述正文 宋体 小四"/>
    <w:basedOn w:val="1"/>
    <w:qFormat/>
    <w:uiPriority w:val="0"/>
    <w:pPr>
      <w:widowControl/>
      <w:tabs>
        <w:tab w:val="clear" w:pos="480"/>
      </w:tabs>
      <w:ind w:firstLine="482"/>
      <w:jc w:val="left"/>
    </w:pPr>
    <w:rPr>
      <w:rFonts w:ascii="宋体" w:hAnsi="宋体" w:cs="宋体"/>
      <w:color w:val="000000"/>
      <w:kern w:val="0"/>
    </w:rPr>
  </w:style>
  <w:style w:type="paragraph" w:customStyle="1" w:styleId="1046">
    <w:name w:val="论文正文（首行缩进）"/>
    <w:basedOn w:val="35"/>
    <w:qFormat/>
    <w:uiPriority w:val="0"/>
    <w:pPr>
      <w:widowControl/>
      <w:tabs>
        <w:tab w:val="clear" w:pos="480"/>
      </w:tabs>
      <w:adjustRightInd w:val="0"/>
      <w:spacing w:line="300" w:lineRule="auto"/>
      <w:jc w:val="left"/>
    </w:pPr>
    <w:rPr>
      <w:rFonts w:ascii="宋体" w:hAnsi="宋体" w:cs="宋体"/>
      <w:kern w:val="0"/>
      <w:szCs w:val="18"/>
    </w:rPr>
  </w:style>
  <w:style w:type="paragraph" w:customStyle="1" w:styleId="1047">
    <w:name w:val="论文－表五"/>
    <w:basedOn w:val="1"/>
    <w:qFormat/>
    <w:uiPriority w:val="0"/>
    <w:pPr>
      <w:widowControl/>
      <w:tabs>
        <w:tab w:val="clear" w:pos="480"/>
      </w:tabs>
      <w:spacing w:line="240" w:lineRule="auto"/>
      <w:jc w:val="center"/>
    </w:pPr>
    <w:rPr>
      <w:rFonts w:ascii="宋体" w:hAnsi="宋体" w:cs="宋体"/>
      <w:kern w:val="0"/>
      <w:sz w:val="21"/>
    </w:rPr>
  </w:style>
  <w:style w:type="paragraph" w:customStyle="1" w:styleId="1048">
    <w:name w:val="AA三级"/>
    <w:basedOn w:val="21"/>
    <w:semiHidden/>
    <w:qFormat/>
    <w:uiPriority w:val="0"/>
    <w:pPr>
      <w:widowControl/>
      <w:tabs>
        <w:tab w:val="clear" w:pos="480"/>
      </w:tabs>
      <w:ind w:firstLine="0" w:firstLineChars="0"/>
      <w:jc w:val="left"/>
    </w:pPr>
    <w:rPr>
      <w:rFonts w:ascii="宋体" w:hAnsi="宋体" w:cs="宋体"/>
      <w:b/>
      <w:kern w:val="0"/>
      <w:sz w:val="28"/>
      <w:szCs w:val="28"/>
    </w:rPr>
  </w:style>
  <w:style w:type="paragraph" w:customStyle="1" w:styleId="1049">
    <w:name w:val="样式 小四 首行缩进:  0.89 厘米 行距: 1.5 倍行距"/>
    <w:basedOn w:val="1"/>
    <w:qFormat/>
    <w:uiPriority w:val="0"/>
    <w:pPr>
      <w:widowControl/>
      <w:tabs>
        <w:tab w:val="clear" w:pos="480"/>
      </w:tabs>
      <w:ind w:firstLine="482"/>
      <w:jc w:val="left"/>
    </w:pPr>
    <w:rPr>
      <w:rFonts w:ascii="宋体" w:hAnsi="宋体" w:cs="宋体"/>
      <w:kern w:val="0"/>
    </w:rPr>
  </w:style>
  <w:style w:type="character" w:customStyle="1" w:styleId="1050">
    <w:name w:val="标题 2 Char Char Char Char Char Char1"/>
    <w:semiHidden/>
    <w:qFormat/>
    <w:uiPriority w:val="0"/>
    <w:rPr>
      <w:rFonts w:ascii="Arial" w:hAnsi="Arial" w:eastAsia="黑体"/>
      <w:b/>
      <w:bCs/>
      <w:kern w:val="2"/>
      <w:sz w:val="32"/>
      <w:szCs w:val="32"/>
      <w:lang w:val="en-US" w:eastAsia="zh-CN" w:bidi="ar-SA"/>
    </w:rPr>
  </w:style>
  <w:style w:type="character" w:customStyle="1" w:styleId="1051">
    <w:name w:val="正文文字 2 Char1"/>
    <w:qFormat/>
    <w:uiPriority w:val="0"/>
    <w:rPr>
      <w:rFonts w:eastAsia="宋体"/>
      <w:kern w:val="2"/>
      <w:sz w:val="24"/>
      <w:szCs w:val="24"/>
      <w:lang w:val="en-US" w:eastAsia="zh-CN" w:bidi="ar-SA"/>
    </w:rPr>
  </w:style>
  <w:style w:type="character" w:customStyle="1" w:styleId="1052">
    <w:name w:val="正文文字缩进 3 Char1"/>
    <w:qFormat/>
    <w:uiPriority w:val="0"/>
    <w:rPr>
      <w:rFonts w:ascii="宋体" w:eastAsia="宋体"/>
      <w:kern w:val="2"/>
      <w:sz w:val="24"/>
      <w:lang w:val="en-US" w:eastAsia="zh-CN" w:bidi="ar-SA"/>
    </w:rPr>
  </w:style>
  <w:style w:type="character" w:customStyle="1" w:styleId="1053">
    <w:name w:val="bt Char"/>
    <w:semiHidden/>
    <w:qFormat/>
    <w:uiPriority w:val="0"/>
    <w:rPr>
      <w:rFonts w:eastAsia="宋体"/>
      <w:kern w:val="2"/>
      <w:sz w:val="21"/>
      <w:szCs w:val="24"/>
      <w:lang w:val="en-US" w:eastAsia="zh-CN" w:bidi="ar-SA"/>
    </w:rPr>
  </w:style>
  <w:style w:type="paragraph" w:customStyle="1" w:styleId="1054">
    <w:name w:val="样式 样式 标题 4 + 首行缩进:  2 字符 + 首行缩进:  2 字符"/>
    <w:basedOn w:val="1"/>
    <w:qFormat/>
    <w:uiPriority w:val="0"/>
    <w:pPr>
      <w:keepNext/>
      <w:keepLines/>
      <w:widowControl/>
      <w:tabs>
        <w:tab w:val="clear" w:pos="480"/>
      </w:tabs>
      <w:spacing w:before="280" w:after="290" w:line="377" w:lineRule="auto"/>
      <w:jc w:val="left"/>
      <w:outlineLvl w:val="3"/>
    </w:pPr>
    <w:rPr>
      <w:rFonts w:ascii="Arial" w:hAnsi="Arial" w:eastAsia="楷体_GB2312" w:cs="宋体"/>
      <w:kern w:val="0"/>
    </w:rPr>
  </w:style>
  <w:style w:type="character" w:customStyle="1" w:styleId="1055">
    <w:name w:val="p29"/>
    <w:basedOn w:val="133"/>
    <w:semiHidden/>
    <w:qFormat/>
    <w:uiPriority w:val="0"/>
  </w:style>
  <w:style w:type="paragraph" w:customStyle="1" w:styleId="1056">
    <w:name w:val="样式 标题 1 + 字距调整小二"/>
    <w:basedOn w:val="3"/>
    <w:next w:val="1"/>
    <w:qFormat/>
    <w:uiPriority w:val="0"/>
    <w:pPr>
      <w:widowControl/>
      <w:tabs>
        <w:tab w:val="clear" w:pos="480"/>
      </w:tabs>
      <w:spacing w:beforeLines="50" w:afterLines="50" w:line="578" w:lineRule="auto"/>
      <w:jc w:val="left"/>
    </w:pPr>
    <w:rPr>
      <w:rFonts w:ascii="Times New Roman" w:hAnsi="宋体" w:eastAsia="宋体" w:cs="宋体"/>
      <w:kern w:val="36"/>
      <w:sz w:val="32"/>
    </w:rPr>
  </w:style>
  <w:style w:type="paragraph" w:customStyle="1" w:styleId="1057">
    <w:name w:val="样式 标题 2 + 段前: 0.5 行 段后: 0.5 行"/>
    <w:basedOn w:val="4"/>
    <w:qFormat/>
    <w:uiPriority w:val="0"/>
    <w:pPr>
      <w:keepLines w:val="0"/>
      <w:widowControl/>
      <w:tabs>
        <w:tab w:val="clear" w:pos="480"/>
        <w:tab w:val="clear" w:pos="630"/>
      </w:tabs>
      <w:spacing w:before="0" w:after="0"/>
      <w:jc w:val="center"/>
    </w:pPr>
    <w:rPr>
      <w:rFonts w:ascii="仿宋体" w:hAnsi="宋体" w:eastAsia="仿宋体" w:cs="宋体"/>
      <w:bCs w:val="0"/>
      <w:iCs/>
      <w:kern w:val="0"/>
      <w:sz w:val="30"/>
      <w:szCs w:val="24"/>
    </w:rPr>
  </w:style>
  <w:style w:type="paragraph" w:customStyle="1" w:styleId="1058">
    <w:name w:val="标题 2 + 段前: 0.5 行 段后: 0.5 行1"/>
    <w:basedOn w:val="4"/>
    <w:semiHidden/>
    <w:qFormat/>
    <w:uiPriority w:val="0"/>
    <w:pPr>
      <w:keepLines w:val="0"/>
      <w:framePr w:wrap="around" w:vAnchor="text" w:hAnchor="text" w:y="1"/>
      <w:widowControl/>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59">
    <w:name w:val="样式 标题 2 + 段前: 0.5 行 段后: 0.5 行1"/>
    <w:basedOn w:val="4"/>
    <w:qFormat/>
    <w:uiPriority w:val="0"/>
    <w:pPr>
      <w:keepLines w:val="0"/>
      <w:widowControl/>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0">
    <w:name w:val="样式 标题 3 + 首行缩进:  2 字符 Char Char Char"/>
    <w:basedOn w:val="5"/>
    <w:qFormat/>
    <w:uiPriority w:val="0"/>
    <w:pPr>
      <w:widowControl/>
      <w:tabs>
        <w:tab w:val="clear" w:pos="480"/>
        <w:tab w:val="clear" w:pos="840"/>
      </w:tabs>
      <w:spacing w:before="0" w:after="0" w:line="480" w:lineRule="auto"/>
      <w:jc w:val="left"/>
    </w:pPr>
    <w:rPr>
      <w:rFonts w:ascii="宋体" w:hAnsi="宋体" w:eastAsia="宋体" w:cs="宋体"/>
      <w:b w:val="0"/>
      <w:bCs w:val="0"/>
      <w:kern w:val="0"/>
      <w:sz w:val="24"/>
      <w:szCs w:val="24"/>
    </w:rPr>
  </w:style>
  <w:style w:type="character" w:customStyle="1" w:styleId="1061">
    <w:name w:val="样式 标题 3 + 首行缩进:  2 字符 Char Char Char Char"/>
    <w:qFormat/>
    <w:uiPriority w:val="0"/>
    <w:rPr>
      <w:rFonts w:ascii="宋体" w:hAnsi="Arial" w:eastAsia="宋体" w:cs="宋体"/>
      <w:b/>
      <w:i/>
      <w:iCs/>
      <w:kern w:val="2"/>
      <w:sz w:val="28"/>
      <w:szCs w:val="24"/>
      <w:u w:val="dotted"/>
      <w:lang w:val="en-US" w:eastAsia="zh-CN" w:bidi="ar-SA"/>
    </w:rPr>
  </w:style>
  <w:style w:type="paragraph" w:customStyle="1" w:styleId="1062">
    <w:name w:val="样式 标题 2 + 段前: 0.5 行 段后: 0.5 行2"/>
    <w:basedOn w:val="4"/>
    <w:next w:val="1"/>
    <w:qFormat/>
    <w:uiPriority w:val="0"/>
    <w:pPr>
      <w:keepLines w:val="0"/>
      <w:widowControl/>
      <w:tabs>
        <w:tab w:val="clear" w:pos="480"/>
        <w:tab w:val="clear" w:pos="630"/>
      </w:tabs>
      <w:spacing w:before="0" w:after="0" w:line="480" w:lineRule="auto"/>
      <w:jc w:val="left"/>
    </w:pPr>
    <w:rPr>
      <w:rFonts w:ascii="仿宋体" w:hAnsi="宋体" w:eastAsia="仿宋体" w:cs="宋体"/>
      <w:bCs w:val="0"/>
      <w:iCs/>
      <w:kern w:val="0"/>
      <w:sz w:val="30"/>
      <w:szCs w:val="24"/>
    </w:rPr>
  </w:style>
  <w:style w:type="paragraph" w:customStyle="1" w:styleId="1063">
    <w:name w:val="样式 标题 1 + 字距调整小二1"/>
    <w:basedOn w:val="3"/>
    <w:next w:val="1"/>
    <w:qFormat/>
    <w:uiPriority w:val="0"/>
    <w:pPr>
      <w:widowControl/>
      <w:tabs>
        <w:tab w:val="clear" w:pos="480"/>
      </w:tabs>
      <w:spacing w:beforeLines="50" w:afterLines="50"/>
      <w:jc w:val="left"/>
    </w:pPr>
    <w:rPr>
      <w:rFonts w:ascii="Times New Roman" w:hAnsi="宋体" w:eastAsia="宋体" w:cs="宋体"/>
      <w:kern w:val="36"/>
      <w:sz w:val="32"/>
    </w:rPr>
  </w:style>
  <w:style w:type="paragraph" w:customStyle="1" w:styleId="1064">
    <w:name w:val="样式 标题 2 + 段前: 0.5 行 段后: 0.5 行3"/>
    <w:basedOn w:val="4"/>
    <w:qFormat/>
    <w:uiPriority w:val="0"/>
    <w:pPr>
      <w:keepLines w:val="0"/>
      <w:widowControl/>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5">
    <w:name w:val="样式 标题 3 + 首行缩进:  2 字符1"/>
    <w:basedOn w:val="5"/>
    <w:qFormat/>
    <w:uiPriority w:val="0"/>
    <w:pPr>
      <w:widowControl/>
      <w:tabs>
        <w:tab w:val="clear" w:pos="480"/>
        <w:tab w:val="clear" w:pos="840"/>
      </w:tabs>
      <w:spacing w:before="0" w:after="0" w:line="300" w:lineRule="auto"/>
      <w:ind w:left="360" w:leftChars="1" w:hanging="358" w:hangingChars="128"/>
      <w:jc w:val="left"/>
    </w:pPr>
    <w:rPr>
      <w:rFonts w:ascii="宋体" w:hAnsi="宋体" w:eastAsia="宋体" w:cs="宋体"/>
      <w:b w:val="0"/>
      <w:bCs w:val="0"/>
      <w:color w:val="FF00FF"/>
      <w:kern w:val="0"/>
      <w:sz w:val="24"/>
      <w:szCs w:val="28"/>
    </w:rPr>
  </w:style>
  <w:style w:type="paragraph" w:customStyle="1" w:styleId="1066">
    <w:name w:val="样式 标题 2 + 段前: 0.5 行 段后: 0.5 行4"/>
    <w:basedOn w:val="4"/>
    <w:qFormat/>
    <w:uiPriority w:val="0"/>
    <w:pPr>
      <w:keepLines w:val="0"/>
      <w:widowControl/>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7">
    <w:name w:val="样式 标题 2 + 段前: 0.5 行 段后: 0.5 行5"/>
    <w:basedOn w:val="4"/>
    <w:qFormat/>
    <w:uiPriority w:val="0"/>
    <w:pPr>
      <w:keepLines w:val="0"/>
      <w:widowControl/>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8">
    <w:name w:val="样式 标题 3 + 首行缩进:  2 字符2"/>
    <w:basedOn w:val="5"/>
    <w:qFormat/>
    <w:uiPriority w:val="0"/>
    <w:pPr>
      <w:widowControl/>
      <w:tabs>
        <w:tab w:val="clear" w:pos="480"/>
        <w:tab w:val="clear" w:pos="840"/>
      </w:tabs>
      <w:spacing w:before="0" w:after="0" w:line="300" w:lineRule="auto"/>
      <w:ind w:firstLine="200" w:firstLineChars="200"/>
      <w:jc w:val="left"/>
    </w:pPr>
    <w:rPr>
      <w:rFonts w:ascii="宋体" w:hAnsi="宋体" w:eastAsia="宋体" w:cs="宋体"/>
      <w:b w:val="0"/>
      <w:bCs w:val="0"/>
      <w:kern w:val="0"/>
      <w:sz w:val="24"/>
      <w:szCs w:val="24"/>
    </w:rPr>
  </w:style>
  <w:style w:type="character" w:customStyle="1" w:styleId="1069">
    <w:name w:val="样式 宋体 小四 加粗"/>
    <w:qFormat/>
    <w:uiPriority w:val="0"/>
    <w:rPr>
      <w:rFonts w:ascii="宋体" w:hAnsi="宋体"/>
      <w:b/>
      <w:bCs/>
      <w:sz w:val="24"/>
    </w:rPr>
  </w:style>
  <w:style w:type="paragraph" w:customStyle="1" w:styleId="1070">
    <w:name w:val="样式 样式 标题 3 + 首行缩进:  2 字符 + 加粗 Char"/>
    <w:basedOn w:val="1060"/>
    <w:qFormat/>
    <w:uiPriority w:val="0"/>
    <w:pPr/>
    <w:rPr>
      <w:b/>
      <w:bCs/>
    </w:rPr>
  </w:style>
  <w:style w:type="character" w:customStyle="1" w:styleId="1071">
    <w:name w:val="样式 样式 标题 3 + 首行缩进:  2 字符 + 加粗 Char Char"/>
    <w:qFormat/>
    <w:uiPriority w:val="0"/>
    <w:rPr>
      <w:rFonts w:ascii="宋体" w:hAnsi="Arial" w:eastAsia="宋体" w:cs="宋体"/>
      <w:kern w:val="2"/>
      <w:sz w:val="28"/>
      <w:szCs w:val="24"/>
      <w:u w:val="dotted"/>
      <w:lang w:val="en-US" w:eastAsia="zh-CN" w:bidi="ar-SA"/>
    </w:rPr>
  </w:style>
  <w:style w:type="paragraph" w:customStyle="1" w:styleId="1072">
    <w:name w:val="座谈会正文 Char Char Char"/>
    <w:basedOn w:val="1"/>
    <w:qFormat/>
    <w:uiPriority w:val="0"/>
    <w:pPr>
      <w:widowControl/>
      <w:tabs>
        <w:tab w:val="clear" w:pos="480"/>
      </w:tabs>
      <w:ind w:firstLine="538" w:firstLineChars="192"/>
      <w:jc w:val="left"/>
    </w:pPr>
    <w:rPr>
      <w:rFonts w:ascii="楷体_GB2312" w:hAnsi="宋体" w:eastAsia="楷体_GB2312" w:cs="宋体"/>
      <w:kern w:val="0"/>
      <w:szCs w:val="28"/>
    </w:rPr>
  </w:style>
  <w:style w:type="character" w:customStyle="1" w:styleId="1073">
    <w:name w:val="座谈会正文 Char Char Char Char"/>
    <w:qFormat/>
    <w:uiPriority w:val="0"/>
    <w:rPr>
      <w:rFonts w:ascii="楷体_GB2312" w:hAnsi="宋体" w:eastAsia="楷体_GB2312"/>
      <w:kern w:val="2"/>
      <w:sz w:val="28"/>
      <w:szCs w:val="28"/>
      <w:lang w:val="en-US" w:eastAsia="zh-CN" w:bidi="ar-SA"/>
    </w:rPr>
  </w:style>
  <w:style w:type="paragraph" w:customStyle="1" w:styleId="1074">
    <w:name w:val="样式 标题 3 + 首行缩进:  2 字符 Char"/>
    <w:basedOn w:val="5"/>
    <w:qFormat/>
    <w:uiPriority w:val="0"/>
    <w:pPr>
      <w:widowControl/>
      <w:tabs>
        <w:tab w:val="clear" w:pos="480"/>
        <w:tab w:val="clear" w:pos="840"/>
      </w:tabs>
      <w:spacing w:before="0" w:after="0" w:line="480" w:lineRule="auto"/>
      <w:jc w:val="left"/>
    </w:pPr>
    <w:rPr>
      <w:rFonts w:ascii="宋体" w:hAnsi="宋体" w:eastAsia="宋体" w:cs="宋体"/>
      <w:b w:val="0"/>
      <w:bCs w:val="0"/>
      <w:kern w:val="0"/>
      <w:sz w:val="24"/>
      <w:szCs w:val="24"/>
    </w:rPr>
  </w:style>
  <w:style w:type="paragraph" w:customStyle="1" w:styleId="1075">
    <w:name w:val="标  题"/>
    <w:basedOn w:val="1"/>
    <w:semiHidden/>
    <w:qFormat/>
    <w:uiPriority w:val="0"/>
    <w:pPr>
      <w:widowControl/>
      <w:tabs>
        <w:tab w:val="clear" w:pos="480"/>
      </w:tabs>
      <w:jc w:val="left"/>
    </w:pPr>
    <w:rPr>
      <w:rFonts w:ascii="黑体" w:hAnsi="宋体" w:eastAsia="黑体" w:cs="宋体"/>
      <w:b/>
      <w:bCs/>
      <w:kern w:val="0"/>
      <w:szCs w:val="28"/>
    </w:rPr>
  </w:style>
  <w:style w:type="paragraph" w:customStyle="1" w:styleId="1076">
    <w:name w:val="Char1 Char Char Char"/>
    <w:basedOn w:val="1"/>
    <w:qFormat/>
    <w:uiPriority w:val="0"/>
    <w:pPr>
      <w:widowControl/>
      <w:tabs>
        <w:tab w:val="clear" w:pos="480"/>
      </w:tabs>
      <w:spacing w:line="240" w:lineRule="auto"/>
      <w:jc w:val="left"/>
    </w:pPr>
    <w:rPr>
      <w:rFonts w:ascii="宋体" w:hAnsi="宋体" w:cs="宋体"/>
      <w:kern w:val="0"/>
      <w:sz w:val="21"/>
    </w:rPr>
  </w:style>
  <w:style w:type="paragraph" w:customStyle="1" w:styleId="1077">
    <w:name w:val="Char1 Char Char Char3"/>
    <w:basedOn w:val="1"/>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078">
    <w:name w:val="Style1"/>
    <w:basedOn w:val="4"/>
    <w:semiHidden/>
    <w:qFormat/>
    <w:uiPriority w:val="0"/>
    <w:pPr>
      <w:keepLines w:val="0"/>
      <w:widowControl/>
      <w:tabs>
        <w:tab w:val="clear" w:pos="480"/>
        <w:tab w:val="clear" w:pos="630"/>
      </w:tabs>
      <w:spacing w:before="0" w:after="0" w:line="240" w:lineRule="auto"/>
      <w:ind w:firstLine="720"/>
      <w:jc w:val="center"/>
    </w:pPr>
    <w:rPr>
      <w:rFonts w:hAnsi="宋体" w:eastAsia="Times New Roman" w:cs="宋体"/>
      <w:iCs/>
      <w:kern w:val="0"/>
      <w:sz w:val="24"/>
      <w:szCs w:val="24"/>
      <w:lang w:val="ru-RU" w:eastAsia="en-US"/>
    </w:rPr>
  </w:style>
  <w:style w:type="paragraph" w:customStyle="1" w:styleId="1079">
    <w:name w:val="Rev./Mese/ANNO"/>
    <w:basedOn w:val="1"/>
    <w:semiHidden/>
    <w:qFormat/>
    <w:uiPriority w:val="0"/>
    <w:pPr>
      <w:widowControl/>
      <w:tabs>
        <w:tab w:val="clear" w:pos="480"/>
      </w:tabs>
      <w:spacing w:after="200" w:line="240" w:lineRule="auto"/>
      <w:jc w:val="center"/>
    </w:pPr>
    <w:rPr>
      <w:rFonts w:ascii="Arial" w:hAnsi="Arial" w:eastAsia="Times New Roman" w:cs="Arial"/>
      <w:kern w:val="0"/>
      <w:sz w:val="20"/>
      <w:lang w:val="it-IT" w:eastAsia="en-US"/>
    </w:rPr>
  </w:style>
  <w:style w:type="paragraph" w:customStyle="1" w:styleId="1080">
    <w:name w:val="样式 正文缩进 + 宋体"/>
    <w:basedOn w:val="21"/>
    <w:link w:val="1197"/>
    <w:qFormat/>
    <w:uiPriority w:val="0"/>
    <w:pPr>
      <w:widowControl/>
      <w:tabs>
        <w:tab w:val="clear" w:pos="480"/>
      </w:tabs>
      <w:snapToGrid w:val="0"/>
      <w:spacing w:line="300" w:lineRule="auto"/>
      <w:ind w:firstLine="560"/>
      <w:jc w:val="left"/>
    </w:pPr>
    <w:rPr>
      <w:rFonts w:ascii="宋体" w:hAnsi="宋体"/>
      <w:kern w:val="0"/>
      <w:sz w:val="28"/>
      <w:szCs w:val="28"/>
      <w:lang w:val="zh-CN"/>
    </w:rPr>
  </w:style>
  <w:style w:type="character" w:customStyle="1" w:styleId="1081">
    <w:name w:val="Название объекта1"/>
    <w:semiHidden/>
    <w:qFormat/>
    <w:uiPriority w:val="0"/>
    <w:rPr>
      <w:b/>
      <w:bCs/>
      <w:lang w:val="ru-RU" w:eastAsia="ru-RU" w:bidi="ar-SA"/>
    </w:rPr>
  </w:style>
  <w:style w:type="paragraph" w:customStyle="1" w:styleId="1082">
    <w:name w:val="Стиль20-1"/>
    <w:basedOn w:val="1"/>
    <w:semiHidden/>
    <w:qFormat/>
    <w:uiPriority w:val="0"/>
    <w:pPr>
      <w:widowControl/>
      <w:tabs>
        <w:tab w:val="clear" w:pos="480"/>
      </w:tabs>
      <w:ind w:right="-185" w:firstLine="709"/>
      <w:jc w:val="left"/>
    </w:pPr>
    <w:rPr>
      <w:rFonts w:ascii="Arial" w:hAnsi="Arial" w:eastAsia="Times New Roman" w:cs="Arial"/>
      <w:b/>
      <w:i/>
      <w:kern w:val="0"/>
      <w:sz w:val="20"/>
      <w:lang w:val="ru-RU" w:eastAsia="ru-RU"/>
    </w:rPr>
  </w:style>
  <w:style w:type="paragraph" w:customStyle="1" w:styleId="1083">
    <w:name w:val="中文正文"/>
    <w:basedOn w:val="35"/>
    <w:qFormat/>
    <w:uiPriority w:val="0"/>
    <w:pPr>
      <w:widowControl/>
      <w:tabs>
        <w:tab w:val="clear" w:pos="480"/>
      </w:tabs>
      <w:spacing w:line="240" w:lineRule="auto"/>
      <w:ind w:firstLine="420"/>
      <w:jc w:val="left"/>
    </w:pPr>
    <w:rPr>
      <w:rFonts w:ascii="宋体" w:hAnsi="宋体" w:cs="宋体"/>
      <w:kern w:val="0"/>
      <w:sz w:val="21"/>
      <w:lang w:val="ru-RU"/>
    </w:rPr>
  </w:style>
  <w:style w:type="paragraph" w:customStyle="1" w:styleId="1084">
    <w:name w:val="报告文字"/>
    <w:basedOn w:val="1"/>
    <w:semiHidden/>
    <w:qFormat/>
    <w:uiPriority w:val="0"/>
    <w:pPr>
      <w:widowControl/>
      <w:tabs>
        <w:tab w:val="clear" w:pos="480"/>
      </w:tabs>
      <w:spacing w:line="240" w:lineRule="auto"/>
      <w:ind w:firstLine="425"/>
      <w:jc w:val="left"/>
    </w:pPr>
    <w:rPr>
      <w:rFonts w:ascii="宋体" w:hAnsi="宋体" w:cs="宋体"/>
      <w:kern w:val="0"/>
    </w:rPr>
  </w:style>
  <w:style w:type="paragraph" w:customStyle="1" w:styleId="1085">
    <w:name w:val="表格格式"/>
    <w:next w:val="1"/>
    <w:semiHidden/>
    <w:qFormat/>
    <w:uiPriority w:val="0"/>
    <w:pPr>
      <w:adjustRightInd w:val="0"/>
      <w:snapToGrid w:val="0"/>
      <w:spacing w:line="360" w:lineRule="auto"/>
      <w:ind w:firstLine="200" w:firstLineChars="200"/>
      <w:jc w:val="center"/>
    </w:pPr>
    <w:rPr>
      <w:rFonts w:ascii="Times New Roman" w:hAnsi="Times New Roman" w:eastAsia="宋体" w:cs="Times New Roman"/>
      <w:color w:val="000000"/>
      <w:kern w:val="2"/>
      <w:sz w:val="21"/>
      <w:szCs w:val="24"/>
      <w:lang w:val="en-US" w:eastAsia="zh-CN" w:bidi="ar-SA"/>
    </w:rPr>
  </w:style>
  <w:style w:type="paragraph" w:customStyle="1" w:styleId="1086">
    <w:name w:val="标题7"/>
    <w:basedOn w:val="1"/>
    <w:semiHidden/>
    <w:qFormat/>
    <w:uiPriority w:val="0"/>
    <w:pPr>
      <w:widowControl/>
      <w:tabs>
        <w:tab w:val="clear" w:pos="480"/>
      </w:tabs>
      <w:spacing w:line="440" w:lineRule="exact"/>
      <w:ind w:firstLine="473" w:firstLineChars="225"/>
      <w:jc w:val="center"/>
      <w:outlineLvl w:val="6"/>
    </w:pPr>
    <w:rPr>
      <w:rFonts w:ascii="黑体" w:hAnsi="宋体" w:eastAsia="黑体" w:cs="宋体"/>
      <w:kern w:val="0"/>
      <w:sz w:val="21"/>
      <w:szCs w:val="21"/>
      <w:lang w:val="ru-RU"/>
    </w:rPr>
  </w:style>
  <w:style w:type="paragraph" w:customStyle="1" w:styleId="1087">
    <w:name w:val="Char Char Char Char Char Char Char Char Char1 Char Char Char Char Char Char Char"/>
    <w:basedOn w:val="27"/>
    <w:qFormat/>
    <w:uiPriority w:val="0"/>
    <w:pPr>
      <w:widowControl/>
      <w:jc w:val="left"/>
    </w:pPr>
    <w:rPr>
      <w:rFonts w:ascii="Tahoma" w:hAnsi="Tahoma" w:cs="Tahoma"/>
      <w:kern w:val="0"/>
      <w:sz w:val="24"/>
    </w:rPr>
  </w:style>
  <w:style w:type="character" w:customStyle="1" w:styleId="1088">
    <w:name w:val="content1"/>
    <w:qFormat/>
    <w:uiPriority w:val="0"/>
    <w:rPr>
      <w:color w:val="000000"/>
      <w:sz w:val="21"/>
      <w:szCs w:val="21"/>
      <w:u w:val="none"/>
    </w:rPr>
  </w:style>
  <w:style w:type="paragraph" w:customStyle="1" w:styleId="1089">
    <w:name w:val="Char23"/>
    <w:basedOn w:val="1"/>
    <w:next w:val="1"/>
    <w:semiHidden/>
    <w:qFormat/>
    <w:uiPriority w:val="0"/>
    <w:pPr>
      <w:widowControl/>
      <w:tabs>
        <w:tab w:val="left" w:pos="560"/>
        <w:tab w:val="clear" w:pos="480"/>
      </w:tabs>
      <w:autoSpaceDE w:val="0"/>
      <w:autoSpaceDN w:val="0"/>
      <w:adjustRightInd w:val="0"/>
      <w:spacing w:line="240" w:lineRule="auto"/>
      <w:ind w:firstLine="1137" w:firstLineChars="406"/>
      <w:jc w:val="left"/>
    </w:pPr>
    <w:rPr>
      <w:rFonts w:ascii="宋体" w:hAnsi="宋体" w:cs="宋体"/>
      <w:color w:val="000000"/>
      <w:kern w:val="0"/>
      <w:szCs w:val="28"/>
    </w:rPr>
  </w:style>
  <w:style w:type="paragraph" w:customStyle="1" w:styleId="1090">
    <w:name w:val="样式 (西文) Arial 五号 段前: 12 磅 段后: 12 磅"/>
    <w:basedOn w:val="1"/>
    <w:qFormat/>
    <w:uiPriority w:val="0"/>
    <w:pPr>
      <w:widowControl/>
      <w:tabs>
        <w:tab w:val="clear" w:pos="480"/>
      </w:tabs>
      <w:spacing w:before="240" w:after="240" w:line="0" w:lineRule="atLeast"/>
      <w:jc w:val="left"/>
    </w:pPr>
    <w:rPr>
      <w:rFonts w:ascii="Arial" w:hAnsi="Arial" w:eastAsia="楷体_GB2312" w:cs="宋体"/>
      <w:kern w:val="0"/>
      <w:sz w:val="21"/>
      <w:lang w:eastAsia="en-US"/>
    </w:rPr>
  </w:style>
  <w:style w:type="character" w:customStyle="1" w:styleId="1091">
    <w:name w:val="正文 + 四号 Char"/>
    <w:link w:val="228"/>
    <w:qFormat/>
    <w:uiPriority w:val="0"/>
    <w:rPr>
      <w:rFonts w:ascii="宋体" w:hAnsi="宋体" w:eastAsia="宋体"/>
      <w:color w:val="000000"/>
      <w:kern w:val="2"/>
      <w:sz w:val="24"/>
      <w:szCs w:val="24"/>
      <w:lang w:val="en-US" w:eastAsia="zh-CN" w:bidi="ar-SA"/>
    </w:rPr>
  </w:style>
  <w:style w:type="paragraph" w:customStyle="1" w:styleId="1092">
    <w:name w:val="正文he"/>
    <w:basedOn w:val="1"/>
    <w:link w:val="1093"/>
    <w:qFormat/>
    <w:uiPriority w:val="0"/>
    <w:pPr>
      <w:widowControl/>
      <w:tabs>
        <w:tab w:val="clear" w:pos="480"/>
      </w:tabs>
      <w:ind w:firstLine="480"/>
      <w:jc w:val="left"/>
    </w:pPr>
    <w:rPr>
      <w:rFonts w:ascii="宋体" w:hAnsi="宋体"/>
      <w:kern w:val="0"/>
      <w:lang w:val="zh-CN"/>
    </w:rPr>
  </w:style>
  <w:style w:type="character" w:customStyle="1" w:styleId="1093">
    <w:name w:val="正文he Char"/>
    <w:link w:val="1092"/>
    <w:qFormat/>
    <w:uiPriority w:val="0"/>
    <w:rPr>
      <w:rFonts w:ascii="宋体" w:hAnsi="宋体" w:eastAsia="宋体"/>
      <w:sz w:val="24"/>
      <w:szCs w:val="24"/>
      <w:lang w:bidi="ar-SA"/>
    </w:rPr>
  </w:style>
  <w:style w:type="paragraph" w:customStyle="1" w:styleId="1094">
    <w:name w:val="正文51"/>
    <w:basedOn w:val="1"/>
    <w:next w:val="1"/>
    <w:qFormat/>
    <w:uiPriority w:val="0"/>
    <w:pPr>
      <w:widowControl/>
      <w:tabs>
        <w:tab w:val="clear" w:pos="480"/>
      </w:tabs>
      <w:spacing w:before="60" w:after="60" w:line="300" w:lineRule="auto"/>
      <w:ind w:firstLine="482"/>
      <w:jc w:val="left"/>
    </w:pPr>
    <w:rPr>
      <w:rFonts w:ascii="Verdana" w:hAnsi="Verdana" w:cs="宋体"/>
      <w:kern w:val="0"/>
      <w:lang w:val="en-GB" w:eastAsia="en-US"/>
    </w:rPr>
  </w:style>
  <w:style w:type="character" w:customStyle="1" w:styleId="1095">
    <w:name w:val="text-jj"/>
    <w:basedOn w:val="133"/>
    <w:semiHidden/>
    <w:qFormat/>
    <w:uiPriority w:val="0"/>
  </w:style>
  <w:style w:type="character" w:customStyle="1" w:styleId="1096">
    <w:name w:val="msonormal"/>
    <w:basedOn w:val="133"/>
    <w:semiHidden/>
    <w:qFormat/>
    <w:uiPriority w:val="0"/>
  </w:style>
  <w:style w:type="paragraph" w:customStyle="1" w:styleId="1097">
    <w:name w:val="表格题头"/>
    <w:qFormat/>
    <w:uiPriority w:val="0"/>
    <w:pPr>
      <w:widowControl w:val="0"/>
      <w:spacing w:beforeLines="25" w:afterLines="25" w:line="300" w:lineRule="auto"/>
      <w:ind w:firstLine="200" w:firstLineChars="200"/>
      <w:jc w:val="both"/>
    </w:pPr>
    <w:rPr>
      <w:rFonts w:ascii="Times New Roman" w:hAnsi="Times New Roman" w:eastAsia="宋体" w:cs="Times New Roman"/>
      <w:b/>
      <w:kern w:val="2"/>
      <w:sz w:val="24"/>
      <w:szCs w:val="24"/>
      <w:lang w:val="en-US" w:eastAsia="zh-CN" w:bidi="ar-SA"/>
    </w:rPr>
  </w:style>
  <w:style w:type="character" w:customStyle="1" w:styleId="1098">
    <w:name w:val="报告正文 Char1"/>
    <w:qFormat/>
    <w:uiPriority w:val="0"/>
    <w:rPr>
      <w:rFonts w:ascii="宋体" w:hAnsi="宋体" w:eastAsia="宋体" w:cs="宋体"/>
      <w:sz w:val="24"/>
      <w:szCs w:val="24"/>
      <w:lang w:val="en-US" w:eastAsia="zh-CN" w:bidi="ar-SA"/>
    </w:rPr>
  </w:style>
  <w:style w:type="paragraph" w:customStyle="1" w:styleId="1099">
    <w:name w:val="样式 首行缩进:  2 字符2"/>
    <w:basedOn w:val="1"/>
    <w:link w:val="3453"/>
    <w:qFormat/>
    <w:uiPriority w:val="0"/>
    <w:pPr>
      <w:widowControl/>
      <w:tabs>
        <w:tab w:val="clear" w:pos="480"/>
      </w:tabs>
      <w:spacing w:line="300" w:lineRule="auto"/>
      <w:jc w:val="left"/>
    </w:pPr>
    <w:rPr>
      <w:rFonts w:ascii="宋体" w:hAnsi="宋体" w:cs="宋体"/>
      <w:kern w:val="0"/>
      <w:szCs w:val="28"/>
    </w:rPr>
  </w:style>
  <w:style w:type="paragraph" w:customStyle="1" w:styleId="1100">
    <w:name w:val="表后空行"/>
    <w:basedOn w:val="1"/>
    <w:semiHidden/>
    <w:qFormat/>
    <w:uiPriority w:val="0"/>
    <w:pPr>
      <w:widowControl/>
      <w:tabs>
        <w:tab w:val="clear" w:pos="480"/>
      </w:tabs>
      <w:spacing w:line="300" w:lineRule="auto"/>
      <w:jc w:val="left"/>
    </w:pPr>
    <w:rPr>
      <w:rFonts w:ascii="宋体" w:hAnsi="宋体" w:cs="宋体"/>
      <w:kern w:val="0"/>
      <w:sz w:val="15"/>
    </w:rPr>
  </w:style>
  <w:style w:type="paragraph" w:customStyle="1" w:styleId="1101">
    <w:name w:val="章号标题1"/>
    <w:basedOn w:val="1"/>
    <w:qFormat/>
    <w:uiPriority w:val="0"/>
    <w:pPr>
      <w:keepNext/>
      <w:keepLines/>
      <w:widowControl/>
      <w:tabs>
        <w:tab w:val="left" w:pos="0"/>
        <w:tab w:val="left" w:pos="525"/>
        <w:tab w:val="clear" w:pos="480"/>
      </w:tabs>
      <w:adjustRightInd w:val="0"/>
      <w:spacing w:line="240" w:lineRule="auto"/>
      <w:jc w:val="left"/>
      <w:outlineLvl w:val="0"/>
    </w:pPr>
    <w:rPr>
      <w:rFonts w:ascii="黑体" w:hAnsi="宋体" w:eastAsia="黑体" w:cs="宋体"/>
      <w:kern w:val="44"/>
      <w:szCs w:val="28"/>
    </w:rPr>
  </w:style>
  <w:style w:type="paragraph" w:customStyle="1" w:styleId="1102">
    <w:name w:val="节号标题2"/>
    <w:basedOn w:val="4"/>
    <w:qFormat/>
    <w:uiPriority w:val="0"/>
    <w:pPr>
      <w:widowControl/>
      <w:tabs>
        <w:tab w:val="left" w:pos="0"/>
        <w:tab w:val="left" w:pos="525"/>
        <w:tab w:val="clear" w:pos="480"/>
        <w:tab w:val="clear" w:pos="630"/>
      </w:tabs>
      <w:adjustRightInd w:val="0"/>
      <w:spacing w:before="0" w:after="0" w:line="240" w:lineRule="auto"/>
      <w:jc w:val="left"/>
    </w:pPr>
    <w:rPr>
      <w:rFonts w:ascii="黑体" w:hAnsi="宋体" w:eastAsia="黑体" w:cs="宋体"/>
      <w:b w:val="0"/>
      <w:bCs w:val="0"/>
      <w:kern w:val="0"/>
      <w:sz w:val="24"/>
      <w:szCs w:val="28"/>
    </w:rPr>
  </w:style>
  <w:style w:type="character" w:customStyle="1" w:styleId="1103">
    <w:name w:val="a3"/>
    <w:basedOn w:val="133"/>
    <w:semiHidden/>
    <w:qFormat/>
    <w:uiPriority w:val="0"/>
  </w:style>
  <w:style w:type="paragraph" w:customStyle="1" w:styleId="1104">
    <w:name w:val="普通文本"/>
    <w:basedOn w:val="1"/>
    <w:qFormat/>
    <w:uiPriority w:val="0"/>
    <w:pPr>
      <w:widowControl/>
      <w:tabs>
        <w:tab w:val="clear" w:pos="480"/>
      </w:tabs>
      <w:overflowPunct w:val="0"/>
      <w:autoSpaceDE w:val="0"/>
      <w:autoSpaceDN w:val="0"/>
      <w:adjustRightInd w:val="0"/>
      <w:spacing w:line="300" w:lineRule="auto"/>
      <w:ind w:left="120" w:leftChars="50" w:right="240" w:rightChars="100" w:firstLine="560"/>
      <w:jc w:val="left"/>
    </w:pPr>
    <w:rPr>
      <w:rFonts w:ascii="仿宋_GB2312" w:hAnsi="宋体" w:eastAsia="仿宋_GB2312" w:cs="宋体"/>
      <w:kern w:val="0"/>
      <w:lang w:val="zh-CN"/>
    </w:rPr>
  </w:style>
  <w:style w:type="paragraph" w:customStyle="1" w:styleId="1105">
    <w:name w:val="Char Char1 Char Char Char Char"/>
    <w:basedOn w:val="1"/>
    <w:qFormat/>
    <w:uiPriority w:val="0"/>
    <w:pPr>
      <w:widowControl/>
      <w:tabs>
        <w:tab w:val="clear" w:pos="480"/>
      </w:tabs>
      <w:spacing w:line="240" w:lineRule="auto"/>
      <w:jc w:val="left"/>
    </w:pPr>
    <w:rPr>
      <w:rFonts w:ascii="宋体" w:hAnsi="宋体" w:cs="宋体"/>
      <w:kern w:val="0"/>
      <w:sz w:val="21"/>
      <w:szCs w:val="21"/>
    </w:rPr>
  </w:style>
  <w:style w:type="paragraph" w:customStyle="1" w:styleId="1106">
    <w:name w:val="表字"/>
    <w:basedOn w:val="1"/>
    <w:qFormat/>
    <w:uiPriority w:val="0"/>
    <w:pPr>
      <w:keepNext/>
      <w:widowControl/>
      <w:tabs>
        <w:tab w:val="clear" w:pos="480"/>
      </w:tabs>
      <w:spacing w:line="360" w:lineRule="exact"/>
      <w:jc w:val="left"/>
    </w:pPr>
    <w:rPr>
      <w:rFonts w:ascii="宋体" w:hAnsi="宋体" w:cs="宋体"/>
      <w:kern w:val="0"/>
      <w:sz w:val="21"/>
    </w:rPr>
  </w:style>
  <w:style w:type="paragraph" w:customStyle="1" w:styleId="1107">
    <w:name w:val="样式 表字 + 居中"/>
    <w:basedOn w:val="1106"/>
    <w:qFormat/>
    <w:uiPriority w:val="0"/>
    <w:pPr>
      <w:jc w:val="center"/>
    </w:pPr>
  </w:style>
  <w:style w:type="paragraph" w:customStyle="1" w:styleId="1108">
    <w:name w:val="Char2 Char Char Char Char Char Char Char Char Char Char Char Char"/>
    <w:basedOn w:val="1"/>
    <w:semiHidden/>
    <w:qFormat/>
    <w:uiPriority w:val="0"/>
    <w:pPr>
      <w:widowControl/>
      <w:tabs>
        <w:tab w:val="clear" w:pos="480"/>
      </w:tabs>
      <w:spacing w:line="240" w:lineRule="auto"/>
      <w:ind w:left="-48"/>
      <w:jc w:val="left"/>
    </w:pPr>
    <w:rPr>
      <w:rFonts w:ascii="宋体" w:hAnsi="宋体" w:cs="宋体"/>
      <w:kern w:val="0"/>
      <w:sz w:val="21"/>
    </w:rPr>
  </w:style>
  <w:style w:type="paragraph" w:customStyle="1" w:styleId="1109">
    <w:name w:val="Char Char Знак Знак"/>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110">
    <w:name w:val="Char Char Char Char Char Char Char Char Char Char4"/>
    <w:basedOn w:val="1"/>
    <w:semiHidden/>
    <w:qFormat/>
    <w:uiPriority w:val="0"/>
    <w:pPr>
      <w:widowControl/>
      <w:tabs>
        <w:tab w:val="clear" w:pos="480"/>
      </w:tabs>
      <w:spacing w:line="240" w:lineRule="auto"/>
      <w:jc w:val="left"/>
    </w:pPr>
    <w:rPr>
      <w:rFonts w:ascii="宋体" w:hAnsi="宋体" w:cs="宋体"/>
      <w:kern w:val="0"/>
      <w:sz w:val="21"/>
      <w:szCs w:val="21"/>
    </w:rPr>
  </w:style>
  <w:style w:type="character" w:customStyle="1" w:styleId="1111">
    <w:name w:val="tcname"/>
    <w:basedOn w:val="133"/>
    <w:semiHidden/>
    <w:qFormat/>
    <w:uiPriority w:val="0"/>
  </w:style>
  <w:style w:type="character" w:customStyle="1" w:styleId="1112">
    <w:name w:val="mid1"/>
    <w:semiHidden/>
    <w:qFormat/>
    <w:uiPriority w:val="0"/>
    <w:rPr>
      <w:color w:val="415870"/>
      <w:sz w:val="21"/>
      <w:szCs w:val="21"/>
      <w:u w:val="none"/>
    </w:rPr>
  </w:style>
  <w:style w:type="paragraph" w:customStyle="1" w:styleId="1113">
    <w:name w:val="样式 样式 宋体 四号 首行缩进:  0.99 厘米 行距: 多倍行距 1.25 字行 + Times New Roman"/>
    <w:basedOn w:val="1"/>
    <w:qFormat/>
    <w:uiPriority w:val="0"/>
    <w:pPr>
      <w:widowControl/>
      <w:tabs>
        <w:tab w:val="clear" w:pos="480"/>
      </w:tabs>
      <w:adjustRightInd w:val="0"/>
      <w:spacing w:line="300" w:lineRule="auto"/>
      <w:ind w:firstLine="561"/>
      <w:jc w:val="left"/>
    </w:pPr>
    <w:rPr>
      <w:rFonts w:ascii="宋体" w:hAnsi="宋体" w:cs="宋体"/>
      <w:kern w:val="0"/>
      <w:szCs w:val="28"/>
    </w:rPr>
  </w:style>
  <w:style w:type="paragraph" w:customStyle="1" w:styleId="1114">
    <w:name w:val="表格索引"/>
    <w:basedOn w:val="1"/>
    <w:semiHidden/>
    <w:qFormat/>
    <w:uiPriority w:val="0"/>
    <w:pPr>
      <w:widowControl/>
      <w:tabs>
        <w:tab w:val="clear" w:pos="480"/>
      </w:tabs>
      <w:adjustRightInd w:val="0"/>
      <w:spacing w:line="300" w:lineRule="auto"/>
      <w:jc w:val="center"/>
    </w:pPr>
    <w:rPr>
      <w:rFonts w:ascii="黑体" w:hAnsi="宋体" w:eastAsia="黑体" w:cs="宋体"/>
      <w:kern w:val="0"/>
    </w:rPr>
  </w:style>
  <w:style w:type="character" w:customStyle="1" w:styleId="1115">
    <w:name w:val="pg1"/>
    <w:semiHidden/>
    <w:qFormat/>
    <w:uiPriority w:val="0"/>
    <w:rPr>
      <w:color w:val="000000"/>
      <w:sz w:val="18"/>
      <w:szCs w:val="18"/>
    </w:rPr>
  </w:style>
  <w:style w:type="paragraph" w:customStyle="1" w:styleId="1116">
    <w:name w:val="样式 小四 居中 首行缩进:  2 字符"/>
    <w:basedOn w:val="1"/>
    <w:qFormat/>
    <w:uiPriority w:val="0"/>
    <w:pPr>
      <w:widowControl/>
      <w:tabs>
        <w:tab w:val="clear" w:pos="480"/>
      </w:tabs>
      <w:spacing w:line="240" w:lineRule="auto"/>
      <w:ind w:left="560" w:leftChars="200" w:firstLine="480"/>
      <w:jc w:val="center"/>
    </w:pPr>
    <w:rPr>
      <w:rFonts w:ascii="宋体" w:hAnsi="宋体" w:cs="宋体"/>
      <w:kern w:val="0"/>
      <w:sz w:val="21"/>
    </w:rPr>
  </w:style>
  <w:style w:type="paragraph" w:customStyle="1" w:styleId="1117">
    <w:name w:val="样式 样式 标题 2 + 首行缩进:  2 字符 + 首行缩进:  2 字符"/>
    <w:basedOn w:val="261"/>
    <w:qFormat/>
    <w:uiPriority w:val="0"/>
    <w:pPr>
      <w:widowControl/>
      <w:jc w:val="left"/>
    </w:pPr>
    <w:rPr>
      <w:rFonts w:ascii="Times New Roman" w:hAnsi="宋体"/>
      <w:bCs w:val="0"/>
      <w:sz w:val="28"/>
      <w:szCs w:val="28"/>
    </w:rPr>
  </w:style>
  <w:style w:type="paragraph" w:customStyle="1" w:styleId="1118">
    <w:name w:val="样式 样式 标题 3 + 首行缩进:  2 字符 + 首行缩进:  2 字符"/>
    <w:basedOn w:val="261"/>
    <w:qFormat/>
    <w:uiPriority w:val="0"/>
    <w:pPr>
      <w:widowControl/>
      <w:jc w:val="left"/>
    </w:pPr>
    <w:rPr>
      <w:rFonts w:ascii="Times New Roman" w:hAnsi="宋体" w:eastAsia="宋体"/>
      <w:bCs w:val="0"/>
      <w:sz w:val="28"/>
      <w:szCs w:val="28"/>
    </w:rPr>
  </w:style>
  <w:style w:type="paragraph" w:customStyle="1" w:styleId="1119">
    <w:name w:val="样式 样式 标题 2+ 首行缩进:  2 字符 + 首行缩进:  2 字符"/>
    <w:basedOn w:val="4"/>
    <w:qFormat/>
    <w:uiPriority w:val="0"/>
    <w:pPr>
      <w:widowControl/>
      <w:tabs>
        <w:tab w:val="clear" w:pos="480"/>
        <w:tab w:val="clear" w:pos="630"/>
      </w:tabs>
      <w:spacing w:before="0" w:after="200" w:line="300" w:lineRule="auto"/>
      <w:jc w:val="left"/>
    </w:pPr>
    <w:rPr>
      <w:rFonts w:hAnsi="宋体" w:cs="宋体"/>
      <w:bCs w:val="0"/>
      <w:kern w:val="0"/>
    </w:rPr>
  </w:style>
  <w:style w:type="paragraph" w:customStyle="1" w:styleId="1120">
    <w:name w:val="样式 样式 标题 3+ 首行缩进:  2 字符 + 首行缩进:  2 字符"/>
    <w:basedOn w:val="5"/>
    <w:next w:val="5"/>
    <w:qFormat/>
    <w:uiPriority w:val="0"/>
    <w:pPr>
      <w:widowControl/>
      <w:tabs>
        <w:tab w:val="clear" w:pos="480"/>
        <w:tab w:val="clear" w:pos="840"/>
      </w:tabs>
      <w:adjustRightInd w:val="0"/>
      <w:spacing w:before="0" w:after="0" w:line="300" w:lineRule="auto"/>
      <w:jc w:val="left"/>
    </w:pPr>
    <w:rPr>
      <w:rFonts w:ascii="宋体" w:hAnsi="宋体" w:eastAsia="黑体" w:cs="宋体"/>
      <w:bCs w:val="0"/>
      <w:kern w:val="0"/>
      <w:sz w:val="24"/>
    </w:rPr>
  </w:style>
  <w:style w:type="paragraph" w:customStyle="1" w:styleId="1121">
    <w:name w:val="新标题3"/>
    <w:basedOn w:val="1120"/>
    <w:qFormat/>
    <w:uiPriority w:val="0"/>
    <w:pPr/>
  </w:style>
  <w:style w:type="paragraph" w:customStyle="1" w:styleId="1122">
    <w:name w:val="样式 标题 2 + 首行缩进:  2 字符1"/>
    <w:basedOn w:val="4"/>
    <w:qFormat/>
    <w:uiPriority w:val="0"/>
    <w:pPr>
      <w:widowControl/>
      <w:tabs>
        <w:tab w:val="clear" w:pos="480"/>
        <w:tab w:val="clear" w:pos="630"/>
      </w:tabs>
      <w:spacing w:before="120" w:line="300" w:lineRule="auto"/>
      <w:jc w:val="left"/>
    </w:pPr>
    <w:rPr>
      <w:rFonts w:ascii="Arial" w:hAnsi="Arial" w:eastAsia="黑体" w:cs="宋体"/>
      <w:b w:val="0"/>
      <w:kern w:val="0"/>
      <w:sz w:val="24"/>
      <w:szCs w:val="24"/>
    </w:rPr>
  </w:style>
  <w:style w:type="paragraph" w:customStyle="1" w:styleId="1123">
    <w:name w:val="样式 标题 3 + 非加粗 首行缩进:  2 字符"/>
    <w:basedOn w:val="5"/>
    <w:qFormat/>
    <w:uiPriority w:val="0"/>
    <w:pPr>
      <w:widowControl/>
      <w:tabs>
        <w:tab w:val="clear" w:pos="480"/>
        <w:tab w:val="clear" w:pos="840"/>
      </w:tabs>
      <w:adjustRightInd w:val="0"/>
      <w:spacing w:before="0" w:after="0" w:line="300" w:lineRule="auto"/>
      <w:jc w:val="left"/>
    </w:pPr>
    <w:rPr>
      <w:rFonts w:ascii="宋体" w:hAnsi="宋体" w:eastAsia="黑体" w:cs="宋体"/>
      <w:bCs w:val="0"/>
      <w:kern w:val="0"/>
      <w:sz w:val="24"/>
      <w:szCs w:val="24"/>
    </w:rPr>
  </w:style>
  <w:style w:type="paragraph" w:customStyle="1" w:styleId="1124">
    <w:name w:val="样式 样式 标题 2 + 首行缩进:  2 字符1 + (西文) Times New Roman (中文) 仿宋_GB2312..."/>
    <w:basedOn w:val="1122"/>
    <w:qFormat/>
    <w:uiPriority w:val="0"/>
    <w:pPr>
      <w:spacing w:line="340" w:lineRule="exact"/>
    </w:pPr>
    <w:rPr>
      <w:rFonts w:ascii="Times New Roman" w:hAnsi="Times New Roman" w:eastAsia="仿宋_GB2312"/>
      <w:bCs w:val="0"/>
      <w:sz w:val="30"/>
    </w:rPr>
  </w:style>
  <w:style w:type="paragraph" w:customStyle="1" w:styleId="1125">
    <w:name w:val="样式 样式 标题 2 + 首行缩进:  2 字符1 + 方正仿宋简体 小三"/>
    <w:basedOn w:val="1122"/>
    <w:qFormat/>
    <w:uiPriority w:val="0"/>
    <w:pPr>
      <w:spacing w:line="340" w:lineRule="exact"/>
    </w:pPr>
    <w:rPr>
      <w:rFonts w:ascii="方正仿宋简体" w:hAnsi="方正仿宋简体" w:eastAsia="方正仿宋简体"/>
      <w:bCs w:val="0"/>
      <w:sz w:val="30"/>
    </w:rPr>
  </w:style>
  <w:style w:type="paragraph" w:customStyle="1" w:styleId="1126">
    <w:name w:val="样式 标题 3标题 3 Char1标题 3 Char Char标题 3 Char + 加粗"/>
    <w:basedOn w:val="5"/>
    <w:qFormat/>
    <w:uiPriority w:val="0"/>
    <w:pPr>
      <w:widowControl/>
      <w:tabs>
        <w:tab w:val="clear" w:pos="480"/>
        <w:tab w:val="clear" w:pos="840"/>
      </w:tabs>
      <w:adjustRightInd w:val="0"/>
      <w:spacing w:before="0" w:after="0" w:line="300" w:lineRule="auto"/>
      <w:jc w:val="left"/>
    </w:pPr>
    <w:rPr>
      <w:rFonts w:ascii="宋体" w:hAnsi="宋体" w:eastAsia="黑体" w:cs="宋体"/>
      <w:b w:val="0"/>
      <w:kern w:val="0"/>
      <w:sz w:val="24"/>
    </w:rPr>
  </w:style>
  <w:style w:type="paragraph" w:customStyle="1" w:styleId="1127">
    <w:name w:val="设计正文"/>
    <w:basedOn w:val="1"/>
    <w:qFormat/>
    <w:uiPriority w:val="0"/>
    <w:pPr>
      <w:widowControl/>
      <w:tabs>
        <w:tab w:val="clear" w:pos="480"/>
      </w:tabs>
      <w:spacing w:line="420" w:lineRule="exact"/>
      <w:jc w:val="left"/>
    </w:pPr>
    <w:rPr>
      <w:rFonts w:ascii="宋体" w:hAnsi="宋体" w:cs="宋体"/>
      <w:kern w:val="0"/>
    </w:rPr>
  </w:style>
  <w:style w:type="character" w:customStyle="1" w:styleId="1128">
    <w:name w:val="p2"/>
    <w:basedOn w:val="133"/>
    <w:semiHidden/>
    <w:qFormat/>
    <w:uiPriority w:val="0"/>
  </w:style>
  <w:style w:type="character" w:customStyle="1" w:styleId="1129">
    <w:name w:val="p101"/>
    <w:semiHidden/>
    <w:qFormat/>
    <w:uiPriority w:val="0"/>
    <w:rPr>
      <w:rFonts w:hint="default" w:ascii="p10" w:hAnsi="p10"/>
      <w:color w:val="006633"/>
      <w:spacing w:val="400"/>
      <w:sz w:val="20"/>
      <w:szCs w:val="20"/>
    </w:rPr>
  </w:style>
  <w:style w:type="character" w:customStyle="1" w:styleId="1130">
    <w:name w:val="yangshi-fsb-4"/>
    <w:basedOn w:val="133"/>
    <w:semiHidden/>
    <w:qFormat/>
    <w:uiPriority w:val="0"/>
  </w:style>
  <w:style w:type="paragraph" w:customStyle="1" w:styleId="1131">
    <w:name w:val="作者姓名"/>
    <w:next w:val="1"/>
    <w:qFormat/>
    <w:uiPriority w:val="0"/>
    <w:pPr>
      <w:widowControl w:val="0"/>
      <w:adjustRightInd w:val="0"/>
      <w:snapToGrid w:val="0"/>
      <w:spacing w:line="360" w:lineRule="auto"/>
      <w:ind w:firstLine="200" w:firstLineChars="200"/>
      <w:jc w:val="center"/>
    </w:pPr>
    <w:rPr>
      <w:rFonts w:ascii="方正隶变简体" w:hAnsi="Times New Roman" w:eastAsia="方正隶变简体" w:cs="Times New Roman"/>
      <w:kern w:val="2"/>
      <w:sz w:val="28"/>
      <w:szCs w:val="24"/>
      <w:lang w:val="en-US" w:eastAsia="zh-CN" w:bidi="ar-SA"/>
    </w:rPr>
  </w:style>
  <w:style w:type="character" w:customStyle="1" w:styleId="1132">
    <w:name w:val="标题 3 Char Char Char Char Char"/>
    <w:basedOn w:val="133"/>
    <w:semiHidden/>
    <w:qFormat/>
    <w:uiPriority w:val="0"/>
  </w:style>
  <w:style w:type="paragraph" w:customStyle="1" w:styleId="1133">
    <w:name w:val="文章 + 首行缩进:  2 字符"/>
    <w:basedOn w:val="1"/>
    <w:qFormat/>
    <w:uiPriority w:val="0"/>
    <w:pPr>
      <w:widowControl/>
      <w:tabs>
        <w:tab w:val="clear" w:pos="480"/>
      </w:tabs>
      <w:spacing w:line="300" w:lineRule="auto"/>
      <w:jc w:val="left"/>
    </w:pPr>
    <w:rPr>
      <w:rFonts w:ascii="宋体" w:hAnsi="宋体" w:cs="宋体"/>
      <w:kern w:val="0"/>
      <w:szCs w:val="28"/>
    </w:rPr>
  </w:style>
  <w:style w:type="paragraph" w:customStyle="1" w:styleId="1134">
    <w:name w:val="文章"/>
    <w:basedOn w:val="1"/>
    <w:link w:val="3992"/>
    <w:qFormat/>
    <w:uiPriority w:val="0"/>
    <w:pPr>
      <w:widowControl/>
      <w:tabs>
        <w:tab w:val="clear" w:pos="480"/>
      </w:tabs>
      <w:spacing w:line="300" w:lineRule="auto"/>
      <w:jc w:val="left"/>
    </w:pPr>
    <w:rPr>
      <w:rFonts w:ascii="宋体" w:hAnsi="宋体" w:cs="宋体"/>
      <w:kern w:val="0"/>
    </w:rPr>
  </w:style>
  <w:style w:type="character" w:customStyle="1" w:styleId="1135">
    <w:name w:val="highlight1"/>
    <w:qFormat/>
    <w:uiPriority w:val="0"/>
    <w:rPr>
      <w:sz w:val="21"/>
      <w:szCs w:val="21"/>
    </w:rPr>
  </w:style>
  <w:style w:type="paragraph" w:customStyle="1" w:styleId="1136">
    <w:name w:val="表格文字1-小4居中"/>
    <w:basedOn w:val="1"/>
    <w:qFormat/>
    <w:uiPriority w:val="0"/>
    <w:pPr>
      <w:widowControl/>
      <w:tabs>
        <w:tab w:val="clear" w:pos="480"/>
      </w:tabs>
      <w:spacing w:line="300" w:lineRule="auto"/>
      <w:jc w:val="center"/>
    </w:pPr>
    <w:rPr>
      <w:rFonts w:ascii="宋体" w:hAnsi="宋体" w:cs="宋体"/>
      <w:kern w:val="0"/>
    </w:rPr>
  </w:style>
  <w:style w:type="character" w:customStyle="1" w:styleId="1137">
    <w:name w:val="正文手行缩进2字 Char"/>
    <w:qFormat/>
    <w:uiPriority w:val="0"/>
    <w:rPr>
      <w:rFonts w:eastAsia="宋体"/>
      <w:kern w:val="2"/>
      <w:sz w:val="28"/>
      <w:szCs w:val="28"/>
      <w:lang w:val="en-US" w:eastAsia="zh-CN" w:bidi="ar-SA"/>
    </w:rPr>
  </w:style>
  <w:style w:type="paragraph" w:customStyle="1" w:styleId="1138">
    <w:name w:val="点标题"/>
    <w:next w:val="1"/>
    <w:qFormat/>
    <w:uiPriority w:val="0"/>
    <w:pPr>
      <w:widowControl w:val="0"/>
      <w:adjustRightInd w:val="0"/>
      <w:spacing w:line="360" w:lineRule="auto"/>
      <w:ind w:left="284" w:right="284" w:firstLine="482" w:firstLineChars="200"/>
      <w:jc w:val="both"/>
      <w:textAlignment w:val="baseline"/>
    </w:pPr>
    <w:rPr>
      <w:rFonts w:ascii="Times New Roman" w:hAnsi="Times New Roman" w:eastAsia="仿宋体" w:cs="Times New Roman"/>
      <w:kern w:val="2"/>
      <w:sz w:val="28"/>
      <w:szCs w:val="24"/>
      <w:lang w:val="en-US" w:eastAsia="zh-CN" w:bidi="ar-SA"/>
    </w:rPr>
  </w:style>
  <w:style w:type="paragraph" w:customStyle="1" w:styleId="1139">
    <w:name w:val="样式 标题 1 + 首行缩进:  1.06 厘米"/>
    <w:basedOn w:val="3"/>
    <w:qFormat/>
    <w:uiPriority w:val="0"/>
    <w:pPr>
      <w:keepNext w:val="0"/>
      <w:keepLines w:val="0"/>
      <w:pageBreakBefore/>
      <w:widowControl/>
      <w:tabs>
        <w:tab w:val="left" w:pos="980"/>
        <w:tab w:val="clear" w:pos="480"/>
      </w:tabs>
      <w:spacing w:beforeLines="100" w:afterLines="100"/>
      <w:ind w:left="980" w:hanging="420"/>
      <w:jc w:val="center"/>
    </w:pPr>
    <w:rPr>
      <w:rFonts w:ascii="Arial" w:hAnsi="Arial" w:eastAsia="宋体" w:cs="宋体"/>
      <w:kern w:val="2"/>
      <w:position w:val="-30"/>
      <w:sz w:val="30"/>
      <w:szCs w:val="24"/>
    </w:rPr>
  </w:style>
  <w:style w:type="paragraph" w:customStyle="1" w:styleId="1140">
    <w:name w:val="样式 样式 正文文字缩进 2 + 四号 行距: 1.5 倍行距 + (西文) 宋体 首行缩进:  2 字符"/>
    <w:basedOn w:val="1"/>
    <w:qFormat/>
    <w:uiPriority w:val="0"/>
    <w:pPr>
      <w:widowControl/>
      <w:tabs>
        <w:tab w:val="clear" w:pos="480"/>
      </w:tabs>
      <w:spacing w:line="240" w:lineRule="auto"/>
      <w:jc w:val="center"/>
    </w:pPr>
    <w:rPr>
      <w:rFonts w:ascii="宋体" w:hAnsi="宋体" w:cs="宋体"/>
      <w:kern w:val="0"/>
      <w:sz w:val="21"/>
    </w:rPr>
  </w:style>
  <w:style w:type="character" w:customStyle="1" w:styleId="1141">
    <w:name w:val="zhengwen1"/>
    <w:semiHidden/>
    <w:qFormat/>
    <w:uiPriority w:val="0"/>
    <w:rPr>
      <w:sz w:val="16"/>
      <w:szCs w:val="16"/>
    </w:rPr>
  </w:style>
  <w:style w:type="paragraph" w:customStyle="1" w:styleId="1142">
    <w:name w:val="正文缩进1 Char Char"/>
    <w:basedOn w:val="1"/>
    <w:qFormat/>
    <w:uiPriority w:val="0"/>
    <w:pPr>
      <w:widowControl/>
      <w:tabs>
        <w:tab w:val="clear" w:pos="480"/>
      </w:tabs>
      <w:adjustRightInd w:val="0"/>
      <w:spacing w:beforeLines="50" w:afterLines="50" w:line="300" w:lineRule="auto"/>
      <w:jc w:val="left"/>
    </w:pPr>
    <w:rPr>
      <w:rFonts w:ascii="宋体" w:hAnsi="宋体" w:cs="宋体"/>
      <w:kern w:val="0"/>
    </w:rPr>
  </w:style>
  <w:style w:type="paragraph" w:customStyle="1" w:styleId="1143">
    <w:name w:val="样式 首行缩进:  2 字符1"/>
    <w:basedOn w:val="1"/>
    <w:link w:val="2860"/>
    <w:qFormat/>
    <w:uiPriority w:val="0"/>
    <w:pPr>
      <w:widowControl/>
      <w:tabs>
        <w:tab w:val="clear" w:pos="480"/>
      </w:tabs>
      <w:adjustRightInd w:val="0"/>
      <w:spacing w:line="300" w:lineRule="auto"/>
      <w:jc w:val="left"/>
    </w:pPr>
    <w:rPr>
      <w:rFonts w:ascii="宋体" w:hAnsi="宋体" w:cs="宋体"/>
      <w:kern w:val="0"/>
    </w:rPr>
  </w:style>
  <w:style w:type="paragraph" w:customStyle="1" w:styleId="1144">
    <w:name w:val="样式6 Char"/>
    <w:basedOn w:val="1"/>
    <w:link w:val="1145"/>
    <w:qFormat/>
    <w:uiPriority w:val="0"/>
    <w:pPr>
      <w:widowControl/>
      <w:tabs>
        <w:tab w:val="clear" w:pos="480"/>
      </w:tabs>
      <w:jc w:val="left"/>
    </w:pPr>
    <w:rPr>
      <w:rFonts w:ascii="宋体" w:hAnsi="宋体"/>
      <w:kern w:val="0"/>
      <w:lang w:val="zh-CN"/>
    </w:rPr>
  </w:style>
  <w:style w:type="character" w:customStyle="1" w:styleId="1145">
    <w:name w:val="样式6 Char Char"/>
    <w:link w:val="1144"/>
    <w:qFormat/>
    <w:uiPriority w:val="0"/>
    <w:rPr>
      <w:rFonts w:ascii="宋体" w:hAnsi="宋体" w:eastAsia="宋体"/>
      <w:sz w:val="24"/>
      <w:szCs w:val="24"/>
      <w:lang w:bidi="ar-SA"/>
    </w:rPr>
  </w:style>
  <w:style w:type="paragraph" w:customStyle="1" w:styleId="1146">
    <w:name w:val="简单回函地址"/>
    <w:basedOn w:val="1"/>
    <w:qFormat/>
    <w:uiPriority w:val="0"/>
    <w:pPr>
      <w:widowControl/>
      <w:tabs>
        <w:tab w:val="clear" w:pos="480"/>
      </w:tabs>
      <w:spacing w:line="240" w:lineRule="auto"/>
      <w:jc w:val="left"/>
    </w:pPr>
    <w:rPr>
      <w:rFonts w:ascii="宋体" w:hAnsi="宋体" w:cs="宋体"/>
      <w:kern w:val="0"/>
      <w:sz w:val="21"/>
    </w:rPr>
  </w:style>
  <w:style w:type="paragraph" w:customStyle="1" w:styleId="1147">
    <w:name w:val="PP 行"/>
    <w:basedOn w:val="58"/>
    <w:qFormat/>
    <w:uiPriority w:val="0"/>
    <w:pPr>
      <w:widowControl/>
      <w:tabs>
        <w:tab w:val="clear" w:pos="480"/>
      </w:tabs>
      <w:spacing w:line="240" w:lineRule="auto"/>
      <w:jc w:val="left"/>
    </w:pPr>
    <w:rPr>
      <w:rFonts w:ascii="宋体" w:hAnsi="宋体"/>
      <w:kern w:val="0"/>
      <w:sz w:val="21"/>
    </w:rPr>
  </w:style>
  <w:style w:type="paragraph" w:customStyle="1" w:styleId="1148">
    <w:name w:val="正文文本缩进 21"/>
    <w:basedOn w:val="1"/>
    <w:qFormat/>
    <w:uiPriority w:val="0"/>
    <w:pPr>
      <w:widowControl/>
      <w:tabs>
        <w:tab w:val="clear" w:pos="480"/>
      </w:tabs>
      <w:adjustRightInd w:val="0"/>
      <w:ind w:firstLine="480"/>
      <w:jc w:val="left"/>
      <w:textAlignment w:val="baseline"/>
    </w:pPr>
    <w:rPr>
      <w:rFonts w:ascii="宋体" w:hAnsi="宋体" w:cs="宋体"/>
      <w:kern w:val="0"/>
      <w:lang w:bidi="he-IL"/>
    </w:rPr>
  </w:style>
  <w:style w:type="paragraph" w:customStyle="1" w:styleId="1149">
    <w:name w:val="Formatvorlage Arial 11 pt Block Zeilenabstand:  15 Zeilen"/>
    <w:basedOn w:val="1"/>
    <w:semiHidden/>
    <w:qFormat/>
    <w:uiPriority w:val="0"/>
    <w:pPr>
      <w:widowControl/>
      <w:tabs>
        <w:tab w:val="clear" w:pos="480"/>
      </w:tabs>
      <w:jc w:val="left"/>
    </w:pPr>
    <w:rPr>
      <w:rFonts w:ascii="Arial" w:hAnsi="Arial" w:cs="宋体"/>
      <w:kern w:val="0"/>
      <w:sz w:val="22"/>
      <w:lang w:val="fr-FR"/>
    </w:rPr>
  </w:style>
  <w:style w:type="paragraph" w:customStyle="1" w:styleId="1150">
    <w:name w:val="正文 + arial"/>
    <w:basedOn w:val="1"/>
    <w:qFormat/>
    <w:uiPriority w:val="0"/>
    <w:pPr>
      <w:widowControl/>
      <w:tabs>
        <w:tab w:val="clear" w:pos="480"/>
      </w:tabs>
      <w:spacing w:line="240" w:lineRule="auto"/>
      <w:jc w:val="center"/>
    </w:pPr>
    <w:rPr>
      <w:rFonts w:ascii="宋体" w:hAnsi="宋体" w:cs="Arial"/>
      <w:kern w:val="0"/>
      <w:sz w:val="21"/>
    </w:rPr>
  </w:style>
  <w:style w:type="paragraph" w:customStyle="1" w:styleId="1151">
    <w:name w:val="a"/>
    <w:basedOn w:val="1"/>
    <w:qFormat/>
    <w:uiPriority w:val="0"/>
    <w:pPr>
      <w:widowControl/>
      <w:tabs>
        <w:tab w:val="left" w:pos="930"/>
        <w:tab w:val="clear" w:pos="480"/>
      </w:tabs>
      <w:ind w:left="930" w:hanging="420"/>
      <w:jc w:val="left"/>
    </w:pPr>
    <w:rPr>
      <w:rFonts w:ascii="宋体" w:hAnsi="宋体" w:cs="宋体"/>
      <w:b/>
      <w:kern w:val="0"/>
    </w:rPr>
  </w:style>
  <w:style w:type="paragraph" w:customStyle="1" w:styleId="1152">
    <w:name w:val="基准标题"/>
    <w:basedOn w:val="2"/>
    <w:next w:val="2"/>
    <w:qFormat/>
    <w:uiPriority w:val="0"/>
    <w:pPr>
      <w:widowControl/>
      <w:spacing w:line="240" w:lineRule="atLeast"/>
      <w:jc w:val="left"/>
    </w:pPr>
    <w:rPr>
      <w:rFonts w:cs="宋体"/>
      <w:kern w:val="0"/>
      <w:sz w:val="24"/>
      <w:szCs w:val="24"/>
    </w:rPr>
  </w:style>
  <w:style w:type="paragraph" w:customStyle="1" w:styleId="1153">
    <w:name w:val="a1"/>
    <w:basedOn w:val="1"/>
    <w:semiHidden/>
    <w:qFormat/>
    <w:uiPriority w:val="0"/>
    <w:pPr>
      <w:widowControl/>
      <w:tabs>
        <w:tab w:val="clear" w:pos="480"/>
      </w:tabs>
      <w:ind w:firstLine="118" w:firstLineChars="50"/>
      <w:jc w:val="left"/>
    </w:pPr>
    <w:rPr>
      <w:rFonts w:ascii="宋体" w:hAnsi="宋体" w:cs="宋体"/>
      <w:b/>
      <w:kern w:val="0"/>
    </w:rPr>
  </w:style>
  <w:style w:type="paragraph" w:customStyle="1" w:styleId="1154">
    <w:name w:val="b"/>
    <w:basedOn w:val="1153"/>
    <w:semiHidden/>
    <w:qFormat/>
    <w:uiPriority w:val="0"/>
    <w:pPr>
      <w:ind w:firstLine="0" w:firstLineChars="0"/>
    </w:pPr>
  </w:style>
  <w:style w:type="paragraph" w:customStyle="1" w:styleId="1155">
    <w:name w:val="样式 正文文本缩进 + 宋体 五号 两端对齐 首行缩进:  0 厘米 行距: 固定值 15 磅"/>
    <w:basedOn w:val="35"/>
    <w:qFormat/>
    <w:uiPriority w:val="0"/>
    <w:pPr>
      <w:widowControl/>
      <w:tabs>
        <w:tab w:val="clear" w:pos="480"/>
      </w:tabs>
      <w:spacing w:line="300" w:lineRule="exact"/>
      <w:ind w:firstLine="0" w:firstLineChars="0"/>
      <w:jc w:val="left"/>
    </w:pPr>
    <w:rPr>
      <w:rFonts w:ascii="宋体" w:hAnsi="宋体" w:cs="宋体"/>
      <w:kern w:val="0"/>
      <w:sz w:val="21"/>
    </w:rPr>
  </w:style>
  <w:style w:type="paragraph" w:customStyle="1" w:styleId="1156">
    <w:name w:val="正文文本缩进 31"/>
    <w:basedOn w:val="1"/>
    <w:qFormat/>
    <w:uiPriority w:val="0"/>
    <w:pPr>
      <w:widowControl/>
      <w:tabs>
        <w:tab w:val="clear" w:pos="480"/>
      </w:tabs>
      <w:adjustRightInd w:val="0"/>
      <w:spacing w:line="360" w:lineRule="atLeast"/>
      <w:ind w:firstLine="525"/>
      <w:jc w:val="left"/>
      <w:textAlignment w:val="baseline"/>
    </w:pPr>
    <w:rPr>
      <w:rFonts w:ascii="宋体" w:hAnsi="宋体" w:cs="宋体"/>
      <w:kern w:val="0"/>
    </w:rPr>
  </w:style>
  <w:style w:type="paragraph" w:customStyle="1" w:styleId="1157">
    <w:name w:val="一级2"/>
    <w:basedOn w:val="4"/>
    <w:qFormat/>
    <w:uiPriority w:val="0"/>
    <w:pPr>
      <w:widowControl/>
      <w:tabs>
        <w:tab w:val="clear" w:pos="480"/>
        <w:tab w:val="clear" w:pos="630"/>
      </w:tabs>
      <w:adjustRightInd w:val="0"/>
      <w:spacing w:before="40" w:after="40"/>
      <w:jc w:val="left"/>
      <w:textAlignment w:val="baseline"/>
    </w:pPr>
    <w:rPr>
      <w:rFonts w:ascii="Arial" w:hAnsi="Arial" w:eastAsia="黑体" w:cs="宋体"/>
      <w:kern w:val="0"/>
      <w:sz w:val="30"/>
      <w:szCs w:val="24"/>
    </w:rPr>
  </w:style>
  <w:style w:type="paragraph" w:customStyle="1" w:styleId="1158">
    <w:name w:val="样式 标题 1 + (中文) 黑体 小三"/>
    <w:basedOn w:val="3"/>
    <w:link w:val="1159"/>
    <w:qFormat/>
    <w:uiPriority w:val="0"/>
    <w:pPr>
      <w:widowControl/>
      <w:tabs>
        <w:tab w:val="clear" w:pos="480"/>
      </w:tabs>
      <w:adjustRightInd w:val="0"/>
      <w:spacing w:beforeLines="50" w:afterLines="50" w:line="578" w:lineRule="atLeast"/>
      <w:jc w:val="left"/>
      <w:textAlignment w:val="baseline"/>
    </w:pPr>
    <w:rPr>
      <w:rFonts w:ascii="Times New Roman" w:hAnsi="宋体" w:eastAsia="黑体"/>
      <w:b w:val="0"/>
      <w:bCs w:val="0"/>
      <w:sz w:val="30"/>
    </w:rPr>
  </w:style>
  <w:style w:type="character" w:customStyle="1" w:styleId="1159">
    <w:name w:val="样式 标题 1 + (中文) 黑体 小三 Char"/>
    <w:link w:val="1158"/>
    <w:qFormat/>
    <w:uiPriority w:val="0"/>
    <w:rPr>
      <w:rFonts w:hAnsi="宋体" w:eastAsia="黑体"/>
      <w:kern w:val="44"/>
      <w:sz w:val="30"/>
      <w:szCs w:val="44"/>
      <w:lang w:bidi="ar-SA"/>
    </w:rPr>
  </w:style>
  <w:style w:type="paragraph" w:customStyle="1" w:styleId="1160">
    <w:name w:val="样式 一级 + 左侧:  2 字符 右侧:  2 字符"/>
    <w:basedOn w:val="7"/>
    <w:qFormat/>
    <w:uiPriority w:val="0"/>
    <w:pPr>
      <w:widowControl/>
      <w:numPr>
        <w:ilvl w:val="0"/>
        <w:numId w:val="0"/>
      </w:numPr>
      <w:tabs>
        <w:tab w:val="clear" w:pos="480"/>
      </w:tabs>
      <w:adjustRightInd w:val="0"/>
      <w:spacing w:before="120" w:after="120"/>
      <w:ind w:left="420" w:leftChars="200" w:right="420" w:rightChars="200"/>
      <w:jc w:val="left"/>
      <w:textAlignment w:val="baseline"/>
      <w:outlineLvl w:val="0"/>
    </w:pPr>
    <w:rPr>
      <w:rFonts w:ascii="Times New Roman" w:hAnsi="宋体" w:eastAsia="黑体" w:cs="宋体"/>
      <w:bCs/>
      <w:kern w:val="44"/>
      <w:sz w:val="30"/>
      <w:szCs w:val="24"/>
    </w:rPr>
  </w:style>
  <w:style w:type="paragraph" w:customStyle="1" w:styleId="1161">
    <w:name w:val="样式14"/>
    <w:basedOn w:val="1157"/>
    <w:link w:val="2935"/>
    <w:qFormat/>
    <w:uiPriority w:val="0"/>
    <w:pPr/>
    <w:rPr>
      <w:sz w:val="32"/>
    </w:rPr>
  </w:style>
  <w:style w:type="paragraph" w:customStyle="1" w:styleId="1162">
    <w:name w:val="样式15"/>
    <w:basedOn w:val="1157"/>
    <w:qFormat/>
    <w:uiPriority w:val="0"/>
    <w:pPr/>
  </w:style>
  <w:style w:type="paragraph" w:customStyle="1" w:styleId="1163">
    <w:name w:val="样式16"/>
    <w:basedOn w:val="4"/>
    <w:qFormat/>
    <w:uiPriority w:val="0"/>
    <w:pPr>
      <w:widowControl/>
      <w:tabs>
        <w:tab w:val="clear" w:pos="480"/>
        <w:tab w:val="clear" w:pos="630"/>
      </w:tabs>
      <w:adjustRightInd w:val="0"/>
      <w:spacing w:after="260" w:line="416" w:lineRule="atLeast"/>
      <w:jc w:val="left"/>
      <w:textAlignment w:val="baseline"/>
    </w:pPr>
    <w:rPr>
      <w:rFonts w:ascii="Arial" w:hAnsi="Arial" w:cs="宋体"/>
      <w:bCs w:val="0"/>
      <w:kern w:val="0"/>
      <w:sz w:val="24"/>
      <w:szCs w:val="24"/>
    </w:rPr>
  </w:style>
  <w:style w:type="paragraph" w:customStyle="1" w:styleId="1164">
    <w:name w:val="样式17"/>
    <w:basedOn w:val="5"/>
    <w:link w:val="2939"/>
    <w:qFormat/>
    <w:uiPriority w:val="0"/>
    <w:pPr>
      <w:widowControl/>
      <w:tabs>
        <w:tab w:val="clear" w:pos="480"/>
        <w:tab w:val="clear" w:pos="840"/>
      </w:tabs>
      <w:adjustRightInd w:val="0"/>
      <w:spacing w:before="260" w:line="416" w:lineRule="atLeast"/>
      <w:jc w:val="left"/>
      <w:textAlignment w:val="baseline"/>
    </w:pPr>
    <w:rPr>
      <w:rFonts w:ascii="宋体" w:hAnsi="宋体" w:eastAsia="宋体" w:cs="宋体"/>
      <w:bCs w:val="0"/>
      <w:kern w:val="0"/>
      <w:sz w:val="24"/>
      <w:szCs w:val="24"/>
    </w:rPr>
  </w:style>
  <w:style w:type="paragraph" w:customStyle="1" w:styleId="1165">
    <w:name w:val="样式18"/>
    <w:basedOn w:val="6"/>
    <w:link w:val="2878"/>
    <w:qFormat/>
    <w:uiPriority w:val="0"/>
    <w:pPr>
      <w:widowControl/>
      <w:numPr>
        <w:numId w:val="0"/>
      </w:numPr>
      <w:tabs>
        <w:tab w:val="clear" w:pos="480"/>
      </w:tabs>
      <w:adjustRightInd w:val="0"/>
      <w:spacing w:before="280" w:after="290" w:line="376" w:lineRule="atLeast"/>
      <w:jc w:val="left"/>
      <w:textAlignment w:val="baseline"/>
    </w:pPr>
    <w:rPr>
      <w:rFonts w:ascii="Arial" w:hAnsi="Arial" w:eastAsia="宋体" w:cs="宋体"/>
      <w:bCs w:val="0"/>
      <w:kern w:val="0"/>
      <w:sz w:val="24"/>
      <w:szCs w:val="24"/>
    </w:rPr>
  </w:style>
  <w:style w:type="paragraph" w:customStyle="1" w:styleId="1166">
    <w:name w:val="样式19"/>
    <w:basedOn w:val="1157"/>
    <w:link w:val="2985"/>
    <w:qFormat/>
    <w:uiPriority w:val="0"/>
    <w:pPr/>
  </w:style>
  <w:style w:type="paragraph" w:customStyle="1" w:styleId="1167">
    <w:name w:val="样式20"/>
    <w:basedOn w:val="4"/>
    <w:link w:val="2884"/>
    <w:qFormat/>
    <w:uiPriority w:val="0"/>
    <w:pPr>
      <w:widowControl/>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68">
    <w:name w:val="样式21"/>
    <w:basedOn w:val="4"/>
    <w:qFormat/>
    <w:uiPriority w:val="0"/>
    <w:pPr>
      <w:widowControl/>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69">
    <w:name w:val="样式22"/>
    <w:basedOn w:val="4"/>
    <w:qFormat/>
    <w:uiPriority w:val="0"/>
    <w:pPr>
      <w:widowControl/>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70">
    <w:name w:val="我的标题1"/>
    <w:basedOn w:val="3"/>
    <w:next w:val="649"/>
    <w:qFormat/>
    <w:uiPriority w:val="0"/>
    <w:pPr>
      <w:widowControl/>
      <w:tabs>
        <w:tab w:val="left" w:pos="0"/>
        <w:tab w:val="left" w:pos="700"/>
        <w:tab w:val="clear" w:pos="480"/>
      </w:tabs>
      <w:spacing w:beforeLines="100" w:afterLines="50" w:line="480" w:lineRule="auto"/>
      <w:ind w:firstLine="567"/>
      <w:jc w:val="left"/>
    </w:pPr>
    <w:rPr>
      <w:rFonts w:ascii="Times New Roman" w:hAnsi="宋体" w:eastAsia="宋体" w:cs="宋体"/>
      <w:sz w:val="30"/>
    </w:rPr>
  </w:style>
  <w:style w:type="paragraph" w:customStyle="1" w:styleId="1171">
    <w:name w:val="我的标题4"/>
    <w:basedOn w:val="6"/>
    <w:qFormat/>
    <w:uiPriority w:val="0"/>
    <w:pPr>
      <w:widowControl/>
      <w:numPr>
        <w:ilvl w:val="0"/>
        <w:numId w:val="0"/>
      </w:numPr>
      <w:tabs>
        <w:tab w:val="left" w:pos="1680"/>
        <w:tab w:val="clear" w:pos="480"/>
      </w:tabs>
      <w:spacing w:beforeLines="50" w:afterLines="50"/>
      <w:ind w:left="1680" w:hanging="420"/>
      <w:jc w:val="left"/>
    </w:pPr>
    <w:rPr>
      <w:rFonts w:ascii="Arial" w:hAnsi="Arial" w:eastAsia="宋体" w:cs="宋体"/>
      <w:kern w:val="0"/>
      <w:sz w:val="24"/>
    </w:rPr>
  </w:style>
  <w:style w:type="paragraph" w:customStyle="1" w:styleId="1172">
    <w:name w:val="样式 我的标题2 + 段前: 0.5 行 段后: 0.5 行"/>
    <w:basedOn w:val="1"/>
    <w:qFormat/>
    <w:uiPriority w:val="0"/>
    <w:pPr>
      <w:keepNext/>
      <w:keepLines/>
      <w:widowControl/>
      <w:tabs>
        <w:tab w:val="left" w:pos="1350"/>
        <w:tab w:val="clear" w:pos="480"/>
      </w:tabs>
      <w:spacing w:beforeLines="50" w:afterLines="50"/>
      <w:ind w:left="1350" w:hanging="930"/>
      <w:jc w:val="left"/>
      <w:outlineLvl w:val="1"/>
    </w:pPr>
    <w:rPr>
      <w:rFonts w:ascii="Arial" w:hAnsi="Arial" w:cs="宋体"/>
      <w:b/>
      <w:bCs/>
      <w:kern w:val="0"/>
    </w:rPr>
  </w:style>
  <w:style w:type="paragraph" w:customStyle="1" w:styleId="1173">
    <w:name w:val="样式 我的标题3 + 段前: 0.5 行 段后: 0.5 行1"/>
    <w:basedOn w:val="1"/>
    <w:qFormat/>
    <w:uiPriority w:val="0"/>
    <w:pPr>
      <w:keepNext/>
      <w:keepLines/>
      <w:widowControl/>
      <w:tabs>
        <w:tab w:val="left" w:pos="1260"/>
        <w:tab w:val="clear" w:pos="480"/>
      </w:tabs>
      <w:spacing w:beforeLines="50" w:afterLines="50"/>
      <w:ind w:left="1260" w:hanging="420"/>
      <w:jc w:val="left"/>
      <w:outlineLvl w:val="2"/>
    </w:pPr>
    <w:rPr>
      <w:rFonts w:ascii="宋体" w:hAnsi="宋体" w:cs="宋体"/>
      <w:b/>
      <w:bCs/>
      <w:kern w:val="0"/>
    </w:rPr>
  </w:style>
  <w:style w:type="paragraph" w:customStyle="1" w:styleId="1174">
    <w:name w:val="样式 我的标题 2 + 段前: 0.5 行2"/>
    <w:basedOn w:val="1"/>
    <w:qFormat/>
    <w:uiPriority w:val="0"/>
    <w:pPr>
      <w:keepNext/>
      <w:keepLines/>
      <w:widowControl/>
      <w:tabs>
        <w:tab w:val="left" w:pos="567"/>
        <w:tab w:val="clear" w:pos="480"/>
      </w:tabs>
      <w:spacing w:beforeLines="50"/>
      <w:ind w:left="567" w:hanging="567"/>
      <w:jc w:val="left"/>
      <w:outlineLvl w:val="1"/>
    </w:pPr>
    <w:rPr>
      <w:rFonts w:ascii="宋体" w:hAnsi="宋体" w:cs="宋体"/>
      <w:b/>
      <w:bCs/>
      <w:kern w:val="0"/>
    </w:rPr>
  </w:style>
  <w:style w:type="paragraph" w:customStyle="1" w:styleId="1175">
    <w:name w:val="7111我的标题3"/>
    <w:basedOn w:val="5"/>
    <w:semiHidden/>
    <w:qFormat/>
    <w:uiPriority w:val="0"/>
    <w:pPr>
      <w:widowControl/>
      <w:tabs>
        <w:tab w:val="left" w:pos="1820"/>
        <w:tab w:val="clear" w:pos="480"/>
        <w:tab w:val="clear" w:pos="840"/>
      </w:tabs>
      <w:spacing w:before="0" w:after="0" w:line="360" w:lineRule="auto"/>
      <w:ind w:left="1820" w:hanging="420"/>
      <w:jc w:val="left"/>
    </w:pPr>
    <w:rPr>
      <w:rFonts w:ascii="宋体" w:hAnsi="宋体" w:eastAsia="宋体" w:cs="宋体"/>
      <w:kern w:val="0"/>
      <w:sz w:val="24"/>
    </w:rPr>
  </w:style>
  <w:style w:type="paragraph" w:customStyle="1" w:styleId="1176">
    <w:name w:val="91我的标题2"/>
    <w:basedOn w:val="4"/>
    <w:semiHidden/>
    <w:qFormat/>
    <w:uiPriority w:val="0"/>
    <w:pPr>
      <w:widowControl/>
      <w:tabs>
        <w:tab w:val="left" w:pos="567"/>
        <w:tab w:val="clear" w:pos="480"/>
        <w:tab w:val="clear" w:pos="630"/>
      </w:tabs>
      <w:spacing w:beforeLines="50" w:after="0"/>
      <w:ind w:left="567" w:hanging="567"/>
      <w:jc w:val="left"/>
    </w:pPr>
    <w:rPr>
      <w:rFonts w:ascii="宋体" w:hAnsi="宋体" w:cs="宋体"/>
      <w:kern w:val="0"/>
      <w:sz w:val="24"/>
      <w:szCs w:val="30"/>
    </w:rPr>
  </w:style>
  <w:style w:type="paragraph" w:customStyle="1" w:styleId="1177">
    <w:name w:val="样式 标题 3 + (西文) Arial (中文) 宋体 小四 段前: 0 磅 段后: 0 磅 行距: 单倍行距"/>
    <w:basedOn w:val="5"/>
    <w:qFormat/>
    <w:uiPriority w:val="0"/>
    <w:pPr>
      <w:keepNext w:val="0"/>
      <w:keepLines w:val="0"/>
      <w:widowControl/>
      <w:tabs>
        <w:tab w:val="clear" w:pos="480"/>
        <w:tab w:val="clear" w:pos="840"/>
      </w:tabs>
      <w:adjustRightInd w:val="0"/>
      <w:spacing w:before="0" w:after="0" w:line="240" w:lineRule="atLeast"/>
      <w:jc w:val="center"/>
      <w:outlineLvl w:val="9"/>
    </w:pPr>
    <w:rPr>
      <w:rFonts w:ascii="宋体" w:hAnsi="宋体" w:eastAsia="宋体" w:cs="宋体"/>
      <w:b w:val="0"/>
      <w:bCs w:val="0"/>
      <w:spacing w:val="20"/>
      <w:kern w:val="0"/>
      <w:sz w:val="21"/>
      <w:szCs w:val="24"/>
    </w:rPr>
  </w:style>
  <w:style w:type="character" w:customStyle="1" w:styleId="1178">
    <w:name w:val="style51"/>
    <w:semiHidden/>
    <w:qFormat/>
    <w:uiPriority w:val="0"/>
    <w:rPr>
      <w:b/>
      <w:bCs/>
      <w:color w:val="000000"/>
      <w:sz w:val="24"/>
      <w:szCs w:val="24"/>
    </w:rPr>
  </w:style>
  <w:style w:type="character" w:customStyle="1" w:styleId="1179">
    <w:name w:val="txt1"/>
    <w:basedOn w:val="133"/>
    <w:qFormat/>
    <w:uiPriority w:val="0"/>
  </w:style>
  <w:style w:type="character" w:customStyle="1" w:styleId="1180">
    <w:name w:val="p3"/>
    <w:semiHidden/>
    <w:qFormat/>
    <w:uiPriority w:val="0"/>
    <w:rPr>
      <w:rFonts w:hint="default" w:ascii="ˎ̥" w:hAnsi="ˎ̥"/>
      <w:sz w:val="21"/>
      <w:szCs w:val="21"/>
    </w:rPr>
  </w:style>
  <w:style w:type="paragraph" w:customStyle="1" w:styleId="1181">
    <w:name w:val="表格与图名"/>
    <w:basedOn w:val="1"/>
    <w:semiHidden/>
    <w:qFormat/>
    <w:uiPriority w:val="0"/>
    <w:pPr>
      <w:widowControl/>
      <w:tabs>
        <w:tab w:val="clear" w:pos="480"/>
      </w:tabs>
      <w:jc w:val="center"/>
    </w:pPr>
    <w:rPr>
      <w:rFonts w:ascii="宋体" w:hAnsi="宋体" w:eastAsia="黑体" w:cs="宋体"/>
      <w:kern w:val="0"/>
      <w:sz w:val="21"/>
      <w:szCs w:val="21"/>
    </w:rPr>
  </w:style>
  <w:style w:type="paragraph" w:customStyle="1" w:styleId="1182">
    <w:name w:val="第一节"/>
    <w:basedOn w:val="1"/>
    <w:next w:val="87"/>
    <w:qFormat/>
    <w:uiPriority w:val="0"/>
    <w:pPr>
      <w:widowControl/>
      <w:tabs>
        <w:tab w:val="clear" w:pos="480"/>
      </w:tabs>
      <w:spacing w:line="240" w:lineRule="auto"/>
      <w:jc w:val="center"/>
      <w:outlineLvl w:val="1"/>
    </w:pPr>
    <w:rPr>
      <w:rFonts w:ascii="宋体" w:hAnsi="宋体" w:cs="宋体"/>
      <w:b/>
      <w:kern w:val="0"/>
      <w:sz w:val="30"/>
    </w:rPr>
  </w:style>
  <w:style w:type="paragraph" w:customStyle="1" w:styleId="1183">
    <w:name w:val="样式 标题 1 + 段前: 0.5行 段后: 0.5 行"/>
    <w:basedOn w:val="3"/>
    <w:qFormat/>
    <w:uiPriority w:val="0"/>
    <w:pPr>
      <w:keepLines w:val="0"/>
      <w:widowControl/>
      <w:tabs>
        <w:tab w:val="left" w:pos="930"/>
        <w:tab w:val="left" w:pos="1134"/>
        <w:tab w:val="clear" w:pos="480"/>
      </w:tabs>
      <w:spacing w:beforeLines="50" w:afterLines="50"/>
      <w:ind w:left="930" w:hanging="420"/>
      <w:jc w:val="left"/>
    </w:pPr>
    <w:rPr>
      <w:rFonts w:ascii="Times New Roman" w:hAnsi="宋体" w:eastAsia="宋体" w:cs="宋体"/>
      <w:caps/>
      <w:kern w:val="2"/>
      <w:sz w:val="24"/>
      <w:szCs w:val="24"/>
    </w:rPr>
  </w:style>
  <w:style w:type="paragraph" w:customStyle="1" w:styleId="1184">
    <w:name w:val="一级标题"/>
    <w:basedOn w:val="1"/>
    <w:qFormat/>
    <w:uiPriority w:val="0"/>
    <w:pPr>
      <w:widowControl/>
      <w:tabs>
        <w:tab w:val="clear" w:pos="480"/>
      </w:tabs>
      <w:spacing w:beforeLines="50" w:afterLines="50" w:line="300" w:lineRule="auto"/>
      <w:jc w:val="left"/>
      <w:outlineLvl w:val="0"/>
    </w:pPr>
    <w:rPr>
      <w:rFonts w:ascii="黑体" w:hAnsi="宋体" w:eastAsia="黑体" w:cs="宋体"/>
      <w:kern w:val="0"/>
    </w:rPr>
  </w:style>
  <w:style w:type="paragraph" w:customStyle="1" w:styleId="1185">
    <w:name w:val="Level 1 Indent"/>
    <w:basedOn w:val="1"/>
    <w:semiHidden/>
    <w:qFormat/>
    <w:uiPriority w:val="0"/>
    <w:pPr>
      <w:widowControl/>
      <w:tabs>
        <w:tab w:val="clear" w:pos="480"/>
      </w:tabs>
      <w:spacing w:after="240" w:line="240" w:lineRule="auto"/>
      <w:ind w:left="357"/>
      <w:jc w:val="left"/>
    </w:pPr>
    <w:rPr>
      <w:rFonts w:ascii="Arial" w:hAnsi="Arial" w:cs="宋体"/>
      <w:kern w:val="0"/>
      <w:sz w:val="22"/>
      <w:lang w:val="en-GB" w:eastAsia="en-US"/>
    </w:rPr>
  </w:style>
  <w:style w:type="paragraph" w:customStyle="1" w:styleId="1186">
    <w:name w:val="前言目次"/>
    <w:basedOn w:val="885"/>
    <w:qFormat/>
    <w:uiPriority w:val="0"/>
    <w:pPr>
      <w:widowControl/>
      <w:snapToGrid/>
      <w:spacing w:before="50"/>
      <w:ind w:firstLine="0"/>
      <w:jc w:val="left"/>
    </w:pPr>
    <w:rPr>
      <w:rFonts w:hAnsi="宋体" w:eastAsia="宋体" w:cs="宋体"/>
      <w:b/>
      <w:spacing w:val="0"/>
      <w:kern w:val="0"/>
      <w:sz w:val="28"/>
      <w:szCs w:val="24"/>
    </w:rPr>
  </w:style>
  <w:style w:type="paragraph" w:customStyle="1" w:styleId="1187">
    <w:name w:val="附件名"/>
    <w:basedOn w:val="899"/>
    <w:qFormat/>
    <w:uiPriority w:val="0"/>
    <w:pPr>
      <w:widowControl/>
      <w:snapToGrid/>
      <w:spacing w:beforeLines="10" w:after="2" w:line="300" w:lineRule="auto"/>
      <w:jc w:val="center"/>
      <w:outlineLvl w:val="9"/>
    </w:pPr>
    <w:rPr>
      <w:rFonts w:ascii="黑体" w:hAnsi="宋体" w:cs="宋体"/>
      <w:sz w:val="24"/>
      <w:szCs w:val="24"/>
    </w:rPr>
  </w:style>
  <w:style w:type="paragraph" w:customStyle="1" w:styleId="1188">
    <w:name w:val="图中字"/>
    <w:basedOn w:val="892"/>
    <w:qFormat/>
    <w:uiPriority w:val="0"/>
    <w:pPr>
      <w:keepNext/>
      <w:widowControl/>
      <w:adjustRightInd/>
      <w:snapToGrid/>
      <w:spacing w:line="240" w:lineRule="atLeast"/>
    </w:pPr>
    <w:rPr>
      <w:rFonts w:ascii="Verdana" w:hAnsi="Verdana" w:eastAsia="幼圆" w:cs="宋体"/>
      <w:b/>
      <w:color w:val="FF0000"/>
      <w:kern w:val="0"/>
      <w:sz w:val="18"/>
      <w:szCs w:val="18"/>
    </w:rPr>
  </w:style>
  <w:style w:type="paragraph" w:customStyle="1" w:styleId="1189">
    <w:name w:val="样式 标题 1 + 段前: 0.5 行1"/>
    <w:basedOn w:val="3"/>
    <w:qFormat/>
    <w:uiPriority w:val="0"/>
    <w:pPr>
      <w:pageBreakBefore/>
      <w:widowControl/>
      <w:tabs>
        <w:tab w:val="clear" w:pos="480"/>
      </w:tabs>
      <w:spacing w:beforeLines="50" w:afterLines="50" w:line="480" w:lineRule="auto"/>
      <w:jc w:val="left"/>
    </w:pPr>
    <w:rPr>
      <w:rFonts w:ascii="Times New Roman" w:hAnsi="宋体" w:eastAsia="黑体" w:cs="宋体"/>
      <w:b w:val="0"/>
      <w:bCs w:val="0"/>
      <w:sz w:val="24"/>
      <w:szCs w:val="24"/>
    </w:rPr>
  </w:style>
  <w:style w:type="character" w:customStyle="1" w:styleId="1190">
    <w:name w:val="表中 Char"/>
    <w:qFormat/>
    <w:uiPriority w:val="0"/>
    <w:rPr>
      <w:rFonts w:ascii="宋体" w:hAnsi="宋体" w:eastAsia="宋体"/>
      <w:kern w:val="2"/>
      <w:sz w:val="24"/>
      <w:szCs w:val="22"/>
      <w:lang w:val="en-US" w:eastAsia="zh-CN" w:bidi="ar-SA"/>
    </w:rPr>
  </w:style>
  <w:style w:type="character" w:customStyle="1" w:styleId="1191">
    <w:name w:val="表右 Char"/>
    <w:qFormat/>
    <w:uiPriority w:val="0"/>
    <w:rPr>
      <w:rFonts w:ascii="宋体" w:hAnsi="宋体" w:eastAsia="宋体"/>
      <w:kern w:val="2"/>
      <w:sz w:val="24"/>
      <w:lang w:val="en-US" w:eastAsia="zh-CN" w:bidi="ar-SA"/>
    </w:rPr>
  </w:style>
  <w:style w:type="paragraph" w:customStyle="1" w:styleId="1192">
    <w:name w:val="样式 首行缩进:  0.99 厘米"/>
    <w:basedOn w:val="1"/>
    <w:qFormat/>
    <w:uiPriority w:val="0"/>
    <w:pPr>
      <w:widowControl/>
      <w:tabs>
        <w:tab w:val="left" w:pos="1727"/>
        <w:tab w:val="left" w:pos="1884"/>
        <w:tab w:val="clear" w:pos="480"/>
      </w:tabs>
      <w:spacing w:line="300" w:lineRule="auto"/>
      <w:jc w:val="left"/>
      <w:outlineLvl w:val="0"/>
    </w:pPr>
    <w:rPr>
      <w:rFonts w:ascii="宋体" w:hAnsi="宋体" w:cs="宋体"/>
      <w:kern w:val="0"/>
    </w:rPr>
  </w:style>
  <w:style w:type="paragraph" w:customStyle="1" w:styleId="1193">
    <w:name w:val="图题"/>
    <w:next w:val="1"/>
    <w:qFormat/>
    <w:uiPriority w:val="0"/>
    <w:pPr>
      <w:widowControl w:val="0"/>
      <w:adjustRightInd w:val="0"/>
      <w:snapToGrid w:val="0"/>
      <w:spacing w:before="60" w:after="120" w:line="360" w:lineRule="auto"/>
      <w:ind w:firstLine="200" w:firstLineChars="200"/>
      <w:jc w:val="center"/>
      <w:outlineLvl w:val="5"/>
    </w:pPr>
    <w:rPr>
      <w:rFonts w:ascii="黑体" w:hAnsi="Times New Roman" w:eastAsia="黑体" w:cs="Times New Roman"/>
      <w:kern w:val="24"/>
      <w:sz w:val="24"/>
      <w:szCs w:val="24"/>
      <w:lang w:val="en-US" w:eastAsia="zh-CN" w:bidi="ar-SA"/>
    </w:rPr>
  </w:style>
  <w:style w:type="paragraph" w:customStyle="1" w:styleId="1194">
    <w:name w:val="表格文字5"/>
    <w:basedOn w:val="66"/>
    <w:semiHidden/>
    <w:qFormat/>
    <w:uiPriority w:val="0"/>
    <w:pPr>
      <w:widowControl/>
      <w:tabs>
        <w:tab w:val="left" w:pos="-30"/>
      </w:tabs>
      <w:adjustRightInd w:val="0"/>
      <w:snapToGrid w:val="0"/>
      <w:spacing w:line="276" w:lineRule="auto"/>
      <w:ind w:left="0" w:firstLine="0" w:firstLineChars="0"/>
    </w:pPr>
    <w:rPr>
      <w:rFonts w:ascii="宋体" w:hAnsi="宋体" w:cs="宋体"/>
      <w:color w:val="000000"/>
      <w:kern w:val="0"/>
    </w:rPr>
  </w:style>
  <w:style w:type="character" w:customStyle="1" w:styleId="1195">
    <w:name w:val="ta141"/>
    <w:semiHidden/>
    <w:qFormat/>
    <w:uiPriority w:val="0"/>
    <w:rPr>
      <w:color w:val="0000FF"/>
      <w:spacing w:val="360"/>
    </w:rPr>
  </w:style>
  <w:style w:type="paragraph" w:customStyle="1" w:styleId="1196">
    <w:name w:val="样式 标题 7 + 段前: 0.5 行 行距: 多倍行距 1.25 字行"/>
    <w:basedOn w:val="9"/>
    <w:qFormat/>
    <w:uiPriority w:val="0"/>
    <w:pPr>
      <w:keepNext w:val="0"/>
      <w:keepLines w:val="0"/>
      <w:widowControl/>
      <w:numPr>
        <w:ilvl w:val="0"/>
        <w:numId w:val="0"/>
      </w:numPr>
      <w:tabs>
        <w:tab w:val="left" w:pos="567"/>
        <w:tab w:val="clear" w:pos="480"/>
        <w:tab w:val="clear" w:pos="576"/>
      </w:tabs>
      <w:autoSpaceDE/>
      <w:autoSpaceDN/>
      <w:adjustRightInd/>
      <w:snapToGrid w:val="0"/>
      <w:spacing w:before="0" w:after="0" w:line="264" w:lineRule="auto"/>
      <w:jc w:val="center"/>
      <w:textAlignment w:val="auto"/>
    </w:pPr>
    <w:rPr>
      <w:rFonts w:ascii="黑体" w:hAnsi="宋体" w:eastAsia="黑体" w:cs="宋体"/>
      <w:b w:val="0"/>
      <w:kern w:val="0"/>
    </w:rPr>
  </w:style>
  <w:style w:type="character" w:customStyle="1" w:styleId="1197">
    <w:name w:val="样式 正文缩进 + 宋体 Char"/>
    <w:link w:val="1080"/>
    <w:qFormat/>
    <w:locked/>
    <w:uiPriority w:val="0"/>
    <w:rPr>
      <w:rFonts w:ascii="宋体" w:hAnsi="宋体" w:eastAsia="宋体"/>
      <w:sz w:val="28"/>
      <w:szCs w:val="28"/>
      <w:lang w:bidi="ar-SA"/>
    </w:rPr>
  </w:style>
  <w:style w:type="paragraph" w:customStyle="1" w:styleId="1198">
    <w:name w:val="Char Char Знак Знак2"/>
    <w:basedOn w:val="1"/>
    <w:semiHidden/>
    <w:qFormat/>
    <w:uiPriority w:val="0"/>
    <w:pPr>
      <w:widowControl/>
      <w:tabs>
        <w:tab w:val="clear" w:pos="480"/>
      </w:tabs>
      <w:spacing w:after="160" w:line="240" w:lineRule="exact"/>
      <w:jc w:val="left"/>
    </w:pPr>
    <w:rPr>
      <w:rFonts w:ascii="宋体" w:hAnsi="宋体" w:cs="宋体"/>
      <w:b/>
      <w:kern w:val="0"/>
      <w:lang w:eastAsia="en-US"/>
    </w:rPr>
  </w:style>
  <w:style w:type="table" w:customStyle="1" w:styleId="1199">
    <w:name w:val="网格型2"/>
    <w:basedOn w:val="88"/>
    <w:qFormat/>
    <w:uiPriority w:val="59"/>
    <w:pPr>
      <w:widowControl w:val="0"/>
      <w:snapToGrid w:val="0"/>
      <w:spacing w:line="336" w:lineRule="auto"/>
      <w:ind w:firstLine="51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00">
    <w:name w:val="京唐秦正文2"/>
    <w:basedOn w:val="1"/>
    <w:next w:val="1"/>
    <w:qFormat/>
    <w:uiPriority w:val="0"/>
    <w:pPr>
      <w:widowControl/>
      <w:tabs>
        <w:tab w:val="left" w:pos="700"/>
        <w:tab w:val="clear" w:pos="480"/>
      </w:tabs>
      <w:spacing w:beforeLines="50"/>
      <w:ind w:firstLine="424"/>
      <w:jc w:val="left"/>
    </w:pPr>
    <w:rPr>
      <w:rFonts w:ascii="宋体" w:hAnsi="宋体" w:cs="宋体"/>
      <w:bCs/>
      <w:kern w:val="0"/>
      <w:lang w:eastAsia="en-US"/>
    </w:rPr>
  </w:style>
  <w:style w:type="paragraph" w:customStyle="1" w:styleId="1201">
    <w:name w:val="标题 4 宋体"/>
    <w:basedOn w:val="6"/>
    <w:next w:val="1"/>
    <w:semiHidden/>
    <w:qFormat/>
    <w:uiPriority w:val="0"/>
    <w:pPr>
      <w:widowControl/>
      <w:numPr>
        <w:numId w:val="0"/>
      </w:numPr>
      <w:tabs>
        <w:tab w:val="left" w:pos="1064"/>
        <w:tab w:val="left" w:pos="2438"/>
        <w:tab w:val="clear" w:pos="480"/>
      </w:tabs>
      <w:adjustRightInd w:val="0"/>
      <w:spacing w:before="0" w:after="0"/>
      <w:jc w:val="left"/>
    </w:pPr>
    <w:rPr>
      <w:rFonts w:ascii="宋体" w:eastAsia="宋体" w:cs="宋体"/>
      <w:b w:val="0"/>
      <w:bCs w:val="0"/>
      <w:kern w:val="0"/>
      <w:sz w:val="24"/>
      <w:szCs w:val="24"/>
    </w:rPr>
  </w:style>
  <w:style w:type="paragraph" w:customStyle="1" w:styleId="1202">
    <w:name w:val="样式 标题 4 + (西文) 宋体 (中文) 宋体2"/>
    <w:basedOn w:val="6"/>
    <w:qFormat/>
    <w:uiPriority w:val="0"/>
    <w:pPr>
      <w:widowControl/>
      <w:numPr>
        <w:numId w:val="0"/>
      </w:numPr>
      <w:tabs>
        <w:tab w:val="left" w:pos="1064"/>
        <w:tab w:val="left" w:pos="2438"/>
        <w:tab w:val="clear" w:pos="480"/>
      </w:tabs>
      <w:adjustRightInd w:val="0"/>
      <w:spacing w:before="0" w:after="0"/>
      <w:ind w:left="864" w:hanging="864"/>
      <w:jc w:val="left"/>
    </w:pPr>
    <w:rPr>
      <w:rFonts w:ascii="黑体" w:eastAsia="黑体" w:cs="宋体"/>
      <w:b w:val="0"/>
      <w:bCs w:val="0"/>
      <w:kern w:val="0"/>
      <w:sz w:val="24"/>
      <w:szCs w:val="24"/>
    </w:rPr>
  </w:style>
  <w:style w:type="paragraph" w:customStyle="1" w:styleId="1203">
    <w:name w:val="样式 标题 3 + (西文) 宋体 (中文) 宋体1"/>
    <w:basedOn w:val="5"/>
    <w:qFormat/>
    <w:uiPriority w:val="0"/>
    <w:pPr>
      <w:widowControl/>
      <w:tabs>
        <w:tab w:val="left" w:pos="720"/>
        <w:tab w:val="left" w:pos="1000"/>
        <w:tab w:val="clear" w:pos="480"/>
        <w:tab w:val="clear" w:pos="840"/>
      </w:tabs>
      <w:adjustRightInd w:val="0"/>
      <w:spacing w:before="0" w:after="0" w:line="360" w:lineRule="auto"/>
      <w:ind w:left="720" w:hanging="720"/>
      <w:jc w:val="left"/>
    </w:pPr>
    <w:rPr>
      <w:rFonts w:ascii="黑体" w:hAnsi="宋体" w:eastAsia="黑体" w:cs="宋体"/>
      <w:b w:val="0"/>
      <w:bCs w:val="0"/>
      <w:kern w:val="0"/>
      <w:sz w:val="24"/>
      <w:szCs w:val="24"/>
    </w:rPr>
  </w:style>
  <w:style w:type="paragraph" w:customStyle="1" w:styleId="1204">
    <w:name w:val="样式 标题 4 + (西文) 宋体 (中文) 宋体5"/>
    <w:basedOn w:val="6"/>
    <w:qFormat/>
    <w:uiPriority w:val="0"/>
    <w:pPr>
      <w:widowControl/>
      <w:numPr>
        <w:numId w:val="0"/>
      </w:numPr>
      <w:tabs>
        <w:tab w:val="left" w:pos="1064"/>
        <w:tab w:val="left" w:pos="2438"/>
        <w:tab w:val="clear" w:pos="480"/>
      </w:tabs>
      <w:adjustRightInd w:val="0"/>
      <w:spacing w:before="0" w:after="0"/>
      <w:jc w:val="left"/>
    </w:pPr>
    <w:rPr>
      <w:rFonts w:ascii="黑体" w:eastAsia="黑体" w:cs="宋体"/>
      <w:b w:val="0"/>
      <w:bCs w:val="0"/>
      <w:kern w:val="0"/>
      <w:sz w:val="24"/>
      <w:szCs w:val="24"/>
    </w:rPr>
  </w:style>
  <w:style w:type="paragraph" w:customStyle="1" w:styleId="1205">
    <w:name w:val="样式 标题 4 宋体 + (符号) 宋体"/>
    <w:basedOn w:val="1201"/>
    <w:qFormat/>
    <w:uiPriority w:val="0"/>
    <w:rPr>
      <w:rFonts w:ascii="黑体" w:eastAsia="黑体"/>
    </w:rPr>
  </w:style>
  <w:style w:type="paragraph" w:customStyle="1" w:styleId="1206">
    <w:name w:val="样式 标题 4 + (西文) 宋体 (中文) 宋体6"/>
    <w:basedOn w:val="6"/>
    <w:qFormat/>
    <w:uiPriority w:val="0"/>
    <w:pPr>
      <w:widowControl/>
      <w:numPr>
        <w:numId w:val="0"/>
      </w:numPr>
      <w:tabs>
        <w:tab w:val="left" w:pos="1064"/>
        <w:tab w:val="left" w:pos="2438"/>
        <w:tab w:val="clear" w:pos="480"/>
      </w:tabs>
      <w:adjustRightInd w:val="0"/>
      <w:spacing w:before="0" w:after="0"/>
      <w:jc w:val="left"/>
    </w:pPr>
    <w:rPr>
      <w:rFonts w:ascii="黑体" w:eastAsia="黑体" w:cs="宋体"/>
      <w:b w:val="0"/>
      <w:bCs w:val="0"/>
      <w:kern w:val="0"/>
      <w:sz w:val="24"/>
      <w:szCs w:val="24"/>
    </w:rPr>
  </w:style>
  <w:style w:type="paragraph" w:customStyle="1" w:styleId="1207">
    <w:name w:val="正文缩进1"/>
    <w:basedOn w:val="1"/>
    <w:qFormat/>
    <w:uiPriority w:val="0"/>
    <w:pPr>
      <w:widowControl/>
      <w:tabs>
        <w:tab w:val="clear" w:pos="480"/>
      </w:tabs>
      <w:spacing w:line="240" w:lineRule="auto"/>
      <w:ind w:firstLine="420"/>
      <w:jc w:val="left"/>
    </w:pPr>
    <w:rPr>
      <w:rFonts w:ascii="宋体" w:hAnsi="宋体" w:cs="宋体"/>
      <w:kern w:val="0"/>
    </w:rPr>
  </w:style>
  <w:style w:type="paragraph" w:customStyle="1" w:styleId="1208">
    <w:name w:val="节内标题一"/>
    <w:basedOn w:val="1"/>
    <w:qFormat/>
    <w:uiPriority w:val="0"/>
    <w:pPr>
      <w:widowControl/>
      <w:tabs>
        <w:tab w:val="clear" w:pos="480"/>
      </w:tabs>
      <w:spacing w:line="400" w:lineRule="exact"/>
      <w:ind w:firstLine="562"/>
      <w:jc w:val="left"/>
    </w:pPr>
    <w:rPr>
      <w:rFonts w:ascii="宋体" w:hAnsi="宋体" w:cs="宋体"/>
      <w:b/>
      <w:bCs/>
      <w:kern w:val="0"/>
    </w:rPr>
  </w:style>
  <w:style w:type="paragraph" w:customStyle="1" w:styleId="1209">
    <w:name w:val="Char Char Char Char Char Char Char Char1"/>
    <w:basedOn w:val="1"/>
    <w:semiHidden/>
    <w:qFormat/>
    <w:uiPriority w:val="0"/>
    <w:pPr>
      <w:widowControl/>
      <w:tabs>
        <w:tab w:val="clear" w:pos="480"/>
      </w:tabs>
      <w:spacing w:after="160" w:line="240" w:lineRule="exact"/>
      <w:jc w:val="left"/>
    </w:pPr>
    <w:rPr>
      <w:rFonts w:ascii="Verdana" w:hAnsi="Verdana" w:cs="宋体"/>
      <w:kern w:val="0"/>
      <w:sz w:val="20"/>
      <w:lang w:eastAsia="en-US"/>
    </w:rPr>
  </w:style>
  <w:style w:type="character" w:customStyle="1" w:styleId="1210">
    <w:name w:val="Char31"/>
    <w:semiHidden/>
    <w:qFormat/>
    <w:uiPriority w:val="0"/>
    <w:rPr>
      <w:rFonts w:eastAsia="宋体"/>
      <w:b/>
      <w:bCs/>
      <w:kern w:val="44"/>
      <w:sz w:val="30"/>
      <w:szCs w:val="44"/>
      <w:lang w:val="en-US" w:eastAsia="zh-CN" w:bidi="ar-SA"/>
    </w:rPr>
  </w:style>
  <w:style w:type="character" w:customStyle="1" w:styleId="1211">
    <w:name w:val="表题 Char1"/>
    <w:qFormat/>
    <w:uiPriority w:val="0"/>
    <w:rPr>
      <w:rFonts w:eastAsia="宋体"/>
      <w:b/>
      <w:bCs/>
      <w:kern w:val="2"/>
      <w:sz w:val="28"/>
      <w:szCs w:val="28"/>
      <w:lang w:val="en-US" w:eastAsia="zh-CN" w:bidi="ar-SA"/>
    </w:rPr>
  </w:style>
  <w:style w:type="paragraph" w:customStyle="1" w:styleId="1212">
    <w:name w:val="Char Char1 Char Char Char Char1"/>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213">
    <w:name w:val="Char2 Char Char Char Char Char Char Char Char Char Char Char Char1"/>
    <w:basedOn w:val="1"/>
    <w:semiHidden/>
    <w:qFormat/>
    <w:uiPriority w:val="0"/>
    <w:pPr>
      <w:widowControl/>
      <w:tabs>
        <w:tab w:val="clear" w:pos="480"/>
      </w:tabs>
      <w:spacing w:line="240" w:lineRule="auto"/>
      <w:ind w:left="-48"/>
      <w:jc w:val="left"/>
    </w:pPr>
    <w:rPr>
      <w:rFonts w:ascii="宋体" w:hAnsi="宋体" w:cs="宋体"/>
      <w:kern w:val="0"/>
      <w:sz w:val="21"/>
    </w:rPr>
  </w:style>
  <w:style w:type="paragraph" w:customStyle="1" w:styleId="1214">
    <w:name w:val="正文文本缩进 211"/>
    <w:basedOn w:val="1"/>
    <w:qFormat/>
    <w:uiPriority w:val="0"/>
    <w:pPr>
      <w:widowControl/>
      <w:tabs>
        <w:tab w:val="clear" w:pos="480"/>
      </w:tabs>
      <w:adjustRightInd w:val="0"/>
      <w:ind w:firstLine="480"/>
      <w:jc w:val="left"/>
      <w:textAlignment w:val="baseline"/>
    </w:pPr>
    <w:rPr>
      <w:rFonts w:ascii="宋体" w:hAnsi="宋体" w:cs="宋体"/>
      <w:kern w:val="0"/>
      <w:lang w:bidi="he-IL"/>
    </w:rPr>
  </w:style>
  <w:style w:type="paragraph" w:customStyle="1" w:styleId="1215">
    <w:name w:val="正文文本缩进 311"/>
    <w:basedOn w:val="1"/>
    <w:qFormat/>
    <w:uiPriority w:val="0"/>
    <w:pPr>
      <w:widowControl/>
      <w:tabs>
        <w:tab w:val="clear" w:pos="480"/>
      </w:tabs>
      <w:adjustRightInd w:val="0"/>
      <w:spacing w:line="360" w:lineRule="atLeast"/>
      <w:ind w:firstLine="525"/>
      <w:jc w:val="left"/>
      <w:textAlignment w:val="baseline"/>
    </w:pPr>
    <w:rPr>
      <w:rFonts w:ascii="宋体" w:hAnsi="宋体" w:cs="宋体"/>
      <w:kern w:val="0"/>
    </w:rPr>
  </w:style>
  <w:style w:type="character" w:customStyle="1" w:styleId="1216">
    <w:name w:val="Char Char2"/>
    <w:qFormat/>
    <w:uiPriority w:val="0"/>
    <w:rPr>
      <w:rFonts w:ascii="宋体" w:hAnsi="Courier New" w:eastAsia="宋体"/>
      <w:kern w:val="2"/>
      <w:sz w:val="21"/>
      <w:lang w:val="en-US" w:eastAsia="zh-CN" w:bidi="ar-SA"/>
    </w:rPr>
  </w:style>
  <w:style w:type="paragraph" w:customStyle="1" w:styleId="1217">
    <w:name w:val="本册报告名称"/>
    <w:basedOn w:val="676"/>
    <w:semiHidden/>
    <w:qFormat/>
    <w:uiPriority w:val="0"/>
    <w:pPr>
      <w:widowControl/>
      <w:ind w:firstLine="0" w:firstLineChars="0"/>
      <w:textAlignment w:val="auto"/>
    </w:pPr>
    <w:rPr>
      <w:rFonts w:ascii="文鼎大标宋简" w:eastAsia="文鼎大标宋简" w:cs="宋体"/>
      <w:b w:val="0"/>
      <w:bCs w:val="0"/>
      <w:color w:val="auto"/>
      <w:kern w:val="0"/>
      <w:sz w:val="48"/>
      <w:szCs w:val="24"/>
    </w:rPr>
  </w:style>
  <w:style w:type="paragraph" w:customStyle="1" w:styleId="1218">
    <w:name w:val="Char4"/>
    <w:basedOn w:val="1"/>
    <w:qFormat/>
    <w:uiPriority w:val="0"/>
    <w:pPr>
      <w:widowControl/>
      <w:tabs>
        <w:tab w:val="clear" w:pos="480"/>
      </w:tabs>
      <w:spacing w:line="240" w:lineRule="auto"/>
      <w:jc w:val="left"/>
    </w:pPr>
    <w:rPr>
      <w:rFonts w:ascii="宋体" w:hAnsi="宋体" w:cs="宋体"/>
      <w:kern w:val="0"/>
      <w:sz w:val="21"/>
    </w:rPr>
  </w:style>
  <w:style w:type="paragraph" w:customStyle="1" w:styleId="1219">
    <w:name w:val="Char1 Char Char Char1"/>
    <w:basedOn w:val="1"/>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220">
    <w:name w:val="Char Char Char Char1"/>
    <w:basedOn w:val="1"/>
    <w:qFormat/>
    <w:uiPriority w:val="0"/>
    <w:pPr>
      <w:widowControl/>
      <w:tabs>
        <w:tab w:val="clear" w:pos="480"/>
      </w:tabs>
      <w:spacing w:line="240" w:lineRule="auto"/>
      <w:jc w:val="left"/>
    </w:pPr>
    <w:rPr>
      <w:rFonts w:ascii="宋体" w:hAnsi="宋体" w:cs="宋体"/>
      <w:kern w:val="0"/>
      <w:sz w:val="21"/>
      <w:szCs w:val="21"/>
    </w:rPr>
  </w:style>
  <w:style w:type="paragraph" w:customStyle="1" w:styleId="1221">
    <w:name w:val="Char21"/>
    <w:basedOn w:val="1"/>
    <w:next w:val="1"/>
    <w:qFormat/>
    <w:uiPriority w:val="0"/>
    <w:pPr>
      <w:widowControl/>
      <w:tabs>
        <w:tab w:val="left" w:pos="560"/>
        <w:tab w:val="clear" w:pos="480"/>
      </w:tabs>
      <w:autoSpaceDE w:val="0"/>
      <w:autoSpaceDN w:val="0"/>
      <w:adjustRightInd w:val="0"/>
      <w:spacing w:line="240" w:lineRule="auto"/>
      <w:ind w:firstLine="1137" w:firstLineChars="406"/>
      <w:jc w:val="left"/>
    </w:pPr>
    <w:rPr>
      <w:rFonts w:ascii="宋体" w:hAnsi="宋体" w:cs="宋体"/>
      <w:color w:val="000000"/>
      <w:kern w:val="0"/>
      <w:szCs w:val="28"/>
    </w:rPr>
  </w:style>
  <w:style w:type="paragraph" w:customStyle="1" w:styleId="1222">
    <w:name w:val="Char Char Char Char Char Char Char Char Char Char1"/>
    <w:basedOn w:val="1"/>
    <w:qFormat/>
    <w:uiPriority w:val="0"/>
    <w:pPr>
      <w:widowControl/>
      <w:tabs>
        <w:tab w:val="clear" w:pos="480"/>
      </w:tabs>
      <w:spacing w:line="240" w:lineRule="auto"/>
      <w:jc w:val="left"/>
    </w:pPr>
    <w:rPr>
      <w:rFonts w:ascii="宋体" w:hAnsi="宋体" w:cs="宋体"/>
      <w:kern w:val="0"/>
      <w:sz w:val="21"/>
      <w:szCs w:val="21"/>
    </w:rPr>
  </w:style>
  <w:style w:type="paragraph" w:customStyle="1" w:styleId="1223">
    <w:name w:val="Char Char Знак Знак1"/>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224">
    <w:name w:val="Char11"/>
    <w:basedOn w:val="1"/>
    <w:qFormat/>
    <w:uiPriority w:val="0"/>
    <w:pPr>
      <w:widowControl/>
      <w:tabs>
        <w:tab w:val="clear" w:pos="480"/>
      </w:tabs>
      <w:spacing w:beforeLines="50"/>
      <w:ind w:firstLine="560"/>
      <w:jc w:val="left"/>
    </w:pPr>
    <w:rPr>
      <w:rFonts w:ascii="宋体" w:hAnsi="宋体" w:cs="宋体"/>
      <w:kern w:val="0"/>
      <w:szCs w:val="28"/>
    </w:rPr>
  </w:style>
  <w:style w:type="paragraph" w:customStyle="1" w:styleId="1225">
    <w:name w:val="表芯"/>
    <w:basedOn w:val="1"/>
    <w:next w:val="1"/>
    <w:qFormat/>
    <w:uiPriority w:val="0"/>
    <w:pPr>
      <w:keepNext/>
      <w:widowControl/>
      <w:tabs>
        <w:tab w:val="clear" w:pos="480"/>
      </w:tabs>
      <w:adjustRightInd w:val="0"/>
      <w:spacing w:before="20" w:line="0" w:lineRule="atLeast"/>
      <w:jc w:val="center"/>
      <w:textAlignment w:val="baseline"/>
    </w:pPr>
    <w:rPr>
      <w:rFonts w:ascii="宋体" w:hAnsi="宋体" w:cs="宋体"/>
      <w:kern w:val="21"/>
      <w:sz w:val="21"/>
    </w:rPr>
  </w:style>
  <w:style w:type="paragraph" w:customStyle="1" w:styleId="1226">
    <w:name w:val="样式 标题 1 + 左侧:  1 字符 右侧:  1 字符"/>
    <w:basedOn w:val="3"/>
    <w:qFormat/>
    <w:uiPriority w:val="0"/>
    <w:pPr>
      <w:widowControl/>
      <w:tabs>
        <w:tab w:val="clear" w:pos="480"/>
      </w:tabs>
      <w:spacing w:beforeLines="50" w:afterLines="50"/>
      <w:ind w:left="240" w:leftChars="100" w:right="240" w:rightChars="100"/>
      <w:jc w:val="left"/>
    </w:pPr>
    <w:rPr>
      <w:rFonts w:ascii="Arial" w:hAnsi="Arial" w:eastAsia="宋体" w:cs="宋体"/>
      <w:bCs w:val="0"/>
      <w:sz w:val="24"/>
      <w:szCs w:val="28"/>
    </w:rPr>
  </w:style>
  <w:style w:type="paragraph" w:customStyle="1" w:styleId="1227">
    <w:name w:val="样式 标题 2 + 左侧:  1 字符 右侧:  1 字符"/>
    <w:basedOn w:val="4"/>
    <w:qFormat/>
    <w:uiPriority w:val="0"/>
    <w:pPr>
      <w:widowControl/>
      <w:tabs>
        <w:tab w:val="clear" w:pos="480"/>
        <w:tab w:val="clear" w:pos="630"/>
      </w:tabs>
      <w:spacing w:before="0" w:after="0"/>
      <w:ind w:left="240" w:leftChars="100" w:right="240" w:rightChars="100"/>
      <w:jc w:val="left"/>
    </w:pPr>
    <w:rPr>
      <w:rFonts w:ascii="Arial" w:hAnsi="Arial" w:cs="宋体"/>
      <w:b w:val="0"/>
      <w:bCs w:val="0"/>
      <w:kern w:val="0"/>
      <w:sz w:val="24"/>
      <w:szCs w:val="28"/>
    </w:rPr>
  </w:style>
  <w:style w:type="paragraph" w:customStyle="1" w:styleId="1228">
    <w:name w:val="样式 正文缩进 + 四号 首行缩进:  1.1 厘米"/>
    <w:basedOn w:val="21"/>
    <w:qFormat/>
    <w:uiPriority w:val="0"/>
    <w:pPr>
      <w:widowControl/>
      <w:tabs>
        <w:tab w:val="clear" w:pos="480"/>
      </w:tabs>
      <w:adjustRightInd w:val="0"/>
      <w:snapToGrid w:val="0"/>
      <w:spacing w:line="300" w:lineRule="auto"/>
      <w:ind w:left="240" w:leftChars="100" w:right="240" w:rightChars="100" w:firstLine="624" w:firstLineChars="0"/>
      <w:jc w:val="left"/>
    </w:pPr>
    <w:rPr>
      <w:rFonts w:ascii="Arial" w:hAnsi="Arial" w:cs="宋体"/>
      <w:kern w:val="0"/>
    </w:rPr>
  </w:style>
  <w:style w:type="paragraph" w:customStyle="1" w:styleId="1229">
    <w:name w:val="样式 样式 正文缩进 + 四号 首行缩进:  1.1 厘米 + 左侧:  1 字符 右侧:  1 字符"/>
    <w:basedOn w:val="1"/>
    <w:qFormat/>
    <w:uiPriority w:val="0"/>
    <w:pPr>
      <w:widowControl/>
      <w:tabs>
        <w:tab w:val="clear" w:pos="480"/>
      </w:tabs>
      <w:adjustRightInd w:val="0"/>
      <w:snapToGrid w:val="0"/>
      <w:ind w:left="240" w:leftChars="100" w:right="240" w:rightChars="100" w:firstLine="397"/>
      <w:jc w:val="left"/>
    </w:pPr>
    <w:rPr>
      <w:rFonts w:ascii="Arial" w:hAnsi="Arial" w:cs="宋体"/>
      <w:kern w:val="0"/>
      <w:szCs w:val="20"/>
    </w:rPr>
  </w:style>
  <w:style w:type="paragraph" w:customStyle="1" w:styleId="1230">
    <w:name w:val="样式 样式 样式 正文缩进 + 四号 首行缩进:  1.1 厘米 + 左侧:  1 字符 右侧:  1 字符 + 左侧:  1 ..."/>
    <w:basedOn w:val="1229"/>
    <w:qFormat/>
    <w:uiPriority w:val="0"/>
    <w:pPr>
      <w:ind w:firstLine="510"/>
    </w:pPr>
  </w:style>
  <w:style w:type="paragraph" w:customStyle="1" w:styleId="1231">
    <w:name w:val="样式 样式 样式 样式 正文缩进 + 四号 首行缩进:  1.1 厘米 + 左侧:  1 字符 右侧:  1 字符 + 左侧: ..."/>
    <w:basedOn w:val="1230"/>
    <w:qFormat/>
    <w:uiPriority w:val="0"/>
    <w:pPr>
      <w:ind w:left="425" w:leftChars="177" w:firstLine="725" w:firstLineChars="302"/>
    </w:pPr>
    <w:rPr>
      <w:szCs w:val="24"/>
    </w:rPr>
  </w:style>
  <w:style w:type="paragraph" w:customStyle="1" w:styleId="1232">
    <w:name w:val="样式 标题 3 + 左侧:  1 字符 右侧:  1 字符"/>
    <w:basedOn w:val="5"/>
    <w:qFormat/>
    <w:uiPriority w:val="0"/>
    <w:pPr>
      <w:widowControl/>
      <w:tabs>
        <w:tab w:val="clear" w:pos="480"/>
        <w:tab w:val="clear" w:pos="840"/>
      </w:tabs>
      <w:spacing w:before="0" w:after="0" w:line="360" w:lineRule="auto"/>
      <w:ind w:left="100" w:leftChars="100" w:right="100" w:rightChars="100"/>
      <w:jc w:val="left"/>
    </w:pPr>
    <w:rPr>
      <w:rFonts w:ascii="Arial" w:hAnsi="Arial" w:eastAsia="宋体" w:cs="宋体"/>
      <w:b w:val="0"/>
      <w:bCs w:val="0"/>
      <w:kern w:val="0"/>
      <w:sz w:val="24"/>
      <w:szCs w:val="28"/>
    </w:rPr>
  </w:style>
  <w:style w:type="paragraph" w:customStyle="1" w:styleId="1233">
    <w:name w:val="样式 样式 标题 2 + 左侧:  1 字符 右侧:  1 字符 + (西文) 黑体"/>
    <w:basedOn w:val="1227"/>
    <w:qFormat/>
    <w:uiPriority w:val="0"/>
    <w:pPr/>
  </w:style>
  <w:style w:type="paragraph" w:customStyle="1" w:styleId="1234">
    <w:name w:val="样式 样式 标题 2 + 左侧:  1 字符 右侧:  1 字符 + (西文) 黑体1"/>
    <w:basedOn w:val="1227"/>
    <w:qFormat/>
    <w:uiPriority w:val="0"/>
    <w:pPr/>
  </w:style>
  <w:style w:type="character" w:customStyle="1" w:styleId="1235">
    <w:name w:val="样式 标题 2 + 左侧:  1 字符 右侧:  1 字符 Char"/>
    <w:qFormat/>
    <w:uiPriority w:val="0"/>
    <w:rPr>
      <w:rFonts w:ascii="Arial" w:hAnsi="Arial" w:eastAsia="宋体" w:cs="宋体"/>
      <w:bCs/>
      <w:kern w:val="2"/>
      <w:sz w:val="28"/>
      <w:szCs w:val="28"/>
      <w:lang w:val="en-US" w:eastAsia="zh-CN" w:bidi="ar-SA"/>
    </w:rPr>
  </w:style>
  <w:style w:type="character" w:customStyle="1" w:styleId="1236">
    <w:name w:val="样式 样式 标题 2 + 左侧:  1 字符 右侧:  1 字符 + (西文) 黑体1 Char"/>
    <w:qFormat/>
    <w:uiPriority w:val="0"/>
    <w:rPr>
      <w:rFonts w:ascii="Arial" w:hAnsi="Arial" w:eastAsia="宋体" w:cs="宋体"/>
      <w:kern w:val="2"/>
      <w:sz w:val="28"/>
      <w:szCs w:val="28"/>
      <w:lang w:val="en-US" w:eastAsia="zh-CN" w:bidi="ar-SA"/>
    </w:rPr>
  </w:style>
  <w:style w:type="paragraph" w:customStyle="1" w:styleId="1237">
    <w:name w:val="样式 样式 标题 1 + 左侧:  1 字符 右侧:  1 字符 + 宋体"/>
    <w:basedOn w:val="1226"/>
    <w:qFormat/>
    <w:uiPriority w:val="0"/>
    <w:pPr/>
    <w:rPr>
      <w:bCs/>
    </w:rPr>
  </w:style>
  <w:style w:type="character" w:customStyle="1" w:styleId="1238">
    <w:name w:val="样式 标题 1 + 左侧:  1 字符 右侧:  1 字符 Char"/>
    <w:qFormat/>
    <w:uiPriority w:val="0"/>
    <w:rPr>
      <w:rFonts w:ascii="Arial" w:hAnsi="Arial" w:eastAsia="宋体" w:cs="宋体"/>
      <w:b/>
      <w:bCs/>
      <w:kern w:val="44"/>
      <w:sz w:val="28"/>
      <w:szCs w:val="28"/>
      <w:lang w:val="en-US" w:eastAsia="zh-CN" w:bidi="ar-SA"/>
    </w:rPr>
  </w:style>
  <w:style w:type="character" w:customStyle="1" w:styleId="1239">
    <w:name w:val="样式 样式 标题 1 + 左侧:  1 字符 右侧:  1 字符 + 宋体 Char"/>
    <w:qFormat/>
    <w:uiPriority w:val="0"/>
    <w:rPr>
      <w:rFonts w:ascii="Arial" w:hAnsi="Arial" w:eastAsia="宋体" w:cs="宋体"/>
      <w:kern w:val="44"/>
      <w:sz w:val="28"/>
      <w:szCs w:val="28"/>
      <w:lang w:val="en-US" w:eastAsia="zh-CN" w:bidi="ar-SA"/>
    </w:rPr>
  </w:style>
  <w:style w:type="character" w:customStyle="1" w:styleId="1240">
    <w:name w:val="样式1 Char"/>
    <w:link w:val="191"/>
    <w:qFormat/>
    <w:uiPriority w:val="0"/>
    <w:rPr>
      <w:rFonts w:eastAsia="楷体_GB2312"/>
      <w:kern w:val="2"/>
      <w:sz w:val="28"/>
      <w:szCs w:val="24"/>
      <w:lang w:val="en-US" w:eastAsia="zh-CN" w:bidi="ar-SA"/>
    </w:rPr>
  </w:style>
  <w:style w:type="paragraph" w:customStyle="1" w:styleId="1241">
    <w:name w:val="样式 样式 标题 3 + 左侧:  1 字符 右侧:  1 字符 + 宋体 左侧:  1 字符 右侧:  1 字符"/>
    <w:basedOn w:val="1232"/>
    <w:qFormat/>
    <w:uiPriority w:val="0"/>
    <w:pPr>
      <w:ind w:left="240" w:right="240"/>
    </w:pPr>
  </w:style>
  <w:style w:type="paragraph" w:customStyle="1" w:styleId="1242">
    <w:name w:val="样式 样式 标题 1 + 左侧:  1 字符 右侧:  1 字符 + 宋体 非加粗 左侧:  1 字符 右侧:  1 字符"/>
    <w:basedOn w:val="1226"/>
    <w:qFormat/>
    <w:uiPriority w:val="0"/>
    <w:pPr/>
  </w:style>
  <w:style w:type="paragraph" w:customStyle="1" w:styleId="1243">
    <w:name w:val="样式 样式 样式 标题 2 + 左侧:  1 字符 右侧:  1 字符 + (西文) 黑体1 + 宋体 加粗"/>
    <w:basedOn w:val="1234"/>
    <w:qFormat/>
    <w:uiPriority w:val="0"/>
    <w:pPr/>
    <w:rPr>
      <w:bCs/>
    </w:rPr>
  </w:style>
  <w:style w:type="paragraph" w:customStyle="1" w:styleId="1244">
    <w:name w:val="样式 标题 4 +"/>
    <w:basedOn w:val="6"/>
    <w:qFormat/>
    <w:uiPriority w:val="0"/>
    <w:pPr>
      <w:widowControl/>
      <w:numPr>
        <w:ilvl w:val="0"/>
        <w:numId w:val="0"/>
      </w:numPr>
      <w:tabs>
        <w:tab w:val="clear" w:pos="480"/>
      </w:tabs>
      <w:adjustRightInd w:val="0"/>
      <w:spacing w:before="0" w:after="0"/>
      <w:ind w:left="240" w:leftChars="100" w:right="240" w:rightChars="100"/>
      <w:jc w:val="left"/>
    </w:pPr>
    <w:rPr>
      <w:rFonts w:ascii="宋体" w:eastAsia="宋体" w:cs="宋体"/>
      <w:b w:val="0"/>
      <w:bCs w:val="0"/>
      <w:kern w:val="0"/>
      <w:sz w:val="24"/>
      <w:szCs w:val="24"/>
    </w:rPr>
  </w:style>
  <w:style w:type="paragraph" w:customStyle="1" w:styleId="1245">
    <w:name w:val="样式 样式 样式 标题 2 + 左侧:  1 字符 右侧:  1 字符 + (西文) 黑体1 + (西文) 黑体"/>
    <w:basedOn w:val="1234"/>
    <w:qFormat/>
    <w:uiPriority w:val="0"/>
    <w:pPr/>
  </w:style>
  <w:style w:type="paragraph" w:customStyle="1" w:styleId="1246">
    <w:name w:val="样式 样式 样式 样式 标题 2 + 左侧:  1 字符 右侧:  1 字符 + (西文) 黑体1 + (西文) 黑体 + 加粗"/>
    <w:basedOn w:val="1245"/>
    <w:qFormat/>
    <w:uiPriority w:val="0"/>
    <w:pPr>
      <w:adjustRightInd w:val="0"/>
    </w:pPr>
    <w:rPr>
      <w:bCs/>
    </w:rPr>
  </w:style>
  <w:style w:type="paragraph" w:customStyle="1" w:styleId="1247">
    <w:name w:val="样式 正文首行缩进 + 首行缩进:  1 字符"/>
    <w:basedOn w:val="85"/>
    <w:link w:val="3907"/>
    <w:qFormat/>
    <w:uiPriority w:val="0"/>
    <w:pPr>
      <w:widowControl/>
      <w:adjustRightInd w:val="0"/>
      <w:snapToGrid w:val="0"/>
      <w:spacing w:after="0" w:line="360" w:lineRule="auto"/>
      <w:ind w:left="240" w:leftChars="100" w:right="240" w:rightChars="100" w:firstLine="480" w:firstLineChars="200"/>
      <w:jc w:val="left"/>
    </w:pPr>
    <w:rPr>
      <w:rFonts w:ascii="Arial" w:hAnsi="Arial" w:cs="宋体"/>
      <w:kern w:val="0"/>
      <w:sz w:val="24"/>
    </w:rPr>
  </w:style>
  <w:style w:type="paragraph" w:customStyle="1" w:styleId="1248">
    <w:name w:val="样式 正文缩进 + (西文) Arial 小四"/>
    <w:basedOn w:val="21"/>
    <w:link w:val="1249"/>
    <w:qFormat/>
    <w:uiPriority w:val="0"/>
    <w:pPr>
      <w:widowControl/>
      <w:tabs>
        <w:tab w:val="clear" w:pos="480"/>
      </w:tabs>
      <w:snapToGrid w:val="0"/>
      <w:ind w:firstLine="0" w:firstLineChars="0"/>
      <w:jc w:val="left"/>
    </w:pPr>
    <w:rPr>
      <w:rFonts w:ascii="宋体" w:hAnsi="宋体"/>
      <w:kern w:val="0"/>
      <w:sz w:val="28"/>
      <w:lang w:val="zh-CN"/>
    </w:rPr>
  </w:style>
  <w:style w:type="character" w:customStyle="1" w:styleId="1249">
    <w:name w:val="样式 正文缩进 + (西文) Arial 小四 Char"/>
    <w:link w:val="1248"/>
    <w:qFormat/>
    <w:uiPriority w:val="0"/>
    <w:rPr>
      <w:rFonts w:ascii="宋体" w:hAnsi="宋体" w:eastAsia="宋体"/>
      <w:sz w:val="28"/>
      <w:szCs w:val="24"/>
      <w:lang w:bidi="ar-SA"/>
    </w:rPr>
  </w:style>
  <w:style w:type="paragraph" w:customStyle="1" w:styleId="1250">
    <w:name w:val="正文段落"/>
    <w:basedOn w:val="1"/>
    <w:link w:val="3347"/>
    <w:qFormat/>
    <w:uiPriority w:val="0"/>
    <w:pPr>
      <w:widowControl/>
      <w:tabs>
        <w:tab w:val="clear" w:pos="480"/>
      </w:tabs>
      <w:spacing w:line="240" w:lineRule="auto"/>
      <w:ind w:firstLine="560"/>
      <w:jc w:val="left"/>
    </w:pPr>
    <w:rPr>
      <w:rFonts w:ascii="宋体" w:hAnsi="宋体" w:cs="宋体"/>
      <w:kern w:val="0"/>
    </w:rPr>
  </w:style>
  <w:style w:type="paragraph" w:customStyle="1" w:styleId="1251">
    <w:name w:val="w样小4正文"/>
    <w:basedOn w:val="1"/>
    <w:semiHidden/>
    <w:qFormat/>
    <w:uiPriority w:val="0"/>
    <w:pPr>
      <w:widowControl/>
      <w:tabs>
        <w:tab w:val="clear" w:pos="480"/>
      </w:tabs>
      <w:adjustRightInd w:val="0"/>
      <w:ind w:firstLine="480"/>
      <w:jc w:val="left"/>
    </w:pPr>
    <w:rPr>
      <w:rFonts w:ascii="宋体" w:hAnsi="宋体" w:cs="宋体"/>
      <w:kern w:val="0"/>
    </w:rPr>
  </w:style>
  <w:style w:type="paragraph" w:customStyle="1" w:styleId="1252">
    <w:name w:val="样式 标题 41.1.1.1标题 4.1.1.1.1标题 4 Char款四级标题，黑粗，小四，序号H4h4 sub...1"/>
    <w:basedOn w:val="6"/>
    <w:qFormat/>
    <w:uiPriority w:val="0"/>
    <w:pPr>
      <w:widowControl/>
      <w:numPr>
        <w:ilvl w:val="0"/>
        <w:numId w:val="0"/>
      </w:numPr>
      <w:tabs>
        <w:tab w:val="clear" w:pos="480"/>
      </w:tabs>
      <w:adjustRightInd w:val="0"/>
      <w:spacing w:before="120" w:after="120"/>
      <w:ind w:left="560" w:leftChars="100" w:right="100" w:rightChars="100"/>
      <w:jc w:val="left"/>
      <w:textAlignment w:val="baseline"/>
    </w:pPr>
    <w:rPr>
      <w:rFonts w:ascii="Arial" w:hAnsi="Arial" w:eastAsia="宋体" w:cs="宋体"/>
      <w:b w:val="0"/>
      <w:kern w:val="0"/>
      <w:sz w:val="24"/>
    </w:rPr>
  </w:style>
  <w:style w:type="paragraph" w:customStyle="1" w:styleId="1253">
    <w:name w:val="Char Char2 Char"/>
    <w:basedOn w:val="1"/>
    <w:semiHidden/>
    <w:qFormat/>
    <w:uiPriority w:val="0"/>
    <w:pPr>
      <w:tabs>
        <w:tab w:val="clear" w:pos="480"/>
      </w:tabs>
      <w:spacing w:line="240" w:lineRule="auto"/>
    </w:pPr>
    <w:rPr>
      <w:sz w:val="21"/>
      <w:szCs w:val="21"/>
    </w:rPr>
  </w:style>
  <w:style w:type="paragraph" w:customStyle="1" w:styleId="1254">
    <w:name w:val="样式 样式 标题 1w-标题 1 + Times New Roman 加粗 + 非加粗"/>
    <w:basedOn w:val="1"/>
    <w:qFormat/>
    <w:uiPriority w:val="0"/>
    <w:pPr>
      <w:keepNext/>
      <w:keepLines/>
      <w:tabs>
        <w:tab w:val="left" w:pos="0"/>
        <w:tab w:val="left" w:pos="360"/>
        <w:tab w:val="left" w:pos="525"/>
        <w:tab w:val="left" w:pos="644"/>
        <w:tab w:val="clear" w:pos="480"/>
      </w:tabs>
      <w:adjustRightInd w:val="0"/>
      <w:snapToGrid w:val="0"/>
      <w:jc w:val="left"/>
      <w:outlineLvl w:val="1"/>
    </w:pPr>
    <w:rPr>
      <w:rFonts w:eastAsia="黑体" w:cs="宋体"/>
      <w:kern w:val="0"/>
      <w:sz w:val="28"/>
      <w:szCs w:val="20"/>
    </w:rPr>
  </w:style>
  <w:style w:type="character" w:customStyle="1" w:styleId="1255">
    <w:name w:val="w 标题 3 Char Char"/>
    <w:semiHidden/>
    <w:qFormat/>
    <w:uiPriority w:val="0"/>
    <w:rPr>
      <w:rFonts w:ascii="黑体" w:eastAsia="黑体"/>
      <w:kern w:val="2"/>
      <w:sz w:val="24"/>
      <w:szCs w:val="24"/>
      <w:lang w:val="en-US" w:eastAsia="zh-CN" w:bidi="ar-SA"/>
    </w:rPr>
  </w:style>
  <w:style w:type="character" w:customStyle="1" w:styleId="1256">
    <w:name w:val="w 标题 2 Char Char"/>
    <w:semiHidden/>
    <w:qFormat/>
    <w:uiPriority w:val="0"/>
    <w:rPr>
      <w:rFonts w:ascii="黑体" w:eastAsia="黑体"/>
      <w:sz w:val="28"/>
      <w:szCs w:val="28"/>
      <w:lang w:val="en-US" w:eastAsia="zh-CN" w:bidi="ar-SA"/>
    </w:rPr>
  </w:style>
  <w:style w:type="character" w:customStyle="1" w:styleId="1257">
    <w:name w:val="w-标题 1 Char Char"/>
    <w:semiHidden/>
    <w:qFormat/>
    <w:uiPriority w:val="0"/>
    <w:rPr>
      <w:rFonts w:ascii="黑体" w:eastAsia="黑体"/>
      <w:kern w:val="44"/>
      <w:sz w:val="28"/>
      <w:szCs w:val="28"/>
      <w:lang w:val="en-US" w:eastAsia="zh-CN" w:bidi="ar-SA"/>
    </w:rPr>
  </w:style>
  <w:style w:type="character" w:customStyle="1" w:styleId="1258">
    <w:name w:val="w 标题 4 Char Char"/>
    <w:semiHidden/>
    <w:qFormat/>
    <w:uiPriority w:val="0"/>
    <w:rPr>
      <w:rFonts w:ascii="黑体" w:eastAsia="黑体"/>
      <w:kern w:val="2"/>
      <w:sz w:val="24"/>
      <w:szCs w:val="24"/>
      <w:lang w:val="en-US" w:eastAsia="zh-CN" w:bidi="ar-SA"/>
    </w:rPr>
  </w:style>
  <w:style w:type="paragraph" w:customStyle="1" w:styleId="1259">
    <w:name w:val="一级缩进"/>
    <w:basedOn w:val="1"/>
    <w:qFormat/>
    <w:uiPriority w:val="0"/>
    <w:pPr>
      <w:tabs>
        <w:tab w:val="left" w:pos="852"/>
        <w:tab w:val="clear" w:pos="480"/>
      </w:tabs>
      <w:adjustRightInd w:val="0"/>
      <w:ind w:left="852" w:hanging="312"/>
      <w:textAlignment w:val="baseline"/>
    </w:pPr>
    <w:rPr>
      <w:kern w:val="0"/>
    </w:rPr>
  </w:style>
  <w:style w:type="character" w:customStyle="1" w:styleId="1260">
    <w:name w:val="pt91"/>
    <w:qFormat/>
    <w:uiPriority w:val="0"/>
    <w:rPr>
      <w:sz w:val="18"/>
      <w:szCs w:val="18"/>
    </w:rPr>
  </w:style>
  <w:style w:type="character" w:customStyle="1" w:styleId="1261">
    <w:name w:val="font"/>
    <w:basedOn w:val="133"/>
    <w:semiHidden/>
    <w:qFormat/>
    <w:uiPriority w:val="0"/>
  </w:style>
  <w:style w:type="paragraph" w:customStyle="1" w:styleId="1262">
    <w:name w:val="我的样式（表格内容）"/>
    <w:basedOn w:val="1"/>
    <w:next w:val="1"/>
    <w:qFormat/>
    <w:uiPriority w:val="0"/>
    <w:pPr>
      <w:tabs>
        <w:tab w:val="clear" w:pos="480"/>
      </w:tabs>
      <w:jc w:val="center"/>
    </w:pPr>
    <w:rPr>
      <w:sz w:val="21"/>
    </w:rPr>
  </w:style>
  <w:style w:type="paragraph" w:customStyle="1" w:styleId="1263">
    <w:name w:val="样式 行距: 1.5 倍行距 左  0.8 字符 首行缩进:  2 字符"/>
    <w:basedOn w:val="1"/>
    <w:qFormat/>
    <w:uiPriority w:val="0"/>
    <w:pPr>
      <w:tabs>
        <w:tab w:val="clear" w:pos="480"/>
      </w:tabs>
      <w:adjustRightInd w:val="0"/>
      <w:snapToGrid w:val="0"/>
      <w:ind w:firstLine="560"/>
    </w:pPr>
    <w:rPr>
      <w:rFonts w:eastAsia="仿宋_GB2312"/>
      <w:snapToGrid w:val="0"/>
      <w:kern w:val="0"/>
      <w:sz w:val="28"/>
      <w:szCs w:val="20"/>
    </w:rPr>
  </w:style>
  <w:style w:type="paragraph" w:customStyle="1" w:styleId="1264">
    <w:name w:val="样式 标题 2 + 段前: 0.3 行"/>
    <w:basedOn w:val="4"/>
    <w:next w:val="1"/>
    <w:qFormat/>
    <w:uiPriority w:val="0"/>
    <w:pPr>
      <w:widowControl/>
      <w:tabs>
        <w:tab w:val="clear" w:pos="480"/>
        <w:tab w:val="clear" w:pos="630"/>
      </w:tabs>
      <w:adjustRightInd w:val="0"/>
      <w:spacing w:beforeLines="10" w:afterLines="10"/>
    </w:pPr>
    <w:rPr>
      <w:rFonts w:ascii="Arial Unicode MS" w:hAnsi="Arial Unicode MS"/>
      <w:b w:val="0"/>
      <w:color w:val="3366FF"/>
      <w:sz w:val="28"/>
      <w:szCs w:val="20"/>
    </w:rPr>
  </w:style>
  <w:style w:type="paragraph" w:customStyle="1" w:styleId="1265">
    <w:name w:val="招标标题"/>
    <w:basedOn w:val="1"/>
    <w:next w:val="1"/>
    <w:qFormat/>
    <w:uiPriority w:val="0"/>
    <w:pPr>
      <w:tabs>
        <w:tab w:val="clear" w:pos="480"/>
      </w:tabs>
      <w:spacing w:line="460" w:lineRule="exact"/>
      <w:jc w:val="center"/>
    </w:pPr>
    <w:rPr>
      <w:spacing w:val="1"/>
      <w:kern w:val="0"/>
      <w:szCs w:val="20"/>
    </w:rPr>
  </w:style>
  <w:style w:type="paragraph" w:customStyle="1" w:styleId="1266">
    <w:name w:val="篇号及标题"/>
    <w:qFormat/>
    <w:uiPriority w:val="0"/>
    <w:pPr>
      <w:spacing w:line="360" w:lineRule="auto"/>
      <w:ind w:firstLine="200" w:firstLineChars="200"/>
      <w:jc w:val="center"/>
    </w:pPr>
    <w:rPr>
      <w:rFonts w:ascii="宋体" w:hAnsi="Times New Roman" w:eastAsia="宋体" w:cs="Times New Roman"/>
      <w:kern w:val="2"/>
      <w:sz w:val="44"/>
      <w:szCs w:val="24"/>
      <w:lang w:val="en-US" w:eastAsia="zh-CN" w:bidi="ar-SA"/>
    </w:rPr>
  </w:style>
  <w:style w:type="paragraph" w:customStyle="1" w:styleId="1267">
    <w:name w:val="目次 附件名"/>
    <w:basedOn w:val="59"/>
    <w:qFormat/>
    <w:uiPriority w:val="0"/>
    <w:pPr>
      <w:tabs>
        <w:tab w:val="left" w:pos="360"/>
        <w:tab w:val="right" w:leader="dot" w:pos="9072"/>
      </w:tabs>
      <w:adjustRightInd w:val="0"/>
      <w:snapToGrid w:val="0"/>
    </w:pPr>
    <w:rPr>
      <w:rFonts w:ascii="宋体"/>
      <w:bCs w:val="0"/>
    </w:rPr>
  </w:style>
  <w:style w:type="paragraph" w:customStyle="1" w:styleId="1268">
    <w:name w:val="页眉，无横线"/>
    <w:basedOn w:val="57"/>
    <w:qFormat/>
    <w:uiPriority w:val="0"/>
    <w:pPr>
      <w:pBdr>
        <w:bottom w:val="none" w:color="auto" w:sz="0" w:space="0"/>
      </w:pBdr>
      <w:tabs>
        <w:tab w:val="clear" w:pos="480"/>
      </w:tabs>
      <w:adjustRightInd w:val="0"/>
      <w:spacing w:line="240" w:lineRule="auto"/>
      <w:ind w:firstLine="567"/>
      <w:jc w:val="both"/>
    </w:pPr>
    <w:rPr>
      <w:rFonts w:ascii="宋体" w:hAnsi="Calibri"/>
      <w:kern w:val="0"/>
      <w:szCs w:val="20"/>
    </w:rPr>
  </w:style>
  <w:style w:type="paragraph" w:customStyle="1" w:styleId="1269">
    <w:name w:val="编制人员情况"/>
    <w:basedOn w:val="1"/>
    <w:semiHidden/>
    <w:qFormat/>
    <w:uiPriority w:val="0"/>
    <w:pPr>
      <w:tabs>
        <w:tab w:val="left" w:pos="600"/>
        <w:tab w:val="left" w:pos="3700"/>
        <w:tab w:val="left" w:pos="6900"/>
        <w:tab w:val="clear" w:pos="480"/>
      </w:tabs>
      <w:adjustRightInd w:val="0"/>
      <w:snapToGrid w:val="0"/>
      <w:spacing w:after="120"/>
      <w:ind w:left="420" w:firstLine="180"/>
    </w:pPr>
    <w:rPr>
      <w:rFonts w:ascii="宋体" w:cs="宋体"/>
      <w:sz w:val="32"/>
      <w:szCs w:val="20"/>
    </w:rPr>
  </w:style>
  <w:style w:type="paragraph" w:customStyle="1" w:styleId="1270">
    <w:name w:val="附件标题"/>
    <w:qFormat/>
    <w:uiPriority w:val="0"/>
    <w:pPr>
      <w:spacing w:line="360" w:lineRule="auto"/>
      <w:ind w:firstLine="200" w:firstLineChars="200"/>
      <w:jc w:val="center"/>
    </w:pPr>
    <w:rPr>
      <w:rFonts w:ascii="宋体" w:hAnsi="Times New Roman" w:eastAsia="黑体" w:cs="Times New Roman"/>
      <w:kern w:val="2"/>
      <w:sz w:val="24"/>
      <w:szCs w:val="24"/>
      <w:lang w:val="en-US" w:eastAsia="zh-CN" w:bidi="ar-SA"/>
    </w:rPr>
  </w:style>
  <w:style w:type="paragraph" w:customStyle="1" w:styleId="1271">
    <w:name w:val="样式 标题 3 + (西文) 宋体 (中文) 宋体"/>
    <w:basedOn w:val="5"/>
    <w:qFormat/>
    <w:uiPriority w:val="0"/>
    <w:pPr>
      <w:tabs>
        <w:tab w:val="left" w:pos="720"/>
        <w:tab w:val="left" w:pos="1000"/>
        <w:tab w:val="clear" w:pos="480"/>
        <w:tab w:val="clear" w:pos="840"/>
      </w:tabs>
      <w:adjustRightInd w:val="0"/>
      <w:snapToGrid w:val="0"/>
      <w:spacing w:before="0" w:after="0" w:line="360" w:lineRule="auto"/>
      <w:ind w:left="720" w:hanging="720"/>
    </w:pPr>
    <w:rPr>
      <w:rFonts w:ascii="黑体" w:hAnsi="宋体" w:eastAsia="黑体"/>
      <w:b w:val="0"/>
      <w:bCs w:val="0"/>
      <w:sz w:val="24"/>
      <w:szCs w:val="24"/>
    </w:rPr>
  </w:style>
  <w:style w:type="paragraph" w:customStyle="1" w:styleId="1272">
    <w:name w:val="Char Char Char1 Char Char Char Char"/>
    <w:basedOn w:val="1"/>
    <w:qFormat/>
    <w:uiPriority w:val="0"/>
    <w:pPr>
      <w:tabs>
        <w:tab w:val="clear" w:pos="480"/>
      </w:tabs>
      <w:spacing w:line="240" w:lineRule="auto"/>
    </w:pPr>
    <w:rPr>
      <w:sz w:val="21"/>
    </w:rPr>
  </w:style>
  <w:style w:type="paragraph" w:customStyle="1" w:styleId="1273">
    <w:name w:val="标题11"/>
    <w:basedOn w:val="3"/>
    <w:semiHidden/>
    <w:qFormat/>
    <w:uiPriority w:val="0"/>
    <w:pPr>
      <w:tabs>
        <w:tab w:val="right" w:leader="middleDot" w:pos="8190"/>
        <w:tab w:val="clear" w:pos="480"/>
      </w:tabs>
      <w:adjustRightInd w:val="0"/>
      <w:snapToGrid w:val="0"/>
      <w:spacing w:beforeLines="50" w:afterLines="50"/>
      <w:ind w:left="-3" w:leftChars="-3" w:hanging="6" w:hangingChars="2"/>
    </w:pPr>
    <w:rPr>
      <w:rFonts w:ascii="宋体" w:hAnsi="宋体" w:eastAsia="宋体"/>
      <w:bCs w:val="0"/>
      <w:kern w:val="2"/>
      <w:sz w:val="28"/>
      <w:szCs w:val="28"/>
    </w:rPr>
  </w:style>
  <w:style w:type="paragraph" w:customStyle="1" w:styleId="1274">
    <w:name w:val="标题33"/>
    <w:basedOn w:val="5"/>
    <w:semiHidden/>
    <w:qFormat/>
    <w:uiPriority w:val="0"/>
    <w:pPr>
      <w:tabs>
        <w:tab w:val="clear" w:pos="480"/>
        <w:tab w:val="clear" w:pos="840"/>
      </w:tabs>
      <w:adjustRightInd w:val="0"/>
      <w:snapToGrid w:val="0"/>
      <w:spacing w:before="0" w:after="0" w:line="360" w:lineRule="auto"/>
    </w:pPr>
    <w:rPr>
      <w:rFonts w:ascii="Arial" w:hAnsi="Arial" w:eastAsia="黑体"/>
      <w:b w:val="0"/>
      <w:bCs w:val="0"/>
      <w:sz w:val="28"/>
      <w:szCs w:val="20"/>
    </w:rPr>
  </w:style>
  <w:style w:type="paragraph" w:customStyle="1" w:styleId="1275">
    <w:name w:val="标题44"/>
    <w:basedOn w:val="6"/>
    <w:semiHidden/>
    <w:qFormat/>
    <w:uiPriority w:val="0"/>
    <w:pPr>
      <w:numPr>
        <w:ilvl w:val="0"/>
        <w:numId w:val="0"/>
      </w:numPr>
      <w:tabs>
        <w:tab w:val="left" w:pos="564"/>
        <w:tab w:val="clear" w:pos="480"/>
      </w:tabs>
      <w:spacing w:beforeLines="35" w:afterLines="25" w:line="240" w:lineRule="auto"/>
      <w:ind w:left="564" w:hanging="564"/>
    </w:pPr>
    <w:rPr>
      <w:rFonts w:ascii="Times New Roman" w:hAnsi="Times New Roman" w:eastAsia="宋体"/>
      <w:bCs w:val="0"/>
      <w:kern w:val="0"/>
      <w:sz w:val="24"/>
      <w:szCs w:val="20"/>
    </w:rPr>
  </w:style>
  <w:style w:type="paragraph" w:customStyle="1" w:styleId="1276">
    <w:name w:val="标题22"/>
    <w:basedOn w:val="4"/>
    <w:semiHidden/>
    <w:qFormat/>
    <w:uiPriority w:val="0"/>
    <w:pPr>
      <w:tabs>
        <w:tab w:val="clear" w:pos="480"/>
        <w:tab w:val="clear" w:pos="630"/>
      </w:tabs>
      <w:adjustRightInd w:val="0"/>
      <w:snapToGrid w:val="0"/>
      <w:spacing w:before="0" w:after="0"/>
      <w:ind w:firstLine="538" w:firstLineChars="192"/>
    </w:pPr>
    <w:rPr>
      <w:rFonts w:ascii="宋体" w:hAnsi="宋体"/>
      <w:bCs w:val="0"/>
      <w:color w:val="000000"/>
      <w:sz w:val="28"/>
      <w:szCs w:val="20"/>
    </w:rPr>
  </w:style>
  <w:style w:type="paragraph" w:customStyle="1" w:styleId="1277">
    <w:name w:val="图正文"/>
    <w:basedOn w:val="1"/>
    <w:qFormat/>
    <w:uiPriority w:val="0"/>
    <w:pPr>
      <w:tabs>
        <w:tab w:val="clear" w:pos="480"/>
      </w:tabs>
      <w:spacing w:line="300" w:lineRule="auto"/>
      <w:jc w:val="center"/>
    </w:pPr>
    <w:rPr>
      <w:rFonts w:ascii="宋体" w:hAnsi="宋体"/>
    </w:rPr>
  </w:style>
  <w:style w:type="paragraph" w:customStyle="1" w:styleId="1278">
    <w:name w:val="表头-五级标题"/>
    <w:basedOn w:val="1"/>
    <w:qFormat/>
    <w:uiPriority w:val="0"/>
    <w:pPr>
      <w:tabs>
        <w:tab w:val="clear" w:pos="480"/>
      </w:tabs>
      <w:snapToGrid w:val="0"/>
      <w:spacing w:beforeLines="50" w:line="300" w:lineRule="auto"/>
      <w:jc w:val="center"/>
      <w:outlineLvl w:val="4"/>
    </w:pPr>
    <w:rPr>
      <w:rFonts w:ascii="宋体" w:hAnsi="宋体"/>
    </w:rPr>
  </w:style>
  <w:style w:type="character" w:customStyle="1" w:styleId="1279">
    <w:name w:val="图表名 Char"/>
    <w:qFormat/>
    <w:uiPriority w:val="0"/>
    <w:rPr>
      <w:rFonts w:ascii="宋体" w:hAnsi="宋体" w:eastAsia="黑体" w:cs="宋体"/>
      <w:bCs/>
      <w:color w:val="000000"/>
      <w:kern w:val="2"/>
      <w:sz w:val="24"/>
      <w:lang w:val="zh-CN" w:eastAsia="zh-CN" w:bidi="ar-SA"/>
    </w:rPr>
  </w:style>
  <w:style w:type="paragraph" w:customStyle="1" w:styleId="1280">
    <w:name w:val="样式 样式 主标 + 段前: 1 行 段后: 1 行 + 首行缩进:  2 字符 段前: 1 行 段后: 1 行"/>
    <w:basedOn w:val="1"/>
    <w:qFormat/>
    <w:uiPriority w:val="0"/>
    <w:pPr>
      <w:tabs>
        <w:tab w:val="clear" w:pos="480"/>
      </w:tabs>
      <w:adjustRightInd w:val="0"/>
      <w:snapToGrid w:val="0"/>
      <w:spacing w:beforeLines="100" w:afterLines="100" w:line="300" w:lineRule="auto"/>
      <w:outlineLvl w:val="0"/>
    </w:pPr>
    <w:rPr>
      <w:rFonts w:ascii="黑体" w:eastAsia="黑体"/>
      <w:iCs/>
      <w:sz w:val="28"/>
      <w:szCs w:val="20"/>
    </w:rPr>
  </w:style>
  <w:style w:type="paragraph" w:customStyle="1" w:styleId="1281">
    <w:name w:val="样式 样式 报告标 + 段前: 1 行 段后: 1 行1 + 段前: 1 行 段后: 1 行"/>
    <w:basedOn w:val="1"/>
    <w:qFormat/>
    <w:uiPriority w:val="0"/>
    <w:pPr>
      <w:tabs>
        <w:tab w:val="clear" w:pos="480"/>
      </w:tabs>
      <w:adjustRightInd w:val="0"/>
      <w:snapToGrid w:val="0"/>
      <w:spacing w:beforeLines="100" w:afterLines="100" w:line="300" w:lineRule="auto"/>
      <w:outlineLvl w:val="0"/>
    </w:pPr>
    <w:rPr>
      <w:rFonts w:ascii="黑体" w:eastAsia="黑体"/>
      <w:bCs/>
      <w:iCs/>
      <w:snapToGrid w:val="0"/>
      <w:sz w:val="28"/>
      <w:szCs w:val="28"/>
    </w:rPr>
  </w:style>
  <w:style w:type="paragraph" w:customStyle="1" w:styleId="1282">
    <w:name w:val="样式 宋体 四号 首行缩进:  0.99 厘米 行距: 多倍行距 1.25 字行"/>
    <w:basedOn w:val="1"/>
    <w:qFormat/>
    <w:uiPriority w:val="0"/>
    <w:pPr>
      <w:tabs>
        <w:tab w:val="clear" w:pos="480"/>
      </w:tabs>
      <w:adjustRightInd w:val="0"/>
      <w:snapToGrid w:val="0"/>
      <w:spacing w:line="300" w:lineRule="auto"/>
      <w:ind w:firstLine="561"/>
    </w:pPr>
    <w:rPr>
      <w:rFonts w:hAnsi="宋体"/>
      <w:iCs/>
      <w:sz w:val="28"/>
      <w:szCs w:val="28"/>
    </w:rPr>
  </w:style>
  <w:style w:type="paragraph" w:customStyle="1" w:styleId="1283">
    <w:name w:val="样式 报告标 + 段前: 1 行 段后: 1 行1"/>
    <w:basedOn w:val="1"/>
    <w:qFormat/>
    <w:uiPriority w:val="0"/>
    <w:pPr>
      <w:tabs>
        <w:tab w:val="clear" w:pos="480"/>
      </w:tabs>
      <w:adjustRightInd w:val="0"/>
      <w:snapToGrid w:val="0"/>
      <w:spacing w:beforeLines="100" w:afterLines="100" w:line="300" w:lineRule="auto"/>
    </w:pPr>
    <w:rPr>
      <w:rFonts w:eastAsia="黑体"/>
      <w:b/>
      <w:iCs/>
      <w:sz w:val="28"/>
      <w:szCs w:val="28"/>
    </w:rPr>
  </w:style>
  <w:style w:type="paragraph" w:customStyle="1" w:styleId="1284">
    <w:name w:val="样式 样式 左 首行缩进:  2 字符 行距: 多倍行距 1.15 字行 + 首行缩进:  2 字符"/>
    <w:basedOn w:val="1285"/>
    <w:qFormat/>
    <w:uiPriority w:val="0"/>
    <w:pPr>
      <w:snapToGrid/>
    </w:pPr>
  </w:style>
  <w:style w:type="paragraph" w:customStyle="1" w:styleId="1285">
    <w:name w:val="样式 左 首行缩进:  2 字符 行距: 多倍行距 1.15 字行"/>
    <w:basedOn w:val="1"/>
    <w:qFormat/>
    <w:uiPriority w:val="0"/>
    <w:pPr>
      <w:tabs>
        <w:tab w:val="clear" w:pos="480"/>
      </w:tabs>
      <w:adjustRightInd w:val="0"/>
      <w:snapToGrid w:val="0"/>
      <w:spacing w:line="300" w:lineRule="auto"/>
      <w:jc w:val="left"/>
    </w:pPr>
    <w:rPr>
      <w:iCs/>
      <w:sz w:val="28"/>
      <w:szCs w:val="20"/>
    </w:rPr>
  </w:style>
  <w:style w:type="paragraph" w:customStyle="1" w:styleId="1286">
    <w:name w:val="目录11"/>
    <w:basedOn w:val="3"/>
    <w:qFormat/>
    <w:uiPriority w:val="0"/>
    <w:pPr>
      <w:tabs>
        <w:tab w:val="clear" w:pos="480"/>
      </w:tabs>
      <w:adjustRightInd w:val="0"/>
      <w:snapToGrid w:val="0"/>
      <w:spacing w:beforeLines="50" w:afterLines="50" w:line="300" w:lineRule="auto"/>
      <w:outlineLvl w:val="9"/>
    </w:pPr>
    <w:rPr>
      <w:rFonts w:ascii="黑体" w:hAnsi="黑体" w:eastAsia="宋体"/>
      <w:bCs w:val="0"/>
      <w:sz w:val="28"/>
      <w:szCs w:val="28"/>
    </w:rPr>
  </w:style>
  <w:style w:type="paragraph" w:customStyle="1" w:styleId="1287">
    <w:name w:val="图名-六级标题"/>
    <w:basedOn w:val="1"/>
    <w:qFormat/>
    <w:uiPriority w:val="0"/>
    <w:pPr>
      <w:tabs>
        <w:tab w:val="clear" w:pos="480"/>
      </w:tabs>
      <w:snapToGrid w:val="0"/>
      <w:spacing w:beforeLines="50" w:line="300" w:lineRule="auto"/>
      <w:jc w:val="center"/>
      <w:outlineLvl w:val="5"/>
    </w:pPr>
    <w:rPr>
      <w:rFonts w:eastAsia="黑体"/>
      <w:iCs/>
    </w:rPr>
  </w:style>
  <w:style w:type="paragraph" w:customStyle="1" w:styleId="1288">
    <w:name w:val="样式 目录 3 + 首行缩进:  2 字符"/>
    <w:basedOn w:val="44"/>
    <w:qFormat/>
    <w:uiPriority w:val="0"/>
    <w:pPr>
      <w:tabs>
        <w:tab w:val="right" w:leader="dot" w:pos="9060"/>
      </w:tabs>
      <w:spacing w:line="240" w:lineRule="auto"/>
      <w:ind w:left="420" w:firstLine="400"/>
    </w:pPr>
    <w:rPr>
      <w:iCs w:val="0"/>
      <w:sz w:val="28"/>
      <w:szCs w:val="28"/>
    </w:rPr>
  </w:style>
  <w:style w:type="paragraph" w:customStyle="1" w:styleId="1289">
    <w:name w:val="样式 目录 3 + 首行缩进:  2 字符1"/>
    <w:basedOn w:val="44"/>
    <w:qFormat/>
    <w:uiPriority w:val="0"/>
    <w:pPr>
      <w:tabs>
        <w:tab w:val="right" w:leader="dot" w:pos="9060"/>
      </w:tabs>
      <w:spacing w:line="240" w:lineRule="auto"/>
      <w:ind w:left="561"/>
    </w:pPr>
    <w:rPr>
      <w:iCs w:val="0"/>
      <w:sz w:val="28"/>
      <w:szCs w:val="28"/>
    </w:rPr>
  </w:style>
  <w:style w:type="paragraph" w:customStyle="1" w:styleId="1290">
    <w:name w:val="样式 目录 3 + 首行缩进:  2 字符2"/>
    <w:basedOn w:val="44"/>
    <w:qFormat/>
    <w:uiPriority w:val="0"/>
    <w:pPr>
      <w:tabs>
        <w:tab w:val="right" w:leader="dot" w:pos="9060"/>
      </w:tabs>
      <w:spacing w:line="240" w:lineRule="auto"/>
      <w:ind w:left="561"/>
    </w:pPr>
    <w:rPr>
      <w:iCs w:val="0"/>
      <w:sz w:val="28"/>
      <w:szCs w:val="28"/>
    </w:rPr>
  </w:style>
  <w:style w:type="paragraph" w:customStyle="1" w:styleId="1291">
    <w:name w:val="图内容"/>
    <w:qFormat/>
    <w:uiPriority w:val="0"/>
    <w:pPr>
      <w:widowControl w:val="0"/>
      <w:adjustRightInd w:val="0"/>
      <w:spacing w:line="360" w:lineRule="auto"/>
      <w:ind w:firstLine="200" w:firstLineChars="200"/>
      <w:jc w:val="center"/>
      <w:textAlignment w:val="baseline"/>
    </w:pPr>
    <w:rPr>
      <w:rFonts w:ascii="Times New Roman" w:hAnsi="Times New Roman" w:eastAsia="仿宋体" w:cs="Times New Roman"/>
      <w:kern w:val="2"/>
      <w:sz w:val="24"/>
      <w:szCs w:val="24"/>
      <w:lang w:val="en-US" w:eastAsia="zh-CN" w:bidi="ar-SA"/>
    </w:rPr>
  </w:style>
  <w:style w:type="character" w:customStyle="1" w:styleId="1292">
    <w:name w:val="个人答复风格"/>
    <w:qFormat/>
    <w:uiPriority w:val="0"/>
    <w:rPr>
      <w:rFonts w:ascii="Arial" w:hAnsi="Arial" w:eastAsia="宋体" w:cs="Arial"/>
      <w:color w:val="auto"/>
      <w:sz w:val="20"/>
    </w:rPr>
  </w:style>
  <w:style w:type="paragraph" w:customStyle="1" w:styleId="1293">
    <w:name w:val="表中字"/>
    <w:basedOn w:val="1"/>
    <w:semiHidden/>
    <w:qFormat/>
    <w:uiPriority w:val="0"/>
    <w:pPr>
      <w:tabs>
        <w:tab w:val="left" w:pos="5375"/>
        <w:tab w:val="clear" w:pos="480"/>
      </w:tabs>
      <w:spacing w:line="240" w:lineRule="atLeast"/>
      <w:jc w:val="center"/>
    </w:pPr>
    <w:rPr>
      <w:rFonts w:ascii="宋体" w:hAnsi="宋体"/>
      <w:color w:val="000000"/>
    </w:rPr>
  </w:style>
  <w:style w:type="character" w:customStyle="1" w:styleId="1294">
    <w:name w:val="表头 Char1"/>
    <w:link w:val="166"/>
    <w:qFormat/>
    <w:uiPriority w:val="0"/>
    <w:rPr>
      <w:bCs/>
      <w:snapToGrid w:val="0"/>
      <w:color w:val="000000"/>
      <w:kern w:val="2"/>
      <w:sz w:val="21"/>
      <w:szCs w:val="21"/>
      <w:lang w:val="en-US" w:eastAsia="zh-CN" w:bidi="ar-SA"/>
    </w:rPr>
  </w:style>
  <w:style w:type="paragraph" w:customStyle="1" w:styleId="1295">
    <w:name w:val="表中字左"/>
    <w:basedOn w:val="1293"/>
    <w:semiHidden/>
    <w:qFormat/>
    <w:uiPriority w:val="0"/>
    <w:pPr>
      <w:jc w:val="left"/>
    </w:pPr>
  </w:style>
  <w:style w:type="paragraph" w:customStyle="1" w:styleId="1296">
    <w:name w:val="王东军"/>
    <w:basedOn w:val="1"/>
    <w:link w:val="1297"/>
    <w:qFormat/>
    <w:uiPriority w:val="0"/>
    <w:pPr>
      <w:tabs>
        <w:tab w:val="left" w:pos="3000"/>
        <w:tab w:val="left" w:pos="3420"/>
        <w:tab w:val="left" w:pos="4320"/>
        <w:tab w:val="left" w:pos="6660"/>
        <w:tab w:val="clear" w:pos="480"/>
      </w:tabs>
      <w:spacing w:line="500" w:lineRule="exact"/>
      <w:ind w:firstLine="560"/>
      <w:jc w:val="left"/>
    </w:pPr>
    <w:rPr>
      <w:rFonts w:ascii="宋体"/>
      <w:snapToGrid w:val="0"/>
      <w:color w:val="000000"/>
      <w:kern w:val="0"/>
      <w:sz w:val="28"/>
      <w:szCs w:val="28"/>
      <w:lang w:val="zh-CN"/>
    </w:rPr>
  </w:style>
  <w:style w:type="character" w:customStyle="1" w:styleId="1297">
    <w:name w:val="王东军 Char"/>
    <w:link w:val="1296"/>
    <w:qFormat/>
    <w:uiPriority w:val="0"/>
    <w:rPr>
      <w:rFonts w:ascii="宋体" w:eastAsia="宋体"/>
      <w:snapToGrid w:val="0"/>
      <w:color w:val="000000"/>
      <w:sz w:val="28"/>
      <w:szCs w:val="28"/>
      <w:lang w:bidi="ar-SA"/>
    </w:rPr>
  </w:style>
  <w:style w:type="paragraph" w:customStyle="1" w:styleId="1298">
    <w:name w:val="标题3新新"/>
    <w:basedOn w:val="5"/>
    <w:link w:val="1299"/>
    <w:semiHidden/>
    <w:qFormat/>
    <w:uiPriority w:val="0"/>
    <w:pPr>
      <w:tabs>
        <w:tab w:val="clear" w:pos="480"/>
        <w:tab w:val="clear" w:pos="840"/>
      </w:tabs>
      <w:spacing w:before="0" w:after="0" w:line="500" w:lineRule="exact"/>
      <w:jc w:val="left"/>
    </w:pPr>
    <w:rPr>
      <w:rFonts w:ascii="宋体" w:hAnsi="宋体" w:eastAsia="宋体"/>
      <w:bCs w:val="0"/>
      <w:color w:val="000000"/>
      <w:kern w:val="0"/>
      <w:szCs w:val="20"/>
    </w:rPr>
  </w:style>
  <w:style w:type="character" w:customStyle="1" w:styleId="1299">
    <w:name w:val="标题3新新 Char"/>
    <w:link w:val="1298"/>
    <w:qFormat/>
    <w:uiPriority w:val="0"/>
    <w:rPr>
      <w:rFonts w:ascii="宋体" w:hAnsi="宋体" w:eastAsia="宋体"/>
      <w:b/>
      <w:color w:val="000000"/>
      <w:sz w:val="30"/>
      <w:lang w:bidi="ar-SA"/>
    </w:rPr>
  </w:style>
  <w:style w:type="character" w:customStyle="1" w:styleId="1300">
    <w:name w:val="fontcontent"/>
    <w:basedOn w:val="133"/>
    <w:semiHidden/>
    <w:qFormat/>
    <w:uiPriority w:val="0"/>
  </w:style>
  <w:style w:type="paragraph" w:customStyle="1" w:styleId="1301">
    <w:name w:val="正文小四"/>
    <w:basedOn w:val="1"/>
    <w:next w:val="1"/>
    <w:link w:val="2290"/>
    <w:semiHidden/>
    <w:qFormat/>
    <w:uiPriority w:val="0"/>
    <w:pPr>
      <w:tabs>
        <w:tab w:val="clear" w:pos="480"/>
      </w:tabs>
      <w:adjustRightInd w:val="0"/>
      <w:snapToGrid w:val="0"/>
      <w:ind w:firstLine="560"/>
    </w:pPr>
    <w:rPr>
      <w:rFonts w:ascii="宋体" w:hAnsi="宋体"/>
      <w:szCs w:val="28"/>
    </w:rPr>
  </w:style>
  <w:style w:type="character" w:customStyle="1" w:styleId="1302">
    <w:name w:val="表标题  Char"/>
    <w:link w:val="743"/>
    <w:qFormat/>
    <w:uiPriority w:val="0"/>
    <w:rPr>
      <w:rFonts w:eastAsia="宋体"/>
      <w:b/>
      <w:spacing w:val="2"/>
      <w:sz w:val="28"/>
      <w:lang w:val="en-US" w:eastAsia="zh-CN" w:bidi="ar-SA"/>
    </w:rPr>
  </w:style>
  <w:style w:type="character" w:customStyle="1" w:styleId="1303">
    <w:name w:val="电镀正文 Char"/>
    <w:link w:val="442"/>
    <w:qFormat/>
    <w:uiPriority w:val="0"/>
    <w:rPr>
      <w:rFonts w:eastAsia="宋体"/>
      <w:kern w:val="2"/>
      <w:sz w:val="24"/>
      <w:szCs w:val="24"/>
      <w:lang w:val="en-US" w:eastAsia="zh-CN" w:bidi="ar-SA"/>
    </w:rPr>
  </w:style>
  <w:style w:type="character" w:customStyle="1" w:styleId="1304">
    <w:name w:val="电镀表 Char"/>
    <w:link w:val="725"/>
    <w:qFormat/>
    <w:uiPriority w:val="0"/>
    <w:rPr>
      <w:rFonts w:eastAsia="宋体"/>
      <w:sz w:val="21"/>
      <w:szCs w:val="21"/>
      <w:lang w:val="en-US" w:eastAsia="zh-CN" w:bidi="ar-SA"/>
    </w:rPr>
  </w:style>
  <w:style w:type="paragraph" w:customStyle="1" w:styleId="1305">
    <w:name w:val="文本框文字"/>
    <w:qFormat/>
    <w:uiPriority w:val="0"/>
    <w:pPr>
      <w:spacing w:line="360" w:lineRule="auto"/>
      <w:ind w:firstLine="200" w:firstLineChars="200"/>
      <w:jc w:val="center"/>
    </w:pPr>
    <w:rPr>
      <w:rFonts w:ascii="Times New Roman" w:hAnsi="Times New Roman" w:eastAsia="宋体" w:cs="Times New Roman"/>
      <w:kern w:val="2"/>
      <w:sz w:val="24"/>
      <w:szCs w:val="24"/>
      <w:lang w:val="en-US" w:eastAsia="zh-CN" w:bidi="ar-SA"/>
    </w:rPr>
  </w:style>
  <w:style w:type="paragraph" w:customStyle="1" w:styleId="1306">
    <w:name w:val="封面文字"/>
    <w:qFormat/>
    <w:uiPriority w:val="0"/>
    <w:pPr>
      <w:spacing w:line="36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307">
    <w:name w:val="正文标题"/>
    <w:basedOn w:val="1"/>
    <w:link w:val="2708"/>
    <w:qFormat/>
    <w:uiPriority w:val="0"/>
    <w:pPr>
      <w:tabs>
        <w:tab w:val="clear" w:pos="480"/>
      </w:tabs>
      <w:spacing w:line="324" w:lineRule="auto"/>
      <w:jc w:val="center"/>
    </w:pPr>
    <w:rPr>
      <w:rFonts w:ascii="华文楷体" w:hAnsi="华文楷体" w:eastAsia="华文楷体"/>
      <w:b/>
      <w:color w:val="000000"/>
      <w:kern w:val="0"/>
      <w:sz w:val="36"/>
      <w:szCs w:val="36"/>
      <w:u w:color="000000"/>
    </w:rPr>
  </w:style>
  <w:style w:type="paragraph" w:customStyle="1" w:styleId="1308">
    <w:name w:val="qptext"/>
    <w:basedOn w:val="1"/>
    <w:semiHidden/>
    <w:qFormat/>
    <w:uiPriority w:val="0"/>
    <w:pPr>
      <w:tabs>
        <w:tab w:val="left" w:pos="0"/>
        <w:tab w:val="clear" w:pos="480"/>
      </w:tabs>
      <w:adjustRightInd w:val="0"/>
      <w:spacing w:line="400" w:lineRule="atLeast"/>
      <w:textAlignment w:val="baseline"/>
    </w:pPr>
    <w:rPr>
      <w:spacing w:val="6"/>
      <w:kern w:val="0"/>
      <w:szCs w:val="20"/>
    </w:rPr>
  </w:style>
  <w:style w:type="paragraph" w:customStyle="1" w:styleId="1309">
    <w:name w:val="正文并立"/>
    <w:basedOn w:val="1"/>
    <w:qFormat/>
    <w:uiPriority w:val="0"/>
    <w:pPr>
      <w:tabs>
        <w:tab w:val="clear" w:pos="480"/>
      </w:tabs>
      <w:adjustRightInd w:val="0"/>
      <w:spacing w:line="408" w:lineRule="atLeast"/>
      <w:ind w:firstLine="601"/>
      <w:textAlignment w:val="baseline"/>
    </w:pPr>
    <w:rPr>
      <w:kern w:val="0"/>
      <w:sz w:val="28"/>
      <w:szCs w:val="20"/>
    </w:rPr>
  </w:style>
  <w:style w:type="character" w:customStyle="1" w:styleId="1310">
    <w:name w:val="海南化工城正文 Char"/>
    <w:link w:val="786"/>
    <w:qFormat/>
    <w:uiPriority w:val="0"/>
    <w:rPr>
      <w:rFonts w:ascii="宋体" w:hAnsi="宋体"/>
      <w:sz w:val="24"/>
      <w:lang w:val="zh-CN"/>
    </w:rPr>
  </w:style>
  <w:style w:type="paragraph" w:customStyle="1" w:styleId="1311">
    <w:name w:val="东方化工城表"/>
    <w:basedOn w:val="1"/>
    <w:qFormat/>
    <w:uiPriority w:val="0"/>
    <w:pPr>
      <w:tabs>
        <w:tab w:val="left" w:pos="0"/>
        <w:tab w:val="clear" w:pos="480"/>
      </w:tabs>
      <w:adjustRightInd w:val="0"/>
      <w:snapToGrid w:val="0"/>
      <w:spacing w:line="0" w:lineRule="atLeast"/>
      <w:jc w:val="center"/>
      <w:textAlignment w:val="baseline"/>
    </w:pPr>
    <w:rPr>
      <w:kern w:val="0"/>
      <w:sz w:val="21"/>
      <w:szCs w:val="21"/>
    </w:rPr>
  </w:style>
  <w:style w:type="paragraph" w:customStyle="1" w:styleId="1312">
    <w:name w:val="化工城表"/>
    <w:basedOn w:val="1"/>
    <w:qFormat/>
    <w:uiPriority w:val="0"/>
    <w:pPr>
      <w:tabs>
        <w:tab w:val="clear" w:pos="480"/>
      </w:tabs>
      <w:autoSpaceDE w:val="0"/>
      <w:autoSpaceDN w:val="0"/>
      <w:adjustRightInd w:val="0"/>
      <w:spacing w:line="0" w:lineRule="atLeast"/>
      <w:jc w:val="center"/>
      <w:textAlignment w:val="center"/>
    </w:pPr>
    <w:rPr>
      <w:rFonts w:ascii="仿宋_GB2312" w:hAnsi="宋体" w:cs="Arial Unicode MS"/>
      <w:kern w:val="0"/>
      <w:sz w:val="21"/>
      <w:szCs w:val="20"/>
    </w:rPr>
  </w:style>
  <w:style w:type="character" w:customStyle="1" w:styleId="1313">
    <w:name w:val="c"/>
    <w:basedOn w:val="133"/>
    <w:semiHidden/>
    <w:qFormat/>
    <w:uiPriority w:val="0"/>
  </w:style>
  <w:style w:type="paragraph" w:customStyle="1" w:styleId="1314">
    <w:name w:val="Char Char1 Char Char"/>
    <w:basedOn w:val="1"/>
    <w:semiHidden/>
    <w:qFormat/>
    <w:uiPriority w:val="0"/>
    <w:pPr>
      <w:tabs>
        <w:tab w:val="clear" w:pos="480"/>
      </w:tabs>
      <w:spacing w:line="240" w:lineRule="auto"/>
    </w:pPr>
    <w:rPr>
      <w:sz w:val="21"/>
    </w:rPr>
  </w:style>
  <w:style w:type="paragraph" w:customStyle="1" w:styleId="1315">
    <w:name w:val="wtext"/>
    <w:basedOn w:val="1"/>
    <w:semiHidden/>
    <w:qFormat/>
    <w:uiPriority w:val="0"/>
    <w:pPr>
      <w:widowControl/>
      <w:tabs>
        <w:tab w:val="clear" w:pos="480"/>
      </w:tabs>
      <w:spacing w:before="100" w:beforeAutospacing="1" w:after="100" w:afterAutospacing="1" w:line="240" w:lineRule="auto"/>
      <w:ind w:firstLine="480"/>
      <w:jc w:val="left"/>
    </w:pPr>
    <w:rPr>
      <w:rFonts w:ascii="ˎ̥" w:hAnsi="ˎ̥" w:cs="宋体"/>
      <w:color w:val="000000"/>
      <w:kern w:val="0"/>
      <w:sz w:val="22"/>
      <w:szCs w:val="22"/>
    </w:rPr>
  </w:style>
  <w:style w:type="paragraph" w:customStyle="1" w:styleId="1316">
    <w:name w:val="Char Char Char Char Char Char Char Char Char Char Char"/>
    <w:basedOn w:val="1"/>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317">
    <w:name w:val="样式23"/>
    <w:basedOn w:val="178"/>
    <w:qFormat/>
    <w:uiPriority w:val="0"/>
    <w:pPr>
      <w:topLinePunct w:val="0"/>
      <w:autoSpaceDE/>
      <w:autoSpaceDN/>
      <w:spacing w:line="240" w:lineRule="atLeast"/>
    </w:pPr>
    <w:rPr>
      <w:rFonts w:ascii="CG Times (W1)" w:hAnsi="CG Times (W1)"/>
      <w:kern w:val="0"/>
      <w:sz w:val="20"/>
      <w:szCs w:val="21"/>
    </w:rPr>
  </w:style>
  <w:style w:type="paragraph" w:customStyle="1" w:styleId="1318">
    <w:name w:val="标题 1号"/>
    <w:basedOn w:val="3"/>
    <w:next w:val="3"/>
    <w:semiHidden/>
    <w:qFormat/>
    <w:uiPriority w:val="0"/>
    <w:pPr>
      <w:tabs>
        <w:tab w:val="clear" w:pos="480"/>
      </w:tabs>
      <w:autoSpaceDE w:val="0"/>
      <w:autoSpaceDN w:val="0"/>
      <w:adjustRightInd w:val="0"/>
      <w:snapToGrid w:val="0"/>
      <w:spacing w:beforeLines="50" w:afterLines="50" w:line="578" w:lineRule="auto"/>
    </w:pPr>
    <w:rPr>
      <w:rFonts w:ascii="Times New Roman" w:eastAsia="宋体" w:cs="宋体"/>
      <w:sz w:val="44"/>
      <w:szCs w:val="20"/>
    </w:rPr>
  </w:style>
  <w:style w:type="paragraph" w:customStyle="1" w:styleId="1319">
    <w:name w:val="Char1 Char Char Char11"/>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character" w:customStyle="1" w:styleId="1320">
    <w:name w:val="ht1"/>
    <w:semiHidden/>
    <w:qFormat/>
    <w:uiPriority w:val="0"/>
    <w:rPr>
      <w:rFonts w:ascii="黑体" w:eastAsia="黑体"/>
      <w:b/>
      <w:bCs/>
    </w:rPr>
  </w:style>
  <w:style w:type="paragraph" w:customStyle="1" w:styleId="1321">
    <w:name w:val="默认段落字体 Para Char Char Char Char Char Char Char"/>
    <w:basedOn w:val="1"/>
    <w:qFormat/>
    <w:uiPriority w:val="0"/>
    <w:pPr>
      <w:tabs>
        <w:tab w:val="clear" w:pos="480"/>
      </w:tabs>
      <w:adjustRightInd w:val="0"/>
      <w:ind w:left="200" w:hanging="200" w:hangingChars="200"/>
      <w:textAlignment w:val="baseline"/>
    </w:pPr>
    <w:rPr>
      <w:kern w:val="0"/>
      <w:szCs w:val="20"/>
    </w:rPr>
  </w:style>
  <w:style w:type="paragraph" w:customStyle="1" w:styleId="1322">
    <w:name w:val="B标题"/>
    <w:basedOn w:val="1"/>
    <w:link w:val="1323"/>
    <w:semiHidden/>
    <w:qFormat/>
    <w:uiPriority w:val="0"/>
    <w:pPr>
      <w:tabs>
        <w:tab w:val="clear" w:pos="480"/>
      </w:tabs>
      <w:spacing w:line="240" w:lineRule="auto"/>
      <w:jc w:val="center"/>
    </w:pPr>
    <w:rPr>
      <w:rFonts w:ascii="黑体" w:hAnsi="宋体" w:eastAsia="黑体"/>
      <w:kern w:val="0"/>
      <w:lang w:val="zh-CN"/>
    </w:rPr>
  </w:style>
  <w:style w:type="character" w:customStyle="1" w:styleId="1323">
    <w:name w:val="B标题 Char"/>
    <w:link w:val="1322"/>
    <w:qFormat/>
    <w:uiPriority w:val="0"/>
    <w:rPr>
      <w:rFonts w:ascii="黑体" w:hAnsi="宋体" w:eastAsia="黑体"/>
      <w:sz w:val="24"/>
      <w:szCs w:val="24"/>
      <w:lang w:bidi="ar-SA"/>
    </w:rPr>
  </w:style>
  <w:style w:type="character" w:customStyle="1" w:styleId="1324">
    <w:name w:val="内容 Char"/>
    <w:link w:val="831"/>
    <w:semiHidden/>
    <w:qFormat/>
    <w:uiPriority w:val="0"/>
    <w:rPr>
      <w:rFonts w:ascii="Arial" w:hAnsi="Arial" w:eastAsia="宋体"/>
      <w:bCs/>
      <w:color w:val="000000"/>
      <w:sz w:val="24"/>
      <w:szCs w:val="24"/>
      <w:lang w:bidi="ar-SA"/>
    </w:rPr>
  </w:style>
  <w:style w:type="paragraph" w:customStyle="1" w:styleId="1325">
    <w:name w:val="Char1 Char Char Char1 Char Char Char"/>
    <w:basedOn w:val="1"/>
    <w:semiHidden/>
    <w:qFormat/>
    <w:uiPriority w:val="0"/>
    <w:pPr>
      <w:tabs>
        <w:tab w:val="clear" w:pos="480"/>
      </w:tabs>
    </w:pPr>
    <w:rPr>
      <w:rFonts w:ascii="宋体" w:hAnsi="宋体" w:cs="宋体"/>
    </w:rPr>
  </w:style>
  <w:style w:type="paragraph" w:customStyle="1" w:styleId="1326">
    <w:name w:val="新丰正文"/>
    <w:basedOn w:val="21"/>
    <w:qFormat/>
    <w:uiPriority w:val="0"/>
    <w:pPr>
      <w:tabs>
        <w:tab w:val="clear" w:pos="480"/>
      </w:tabs>
      <w:spacing w:line="324" w:lineRule="auto"/>
      <w:ind w:firstLine="200"/>
    </w:pPr>
    <w:rPr>
      <w:rFonts w:ascii="宋体" w:hAnsi="宋体"/>
      <w:kern w:val="0"/>
    </w:rPr>
  </w:style>
  <w:style w:type="character" w:customStyle="1" w:styleId="1327">
    <w:name w:val="正文1 Char"/>
    <w:link w:val="177"/>
    <w:qFormat/>
    <w:uiPriority w:val="0"/>
    <w:rPr>
      <w:rFonts w:eastAsia="楷体_GB2312"/>
      <w:kern w:val="2"/>
      <w:sz w:val="24"/>
      <w:lang w:val="en-US" w:eastAsia="zh-CN" w:bidi="ar-SA"/>
    </w:rPr>
  </w:style>
  <w:style w:type="paragraph" w:customStyle="1" w:styleId="1328">
    <w:name w:val="表格 33"/>
    <w:basedOn w:val="1"/>
    <w:semiHidden/>
    <w:qFormat/>
    <w:uiPriority w:val="0"/>
    <w:pPr>
      <w:tabs>
        <w:tab w:val="clear" w:pos="480"/>
      </w:tabs>
      <w:autoSpaceDE w:val="0"/>
      <w:autoSpaceDN w:val="0"/>
      <w:adjustRightInd w:val="0"/>
      <w:spacing w:line="240" w:lineRule="auto"/>
      <w:jc w:val="center"/>
      <w:textAlignment w:val="baseline"/>
    </w:pPr>
    <w:rPr>
      <w:rFonts w:eastAsia="楷体"/>
      <w:kern w:val="0"/>
      <w:sz w:val="21"/>
      <w:szCs w:val="20"/>
    </w:rPr>
  </w:style>
  <w:style w:type="paragraph" w:customStyle="1" w:styleId="1329">
    <w:name w:val="ST20_5"/>
    <w:qFormat/>
    <w:uiPriority w:val="0"/>
    <w:pPr>
      <w:widowControl w:val="0"/>
      <w:autoSpaceDE w:val="0"/>
      <w:autoSpaceDN w:val="0"/>
      <w:adjustRightInd w:val="0"/>
      <w:spacing w:line="360" w:lineRule="auto"/>
      <w:ind w:firstLine="200" w:firstLineChars="200"/>
      <w:jc w:val="both"/>
    </w:pPr>
    <w:rPr>
      <w:rFonts w:ascii="宋体" w:hAnsi="Tms Rmn" w:eastAsia="宋体" w:cs="Times New Roman"/>
      <w:kern w:val="2"/>
      <w:sz w:val="21"/>
      <w:szCs w:val="24"/>
      <w:lang w:val="en-US" w:eastAsia="zh-CN" w:bidi="ar-SA"/>
    </w:rPr>
  </w:style>
  <w:style w:type="paragraph" w:customStyle="1" w:styleId="1330">
    <w:name w:val="样式 正文文本缩进 + 宋体 五号 黑色 全部大写 居中 首行缩进:  0 厘米 段前: 0 磅 行距: 单倍行距"/>
    <w:basedOn w:val="35"/>
    <w:qFormat/>
    <w:uiPriority w:val="0"/>
    <w:pPr>
      <w:tabs>
        <w:tab w:val="clear" w:pos="480"/>
      </w:tabs>
      <w:adjustRightInd w:val="0"/>
      <w:spacing w:line="240" w:lineRule="auto"/>
      <w:ind w:firstLine="0" w:firstLineChars="0"/>
      <w:jc w:val="center"/>
      <w:textAlignment w:val="baseline"/>
    </w:pPr>
    <w:rPr>
      <w:rFonts w:ascii="宋体" w:hAnsi="宋体" w:cs="宋体"/>
      <w:color w:val="000000"/>
      <w:kern w:val="28"/>
      <w:sz w:val="21"/>
      <w:szCs w:val="21"/>
    </w:rPr>
  </w:style>
  <w:style w:type="paragraph" w:customStyle="1" w:styleId="1331">
    <w:name w:val="样式 正文缩进 + 居中 首行缩进:  0 厘米 段前: 0 磅 行距: 单倍行距"/>
    <w:basedOn w:val="21"/>
    <w:qFormat/>
    <w:uiPriority w:val="0"/>
    <w:pPr>
      <w:tabs>
        <w:tab w:val="clear" w:pos="480"/>
      </w:tabs>
      <w:adjustRightInd w:val="0"/>
      <w:spacing w:line="240" w:lineRule="auto"/>
      <w:ind w:firstLine="0" w:firstLineChars="0"/>
      <w:jc w:val="center"/>
      <w:textAlignment w:val="baseline"/>
    </w:pPr>
    <w:rPr>
      <w:rFonts w:cs="宋体"/>
      <w:kern w:val="28"/>
    </w:rPr>
  </w:style>
  <w:style w:type="paragraph" w:customStyle="1" w:styleId="1332">
    <w:name w:val="样式 标题 3 + (西文) Times New Roman (中文) 宋体 非加粗 段前: 0 磅 行距: 固定值 2..."/>
    <w:basedOn w:val="5"/>
    <w:qFormat/>
    <w:uiPriority w:val="0"/>
    <w:pPr>
      <w:keepLines w:val="0"/>
      <w:tabs>
        <w:tab w:val="clear" w:pos="480"/>
        <w:tab w:val="clear" w:pos="840"/>
      </w:tabs>
      <w:autoSpaceDE w:val="0"/>
      <w:autoSpaceDN w:val="0"/>
      <w:adjustRightInd w:val="0"/>
      <w:spacing w:before="0" w:after="120" w:line="460" w:lineRule="exact"/>
      <w:jc w:val="left"/>
      <w:textAlignment w:val="baseline"/>
    </w:pPr>
    <w:rPr>
      <w:rFonts w:ascii="Times New Roman" w:eastAsia="宋体" w:cs="宋体"/>
      <w:b w:val="0"/>
      <w:bCs w:val="0"/>
      <w:kern w:val="0"/>
      <w:sz w:val="24"/>
      <w:szCs w:val="24"/>
    </w:rPr>
  </w:style>
  <w:style w:type="paragraph" w:customStyle="1" w:styleId="1333">
    <w:name w:val="川岛插图"/>
    <w:basedOn w:val="1"/>
    <w:qFormat/>
    <w:uiPriority w:val="0"/>
    <w:pPr>
      <w:tabs>
        <w:tab w:val="clear" w:pos="480"/>
      </w:tabs>
      <w:ind w:firstLine="480"/>
      <w:jc w:val="center"/>
    </w:pPr>
    <w:rPr>
      <w:color w:val="000000"/>
      <w:szCs w:val="20"/>
    </w:rPr>
  </w:style>
  <w:style w:type="character" w:customStyle="1" w:styleId="1334">
    <w:name w:val="标题 1 Char Char Char"/>
    <w:semiHidden/>
    <w:qFormat/>
    <w:uiPriority w:val="0"/>
    <w:rPr>
      <w:rFonts w:eastAsia="仿宋_GB2312"/>
      <w:b/>
      <w:kern w:val="28"/>
      <w:sz w:val="30"/>
      <w:lang w:val="en-US" w:eastAsia="zh-CN" w:bidi="ar-SA"/>
    </w:rPr>
  </w:style>
  <w:style w:type="paragraph" w:customStyle="1" w:styleId="1335">
    <w:name w:val="样式 标题 2标题 2 Char Char + 宋体1"/>
    <w:basedOn w:val="4"/>
    <w:qFormat/>
    <w:uiPriority w:val="0"/>
    <w:pPr>
      <w:keepLines w:val="0"/>
      <w:widowControl/>
      <w:tabs>
        <w:tab w:val="right" w:pos="8640"/>
        <w:tab w:val="clear" w:pos="480"/>
        <w:tab w:val="clear" w:pos="630"/>
      </w:tabs>
      <w:overflowPunct w:val="0"/>
      <w:autoSpaceDE w:val="0"/>
      <w:autoSpaceDN w:val="0"/>
      <w:adjustRightInd w:val="0"/>
      <w:spacing w:before="120" w:line="440" w:lineRule="exact"/>
      <w:jc w:val="left"/>
      <w:textAlignment w:val="baseline"/>
    </w:pPr>
    <w:rPr>
      <w:rFonts w:ascii="宋体" w:hAnsi="宋体"/>
      <w:bCs w:val="0"/>
      <w:kern w:val="28"/>
      <w:sz w:val="24"/>
      <w:szCs w:val="24"/>
    </w:rPr>
  </w:style>
  <w:style w:type="paragraph" w:customStyle="1" w:styleId="1336">
    <w:name w:val="样式 标题 3 + 宋体1"/>
    <w:basedOn w:val="5"/>
    <w:qFormat/>
    <w:uiPriority w:val="0"/>
    <w:pPr>
      <w:tabs>
        <w:tab w:val="left" w:pos="1050"/>
        <w:tab w:val="clear" w:pos="480"/>
        <w:tab w:val="clear" w:pos="840"/>
      </w:tabs>
      <w:adjustRightInd w:val="0"/>
      <w:spacing w:after="120" w:line="416" w:lineRule="atLeast"/>
      <w:textAlignment w:val="baseline"/>
    </w:pPr>
    <w:rPr>
      <w:rFonts w:ascii="宋体" w:hAnsi="宋体" w:eastAsia="宋体"/>
      <w:b w:val="0"/>
      <w:bCs w:val="0"/>
      <w:kern w:val="28"/>
      <w:sz w:val="24"/>
      <w:szCs w:val="24"/>
    </w:rPr>
  </w:style>
  <w:style w:type="character" w:customStyle="1" w:styleId="1337">
    <w:name w:val="样式 标题 3 + 宋体1 Char"/>
    <w:qFormat/>
    <w:uiPriority w:val="0"/>
    <w:rPr>
      <w:rFonts w:ascii="宋体" w:hAnsi="宋体" w:eastAsia="宋体"/>
      <w:kern w:val="28"/>
      <w:sz w:val="28"/>
      <w:lang w:val="en-US" w:eastAsia="zh-CN" w:bidi="ar-SA"/>
    </w:rPr>
  </w:style>
  <w:style w:type="character" w:customStyle="1" w:styleId="1338">
    <w:name w:val="报告 Char Char"/>
    <w:qFormat/>
    <w:uiPriority w:val="0"/>
    <w:rPr>
      <w:rFonts w:eastAsia="宋体"/>
      <w:kern w:val="2"/>
      <w:sz w:val="24"/>
      <w:szCs w:val="24"/>
      <w:lang w:val="en-US" w:eastAsia="zh-CN" w:bidi="ar-SA"/>
    </w:rPr>
  </w:style>
  <w:style w:type="paragraph" w:customStyle="1" w:styleId="1339">
    <w:name w:val="样式 标题 1 + 宋体"/>
    <w:basedOn w:val="3"/>
    <w:qFormat/>
    <w:uiPriority w:val="0"/>
    <w:pPr>
      <w:keepLines w:val="0"/>
      <w:widowControl/>
      <w:tabs>
        <w:tab w:val="left" w:pos="0"/>
        <w:tab w:val="left" w:pos="1319"/>
        <w:tab w:val="right" w:pos="8640"/>
        <w:tab w:val="clear" w:pos="480"/>
      </w:tabs>
      <w:overflowPunct w:val="0"/>
      <w:autoSpaceDE w:val="0"/>
      <w:autoSpaceDN w:val="0"/>
      <w:adjustRightInd w:val="0"/>
      <w:spacing w:beforeLines="50" w:afterLines="50" w:line="440" w:lineRule="exact"/>
      <w:ind w:left="432" w:hanging="432"/>
      <w:jc w:val="left"/>
      <w:textAlignment w:val="baseline"/>
    </w:pPr>
    <w:rPr>
      <w:rFonts w:ascii="宋体" w:hAnsi="宋体" w:eastAsia="宋体"/>
      <w:kern w:val="28"/>
      <w:sz w:val="30"/>
      <w:szCs w:val="20"/>
    </w:rPr>
  </w:style>
  <w:style w:type="paragraph" w:customStyle="1" w:styleId="1340">
    <w:name w:val="样式 标题 1 + 宋体1"/>
    <w:basedOn w:val="3"/>
    <w:qFormat/>
    <w:uiPriority w:val="0"/>
    <w:pPr>
      <w:keepLines w:val="0"/>
      <w:widowControl/>
      <w:tabs>
        <w:tab w:val="left" w:pos="425"/>
        <w:tab w:val="left" w:pos="1260"/>
        <w:tab w:val="right" w:pos="8640"/>
        <w:tab w:val="clear" w:pos="480"/>
      </w:tabs>
      <w:overflowPunct w:val="0"/>
      <w:autoSpaceDE w:val="0"/>
      <w:autoSpaceDN w:val="0"/>
      <w:adjustRightInd w:val="0"/>
      <w:spacing w:beforeLines="50" w:afterLines="50" w:line="440" w:lineRule="exact"/>
      <w:jc w:val="left"/>
      <w:textAlignment w:val="baseline"/>
    </w:pPr>
    <w:rPr>
      <w:rFonts w:ascii="宋体" w:hAnsi="宋体" w:eastAsia="宋体"/>
      <w:kern w:val="28"/>
      <w:sz w:val="30"/>
      <w:szCs w:val="20"/>
    </w:rPr>
  </w:style>
  <w:style w:type="paragraph" w:customStyle="1" w:styleId="1341">
    <w:name w:val="样式 标题 4 + 宋体 小四 非加粗"/>
    <w:basedOn w:val="6"/>
    <w:qFormat/>
    <w:uiPriority w:val="0"/>
    <w:pPr>
      <w:numPr>
        <w:ilvl w:val="0"/>
        <w:numId w:val="0"/>
      </w:numPr>
      <w:tabs>
        <w:tab w:val="left" w:pos="1680"/>
        <w:tab w:val="clear" w:pos="480"/>
      </w:tabs>
      <w:adjustRightInd w:val="0"/>
      <w:spacing w:before="160" w:after="170" w:line="240" w:lineRule="auto"/>
      <w:ind w:left="1680" w:leftChars="100" w:right="100" w:rightChars="100" w:hanging="420"/>
      <w:jc w:val="left"/>
      <w:textAlignment w:val="baseline"/>
    </w:pPr>
    <w:rPr>
      <w:rFonts w:ascii="宋体" w:eastAsia="宋体"/>
      <w:b w:val="0"/>
      <w:bCs w:val="0"/>
      <w:kern w:val="0"/>
      <w:sz w:val="24"/>
      <w:szCs w:val="20"/>
    </w:rPr>
  </w:style>
  <w:style w:type="paragraph" w:customStyle="1" w:styleId="1342">
    <w:name w:val="样式 样式 样式 表格 + 段前: 0.2 行 段后: 0.2 行 + 居中 段前: 0.2 行 段后: 0.2 行 + 自动设置"/>
    <w:basedOn w:val="1"/>
    <w:qFormat/>
    <w:uiPriority w:val="0"/>
    <w:pPr>
      <w:tabs>
        <w:tab w:val="clear" w:pos="480"/>
      </w:tabs>
      <w:spacing w:beforeLines="20" w:afterLines="20" w:line="240" w:lineRule="auto"/>
      <w:jc w:val="center"/>
      <w:textAlignment w:val="center"/>
    </w:pPr>
    <w:rPr>
      <w:rFonts w:cs="宋体"/>
      <w:kern w:val="11"/>
    </w:rPr>
  </w:style>
  <w:style w:type="paragraph" w:customStyle="1" w:styleId="1343">
    <w:name w:val="样式 样式 表格 + 段前: 0.2 行 段后: 0.2 行 + 居中 段前: 0.2 行 段后: 0.2 行"/>
    <w:basedOn w:val="1"/>
    <w:qFormat/>
    <w:uiPriority w:val="0"/>
    <w:pPr>
      <w:tabs>
        <w:tab w:val="clear" w:pos="480"/>
      </w:tabs>
      <w:spacing w:beforeLines="20" w:afterLines="20" w:line="240" w:lineRule="auto"/>
      <w:textAlignment w:val="center"/>
    </w:pPr>
    <w:rPr>
      <w:rFonts w:cs="宋体"/>
      <w:color w:val="FF0000"/>
      <w:kern w:val="11"/>
    </w:rPr>
  </w:style>
  <w:style w:type="paragraph" w:customStyle="1" w:styleId="1344">
    <w:name w:val="样式 表头 + (西文) 宋体 (中文) 宋体 首行缩进:  0.85 厘米"/>
    <w:basedOn w:val="166"/>
    <w:qFormat/>
    <w:uiPriority w:val="0"/>
    <w:pPr>
      <w:spacing w:afterLines="50" w:line="460" w:lineRule="exact"/>
      <w:ind w:firstLine="200"/>
    </w:pPr>
    <w:rPr>
      <w:bCs w:val="0"/>
      <w:snapToGrid/>
      <w:color w:val="auto"/>
      <w:sz w:val="24"/>
      <w:szCs w:val="24"/>
    </w:rPr>
  </w:style>
  <w:style w:type="paragraph" w:customStyle="1" w:styleId="1345">
    <w:name w:val="流程图文字"/>
    <w:basedOn w:val="1"/>
    <w:qFormat/>
    <w:uiPriority w:val="0"/>
    <w:pPr>
      <w:tabs>
        <w:tab w:val="clear" w:pos="480"/>
      </w:tabs>
      <w:ind w:firstLine="425"/>
      <w:jc w:val="center"/>
    </w:pPr>
    <w:rPr>
      <w:rFonts w:eastAsia="楷体_GB2312"/>
      <w:szCs w:val="20"/>
    </w:rPr>
  </w:style>
  <w:style w:type="paragraph" w:customStyle="1" w:styleId="1346">
    <w:name w:val="样式 标题 2 + (西文) 宋体 (中文) 宋体 四号 加粗 首行缩进:  0.99 厘米 行距: 1.5 倍行距"/>
    <w:basedOn w:val="4"/>
    <w:qFormat/>
    <w:uiPriority w:val="0"/>
    <w:pPr>
      <w:keepLines w:val="0"/>
      <w:widowControl/>
      <w:tabs>
        <w:tab w:val="right" w:pos="8640"/>
        <w:tab w:val="clear" w:pos="480"/>
        <w:tab w:val="clear" w:pos="630"/>
      </w:tabs>
      <w:overflowPunct w:val="0"/>
      <w:autoSpaceDE w:val="0"/>
      <w:autoSpaceDN w:val="0"/>
      <w:adjustRightInd w:val="0"/>
      <w:spacing w:before="120"/>
      <w:jc w:val="left"/>
      <w:textAlignment w:val="baseline"/>
    </w:pPr>
    <w:rPr>
      <w:rFonts w:ascii="宋体" w:hAnsi="宋体" w:cs="宋体"/>
      <w:kern w:val="28"/>
      <w:sz w:val="28"/>
      <w:szCs w:val="20"/>
    </w:rPr>
  </w:style>
  <w:style w:type="paragraph" w:customStyle="1" w:styleId="1347">
    <w:name w:val="样式 标题 3 + (西文) 宋体 (中文) 宋体 行距: 1.5 倍行距"/>
    <w:basedOn w:val="5"/>
    <w:qFormat/>
    <w:uiPriority w:val="0"/>
    <w:pPr>
      <w:tabs>
        <w:tab w:val="clear" w:pos="480"/>
        <w:tab w:val="clear" w:pos="840"/>
      </w:tabs>
      <w:adjustRightInd w:val="0"/>
      <w:spacing w:after="120" w:line="360" w:lineRule="auto"/>
      <w:textAlignment w:val="baseline"/>
    </w:pPr>
    <w:rPr>
      <w:rFonts w:ascii="宋体" w:hAnsi="宋体" w:eastAsia="宋体" w:cs="宋体"/>
      <w:bCs w:val="0"/>
      <w:kern w:val="28"/>
      <w:sz w:val="24"/>
      <w:szCs w:val="24"/>
    </w:rPr>
  </w:style>
  <w:style w:type="paragraph" w:customStyle="1" w:styleId="1348">
    <w:name w:val="武生正文"/>
    <w:basedOn w:val="1"/>
    <w:next w:val="1"/>
    <w:qFormat/>
    <w:uiPriority w:val="0"/>
    <w:pPr>
      <w:tabs>
        <w:tab w:val="clear" w:pos="480"/>
      </w:tabs>
      <w:ind w:firstLine="240" w:firstLineChars="100"/>
    </w:pPr>
    <w:rPr>
      <w:rFonts w:ascii="宋体" w:hAnsi="宋体"/>
      <w:lang w:eastAsia="zh-TW"/>
    </w:rPr>
  </w:style>
  <w:style w:type="paragraph" w:customStyle="1" w:styleId="1349">
    <w:name w:val="武生标题1"/>
    <w:basedOn w:val="3"/>
    <w:next w:val="2"/>
    <w:qFormat/>
    <w:uiPriority w:val="0"/>
    <w:pPr>
      <w:tabs>
        <w:tab w:val="clear" w:pos="480"/>
      </w:tabs>
      <w:spacing w:beforeLines="50" w:afterLines="50" w:line="240" w:lineRule="auto"/>
    </w:pPr>
    <w:rPr>
      <w:rFonts w:ascii="宋体" w:hAnsi="宋体" w:eastAsia="宋体"/>
      <w:snapToGrid w:val="0"/>
      <w:kern w:val="0"/>
      <w:sz w:val="28"/>
    </w:rPr>
  </w:style>
  <w:style w:type="character" w:customStyle="1" w:styleId="1350">
    <w:name w:val="ll1"/>
    <w:basedOn w:val="133"/>
    <w:semiHidden/>
    <w:qFormat/>
    <w:uiPriority w:val="0"/>
  </w:style>
  <w:style w:type="paragraph" w:customStyle="1" w:styleId="1351">
    <w:name w:val="宏福3A"/>
    <w:basedOn w:val="1"/>
    <w:qFormat/>
    <w:uiPriority w:val="0"/>
    <w:pPr>
      <w:keepNext/>
      <w:keepLines/>
      <w:tabs>
        <w:tab w:val="clear" w:pos="480"/>
      </w:tabs>
      <w:snapToGrid w:val="0"/>
      <w:spacing w:before="240" w:line="240" w:lineRule="auto"/>
      <w:outlineLvl w:val="2"/>
    </w:pPr>
    <w:rPr>
      <w:sz w:val="28"/>
      <w:szCs w:val="28"/>
    </w:rPr>
  </w:style>
  <w:style w:type="character" w:customStyle="1" w:styleId="1352">
    <w:name w:val="正文(首行缩进) Char"/>
    <w:link w:val="636"/>
    <w:qFormat/>
    <w:uiPriority w:val="0"/>
    <w:rPr>
      <w:rFonts w:ascii="宋体" w:hAnsi="宋体" w:eastAsia="宋体"/>
      <w:snapToGrid w:val="0"/>
      <w:sz w:val="24"/>
      <w:szCs w:val="24"/>
      <w:lang w:val="en-US" w:eastAsia="zh-CN" w:bidi="ar-SA"/>
    </w:rPr>
  </w:style>
  <w:style w:type="paragraph" w:customStyle="1" w:styleId="1353">
    <w:name w:val="框图1"/>
    <w:basedOn w:val="1"/>
    <w:qFormat/>
    <w:uiPriority w:val="0"/>
    <w:pPr>
      <w:tabs>
        <w:tab w:val="clear" w:pos="480"/>
      </w:tabs>
      <w:adjustRightInd w:val="0"/>
      <w:spacing w:line="20" w:lineRule="atLeast"/>
      <w:jc w:val="center"/>
      <w:textAlignment w:val="baseline"/>
    </w:pPr>
    <w:rPr>
      <w:rFonts w:ascii="宋体"/>
      <w:kern w:val="18"/>
      <w:sz w:val="18"/>
      <w:szCs w:val="20"/>
    </w:rPr>
  </w:style>
  <w:style w:type="paragraph" w:customStyle="1" w:styleId="1354">
    <w:name w:val="插图"/>
    <w:basedOn w:val="1"/>
    <w:next w:val="1"/>
    <w:qFormat/>
    <w:uiPriority w:val="0"/>
    <w:pPr>
      <w:keepLines/>
      <w:tabs>
        <w:tab w:val="clear" w:pos="480"/>
      </w:tabs>
      <w:adjustRightInd w:val="0"/>
      <w:spacing w:before="360" w:after="300" w:line="567" w:lineRule="atLeast"/>
      <w:jc w:val="center"/>
      <w:textAlignment w:val="baseline"/>
    </w:pPr>
    <w:rPr>
      <w:kern w:val="0"/>
      <w:szCs w:val="20"/>
    </w:rPr>
  </w:style>
  <w:style w:type="character" w:customStyle="1" w:styleId="1355">
    <w:name w:val="style141"/>
    <w:semiHidden/>
    <w:qFormat/>
    <w:uiPriority w:val="0"/>
    <w:rPr>
      <w:color w:val="FF0000"/>
    </w:rPr>
  </w:style>
  <w:style w:type="paragraph" w:customStyle="1" w:styleId="1356">
    <w:name w:val="样式 标题 3标题 3 Char Char Char标题 3 Char Char Char Char Char Char标..."/>
    <w:basedOn w:val="5"/>
    <w:link w:val="2792"/>
    <w:qFormat/>
    <w:uiPriority w:val="0"/>
    <w:pPr>
      <w:tabs>
        <w:tab w:val="clear" w:pos="480"/>
        <w:tab w:val="clear" w:pos="840"/>
      </w:tabs>
      <w:spacing w:before="0" w:after="0" w:line="360" w:lineRule="auto"/>
    </w:pPr>
    <w:rPr>
      <w:rFonts w:ascii="Plotter" w:hAnsi="Plotter" w:eastAsia="宋体"/>
      <w:sz w:val="24"/>
      <w:szCs w:val="20"/>
    </w:rPr>
  </w:style>
  <w:style w:type="paragraph" w:customStyle="1" w:styleId="1357">
    <w:name w:val="p9"/>
    <w:basedOn w:val="1"/>
    <w:semiHidden/>
    <w:qFormat/>
    <w:uiPriority w:val="0"/>
    <w:pPr>
      <w:widowControl/>
      <w:tabs>
        <w:tab w:val="clear" w:pos="480"/>
      </w:tabs>
      <w:spacing w:before="100" w:beforeAutospacing="1" w:after="100" w:afterAutospacing="1" w:line="300" w:lineRule="atLeast"/>
      <w:jc w:val="left"/>
    </w:pPr>
    <w:rPr>
      <w:rFonts w:ascii="宋体" w:hAnsi="宋体" w:cs="宋体"/>
      <w:kern w:val="0"/>
      <w:sz w:val="18"/>
      <w:szCs w:val="18"/>
    </w:rPr>
  </w:style>
  <w:style w:type="paragraph" w:customStyle="1" w:styleId="1358">
    <w:name w:val="注："/>
    <w:next w:val="1"/>
    <w:qFormat/>
    <w:uiPriority w:val="0"/>
    <w:pPr>
      <w:widowControl w:val="0"/>
      <w:autoSpaceDE w:val="0"/>
      <w:autoSpaceDN w:val="0"/>
      <w:spacing w:line="360" w:lineRule="auto"/>
      <w:ind w:left="840" w:hanging="420" w:firstLineChars="200"/>
      <w:jc w:val="both"/>
    </w:pPr>
    <w:rPr>
      <w:rFonts w:ascii="宋体" w:hAnsi="Times New Roman" w:eastAsia="宋体" w:cs="Times New Roman"/>
      <w:kern w:val="2"/>
      <w:sz w:val="18"/>
      <w:szCs w:val="24"/>
      <w:lang w:val="en-US" w:eastAsia="zh-CN" w:bidi="ar-SA"/>
    </w:rPr>
  </w:style>
  <w:style w:type="character" w:customStyle="1" w:styleId="1359">
    <w:name w:val="google-src-text"/>
    <w:basedOn w:val="133"/>
    <w:semiHidden/>
    <w:qFormat/>
    <w:uiPriority w:val="0"/>
  </w:style>
  <w:style w:type="paragraph" w:customStyle="1" w:styleId="1360">
    <w:name w:val="圖一"/>
    <w:basedOn w:val="23"/>
    <w:qFormat/>
    <w:uiPriority w:val="0"/>
    <w:pPr>
      <w:widowControl w:val="0"/>
      <w:adjustRightInd/>
      <w:snapToGrid/>
      <w:spacing w:before="240" w:after="0" w:line="500" w:lineRule="exact"/>
      <w:ind w:firstLine="510" w:firstLineChars="0"/>
    </w:pPr>
    <w:rPr>
      <w:rFonts w:ascii="Times New Roman" w:hAnsi="Times New Roman" w:eastAsia="DFKai-SB" w:cs="Times New Roman"/>
      <w:b/>
      <w:bCs/>
      <w:color w:val="auto"/>
      <w:kern w:val="0"/>
      <w:sz w:val="30"/>
      <w:lang w:eastAsia="zh-TW"/>
    </w:rPr>
  </w:style>
  <w:style w:type="paragraph" w:customStyle="1" w:styleId="1361">
    <w:name w:val="樣式3"/>
    <w:basedOn w:val="1"/>
    <w:qFormat/>
    <w:uiPriority w:val="0"/>
    <w:pPr>
      <w:tabs>
        <w:tab w:val="clear" w:pos="480"/>
      </w:tabs>
      <w:spacing w:before="120" w:after="120" w:line="500" w:lineRule="exact"/>
      <w:ind w:left="227" w:firstLine="567"/>
    </w:pPr>
    <w:rPr>
      <w:rFonts w:eastAsia="DFKai-SB"/>
      <w:sz w:val="28"/>
      <w:szCs w:val="20"/>
      <w:lang w:eastAsia="zh-TW"/>
    </w:rPr>
  </w:style>
  <w:style w:type="paragraph" w:customStyle="1" w:styleId="1362">
    <w:name w:val="页脚1"/>
    <w:basedOn w:val="1"/>
    <w:qFormat/>
    <w:uiPriority w:val="0"/>
    <w:pPr>
      <w:tabs>
        <w:tab w:val="clear" w:pos="480"/>
      </w:tabs>
      <w:adjustRightInd w:val="0"/>
      <w:spacing w:line="312" w:lineRule="auto"/>
      <w:ind w:firstLine="510"/>
      <w:jc w:val="center"/>
      <w:textAlignment w:val="baseline"/>
    </w:pPr>
    <w:rPr>
      <w:b/>
      <w:i/>
      <w:kern w:val="0"/>
      <w:szCs w:val="20"/>
      <w:u w:val="single"/>
    </w:rPr>
  </w:style>
  <w:style w:type="paragraph" w:customStyle="1" w:styleId="1363">
    <w:name w:val="横页眉"/>
    <w:basedOn w:val="1"/>
    <w:next w:val="57"/>
    <w:qFormat/>
    <w:uiPriority w:val="0"/>
    <w:pPr>
      <w:pBdr>
        <w:bottom w:val="double" w:color="auto" w:sz="6" w:space="1"/>
      </w:pBdr>
      <w:tabs>
        <w:tab w:val="center" w:pos="6623"/>
        <w:tab w:val="right" w:pos="13245"/>
        <w:tab w:val="clear" w:pos="480"/>
      </w:tabs>
      <w:adjustRightInd w:val="0"/>
      <w:spacing w:line="312" w:lineRule="auto"/>
      <w:ind w:firstLine="510"/>
      <w:textAlignment w:val="baseline"/>
    </w:pPr>
    <w:rPr>
      <w:kern w:val="0"/>
      <w:szCs w:val="20"/>
    </w:rPr>
  </w:style>
  <w:style w:type="paragraph" w:customStyle="1" w:styleId="1364">
    <w:name w:val="表标题2"/>
    <w:basedOn w:val="1"/>
    <w:semiHidden/>
    <w:qFormat/>
    <w:uiPriority w:val="0"/>
    <w:pPr>
      <w:keepNext/>
      <w:widowControl/>
      <w:tabs>
        <w:tab w:val="clear" w:pos="480"/>
      </w:tabs>
      <w:autoSpaceDE w:val="0"/>
      <w:autoSpaceDN w:val="0"/>
      <w:adjustRightInd w:val="0"/>
      <w:spacing w:before="180" w:after="120" w:line="408" w:lineRule="atLeast"/>
      <w:ind w:firstLine="510"/>
      <w:jc w:val="center"/>
      <w:textAlignment w:val="baseline"/>
    </w:pPr>
    <w:rPr>
      <w:b/>
      <w:spacing w:val="2"/>
      <w:kern w:val="0"/>
      <w:sz w:val="28"/>
      <w:szCs w:val="20"/>
    </w:rPr>
  </w:style>
  <w:style w:type="paragraph" w:customStyle="1" w:styleId="1365">
    <w:name w:val="篇名"/>
    <w:basedOn w:val="1"/>
    <w:next w:val="1"/>
    <w:qFormat/>
    <w:uiPriority w:val="0"/>
    <w:pPr>
      <w:tabs>
        <w:tab w:val="clear" w:pos="480"/>
      </w:tabs>
      <w:adjustRightInd w:val="0"/>
      <w:snapToGrid w:val="0"/>
      <w:spacing w:before="120" w:after="240" w:line="400" w:lineRule="exact"/>
      <w:ind w:firstLine="567"/>
      <w:jc w:val="center"/>
      <w:textAlignment w:val="baseline"/>
    </w:pPr>
    <w:rPr>
      <w:rFonts w:ascii="黑体" w:hAnsi="Courier New" w:eastAsia="黑体"/>
      <w:kern w:val="0"/>
      <w:sz w:val="32"/>
      <w:szCs w:val="20"/>
    </w:rPr>
  </w:style>
  <w:style w:type="paragraph" w:customStyle="1" w:styleId="1366">
    <w:name w:val="方程"/>
    <w:basedOn w:val="1"/>
    <w:qFormat/>
    <w:uiPriority w:val="0"/>
    <w:pPr>
      <w:widowControl/>
      <w:tabs>
        <w:tab w:val="clear" w:pos="480"/>
      </w:tabs>
      <w:overflowPunct w:val="0"/>
      <w:adjustRightInd w:val="0"/>
      <w:spacing w:before="60" w:after="60" w:line="400" w:lineRule="atLeast"/>
      <w:ind w:right="238"/>
      <w:jc w:val="center"/>
      <w:textAlignment w:val="bottom"/>
    </w:pPr>
    <w:rPr>
      <w:kern w:val="0"/>
      <w:sz w:val="28"/>
      <w:szCs w:val="20"/>
    </w:rPr>
  </w:style>
  <w:style w:type="paragraph" w:customStyle="1" w:styleId="1367">
    <w:name w:val="表标题1"/>
    <w:basedOn w:val="1"/>
    <w:link w:val="3966"/>
    <w:qFormat/>
    <w:uiPriority w:val="0"/>
    <w:pPr>
      <w:keepNext/>
      <w:widowControl/>
      <w:tabs>
        <w:tab w:val="clear" w:pos="480"/>
      </w:tabs>
      <w:autoSpaceDE w:val="0"/>
      <w:autoSpaceDN w:val="0"/>
      <w:adjustRightInd w:val="0"/>
      <w:spacing w:before="180" w:after="120" w:line="408" w:lineRule="atLeast"/>
      <w:ind w:firstLine="510"/>
      <w:jc w:val="center"/>
      <w:textAlignment w:val="baseline"/>
    </w:pPr>
    <w:rPr>
      <w:b/>
      <w:spacing w:val="2"/>
      <w:kern w:val="0"/>
      <w:sz w:val="28"/>
      <w:szCs w:val="20"/>
    </w:rPr>
  </w:style>
  <w:style w:type="character" w:customStyle="1" w:styleId="1368">
    <w:name w:val="font9pt"/>
    <w:basedOn w:val="133"/>
    <w:semiHidden/>
    <w:qFormat/>
    <w:uiPriority w:val="0"/>
  </w:style>
  <w:style w:type="paragraph" w:customStyle="1" w:styleId="1369">
    <w:name w:val="表居中（中文）"/>
    <w:basedOn w:val="1"/>
    <w:qFormat/>
    <w:uiPriority w:val="0"/>
    <w:pPr>
      <w:tabs>
        <w:tab w:val="clear" w:pos="480"/>
      </w:tabs>
      <w:adjustRightInd w:val="0"/>
      <w:spacing w:line="380" w:lineRule="atLeast"/>
      <w:jc w:val="center"/>
      <w:textAlignment w:val="baseline"/>
    </w:pPr>
    <w:rPr>
      <w:rFonts w:eastAsia="楷体_GB2312"/>
      <w:kern w:val="0"/>
      <w:sz w:val="21"/>
      <w:szCs w:val="20"/>
    </w:rPr>
  </w:style>
  <w:style w:type="character" w:customStyle="1" w:styleId="1370">
    <w:name w:val="标题 3 Char Char Char Char Char Char Char Char Char Char Char Char Char Char Char Char"/>
    <w:semiHidden/>
    <w:qFormat/>
    <w:uiPriority w:val="0"/>
    <w:rPr>
      <w:rFonts w:ascii="宋体" w:hAnsi="宋体" w:eastAsia="宋体"/>
      <w:b/>
      <w:bCs/>
      <w:sz w:val="32"/>
      <w:szCs w:val="32"/>
      <w:lang w:val="en-US" w:eastAsia="zh-CN" w:bidi="ar-SA"/>
    </w:rPr>
  </w:style>
  <w:style w:type="paragraph" w:customStyle="1" w:styleId="1371">
    <w:name w:val="样式 图表标题 + 加粗 段前: 0.5 行 段后: 0.5 行"/>
    <w:basedOn w:val="1"/>
    <w:qFormat/>
    <w:uiPriority w:val="0"/>
    <w:pPr>
      <w:tabs>
        <w:tab w:val="clear" w:pos="480"/>
      </w:tabs>
      <w:spacing w:beforeLines="50" w:afterLines="50" w:line="440" w:lineRule="exact"/>
      <w:jc w:val="center"/>
    </w:pPr>
    <w:rPr>
      <w:rFonts w:cs="宋体"/>
      <w:b/>
      <w:bCs/>
      <w:szCs w:val="20"/>
    </w:rPr>
  </w:style>
  <w:style w:type="paragraph" w:customStyle="1" w:styleId="1372">
    <w:name w:val="油库表"/>
    <w:basedOn w:val="161"/>
    <w:qFormat/>
    <w:uiPriority w:val="0"/>
    <w:pPr>
      <w:spacing w:beforeLines="25" w:afterLines="25" w:line="240" w:lineRule="auto"/>
      <w:jc w:val="center"/>
      <w:textAlignment w:val="baseline"/>
    </w:pPr>
    <w:rPr>
      <w:rFonts w:eastAsia="宋体"/>
      <w:spacing w:val="10"/>
      <w:kern w:val="0"/>
      <w:sz w:val="21"/>
    </w:rPr>
  </w:style>
  <w:style w:type="character" w:customStyle="1" w:styleId="1373">
    <w:name w:val="wenzi"/>
    <w:basedOn w:val="133"/>
    <w:semiHidden/>
    <w:qFormat/>
    <w:uiPriority w:val="0"/>
  </w:style>
  <w:style w:type="paragraph" w:customStyle="1" w:styleId="1374">
    <w:name w:val="自动更正"/>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5">
    <w:name w:val="上次保存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6">
    <w:name w:val="上次打印时间"/>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7">
    <w:name w:val="临书仓促，不尽欲言。"/>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8">
    <w:name w:val="主题:"/>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9">
    <w:name w:val="久不通函，至以为念。"/>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0">
    <w:name w:val="亲启"/>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1">
    <w:name w:val="作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2">
    <w:name w:val="作者、页码、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3">
    <w:name w:val="先生/女士："/>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4">
    <w:name w:val="关于:"/>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5">
    <w:name w:val="分手多日，近况如何？"/>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6">
    <w:name w:val="刘晓腾"/>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7">
    <w:name w:val="创建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8">
    <w:name w:val="前上一函，谅达雅鉴，迄今未闻复音。"/>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9">
    <w:name w:val="匆此先复，余容后禀。"/>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0">
    <w:name w:val="参考:"/>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1">
    <w:name w:val="叩请金安！"/>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2">
    <w:name w:val="奉恳之事，乞速复为荷。"/>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3">
    <w:name w:val="奉读大示，心折殊深。"/>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4">
    <w:name w:val="尊意如何，请即示知。"/>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5">
    <w:name w:val="惠书敬悉，迟复为歉。"/>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6">
    <w:name w:val="敬启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7">
    <w:name w:val="文件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8">
    <w:name w:val="文件名和路径"/>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9">
    <w:name w:val="机密、页码、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0">
    <w:name w:val="知尊恙复发，心甚念之。"/>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1">
    <w:name w:val="第 X 页 共 Y 页"/>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2">
    <w:name w:val="答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3">
    <w:name w:val="纸短情长，再祈珍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4">
    <w:name w:val="请勿折叠！"/>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5">
    <w:name w:val="近来寒暑不常，希自珍慰。"/>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6">
    <w:name w:val="音问久疏，唯愿一切康适。"/>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7">
    <w:name w:val="顺颂商祺！"/>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8">
    <w:name w:val="input"/>
    <w:basedOn w:val="1"/>
    <w:semiHidden/>
    <w:qFormat/>
    <w:uiPriority w:val="0"/>
    <w:pPr>
      <w:widowControl/>
      <w:pBdr>
        <w:top w:val="single" w:color="EFEFEF" w:sz="6" w:space="0"/>
        <w:left w:val="single" w:color="EFEFEF" w:sz="6" w:space="0"/>
      </w:pBdr>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color w:val="999999"/>
      <w:kern w:val="0"/>
      <w:sz w:val="18"/>
      <w:szCs w:val="18"/>
    </w:rPr>
  </w:style>
  <w:style w:type="paragraph" w:customStyle="1" w:styleId="1409">
    <w:name w:val="inputaa"/>
    <w:basedOn w:val="1"/>
    <w:semiHidden/>
    <w:qFormat/>
    <w:uiPriority w:val="0"/>
    <w:pPr>
      <w:widowControl/>
      <w:pBdr>
        <w:top w:val="threeDEmboss" w:color="FFFFFF" w:sz="6" w:space="0"/>
        <w:left w:val="threeDEmboss" w:color="FFFFFF" w:sz="6" w:space="0"/>
        <w:bottom w:val="threeDEmboss" w:color="auto" w:sz="6" w:space="0"/>
        <w:right w:val="threeDEmboss" w:color="auto" w:sz="6" w:space="0"/>
      </w:pBdr>
      <w:shd w:val="clear" w:color="auto" w:fill="CCCCCC"/>
      <w:tabs>
        <w:tab w:val="clear" w:pos="480"/>
      </w:tabs>
      <w:spacing w:before="100" w:beforeAutospacing="1" w:after="100" w:afterAutospacing="1" w:line="240" w:lineRule="auto"/>
      <w:jc w:val="left"/>
    </w:pPr>
    <w:rPr>
      <w:rFonts w:eastAsia="Arial Unicode MS" w:cs="Arial Unicode MS"/>
      <w:kern w:val="0"/>
      <w:sz w:val="18"/>
      <w:szCs w:val="18"/>
    </w:rPr>
  </w:style>
  <w:style w:type="paragraph" w:customStyle="1" w:styleId="1410">
    <w:name w:val="out"/>
    <w:basedOn w:val="1"/>
    <w:semiHidden/>
    <w:qFormat/>
    <w:uiPriority w:val="0"/>
    <w:pPr>
      <w:widowControl/>
      <w:pBdr>
        <w:top w:val="single" w:color="EFEFEF" w:sz="6" w:space="0"/>
        <w:left w:val="single" w:color="EFEFEF" w:sz="6" w:space="0"/>
      </w:pBdr>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18"/>
      <w:szCs w:val="18"/>
    </w:rPr>
  </w:style>
  <w:style w:type="paragraph" w:customStyle="1" w:styleId="1411">
    <w:name w:val="over"/>
    <w:basedOn w:val="1"/>
    <w:semiHidden/>
    <w:qFormat/>
    <w:uiPriority w:val="0"/>
    <w:pPr>
      <w:widowControl/>
      <w:pBdr>
        <w:top w:val="single" w:color="EFEFEF" w:sz="6" w:space="0"/>
        <w:left w:val="single" w:color="EFEFEF" w:sz="6" w:space="0"/>
      </w:pBdr>
      <w:shd w:val="clear" w:color="auto" w:fill="EFEFEF"/>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18"/>
      <w:szCs w:val="18"/>
    </w:rPr>
  </w:style>
  <w:style w:type="paragraph" w:customStyle="1" w:styleId="1412">
    <w:name w:val="td"/>
    <w:basedOn w:val="1"/>
    <w:semiHidden/>
    <w:qFormat/>
    <w:uiPriority w:val="0"/>
    <w:pPr>
      <w:widowControl/>
      <w:tabs>
        <w:tab w:val="clear" w:pos="480"/>
      </w:tabs>
      <w:spacing w:before="100" w:beforeAutospacing="1" w:after="100" w:afterAutospacing="1"/>
      <w:jc w:val="left"/>
    </w:pPr>
    <w:rPr>
      <w:rFonts w:eastAsia="Arial Unicode MS" w:cs="Arial Unicode MS"/>
      <w:kern w:val="0"/>
      <w:sz w:val="18"/>
      <w:szCs w:val="18"/>
    </w:rPr>
  </w:style>
  <w:style w:type="paragraph" w:customStyle="1" w:styleId="1413">
    <w:name w:val="tdh"/>
    <w:basedOn w:val="1"/>
    <w:semiHidden/>
    <w:qFormat/>
    <w:uiPriority w:val="0"/>
    <w:pPr>
      <w:widowControl/>
      <w:tabs>
        <w:tab w:val="clear" w:pos="480"/>
      </w:tabs>
      <w:spacing w:before="100" w:beforeAutospacing="1" w:after="100" w:afterAutospacing="1"/>
      <w:jc w:val="left"/>
    </w:pPr>
    <w:rPr>
      <w:rFonts w:eastAsia="Arial Unicode MS" w:cs="Arial Unicode MS"/>
      <w:spacing w:val="30"/>
      <w:kern w:val="0"/>
      <w:sz w:val="18"/>
      <w:szCs w:val="18"/>
    </w:rPr>
  </w:style>
  <w:style w:type="paragraph" w:customStyle="1" w:styleId="1414">
    <w:name w:val="tnone"/>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5">
    <w:name w:val="tover"/>
    <w:basedOn w:val="1"/>
    <w:semiHidden/>
    <w:qFormat/>
    <w:uiPriority w:val="0"/>
    <w:pPr>
      <w:widowControl/>
      <w:shd w:val="clear" w:color="auto" w:fill="EFEFEF"/>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6">
    <w:name w:val="tout"/>
    <w:basedOn w:val="1"/>
    <w:semiHidden/>
    <w:qFormat/>
    <w:uiPriority w:val="0"/>
    <w:pPr>
      <w:widowControl/>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7">
    <w:name w:val="pad"/>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8">
    <w:name w:val="textfield"/>
    <w:basedOn w:val="1"/>
    <w:semiHidden/>
    <w:qFormat/>
    <w:uiPriority w:val="0"/>
    <w:pPr>
      <w:widowControl/>
      <w:pBdr>
        <w:top w:val="single" w:color="000000" w:sz="6" w:space="0"/>
        <w:left w:val="single" w:color="000000" w:sz="6" w:space="0"/>
        <w:bottom w:val="single" w:color="000000" w:sz="6" w:space="0"/>
        <w:right w:val="single" w:color="000000" w:sz="6" w:space="0"/>
      </w:pBdr>
      <w:shd w:val="clear" w:color="auto" w:fill="FFFFFF"/>
      <w:tabs>
        <w:tab w:val="clear" w:pos="480"/>
      </w:tabs>
      <w:spacing w:before="100" w:beforeAutospacing="1" w:after="100" w:afterAutospacing="1" w:line="240" w:lineRule="auto"/>
      <w:jc w:val="left"/>
    </w:pPr>
    <w:rPr>
      <w:rFonts w:eastAsia="Arial Unicode MS" w:cs="Arial Unicode MS"/>
      <w:color w:val="00152B"/>
      <w:kern w:val="0"/>
      <w:sz w:val="18"/>
      <w:szCs w:val="18"/>
    </w:rPr>
  </w:style>
  <w:style w:type="paragraph" w:customStyle="1" w:styleId="1419">
    <w:name w:val="hangju1"/>
    <w:basedOn w:val="1"/>
    <w:semiHidden/>
    <w:qFormat/>
    <w:uiPriority w:val="0"/>
    <w:pPr>
      <w:widowControl/>
      <w:tabs>
        <w:tab w:val="clear" w:pos="480"/>
      </w:tabs>
      <w:spacing w:before="100" w:beforeAutospacing="1" w:after="100" w:afterAutospacing="1" w:line="255" w:lineRule="atLeast"/>
      <w:jc w:val="left"/>
    </w:pPr>
    <w:rPr>
      <w:rFonts w:ascii="Arial Unicode MS" w:hAnsi="Arial Unicode MS" w:eastAsia="Arial Unicode MS" w:cs="Arial Unicode MS"/>
      <w:kern w:val="0"/>
    </w:rPr>
  </w:style>
  <w:style w:type="paragraph" w:customStyle="1" w:styleId="1420">
    <w:name w:val="表标题 Char Char"/>
    <w:basedOn w:val="1"/>
    <w:semiHidden/>
    <w:qFormat/>
    <w:uiPriority w:val="0"/>
    <w:pPr>
      <w:tabs>
        <w:tab w:val="clear" w:pos="480"/>
      </w:tabs>
      <w:adjustRightInd w:val="0"/>
      <w:snapToGrid w:val="0"/>
      <w:spacing w:before="40" w:afterLines="50" w:line="400" w:lineRule="atLeast"/>
      <w:jc w:val="center"/>
    </w:pPr>
    <w:rPr>
      <w:b/>
      <w:bCs/>
    </w:rPr>
  </w:style>
  <w:style w:type="character" w:customStyle="1" w:styleId="1421">
    <w:name w:val="表标题 Char Char Char"/>
    <w:semiHidden/>
    <w:qFormat/>
    <w:uiPriority w:val="0"/>
    <w:rPr>
      <w:rFonts w:eastAsia="宋体"/>
      <w:b/>
      <w:bCs/>
      <w:kern w:val="2"/>
      <w:sz w:val="24"/>
      <w:szCs w:val="24"/>
      <w:lang w:val="en-US" w:eastAsia="zh-CN" w:bidi="ar-SA"/>
    </w:rPr>
  </w:style>
  <w:style w:type="paragraph" w:customStyle="1" w:styleId="1422">
    <w:name w:val="表第一列"/>
    <w:basedOn w:val="85"/>
    <w:semiHidden/>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kern w:val="0"/>
      <w:szCs w:val="20"/>
    </w:rPr>
  </w:style>
  <w:style w:type="character" w:customStyle="1" w:styleId="1423">
    <w:name w:val="c121"/>
    <w:semiHidden/>
    <w:qFormat/>
    <w:uiPriority w:val="0"/>
    <w:rPr>
      <w:color w:val="666666"/>
      <w:spacing w:val="405"/>
      <w:sz w:val="18"/>
      <w:szCs w:val="18"/>
      <w:u w:val="none"/>
    </w:rPr>
  </w:style>
  <w:style w:type="paragraph" w:customStyle="1" w:styleId="1424">
    <w:name w:val="文本"/>
    <w:basedOn w:val="1"/>
    <w:link w:val="1559"/>
    <w:qFormat/>
    <w:uiPriority w:val="0"/>
    <w:pPr>
      <w:tabs>
        <w:tab w:val="clear" w:pos="480"/>
      </w:tabs>
      <w:adjustRightInd w:val="0"/>
      <w:spacing w:line="240" w:lineRule="auto"/>
      <w:jc w:val="left"/>
      <w:textAlignment w:val="baseline"/>
    </w:pPr>
    <w:rPr>
      <w:rFonts w:ascii="宋体"/>
      <w:kern w:val="0"/>
      <w:sz w:val="28"/>
      <w:szCs w:val="20"/>
      <w:lang w:val="zh-CN"/>
    </w:rPr>
  </w:style>
  <w:style w:type="paragraph" w:customStyle="1" w:styleId="1425">
    <w:name w:val="编号正文"/>
    <w:basedOn w:val="21"/>
    <w:semiHidden/>
    <w:qFormat/>
    <w:uiPriority w:val="0"/>
    <w:pPr>
      <w:tabs>
        <w:tab w:val="clear" w:pos="480"/>
      </w:tabs>
      <w:ind w:firstLine="480"/>
    </w:pPr>
    <w:rPr>
      <w:kern w:val="0"/>
    </w:rPr>
  </w:style>
  <w:style w:type="paragraph" w:customStyle="1" w:styleId="1426">
    <w:name w:val="表格文字（居中）"/>
    <w:basedOn w:val="1"/>
    <w:semiHidden/>
    <w:qFormat/>
    <w:uiPriority w:val="0"/>
    <w:pPr>
      <w:tabs>
        <w:tab w:val="clear" w:pos="480"/>
      </w:tabs>
      <w:spacing w:line="240" w:lineRule="auto"/>
      <w:jc w:val="center"/>
    </w:pPr>
    <w:rPr>
      <w:sz w:val="21"/>
      <w:szCs w:val="21"/>
    </w:rPr>
  </w:style>
  <w:style w:type="paragraph" w:customStyle="1" w:styleId="1427">
    <w:name w:val="湛江沥青正文"/>
    <w:basedOn w:val="1"/>
    <w:qFormat/>
    <w:uiPriority w:val="0"/>
    <w:pPr>
      <w:tabs>
        <w:tab w:val="clear" w:pos="480"/>
      </w:tabs>
      <w:ind w:firstLine="480"/>
    </w:pPr>
    <w:rPr>
      <w:rFonts w:ascii="宋体" w:hAnsi="宋体"/>
    </w:rPr>
  </w:style>
  <w:style w:type="paragraph" w:customStyle="1" w:styleId="1428">
    <w:name w:val="小注"/>
    <w:basedOn w:val="1"/>
    <w:next w:val="1"/>
    <w:qFormat/>
    <w:uiPriority w:val="0"/>
    <w:pPr>
      <w:tabs>
        <w:tab w:val="clear" w:pos="480"/>
      </w:tabs>
      <w:adjustRightInd w:val="0"/>
      <w:snapToGrid w:val="0"/>
      <w:spacing w:after="360" w:line="360" w:lineRule="atLeast"/>
    </w:pPr>
    <w:rPr>
      <w:rFonts w:ascii="宋体"/>
      <w:spacing w:val="14"/>
      <w:sz w:val="21"/>
      <w:szCs w:val="20"/>
    </w:rPr>
  </w:style>
  <w:style w:type="paragraph" w:customStyle="1" w:styleId="1429">
    <w:name w:val="题1"/>
    <w:basedOn w:val="1"/>
    <w:qFormat/>
    <w:uiPriority w:val="0"/>
    <w:pPr>
      <w:tabs>
        <w:tab w:val="left" w:pos="964"/>
        <w:tab w:val="clear" w:pos="480"/>
      </w:tabs>
      <w:spacing w:before="120" w:after="120" w:line="240" w:lineRule="auto"/>
    </w:pPr>
    <w:rPr>
      <w:b/>
      <w:sz w:val="32"/>
      <w:szCs w:val="20"/>
    </w:rPr>
  </w:style>
  <w:style w:type="paragraph" w:customStyle="1" w:styleId="1430">
    <w:name w:val="样式 题注 + 居中"/>
    <w:basedOn w:val="23"/>
    <w:qFormat/>
    <w:uiPriority w:val="0"/>
    <w:pPr>
      <w:widowControl w:val="0"/>
      <w:tabs>
        <w:tab w:val="left" w:pos="0"/>
      </w:tabs>
      <w:adjustRightInd/>
      <w:snapToGrid/>
      <w:spacing w:before="0" w:after="0" w:line="324" w:lineRule="auto"/>
      <w:ind w:firstLine="0" w:firstLineChars="0"/>
      <w:jc w:val="both"/>
    </w:pPr>
    <w:rPr>
      <w:rFonts w:cs="Times New Roman"/>
      <w:b/>
      <w:bCs/>
      <w:kern w:val="0"/>
      <w:sz w:val="21"/>
      <w:szCs w:val="24"/>
    </w:rPr>
  </w:style>
  <w:style w:type="paragraph" w:customStyle="1" w:styleId="1431">
    <w:name w:val="样式 题注2 + 首行缩进:  2 字符"/>
    <w:basedOn w:val="813"/>
    <w:qFormat/>
    <w:uiPriority w:val="0"/>
    <w:pPr>
      <w:numPr>
        <w:ilvl w:val="0"/>
        <w:numId w:val="18"/>
      </w:numPr>
      <w:tabs>
        <w:tab w:val="clear" w:pos="720"/>
      </w:tabs>
      <w:ind w:left="0" w:firstLine="420"/>
      <w:jc w:val="center"/>
    </w:pPr>
    <w:rPr>
      <w:b/>
      <w:bCs/>
      <w:color w:val="000000"/>
      <w:szCs w:val="24"/>
    </w:rPr>
  </w:style>
  <w:style w:type="character" w:customStyle="1" w:styleId="1432">
    <w:name w:val="码头正文 Char"/>
    <w:qFormat/>
    <w:uiPriority w:val="0"/>
    <w:rPr>
      <w:rFonts w:hAnsi="宋体" w:eastAsia="宋体"/>
      <w:bCs/>
      <w:sz w:val="24"/>
      <w:szCs w:val="24"/>
      <w:u w:color="000000"/>
      <w:lang w:val="en-US" w:eastAsia="zh-CN" w:bidi="ar-SA"/>
    </w:rPr>
  </w:style>
  <w:style w:type="paragraph" w:customStyle="1" w:styleId="1433">
    <w:name w:val="样式 报告书正文 + 首行缩进:  2 字符"/>
    <w:basedOn w:val="1"/>
    <w:qFormat/>
    <w:uiPriority w:val="0"/>
    <w:pPr>
      <w:tabs>
        <w:tab w:val="clear" w:pos="480"/>
      </w:tabs>
      <w:ind w:firstLine="504"/>
    </w:pPr>
    <w:rPr>
      <w:rFonts w:ascii="宋体" w:hAnsi="宋体"/>
      <w:color w:val="000000"/>
      <w:spacing w:val="6"/>
      <w:szCs w:val="20"/>
    </w:rPr>
  </w:style>
  <w:style w:type="character" w:customStyle="1" w:styleId="1434">
    <w:name w:val="theinfocontent"/>
    <w:basedOn w:val="133"/>
    <w:semiHidden/>
    <w:qFormat/>
    <w:uiPriority w:val="0"/>
  </w:style>
  <w:style w:type="paragraph" w:customStyle="1" w:styleId="1435">
    <w:name w:val="湛宝正文"/>
    <w:basedOn w:val="1"/>
    <w:qFormat/>
    <w:uiPriority w:val="0"/>
    <w:pPr>
      <w:tabs>
        <w:tab w:val="clear" w:pos="480"/>
      </w:tabs>
      <w:jc w:val="left"/>
    </w:pPr>
    <w:rPr>
      <w:color w:val="000000"/>
    </w:rPr>
  </w:style>
  <w:style w:type="paragraph" w:customStyle="1" w:styleId="1436">
    <w:name w:val="目次、标准名称标题"/>
    <w:basedOn w:val="232"/>
    <w:next w:val="752"/>
    <w:qFormat/>
    <w:uiPriority w:val="0"/>
    <w:pPr>
      <w:tabs>
        <w:tab w:val="clear" w:pos="903"/>
      </w:tabs>
      <w:spacing w:line="460" w:lineRule="exact"/>
      <w:ind w:left="0" w:firstLine="0"/>
    </w:pPr>
    <w:rPr>
      <w:szCs w:val="20"/>
    </w:rPr>
  </w:style>
  <w:style w:type="paragraph" w:customStyle="1" w:styleId="1437">
    <w:name w:val="附录标识"/>
    <w:basedOn w:val="232"/>
    <w:qFormat/>
    <w:uiPriority w:val="0"/>
    <w:pPr>
      <w:tabs>
        <w:tab w:val="left" w:pos="6405"/>
        <w:tab w:val="clear" w:pos="903"/>
      </w:tabs>
      <w:spacing w:after="200" w:line="360" w:lineRule="auto"/>
      <w:ind w:left="0" w:firstLine="0"/>
    </w:pPr>
    <w:rPr>
      <w:sz w:val="21"/>
      <w:szCs w:val="20"/>
    </w:rPr>
  </w:style>
  <w:style w:type="paragraph" w:customStyle="1" w:styleId="1438">
    <w:name w:val="附录章标题"/>
    <w:next w:val="752"/>
    <w:qFormat/>
    <w:uiPriority w:val="0"/>
    <w:pPr>
      <w:wordWrap w:val="0"/>
      <w:overflowPunct w:val="0"/>
      <w:autoSpaceDE w:val="0"/>
      <w:spacing w:beforeLines="50" w:afterLines="50" w:line="360" w:lineRule="auto"/>
      <w:ind w:firstLine="200" w:firstLineChars="200"/>
      <w:jc w:val="both"/>
      <w:textAlignment w:val="baseline"/>
      <w:outlineLvl w:val="1"/>
    </w:pPr>
    <w:rPr>
      <w:rFonts w:ascii="黑体" w:hAnsi="Times New Roman" w:eastAsia="黑体" w:cs="Times New Roman"/>
      <w:kern w:val="21"/>
      <w:sz w:val="21"/>
      <w:szCs w:val="24"/>
      <w:lang w:val="en-US" w:eastAsia="zh-CN" w:bidi="ar-SA"/>
    </w:rPr>
  </w:style>
  <w:style w:type="paragraph" w:customStyle="1" w:styleId="1439">
    <w:name w:val="附录一级条标题"/>
    <w:basedOn w:val="1438"/>
    <w:next w:val="752"/>
    <w:qFormat/>
    <w:uiPriority w:val="0"/>
    <w:pPr>
      <w:tabs>
        <w:tab w:val="left" w:pos="828"/>
      </w:tabs>
      <w:autoSpaceDN w:val="0"/>
      <w:spacing w:beforeLines="0" w:afterLines="0"/>
      <w:ind w:left="828" w:hanging="240"/>
      <w:outlineLvl w:val="2"/>
    </w:pPr>
  </w:style>
  <w:style w:type="paragraph" w:customStyle="1" w:styleId="1440">
    <w:name w:val="附录二级条标题"/>
    <w:basedOn w:val="1439"/>
    <w:next w:val="752"/>
    <w:qFormat/>
    <w:uiPriority w:val="0"/>
    <w:pPr>
      <w:tabs>
        <w:tab w:val="left" w:pos="360"/>
        <w:tab w:val="clear" w:pos="828"/>
      </w:tabs>
      <w:ind w:left="360" w:hanging="360"/>
      <w:outlineLvl w:val="3"/>
    </w:pPr>
  </w:style>
  <w:style w:type="paragraph" w:customStyle="1" w:styleId="1441">
    <w:name w:val="附录三级条标题"/>
    <w:basedOn w:val="1440"/>
    <w:next w:val="752"/>
    <w:qFormat/>
    <w:uiPriority w:val="0"/>
    <w:pPr>
      <w:tabs>
        <w:tab w:val="left" w:pos="1068"/>
        <w:tab w:val="clear" w:pos="360"/>
      </w:tabs>
      <w:ind w:left="1068"/>
      <w:outlineLvl w:val="4"/>
    </w:pPr>
  </w:style>
  <w:style w:type="paragraph" w:customStyle="1" w:styleId="1442">
    <w:name w:val="附录四级条标题"/>
    <w:basedOn w:val="1441"/>
    <w:next w:val="752"/>
    <w:qFormat/>
    <w:uiPriority w:val="0"/>
    <w:pPr>
      <w:tabs>
        <w:tab w:val="left" w:pos="960"/>
        <w:tab w:val="clear" w:pos="1068"/>
      </w:tabs>
      <w:ind w:left="960"/>
      <w:outlineLvl w:val="5"/>
    </w:pPr>
  </w:style>
  <w:style w:type="paragraph" w:customStyle="1" w:styleId="1443">
    <w:name w:val="附录五级条标题"/>
    <w:basedOn w:val="1442"/>
    <w:next w:val="752"/>
    <w:qFormat/>
    <w:uiPriority w:val="0"/>
    <w:pPr>
      <w:tabs>
        <w:tab w:val="left" w:pos="435"/>
        <w:tab w:val="clear" w:pos="960"/>
      </w:tabs>
      <w:ind w:left="435" w:hanging="165"/>
      <w:outlineLvl w:val="6"/>
    </w:pPr>
  </w:style>
  <w:style w:type="paragraph" w:customStyle="1" w:styleId="1444">
    <w:name w:val="列项·"/>
    <w:qFormat/>
    <w:uiPriority w:val="0"/>
    <w:pPr>
      <w:tabs>
        <w:tab w:val="left" w:pos="840"/>
      </w:tabs>
      <w:spacing w:line="360" w:lineRule="auto"/>
      <w:ind w:left="840" w:leftChars="200" w:hanging="420" w:hangingChars="200"/>
      <w:jc w:val="both"/>
    </w:pPr>
    <w:rPr>
      <w:rFonts w:ascii="宋体" w:hAnsi="Times New Roman" w:eastAsia="宋体" w:cs="Times New Roman"/>
      <w:kern w:val="2"/>
      <w:sz w:val="21"/>
      <w:szCs w:val="24"/>
      <w:lang w:val="en-US" w:eastAsia="zh-CN" w:bidi="ar-SA"/>
    </w:rPr>
  </w:style>
  <w:style w:type="paragraph" w:customStyle="1" w:styleId="1445">
    <w:name w:val="三级无标题条"/>
    <w:basedOn w:val="1"/>
    <w:qFormat/>
    <w:uiPriority w:val="0"/>
    <w:pPr>
      <w:tabs>
        <w:tab w:val="clear" w:pos="480"/>
      </w:tabs>
      <w:spacing w:line="240" w:lineRule="auto"/>
    </w:pPr>
    <w:rPr>
      <w:sz w:val="21"/>
    </w:rPr>
  </w:style>
  <w:style w:type="paragraph" w:customStyle="1" w:styleId="1446">
    <w:name w:val="示例"/>
    <w:next w:val="752"/>
    <w:qFormat/>
    <w:uiPriority w:val="0"/>
    <w:pPr>
      <w:tabs>
        <w:tab w:val="left" w:pos="816"/>
      </w:tabs>
      <w:spacing w:line="360" w:lineRule="auto"/>
      <w:ind w:firstLine="419" w:firstLineChars="233"/>
      <w:jc w:val="both"/>
    </w:pPr>
    <w:rPr>
      <w:rFonts w:ascii="宋体" w:hAnsi="Times New Roman" w:eastAsia="宋体" w:cs="Times New Roman"/>
      <w:kern w:val="2"/>
      <w:sz w:val="18"/>
      <w:szCs w:val="24"/>
      <w:lang w:val="en-US" w:eastAsia="zh-CN" w:bidi="ar-SA"/>
    </w:rPr>
  </w:style>
  <w:style w:type="paragraph" w:customStyle="1" w:styleId="1447">
    <w:name w:val="四级无标题条"/>
    <w:basedOn w:val="1"/>
    <w:qFormat/>
    <w:uiPriority w:val="0"/>
    <w:pPr>
      <w:tabs>
        <w:tab w:val="left" w:pos="1365"/>
        <w:tab w:val="clear" w:pos="480"/>
      </w:tabs>
      <w:spacing w:line="240" w:lineRule="auto"/>
      <w:ind w:left="1365" w:hanging="720"/>
    </w:pPr>
    <w:rPr>
      <w:sz w:val="21"/>
    </w:rPr>
  </w:style>
  <w:style w:type="paragraph" w:customStyle="1" w:styleId="1448">
    <w:name w:val="五级无标题条"/>
    <w:basedOn w:val="1"/>
    <w:qFormat/>
    <w:uiPriority w:val="0"/>
    <w:pPr>
      <w:tabs>
        <w:tab w:val="clear" w:pos="480"/>
      </w:tabs>
      <w:spacing w:line="240" w:lineRule="auto"/>
    </w:pPr>
    <w:rPr>
      <w:sz w:val="21"/>
    </w:rPr>
  </w:style>
  <w:style w:type="paragraph" w:customStyle="1" w:styleId="1449">
    <w:name w:val="一级无标题条"/>
    <w:basedOn w:val="1"/>
    <w:qFormat/>
    <w:uiPriority w:val="0"/>
    <w:pPr>
      <w:tabs>
        <w:tab w:val="clear" w:pos="480"/>
      </w:tabs>
      <w:spacing w:line="240" w:lineRule="auto"/>
    </w:pPr>
    <w:rPr>
      <w:sz w:val="21"/>
    </w:rPr>
  </w:style>
  <w:style w:type="paragraph" w:customStyle="1" w:styleId="1450">
    <w:name w:val="正文表标题"/>
    <w:next w:val="752"/>
    <w:qFormat/>
    <w:uiPriority w:val="0"/>
    <w:pPr>
      <w:spacing w:line="360" w:lineRule="auto"/>
      <w:ind w:firstLine="200" w:firstLineChars="200"/>
      <w:jc w:val="center"/>
    </w:pPr>
    <w:rPr>
      <w:rFonts w:ascii="黑体" w:hAnsi="Times New Roman" w:eastAsia="黑体" w:cs="Times New Roman"/>
      <w:kern w:val="2"/>
      <w:sz w:val="21"/>
      <w:szCs w:val="24"/>
      <w:lang w:val="en-US" w:eastAsia="zh-CN" w:bidi="ar-SA"/>
    </w:rPr>
  </w:style>
  <w:style w:type="paragraph" w:customStyle="1" w:styleId="1451">
    <w:name w:val="正文图标题"/>
    <w:next w:val="752"/>
    <w:qFormat/>
    <w:uiPriority w:val="0"/>
    <w:pPr>
      <w:spacing w:line="360" w:lineRule="auto"/>
      <w:ind w:firstLine="200" w:firstLineChars="200"/>
      <w:jc w:val="center"/>
    </w:pPr>
    <w:rPr>
      <w:rFonts w:ascii="黑体" w:hAnsi="Times New Roman" w:eastAsia="黑体" w:cs="Times New Roman"/>
      <w:kern w:val="2"/>
      <w:sz w:val="21"/>
      <w:szCs w:val="24"/>
      <w:lang w:val="en-US" w:eastAsia="zh-CN" w:bidi="ar-SA"/>
    </w:rPr>
  </w:style>
  <w:style w:type="paragraph" w:customStyle="1" w:styleId="1452">
    <w:name w:val="注×："/>
    <w:qFormat/>
    <w:uiPriority w:val="0"/>
    <w:pPr>
      <w:widowControl w:val="0"/>
      <w:tabs>
        <w:tab w:val="left" w:pos="630"/>
        <w:tab w:val="left" w:pos="680"/>
      </w:tabs>
      <w:autoSpaceDE w:val="0"/>
      <w:autoSpaceDN w:val="0"/>
      <w:spacing w:line="360" w:lineRule="auto"/>
      <w:ind w:left="680" w:hanging="360" w:firstLineChars="200"/>
      <w:jc w:val="both"/>
    </w:pPr>
    <w:rPr>
      <w:rFonts w:ascii="宋体" w:hAnsi="Times New Roman" w:eastAsia="宋体" w:cs="Times New Roman"/>
      <w:kern w:val="2"/>
      <w:sz w:val="18"/>
      <w:szCs w:val="24"/>
      <w:lang w:val="en-US" w:eastAsia="zh-CN" w:bidi="ar-SA"/>
    </w:rPr>
  </w:style>
  <w:style w:type="paragraph" w:customStyle="1" w:styleId="1453">
    <w:name w:val="标准书脚_偶数页"/>
    <w:semiHidden/>
    <w:qFormat/>
    <w:uiPriority w:val="0"/>
    <w:pPr>
      <w:spacing w:before="120" w:line="360" w:lineRule="auto"/>
      <w:ind w:firstLine="200" w:firstLineChars="200"/>
      <w:jc w:val="both"/>
    </w:pPr>
    <w:rPr>
      <w:rFonts w:ascii="Times New Roman" w:hAnsi="Times New Roman" w:eastAsia="宋体" w:cs="Times New Roman"/>
      <w:kern w:val="2"/>
      <w:sz w:val="18"/>
      <w:szCs w:val="24"/>
      <w:lang w:val="en-US" w:eastAsia="zh-CN" w:bidi="ar-SA"/>
    </w:rPr>
  </w:style>
  <w:style w:type="paragraph" w:customStyle="1" w:styleId="1454">
    <w:name w:val="封面正文"/>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455">
    <w:name w:val="标准书眉_偶数页"/>
    <w:basedOn w:val="1456"/>
    <w:next w:val="1"/>
    <w:qFormat/>
    <w:uiPriority w:val="0"/>
    <w:pPr>
      <w:tabs>
        <w:tab w:val="center" w:pos="4154"/>
        <w:tab w:val="right" w:pos="8306"/>
      </w:tabs>
      <w:jc w:val="left"/>
    </w:pPr>
  </w:style>
  <w:style w:type="paragraph" w:customStyle="1" w:styleId="1456">
    <w:name w:val="标准书眉_奇数页"/>
    <w:next w:val="1"/>
    <w:semiHidden/>
    <w:qFormat/>
    <w:uiPriority w:val="0"/>
    <w:pPr>
      <w:tabs>
        <w:tab w:val="center" w:pos="4154"/>
        <w:tab w:val="right" w:pos="8306"/>
      </w:tabs>
      <w:spacing w:after="120" w:line="360" w:lineRule="auto"/>
      <w:ind w:firstLine="200" w:firstLineChars="200"/>
      <w:jc w:val="right"/>
    </w:pPr>
    <w:rPr>
      <w:rFonts w:ascii="Times New Roman" w:hAnsi="Times New Roman" w:eastAsia="宋体" w:cs="Times New Roman"/>
      <w:kern w:val="2"/>
      <w:sz w:val="21"/>
      <w:szCs w:val="24"/>
      <w:lang w:val="en-US" w:eastAsia="zh-CN" w:bidi="ar-SA"/>
    </w:rPr>
  </w:style>
  <w:style w:type="paragraph" w:customStyle="1" w:styleId="1457">
    <w:name w:val="样式 仿宋_GB2312 四号 段前: 7.8 磅 段后: 7.8 磅 行距: 1.5 倍行距"/>
    <w:basedOn w:val="1"/>
    <w:qFormat/>
    <w:uiPriority w:val="0"/>
    <w:pPr>
      <w:tabs>
        <w:tab w:val="clear" w:pos="480"/>
      </w:tabs>
      <w:spacing w:before="156" w:after="156"/>
      <w:ind w:firstLine="630" w:firstLineChars="225"/>
    </w:pPr>
    <w:rPr>
      <w:rFonts w:ascii="Arial" w:hAnsi="Arial"/>
      <w:szCs w:val="20"/>
    </w:rPr>
  </w:style>
  <w:style w:type="paragraph" w:customStyle="1" w:styleId="1458">
    <w:name w:val="样式 小四 首行缩进:  2 字符"/>
    <w:basedOn w:val="1"/>
    <w:qFormat/>
    <w:uiPriority w:val="0"/>
    <w:pPr>
      <w:tabs>
        <w:tab w:val="clear" w:pos="480"/>
      </w:tabs>
      <w:spacing w:before="120" w:after="120" w:line="312" w:lineRule="auto"/>
      <w:ind w:firstLine="482"/>
    </w:pPr>
    <w:rPr>
      <w:rFonts w:cs="宋体"/>
      <w:b/>
    </w:rPr>
  </w:style>
  <w:style w:type="paragraph" w:customStyle="1" w:styleId="1459">
    <w:name w:val="样式 首行缩进:  0.85 厘米"/>
    <w:basedOn w:val="1"/>
    <w:qFormat/>
    <w:uiPriority w:val="0"/>
    <w:pPr>
      <w:tabs>
        <w:tab w:val="clear" w:pos="480"/>
      </w:tabs>
      <w:spacing w:before="80" w:after="80" w:line="400" w:lineRule="exact"/>
      <w:ind w:firstLine="480"/>
    </w:pPr>
    <w:rPr>
      <w:color w:val="000000"/>
    </w:rPr>
  </w:style>
  <w:style w:type="character" w:customStyle="1" w:styleId="1460">
    <w:name w:val="黑体 Char"/>
    <w:qFormat/>
    <w:uiPriority w:val="0"/>
    <w:rPr>
      <w:rFonts w:eastAsia="宋体"/>
      <w:b/>
      <w:kern w:val="2"/>
      <w:sz w:val="24"/>
      <w:lang w:val="en-US" w:eastAsia="zh-CN" w:bidi="ar-SA"/>
    </w:rPr>
  </w:style>
  <w:style w:type="paragraph" w:customStyle="1" w:styleId="1461">
    <w:name w:val="题目"/>
    <w:basedOn w:val="1"/>
    <w:qFormat/>
    <w:uiPriority w:val="0"/>
    <w:pPr>
      <w:tabs>
        <w:tab w:val="clear" w:pos="480"/>
      </w:tabs>
      <w:spacing w:before="31" w:line="240" w:lineRule="auto"/>
      <w:jc w:val="center"/>
    </w:pPr>
    <w:rPr>
      <w:b/>
      <w:kern w:val="0"/>
      <w:sz w:val="44"/>
      <w:szCs w:val="20"/>
    </w:rPr>
  </w:style>
  <w:style w:type="paragraph" w:customStyle="1" w:styleId="1462">
    <w:name w:val="样式 四号 首行缩进:  1.01 厘米 行距: 固定值 30 磅"/>
    <w:basedOn w:val="1"/>
    <w:link w:val="1463"/>
    <w:qFormat/>
    <w:uiPriority w:val="0"/>
    <w:pPr>
      <w:tabs>
        <w:tab w:val="clear" w:pos="480"/>
      </w:tabs>
      <w:spacing w:line="600" w:lineRule="exact"/>
      <w:ind w:firstLine="570"/>
    </w:pPr>
    <w:rPr>
      <w:kern w:val="0"/>
      <w:sz w:val="28"/>
      <w:szCs w:val="20"/>
      <w:lang w:val="zh-CN"/>
    </w:rPr>
  </w:style>
  <w:style w:type="character" w:customStyle="1" w:styleId="1463">
    <w:name w:val="样式 四号 首行缩进:  1.01 厘米 行距: 固定值 30 磅 Char"/>
    <w:link w:val="1462"/>
    <w:qFormat/>
    <w:uiPriority w:val="0"/>
    <w:rPr>
      <w:rFonts w:eastAsia="宋体"/>
      <w:sz w:val="28"/>
      <w:lang w:bidi="ar-SA"/>
    </w:rPr>
  </w:style>
  <w:style w:type="paragraph" w:customStyle="1" w:styleId="1464">
    <w:name w:val="样式 标题 3标题 3 Char + 四号 段前: 5 磅 段后: 5 磅 行距: 固定值 30 磅"/>
    <w:basedOn w:val="5"/>
    <w:qFormat/>
    <w:uiPriority w:val="0"/>
    <w:pPr>
      <w:tabs>
        <w:tab w:val="clear" w:pos="480"/>
        <w:tab w:val="clear" w:pos="840"/>
      </w:tabs>
      <w:spacing w:after="120" w:line="600" w:lineRule="exact"/>
      <w:ind w:firstLine="200" w:firstLineChars="200"/>
    </w:pPr>
    <w:rPr>
      <w:rFonts w:ascii="Times New Roman" w:eastAsia="黑体" w:cs="宋体"/>
      <w:b w:val="0"/>
      <w:sz w:val="28"/>
      <w:szCs w:val="28"/>
    </w:rPr>
  </w:style>
  <w:style w:type="paragraph" w:customStyle="1" w:styleId="1465">
    <w:name w:val="样式 标题 2SeHead wsa2ChapterChapter TitleH2标题 2 Char Char Cha..."/>
    <w:basedOn w:val="4"/>
    <w:qFormat/>
    <w:uiPriority w:val="0"/>
    <w:pPr>
      <w:tabs>
        <w:tab w:val="clear" w:pos="480"/>
        <w:tab w:val="clear" w:pos="630"/>
      </w:tabs>
      <w:spacing w:before="240" w:after="240" w:line="600" w:lineRule="exact"/>
      <w:jc w:val="center"/>
    </w:pPr>
    <w:rPr>
      <w:rFonts w:eastAsia="楷体_GB2312" w:cs="宋体"/>
    </w:rPr>
  </w:style>
  <w:style w:type="character" w:customStyle="1" w:styleId="1466">
    <w:name w:val="Plain Text Char1 Char"/>
    <w:semiHidden/>
    <w:qFormat/>
    <w:uiPriority w:val="0"/>
    <w:rPr>
      <w:rFonts w:eastAsia="楷体_GB2312"/>
      <w:kern w:val="2"/>
      <w:sz w:val="28"/>
      <w:szCs w:val="28"/>
    </w:rPr>
  </w:style>
  <w:style w:type="paragraph" w:customStyle="1" w:styleId="1467">
    <w:name w:val="表蕊"/>
    <w:basedOn w:val="1"/>
    <w:qFormat/>
    <w:uiPriority w:val="0"/>
    <w:pPr>
      <w:tabs>
        <w:tab w:val="left" w:pos="5040"/>
        <w:tab w:val="clear" w:pos="480"/>
      </w:tabs>
      <w:adjustRightInd w:val="0"/>
      <w:spacing w:line="280" w:lineRule="atLeast"/>
      <w:ind w:left="-120" w:leftChars="-57"/>
      <w:jc w:val="left"/>
      <w:textAlignment w:val="baseline"/>
    </w:pPr>
    <w:rPr>
      <w:rFonts w:eastAsia="楷体_GB2312"/>
      <w:spacing w:val="-10"/>
      <w:kern w:val="0"/>
      <w:sz w:val="21"/>
      <w:szCs w:val="21"/>
    </w:rPr>
  </w:style>
  <w:style w:type="character" w:customStyle="1" w:styleId="1468">
    <w:name w:val="word2"/>
    <w:basedOn w:val="133"/>
    <w:semiHidden/>
    <w:qFormat/>
    <w:uiPriority w:val="0"/>
  </w:style>
  <w:style w:type="character" w:customStyle="1" w:styleId="1469">
    <w:name w:val="word"/>
    <w:basedOn w:val="133"/>
    <w:semiHidden/>
    <w:qFormat/>
    <w:uiPriority w:val="0"/>
  </w:style>
  <w:style w:type="paragraph" w:customStyle="1" w:styleId="1470">
    <w:name w:val="样式 标题 1 + 黑体 三号 居中 段前: 0 磅 段后: 0 磅 行距: 固定值 30 磅"/>
    <w:basedOn w:val="3"/>
    <w:qFormat/>
    <w:uiPriority w:val="0"/>
    <w:pPr>
      <w:tabs>
        <w:tab w:val="clear" w:pos="480"/>
      </w:tabs>
      <w:spacing w:beforeLines="50" w:afterLines="50" w:line="600" w:lineRule="exact"/>
      <w:jc w:val="center"/>
    </w:pPr>
    <w:rPr>
      <w:rFonts w:ascii="黑体" w:eastAsia="黑体" w:cs="宋体"/>
      <w:b w:val="0"/>
      <w:sz w:val="32"/>
      <w:szCs w:val="32"/>
    </w:rPr>
  </w:style>
  <w:style w:type="paragraph" w:customStyle="1" w:styleId="1471">
    <w:name w:val="style2"/>
    <w:basedOn w:val="1"/>
    <w:qFormat/>
    <w:uiPriority w:val="0"/>
    <w:pPr>
      <w:widowControl/>
      <w:tabs>
        <w:tab w:val="clear" w:pos="480"/>
      </w:tabs>
      <w:spacing w:before="100" w:beforeAutospacing="1" w:after="100" w:afterAutospacing="1" w:line="300" w:lineRule="atLeast"/>
      <w:jc w:val="left"/>
    </w:pPr>
    <w:rPr>
      <w:rFonts w:ascii="宋体" w:hAnsi="宋体" w:cs="宋体"/>
      <w:kern w:val="0"/>
      <w:sz w:val="18"/>
      <w:szCs w:val="18"/>
    </w:rPr>
  </w:style>
  <w:style w:type="character" w:customStyle="1" w:styleId="1472">
    <w:name w:val="style21"/>
    <w:qFormat/>
    <w:uiPriority w:val="0"/>
    <w:rPr>
      <w:sz w:val="18"/>
      <w:szCs w:val="18"/>
    </w:rPr>
  </w:style>
  <w:style w:type="character" w:customStyle="1" w:styleId="1473">
    <w:name w:val="trans"/>
    <w:basedOn w:val="133"/>
    <w:semiHidden/>
    <w:qFormat/>
    <w:uiPriority w:val="0"/>
  </w:style>
  <w:style w:type="character" w:customStyle="1" w:styleId="1474">
    <w:name w:val="样式10 Char"/>
    <w:link w:val="628"/>
    <w:qFormat/>
    <w:uiPriority w:val="0"/>
    <w:rPr>
      <w:rFonts w:ascii="宋体" w:hAnsi="宋体" w:eastAsia="宋体"/>
      <w:b/>
      <w:bCs/>
      <w:sz w:val="24"/>
      <w:lang w:val="en-US" w:eastAsia="zh-CN" w:bidi="ar-SA"/>
    </w:rPr>
  </w:style>
  <w:style w:type="paragraph" w:customStyle="1" w:styleId="1475">
    <w:name w:val="样式 四号 首行缩进:  2 字符"/>
    <w:basedOn w:val="1"/>
    <w:link w:val="1476"/>
    <w:qFormat/>
    <w:uiPriority w:val="0"/>
    <w:pPr>
      <w:tabs>
        <w:tab w:val="clear" w:pos="480"/>
      </w:tabs>
    </w:pPr>
    <w:rPr>
      <w:kern w:val="0"/>
      <w:sz w:val="28"/>
      <w:szCs w:val="20"/>
      <w:lang w:val="zh-CN"/>
    </w:rPr>
  </w:style>
  <w:style w:type="character" w:customStyle="1" w:styleId="1476">
    <w:name w:val="样式 四号 首行缩进:  2 字符 Char"/>
    <w:link w:val="1475"/>
    <w:qFormat/>
    <w:uiPriority w:val="0"/>
    <w:rPr>
      <w:rFonts w:eastAsia="宋体"/>
      <w:sz w:val="28"/>
      <w:lang w:bidi="ar-SA"/>
    </w:rPr>
  </w:style>
  <w:style w:type="paragraph" w:customStyle="1" w:styleId="1477">
    <w:name w:val="样式 三级标题 + (西文) Times New Roman (中文) 宋体 首行缩进:  2 字符 段前: 0 磅 段..."/>
    <w:basedOn w:val="5"/>
    <w:qFormat/>
    <w:uiPriority w:val="0"/>
    <w:pPr>
      <w:tabs>
        <w:tab w:val="clear" w:pos="480"/>
        <w:tab w:val="clear" w:pos="840"/>
      </w:tabs>
      <w:spacing w:after="120" w:line="600" w:lineRule="exact"/>
    </w:pPr>
    <w:rPr>
      <w:rFonts w:ascii="宋体" w:eastAsia="宋体" w:cs="宋体"/>
      <w:sz w:val="28"/>
      <w:szCs w:val="20"/>
    </w:rPr>
  </w:style>
  <w:style w:type="paragraph" w:customStyle="1" w:styleId="1478">
    <w:name w:val="样式 样式 四号 + 首行缩进:  2 字符"/>
    <w:basedOn w:val="1"/>
    <w:link w:val="1479"/>
    <w:qFormat/>
    <w:uiPriority w:val="0"/>
    <w:pPr>
      <w:tabs>
        <w:tab w:val="clear" w:pos="480"/>
      </w:tabs>
      <w:ind w:firstLine="560"/>
    </w:pPr>
    <w:rPr>
      <w:kern w:val="0"/>
      <w:sz w:val="28"/>
      <w:szCs w:val="20"/>
      <w:lang w:val="zh-CN"/>
    </w:rPr>
  </w:style>
  <w:style w:type="character" w:customStyle="1" w:styleId="1479">
    <w:name w:val="样式 样式 四号 + 首行缩进:  2 字符 Char"/>
    <w:link w:val="1478"/>
    <w:qFormat/>
    <w:uiPriority w:val="0"/>
    <w:rPr>
      <w:rFonts w:eastAsia="宋体"/>
      <w:sz w:val="28"/>
      <w:lang w:bidi="ar-SA"/>
    </w:rPr>
  </w:style>
  <w:style w:type="paragraph" w:customStyle="1" w:styleId="1480">
    <w:name w:val="陈表格中内容"/>
    <w:basedOn w:val="1"/>
    <w:next w:val="1"/>
    <w:link w:val="1481"/>
    <w:qFormat/>
    <w:uiPriority w:val="0"/>
    <w:pPr>
      <w:tabs>
        <w:tab w:val="clear" w:pos="480"/>
      </w:tabs>
      <w:spacing w:line="288" w:lineRule="auto"/>
      <w:jc w:val="center"/>
    </w:pPr>
    <w:rPr>
      <w:rFonts w:hAnsi="宋体"/>
      <w:color w:val="000000"/>
      <w:kern w:val="0"/>
      <w:sz w:val="20"/>
      <w:szCs w:val="21"/>
      <w:lang w:val="zh-CN"/>
    </w:rPr>
  </w:style>
  <w:style w:type="character" w:customStyle="1" w:styleId="1481">
    <w:name w:val="陈表格中内容 Char Char"/>
    <w:link w:val="1480"/>
    <w:qFormat/>
    <w:uiPriority w:val="0"/>
    <w:rPr>
      <w:rFonts w:hAnsi="宋体" w:eastAsia="宋体"/>
      <w:color w:val="000000"/>
      <w:szCs w:val="21"/>
      <w:lang w:bidi="ar-SA"/>
    </w:rPr>
  </w:style>
  <w:style w:type="paragraph" w:customStyle="1" w:styleId="1482">
    <w:name w:val="a小四宋体缩2段间无 Char"/>
    <w:basedOn w:val="1"/>
    <w:semiHidden/>
    <w:qFormat/>
    <w:uiPriority w:val="0"/>
    <w:pPr>
      <w:tabs>
        <w:tab w:val="clear" w:pos="480"/>
      </w:tabs>
      <w:spacing w:afterLines="50"/>
    </w:pPr>
    <w:rPr>
      <w:rFonts w:ascii="宋体" w:hAnsi="宋体"/>
    </w:rPr>
  </w:style>
  <w:style w:type="paragraph" w:customStyle="1" w:styleId="1483">
    <w:name w:val="a小四宋体缩2段间0.5"/>
    <w:basedOn w:val="1"/>
    <w:semiHidden/>
    <w:qFormat/>
    <w:uiPriority w:val="0"/>
    <w:pPr>
      <w:tabs>
        <w:tab w:val="clear" w:pos="480"/>
      </w:tabs>
      <w:spacing w:afterLines="50"/>
    </w:pPr>
    <w:rPr>
      <w:rFonts w:ascii="宋体" w:hAnsi="宋体"/>
    </w:rPr>
  </w:style>
  <w:style w:type="paragraph" w:customStyle="1" w:styleId="1484">
    <w:name w:val="Normal Char Char Char Char"/>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character" w:customStyle="1" w:styleId="1485">
    <w:name w:val="Normal Char Char Char Char Char"/>
    <w:semiHidden/>
    <w:qFormat/>
    <w:uiPriority w:val="0"/>
    <w:rPr>
      <w:rFonts w:ascii="宋体" w:eastAsia="宋体"/>
      <w:kern w:val="2"/>
      <w:sz w:val="34"/>
      <w:szCs w:val="24"/>
      <w:lang w:val="en-US" w:eastAsia="zh-CN" w:bidi="ar-SA"/>
    </w:rPr>
  </w:style>
  <w:style w:type="paragraph" w:customStyle="1" w:styleId="1486">
    <w:name w:val="Normal Char"/>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character" w:customStyle="1" w:styleId="1487">
    <w:name w:val="Normal Char Char"/>
    <w:semiHidden/>
    <w:qFormat/>
    <w:uiPriority w:val="0"/>
    <w:rPr>
      <w:rFonts w:ascii="宋体" w:eastAsia="宋体"/>
      <w:kern w:val="2"/>
      <w:sz w:val="34"/>
      <w:szCs w:val="24"/>
      <w:lang w:val="en-US" w:eastAsia="zh-CN" w:bidi="ar-SA"/>
    </w:rPr>
  </w:style>
  <w:style w:type="paragraph" w:customStyle="1" w:styleId="1488">
    <w:name w:val="样式 (符号) 宋体 加粗 蓝色 居中"/>
    <w:basedOn w:val="161"/>
    <w:qFormat/>
    <w:uiPriority w:val="0"/>
    <w:pPr>
      <w:adjustRightInd/>
      <w:spacing w:line="300" w:lineRule="exact"/>
      <w:jc w:val="center"/>
      <w:textAlignment w:val="auto"/>
    </w:pPr>
    <w:rPr>
      <w:rFonts w:hAnsi="宋体" w:eastAsia="宋体" w:cs="宋体"/>
      <w:b/>
      <w:bCs/>
      <w:color w:val="0000FF"/>
      <w:kern w:val="0"/>
      <w:sz w:val="21"/>
    </w:rPr>
  </w:style>
  <w:style w:type="character" w:customStyle="1" w:styleId="1489">
    <w:name w:val="表题 Char Char Char"/>
    <w:qFormat/>
    <w:uiPriority w:val="0"/>
    <w:rPr>
      <w:rFonts w:eastAsia="楷体_GB2312"/>
      <w:b/>
      <w:kern w:val="2"/>
      <w:sz w:val="24"/>
      <w:szCs w:val="24"/>
      <w:lang w:val="en-US" w:eastAsia="zh-CN" w:bidi="ar-SA"/>
    </w:rPr>
  </w:style>
  <w:style w:type="paragraph" w:customStyle="1" w:styleId="1490">
    <w:name w:val="正文(黑体)"/>
    <w:basedOn w:val="1"/>
    <w:qFormat/>
    <w:uiPriority w:val="0"/>
    <w:pPr>
      <w:tabs>
        <w:tab w:val="clear" w:pos="480"/>
      </w:tabs>
      <w:autoSpaceDE w:val="0"/>
      <w:autoSpaceDN w:val="0"/>
      <w:adjustRightInd w:val="0"/>
      <w:spacing w:line="288" w:lineRule="auto"/>
      <w:ind w:firstLine="482"/>
      <w:textAlignment w:val="baseline"/>
    </w:pPr>
    <w:rPr>
      <w:rFonts w:ascii="黑体"/>
      <w:kern w:val="0"/>
      <w:szCs w:val="20"/>
    </w:rPr>
  </w:style>
  <w:style w:type="paragraph" w:customStyle="1" w:styleId="1491">
    <w:name w:val="样式 四号 行距: 1.5 倍行距1"/>
    <w:basedOn w:val="1"/>
    <w:qFormat/>
    <w:uiPriority w:val="0"/>
    <w:pPr>
      <w:tabs>
        <w:tab w:val="clear" w:pos="480"/>
      </w:tabs>
      <w:ind w:firstLine="560"/>
    </w:pPr>
    <w:rPr>
      <w:rFonts w:cs="宋体"/>
      <w:szCs w:val="20"/>
    </w:rPr>
  </w:style>
  <w:style w:type="character" w:customStyle="1" w:styleId="1492">
    <w:name w:val="无节款 Char"/>
    <w:qFormat/>
    <w:uiPriority w:val="0"/>
    <w:rPr>
      <w:rFonts w:ascii="Arial" w:hAnsi="Arial" w:eastAsia="黑体" w:cs="Times New Roman"/>
      <w:spacing w:val="10"/>
      <w:kern w:val="0"/>
      <w:sz w:val="24"/>
      <w:szCs w:val="20"/>
    </w:rPr>
  </w:style>
  <w:style w:type="character" w:customStyle="1" w:styleId="1493">
    <w:name w:val="Char Char16"/>
    <w:semiHidden/>
    <w:qFormat/>
    <w:uiPriority w:val="0"/>
    <w:rPr>
      <w:rFonts w:eastAsia="宋体"/>
      <w:kern w:val="2"/>
      <w:sz w:val="24"/>
      <w:szCs w:val="24"/>
      <w:lang w:val="en-US" w:eastAsia="zh-CN" w:bidi="ar-SA"/>
    </w:rPr>
  </w:style>
  <w:style w:type="character" w:customStyle="1" w:styleId="1494">
    <w:name w:val="bt Char2"/>
    <w:semiHidden/>
    <w:qFormat/>
    <w:uiPriority w:val="0"/>
    <w:rPr>
      <w:rFonts w:eastAsia="宋体"/>
      <w:color w:val="000000"/>
      <w:kern w:val="2"/>
      <w:sz w:val="24"/>
      <w:szCs w:val="24"/>
      <w:lang w:val="en-US" w:eastAsia="zh-CN" w:bidi="ar-SA"/>
    </w:rPr>
  </w:style>
  <w:style w:type="character" w:customStyle="1" w:styleId="1495">
    <w:name w:val="正文文字 3 Char Char"/>
    <w:qFormat/>
    <w:uiPriority w:val="0"/>
    <w:rPr>
      <w:rFonts w:ascii="宋体" w:hAnsi="宋体" w:eastAsia="宋体"/>
      <w:kern w:val="2"/>
      <w:sz w:val="21"/>
      <w:szCs w:val="24"/>
      <w:lang w:val="en-US" w:eastAsia="zh-CN" w:bidi="ar-SA"/>
    </w:rPr>
  </w:style>
  <w:style w:type="character" w:customStyle="1" w:styleId="1496">
    <w:name w:val="btd"/>
    <w:basedOn w:val="133"/>
    <w:semiHidden/>
    <w:qFormat/>
    <w:uiPriority w:val="0"/>
  </w:style>
  <w:style w:type="character" w:customStyle="1" w:styleId="1497">
    <w:name w:val="Char8"/>
    <w:semiHidden/>
    <w:qFormat/>
    <w:uiPriority w:val="0"/>
    <w:rPr>
      <w:rFonts w:ascii="黑体" w:hAnsi="宋体" w:eastAsia="黑体"/>
      <w:kern w:val="2"/>
      <w:sz w:val="30"/>
      <w:lang w:val="en-US" w:eastAsia="zh-CN"/>
    </w:rPr>
  </w:style>
  <w:style w:type="paragraph" w:customStyle="1" w:styleId="1498">
    <w:name w:val="Char1 Char Char Char Char Char Char Char Char Char"/>
    <w:basedOn w:val="1"/>
    <w:qFormat/>
    <w:uiPriority w:val="0"/>
    <w:pPr>
      <w:widowControl/>
      <w:tabs>
        <w:tab w:val="clear" w:pos="480"/>
      </w:tabs>
      <w:spacing w:after="160" w:line="240" w:lineRule="exact"/>
      <w:jc w:val="left"/>
    </w:pPr>
    <w:rPr>
      <w:szCs w:val="20"/>
    </w:rPr>
  </w:style>
  <w:style w:type="paragraph" w:customStyle="1" w:styleId="1499">
    <w:name w:val="批注框文本 Char Char"/>
    <w:basedOn w:val="1"/>
    <w:qFormat/>
    <w:uiPriority w:val="0"/>
    <w:pPr>
      <w:tabs>
        <w:tab w:val="clear" w:pos="480"/>
      </w:tabs>
      <w:spacing w:before="100" w:after="100" w:line="400" w:lineRule="exact"/>
    </w:pPr>
    <w:rPr>
      <w:sz w:val="18"/>
      <w:szCs w:val="20"/>
    </w:rPr>
  </w:style>
  <w:style w:type="character" w:customStyle="1" w:styleId="1500">
    <w:name w:val="海南化工城正文 Char Char Char"/>
    <w:link w:val="753"/>
    <w:qFormat/>
    <w:uiPriority w:val="0"/>
    <w:rPr>
      <w:rFonts w:ascii="宋体" w:hAnsi="宋体" w:eastAsia="宋体" w:cs="宋体"/>
      <w:kern w:val="2"/>
      <w:sz w:val="24"/>
      <w:szCs w:val="24"/>
      <w:lang w:val="en-US" w:eastAsia="zh-CN" w:bidi="ar-SA"/>
    </w:rPr>
  </w:style>
  <w:style w:type="character" w:customStyle="1" w:styleId="1501">
    <w:name w:val="listcontents1"/>
    <w:semiHidden/>
    <w:qFormat/>
    <w:uiPriority w:val="0"/>
    <w:rPr>
      <w:color w:val="000000"/>
      <w:sz w:val="14"/>
    </w:rPr>
  </w:style>
  <w:style w:type="character" w:customStyle="1" w:styleId="1502">
    <w:name w:val="未命名1"/>
    <w:basedOn w:val="133"/>
    <w:qFormat/>
    <w:uiPriority w:val="0"/>
  </w:style>
  <w:style w:type="character" w:customStyle="1" w:styleId="1503">
    <w:name w:val="style91"/>
    <w:semiHidden/>
    <w:qFormat/>
    <w:uiPriority w:val="0"/>
    <w:rPr>
      <w:b/>
      <w:color w:val="333333"/>
      <w:sz w:val="19"/>
    </w:rPr>
  </w:style>
  <w:style w:type="character" w:customStyle="1" w:styleId="1504">
    <w:name w:val="tpc_content"/>
    <w:basedOn w:val="133"/>
    <w:semiHidden/>
    <w:qFormat/>
    <w:uiPriority w:val="0"/>
  </w:style>
  <w:style w:type="paragraph" w:customStyle="1" w:styleId="1505">
    <w:name w:val="样式 段前: 0.15 行 段后: 0.15 行 首行缩进:  2 字符"/>
    <w:basedOn w:val="1"/>
    <w:qFormat/>
    <w:uiPriority w:val="0"/>
    <w:pPr>
      <w:tabs>
        <w:tab w:val="clear" w:pos="480"/>
      </w:tabs>
    </w:pPr>
    <w:rPr>
      <w:rFonts w:ascii="宋体"/>
      <w:szCs w:val="20"/>
    </w:rPr>
  </w:style>
  <w:style w:type="paragraph" w:customStyle="1" w:styleId="1506">
    <w:name w:val="样式 表格 + 宋体 居中"/>
    <w:basedOn w:val="161"/>
    <w:qFormat/>
    <w:uiPriority w:val="0"/>
    <w:pPr>
      <w:adjustRightInd/>
      <w:spacing w:line="240" w:lineRule="auto"/>
      <w:jc w:val="center"/>
    </w:pPr>
    <w:rPr>
      <w:rFonts w:eastAsia="宋体"/>
    </w:rPr>
  </w:style>
  <w:style w:type="paragraph" w:customStyle="1" w:styleId="1507">
    <w:name w:val="样式 黑色 首行缩进:  0.85 厘米 段前: 0.15 行 段后: 0.15 行"/>
    <w:basedOn w:val="1"/>
    <w:qFormat/>
    <w:uiPriority w:val="0"/>
    <w:pPr>
      <w:tabs>
        <w:tab w:val="clear" w:pos="480"/>
      </w:tabs>
      <w:ind w:firstLine="482"/>
    </w:pPr>
    <w:rPr>
      <w:rFonts w:ascii="宋体"/>
      <w:color w:val="000000"/>
      <w:szCs w:val="20"/>
    </w:rPr>
  </w:style>
  <w:style w:type="paragraph" w:customStyle="1" w:styleId="1508">
    <w:name w:val="Plain Te"/>
    <w:basedOn w:val="1"/>
    <w:semiHidden/>
    <w:qFormat/>
    <w:uiPriority w:val="0"/>
    <w:pPr>
      <w:widowControl/>
      <w:tabs>
        <w:tab w:val="clear" w:pos="480"/>
      </w:tabs>
      <w:spacing w:line="240" w:lineRule="auto"/>
      <w:jc w:val="left"/>
    </w:pPr>
    <w:rPr>
      <w:rFonts w:ascii="宋体" w:hAnsi="Courier New"/>
      <w:kern w:val="0"/>
      <w:sz w:val="21"/>
      <w:szCs w:val="20"/>
    </w:rPr>
  </w:style>
  <w:style w:type="paragraph" w:customStyle="1" w:styleId="1509">
    <w:name w:val="文档二级标题"/>
    <w:basedOn w:val="1"/>
    <w:qFormat/>
    <w:uiPriority w:val="0"/>
    <w:pPr>
      <w:tabs>
        <w:tab w:val="clear" w:pos="480"/>
      </w:tabs>
      <w:spacing w:line="240" w:lineRule="auto"/>
    </w:pPr>
    <w:rPr>
      <w:rFonts w:ascii="楷体_GB2312" w:hAnsi="华文仿宋" w:eastAsia="楷体_GB2312"/>
      <w:sz w:val="28"/>
      <w:szCs w:val="20"/>
    </w:rPr>
  </w:style>
  <w:style w:type="paragraph" w:customStyle="1" w:styleId="1510">
    <w:name w:val="標準（日本語）"/>
    <w:basedOn w:val="1"/>
    <w:semiHidden/>
    <w:qFormat/>
    <w:uiPriority w:val="0"/>
    <w:pPr>
      <w:tabs>
        <w:tab w:val="clear" w:pos="480"/>
      </w:tabs>
      <w:overflowPunct w:val="0"/>
      <w:adjustRightInd w:val="0"/>
      <w:spacing w:afterLines="50" w:line="240" w:lineRule="auto"/>
    </w:pPr>
    <w:rPr>
      <w:rFonts w:eastAsia="MS Mincho"/>
      <w:snapToGrid w:val="0"/>
      <w:kern w:val="0"/>
      <w:szCs w:val="20"/>
      <w:lang w:eastAsia="ja-JP"/>
    </w:rPr>
  </w:style>
  <w:style w:type="paragraph" w:customStyle="1" w:styleId="1511">
    <w:name w:val="Definition Term"/>
    <w:basedOn w:val="1"/>
    <w:next w:val="1"/>
    <w:semiHidden/>
    <w:qFormat/>
    <w:uiPriority w:val="0"/>
    <w:pPr>
      <w:widowControl/>
      <w:tabs>
        <w:tab w:val="clear" w:pos="480"/>
      </w:tabs>
      <w:overflowPunct w:val="0"/>
      <w:autoSpaceDE w:val="0"/>
      <w:autoSpaceDN w:val="0"/>
      <w:adjustRightInd w:val="0"/>
      <w:spacing w:line="240" w:lineRule="auto"/>
      <w:jc w:val="left"/>
      <w:textAlignment w:val="baseline"/>
    </w:pPr>
    <w:rPr>
      <w:kern w:val="0"/>
      <w:szCs w:val="20"/>
      <w:lang w:val="en-GB"/>
    </w:rPr>
  </w:style>
  <w:style w:type="paragraph" w:customStyle="1" w:styleId="1512">
    <w:name w:val="正文文本 31"/>
    <w:basedOn w:val="1"/>
    <w:qFormat/>
    <w:uiPriority w:val="0"/>
    <w:pPr>
      <w:tabs>
        <w:tab w:val="clear" w:pos="480"/>
      </w:tabs>
      <w:autoSpaceDE w:val="0"/>
      <w:autoSpaceDN w:val="0"/>
      <w:adjustRightInd w:val="0"/>
      <w:spacing w:line="312" w:lineRule="atLeast"/>
      <w:jc w:val="center"/>
      <w:textAlignment w:val="baseline"/>
    </w:pPr>
    <w:rPr>
      <w:rFonts w:ascii="楷体" w:eastAsia="楷体"/>
      <w:kern w:val="0"/>
      <w:sz w:val="28"/>
      <w:szCs w:val="20"/>
    </w:rPr>
  </w:style>
  <w:style w:type="paragraph" w:customStyle="1" w:styleId="1513">
    <w:name w:val="敏感表"/>
    <w:basedOn w:val="1"/>
    <w:next w:val="1"/>
    <w:qFormat/>
    <w:uiPriority w:val="0"/>
    <w:pPr>
      <w:tabs>
        <w:tab w:val="clear" w:pos="480"/>
      </w:tabs>
      <w:topLinePunct/>
      <w:adjustRightInd w:val="0"/>
      <w:spacing w:line="240" w:lineRule="atLeast"/>
      <w:jc w:val="center"/>
      <w:textAlignment w:val="bottom"/>
    </w:pPr>
    <w:rPr>
      <w:kern w:val="0"/>
      <w:sz w:val="21"/>
      <w:szCs w:val="20"/>
    </w:rPr>
  </w:style>
  <w:style w:type="paragraph" w:customStyle="1" w:styleId="1514">
    <w:name w:val="样式 宋体 小四 两端对齐 首行缩进:  0.85 厘米 行距: 1.5 倍行距"/>
    <w:basedOn w:val="1"/>
    <w:qFormat/>
    <w:uiPriority w:val="0"/>
    <w:pPr>
      <w:widowControl/>
      <w:tabs>
        <w:tab w:val="clear" w:pos="480"/>
      </w:tabs>
      <w:ind w:firstLine="482"/>
    </w:pPr>
    <w:rPr>
      <w:kern w:val="0"/>
      <w:szCs w:val="20"/>
    </w:rPr>
  </w:style>
  <w:style w:type="paragraph" w:customStyle="1" w:styleId="1515">
    <w:name w:val="p0"/>
    <w:basedOn w:val="1"/>
    <w:link w:val="3711"/>
    <w:qFormat/>
    <w:uiPriority w:val="0"/>
    <w:pPr>
      <w:widowControl/>
      <w:tabs>
        <w:tab w:val="clear" w:pos="480"/>
      </w:tabs>
      <w:spacing w:line="365" w:lineRule="atLeast"/>
      <w:ind w:left="1"/>
      <w:textAlignment w:val="bottom"/>
    </w:pPr>
    <w:rPr>
      <w:kern w:val="0"/>
      <w:sz w:val="20"/>
      <w:szCs w:val="20"/>
    </w:rPr>
  </w:style>
  <w:style w:type="paragraph" w:customStyle="1" w:styleId="1516">
    <w:name w:val="ljx正文1"/>
    <w:basedOn w:val="35"/>
    <w:semiHidden/>
    <w:qFormat/>
    <w:uiPriority w:val="0"/>
    <w:pPr>
      <w:tabs>
        <w:tab w:val="clear" w:pos="480"/>
      </w:tabs>
      <w:spacing w:line="240" w:lineRule="auto"/>
      <w:ind w:firstLine="0" w:firstLineChars="0"/>
    </w:pPr>
    <w:rPr>
      <w:kern w:val="0"/>
      <w:sz w:val="28"/>
      <w:szCs w:val="20"/>
    </w:rPr>
  </w:style>
  <w:style w:type="character" w:customStyle="1" w:styleId="1517">
    <w:name w:val="g 字元 字元"/>
    <w:semiHidden/>
    <w:qFormat/>
    <w:uiPriority w:val="0"/>
    <w:rPr>
      <w:rFonts w:ascii="宋体" w:hAnsi="宋体" w:eastAsia="宋体"/>
      <w:kern w:val="2"/>
      <w:sz w:val="18"/>
      <w:lang w:val="en-US" w:eastAsia="zh-CN"/>
    </w:rPr>
  </w:style>
  <w:style w:type="character" w:customStyle="1" w:styleId="1518">
    <w:name w:val="标题 2 Char Char Char Char Char Char Char1"/>
    <w:semiHidden/>
    <w:qFormat/>
    <w:uiPriority w:val="0"/>
    <w:rPr>
      <w:rFonts w:ascii="宋体" w:hAnsi="Arial" w:eastAsia="宋体"/>
      <w:b/>
      <w:kern w:val="2"/>
      <w:sz w:val="28"/>
      <w:lang w:val="en-US" w:eastAsia="zh-CN"/>
    </w:rPr>
  </w:style>
  <w:style w:type="character" w:customStyle="1" w:styleId="1519">
    <w:name w:val="表题 Char Char Char Char"/>
    <w:qFormat/>
    <w:uiPriority w:val="0"/>
    <w:rPr>
      <w:b/>
      <w:kern w:val="2"/>
      <w:sz w:val="24"/>
      <w:lang w:bidi="ar-SA"/>
    </w:rPr>
  </w:style>
  <w:style w:type="character" w:customStyle="1" w:styleId="1520">
    <w:name w:val="z21"/>
    <w:semiHidden/>
    <w:qFormat/>
    <w:uiPriority w:val="0"/>
    <w:rPr>
      <w:rFonts w:ascii="Arial" w:hAnsi="Arial" w:eastAsia="黑体"/>
      <w:color w:val="000000"/>
      <w:kern w:val="2"/>
      <w:sz w:val="15"/>
      <w:lang w:val="en-US" w:eastAsia="zh-CN"/>
    </w:rPr>
  </w:style>
  <w:style w:type="character" w:customStyle="1" w:styleId="1521">
    <w:name w:val="p21"/>
    <w:semiHidden/>
    <w:qFormat/>
    <w:uiPriority w:val="0"/>
    <w:rPr>
      <w:rFonts w:ascii="Arial" w:hAnsi="Arial" w:eastAsia="黑体"/>
      <w:b/>
      <w:kern w:val="2"/>
      <w:sz w:val="32"/>
      <w:lang w:val="en-US" w:eastAsia="zh-CN"/>
    </w:rPr>
  </w:style>
  <w:style w:type="character" w:customStyle="1" w:styleId="1522">
    <w:name w:val="style6"/>
    <w:semiHidden/>
    <w:qFormat/>
    <w:uiPriority w:val="0"/>
    <w:rPr>
      <w:rFonts w:ascii="Arial" w:hAnsi="Arial" w:eastAsia="黑体"/>
      <w:b/>
      <w:kern w:val="2"/>
      <w:sz w:val="32"/>
      <w:lang w:val="en-US" w:eastAsia="zh-CN"/>
    </w:rPr>
  </w:style>
  <w:style w:type="character" w:customStyle="1" w:styleId="1523">
    <w:name w:val="样式 标题 2标题 2 Char Char Char Char Char标题 2 Char Char Char Char C... Char"/>
    <w:link w:val="1524"/>
    <w:qFormat/>
    <w:uiPriority w:val="0"/>
    <w:rPr>
      <w:rFonts w:ascii="Arial" w:hAnsi="Arial" w:eastAsia="黑体"/>
      <w:b/>
      <w:bCs/>
      <w:color w:val="000000"/>
      <w:sz w:val="32"/>
      <w:szCs w:val="32"/>
      <w:lang w:bidi="ar-SA"/>
    </w:rPr>
  </w:style>
  <w:style w:type="paragraph" w:customStyle="1" w:styleId="1524">
    <w:name w:val="样式 标题 2标题 2 Char Char Char Char Char标题 2 Char Char Char Char C..."/>
    <w:basedOn w:val="4"/>
    <w:link w:val="1523"/>
    <w:qFormat/>
    <w:uiPriority w:val="0"/>
    <w:pPr>
      <w:tabs>
        <w:tab w:val="clear" w:pos="480"/>
        <w:tab w:val="clear" w:pos="630"/>
      </w:tabs>
      <w:spacing w:after="260" w:line="413" w:lineRule="auto"/>
    </w:pPr>
    <w:rPr>
      <w:rFonts w:ascii="Arial" w:hAnsi="Arial" w:eastAsia="黑体"/>
      <w:color w:val="000000"/>
      <w:kern w:val="0"/>
    </w:rPr>
  </w:style>
  <w:style w:type="character" w:customStyle="1" w:styleId="1525">
    <w:name w:val="weby2"/>
    <w:semiHidden/>
    <w:qFormat/>
    <w:uiPriority w:val="0"/>
    <w:rPr>
      <w:rFonts w:ascii="Arial" w:hAnsi="Arial" w:eastAsia="黑体"/>
      <w:b/>
      <w:kern w:val="2"/>
      <w:sz w:val="18"/>
      <w:lang w:val="en-US" w:eastAsia="zh-CN"/>
    </w:rPr>
  </w:style>
  <w:style w:type="paragraph" w:customStyle="1" w:styleId="1526">
    <w:name w:val="样式 标题 1标题 1 Char章标题 1标题2Head 1wsah1章节标题-*+b11.标题 1一、标..."/>
    <w:basedOn w:val="3"/>
    <w:qFormat/>
    <w:uiPriority w:val="0"/>
    <w:pPr>
      <w:tabs>
        <w:tab w:val="clear" w:pos="480"/>
      </w:tabs>
      <w:adjustRightInd w:val="0"/>
      <w:spacing w:beforeLines="100" w:afterLines="100"/>
      <w:jc w:val="center"/>
      <w:textAlignment w:val="baseline"/>
    </w:pPr>
    <w:rPr>
      <w:rFonts w:ascii="宋体" w:hAnsi="宋体" w:eastAsia="宋体"/>
      <w:bCs w:val="0"/>
      <w:kern w:val="0"/>
      <w:szCs w:val="20"/>
    </w:rPr>
  </w:style>
  <w:style w:type="paragraph" w:customStyle="1" w:styleId="1527">
    <w:name w:val="Char1 Char Char Char Char Char Char"/>
    <w:basedOn w:val="1"/>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528">
    <w:name w:val="三级目录"/>
    <w:basedOn w:val="5"/>
    <w:qFormat/>
    <w:uiPriority w:val="0"/>
    <w:pPr>
      <w:keepNext w:val="0"/>
      <w:tabs>
        <w:tab w:val="left" w:pos="720"/>
        <w:tab w:val="left" w:pos="1418"/>
        <w:tab w:val="clear" w:pos="480"/>
        <w:tab w:val="clear" w:pos="840"/>
      </w:tabs>
      <w:adjustRightInd w:val="0"/>
      <w:spacing w:beforeLines="50" w:afterLines="50" w:line="360" w:lineRule="auto"/>
      <w:jc w:val="left"/>
    </w:pPr>
    <w:rPr>
      <w:rFonts w:ascii="宋体" w:hAnsi="宋体" w:eastAsia="宋体"/>
      <w:b w:val="0"/>
      <w:bCs w:val="0"/>
      <w:color w:val="000000"/>
      <w:kern w:val="0"/>
      <w:sz w:val="24"/>
      <w:szCs w:val="20"/>
    </w:rPr>
  </w:style>
  <w:style w:type="paragraph" w:customStyle="1" w:styleId="1529">
    <w:name w:val="cs10 additive Default Pa"/>
    <w:semiHidden/>
    <w:qFormat/>
    <w:uiPriority w:val="0"/>
    <w:pPr>
      <w:widowControl w:val="0"/>
      <w:autoSpaceDE w:val="0"/>
      <w:autoSpaceDN w:val="0"/>
      <w:adjustRightIn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30">
    <w:name w:val="Char Char Char Char Char Char Char Char Char Char Char Char Char Char Char"/>
    <w:next w:val="1"/>
    <w:qFormat/>
    <w:uiPriority w:val="0"/>
    <w:pPr>
      <w:tabs>
        <w:tab w:val="left" w:pos="700"/>
      </w:tabs>
      <w:snapToGrid w:val="0"/>
      <w:spacing w:line="300" w:lineRule="auto"/>
      <w:ind w:firstLine="200" w:firstLineChars="200"/>
      <w:jc w:val="both"/>
    </w:pPr>
    <w:rPr>
      <w:rFonts w:ascii="仿宋_GB2312" w:hAnsi="Verdana" w:eastAsia="仿宋_GB2312" w:cs="Times New Roman"/>
      <w:b/>
      <w:snapToGrid w:val="0"/>
      <w:kern w:val="2"/>
      <w:sz w:val="28"/>
      <w:szCs w:val="24"/>
      <w:lang w:val="en-US" w:eastAsia="en-US" w:bidi="ar-SA"/>
    </w:rPr>
  </w:style>
  <w:style w:type="paragraph" w:customStyle="1" w:styleId="1531">
    <w:name w:val="一级目录"/>
    <w:basedOn w:val="3"/>
    <w:qFormat/>
    <w:uiPriority w:val="0"/>
    <w:pPr>
      <w:tabs>
        <w:tab w:val="clear" w:pos="480"/>
      </w:tabs>
      <w:adjustRightInd w:val="0"/>
      <w:spacing w:beforeLines="50" w:afterLines="50"/>
      <w:jc w:val="center"/>
      <w:textAlignment w:val="baseline"/>
    </w:pPr>
    <w:rPr>
      <w:rFonts w:ascii="宋体" w:hAnsi="宋体" w:eastAsia="宋体"/>
      <w:bCs w:val="0"/>
      <w:sz w:val="32"/>
      <w:szCs w:val="20"/>
    </w:rPr>
  </w:style>
  <w:style w:type="paragraph" w:customStyle="1" w:styleId="1532">
    <w:name w:val="style"/>
    <w:basedOn w:val="1"/>
    <w:semiHidden/>
    <w:qFormat/>
    <w:uiPriority w:val="0"/>
    <w:pPr>
      <w:widowControl/>
      <w:tabs>
        <w:tab w:val="clear" w:pos="480"/>
      </w:tabs>
      <w:spacing w:before="100" w:beforeAutospacing="1" w:after="100" w:afterAutospacing="1" w:line="240" w:lineRule="auto"/>
      <w:jc w:val="left"/>
    </w:pPr>
    <w:rPr>
      <w:rFonts w:hint="eastAsia" w:ascii="宋体" w:hAnsi="宋体"/>
      <w:kern w:val="0"/>
      <w:szCs w:val="20"/>
    </w:rPr>
  </w:style>
  <w:style w:type="paragraph" w:customStyle="1" w:styleId="1533">
    <w:name w:val="样式 标题 2标题 2 Char Char Char Char Char标题 2 Char Char Char Char C...1"/>
    <w:basedOn w:val="4"/>
    <w:qFormat/>
    <w:uiPriority w:val="0"/>
    <w:pPr>
      <w:tabs>
        <w:tab w:val="clear" w:pos="480"/>
        <w:tab w:val="clear" w:pos="630"/>
      </w:tabs>
      <w:spacing w:beforeLines="50" w:afterLines="50"/>
    </w:pPr>
    <w:rPr>
      <w:bCs w:val="0"/>
      <w:color w:val="000000"/>
      <w:szCs w:val="20"/>
    </w:rPr>
  </w:style>
  <w:style w:type="paragraph" w:customStyle="1" w:styleId="1534">
    <w:name w:val="样式 列表 + 左侧:  0 厘米 悬挂缩进: 2 字符"/>
    <w:basedOn w:val="66"/>
    <w:qFormat/>
    <w:uiPriority w:val="0"/>
    <w:pPr/>
    <w:rPr>
      <w:b/>
      <w:sz w:val="28"/>
      <w:szCs w:val="20"/>
    </w:rPr>
  </w:style>
  <w:style w:type="paragraph" w:customStyle="1" w:styleId="1535">
    <w:name w:val="样式 标题 2标题 2 Char Char Char Char Char标题 2 Char Char Char Char C...2"/>
    <w:basedOn w:val="4"/>
    <w:qFormat/>
    <w:uiPriority w:val="0"/>
    <w:pPr>
      <w:tabs>
        <w:tab w:val="clear" w:pos="480"/>
        <w:tab w:val="clear" w:pos="630"/>
      </w:tabs>
      <w:spacing w:before="120"/>
    </w:pPr>
    <w:rPr>
      <w:rFonts w:ascii="宋体" w:hAnsi="宋体"/>
      <w:bCs w:val="0"/>
      <w:sz w:val="30"/>
      <w:szCs w:val="20"/>
    </w:rPr>
  </w:style>
  <w:style w:type="paragraph" w:customStyle="1" w:styleId="1536">
    <w:name w:val="字元 字元"/>
    <w:basedOn w:val="1"/>
    <w:semiHidden/>
    <w:qFormat/>
    <w:uiPriority w:val="0"/>
    <w:pPr>
      <w:tabs>
        <w:tab w:val="clear" w:pos="480"/>
      </w:tabs>
      <w:spacing w:line="240" w:lineRule="auto"/>
    </w:pPr>
    <w:rPr>
      <w:sz w:val="21"/>
      <w:szCs w:val="20"/>
    </w:rPr>
  </w:style>
  <w:style w:type="paragraph" w:customStyle="1" w:styleId="1537">
    <w:name w:val="公式1"/>
    <w:basedOn w:val="1"/>
    <w:qFormat/>
    <w:uiPriority w:val="0"/>
    <w:pPr>
      <w:tabs>
        <w:tab w:val="clear" w:pos="480"/>
      </w:tabs>
      <w:spacing w:beforeLines="50" w:line="400" w:lineRule="exact"/>
      <w:ind w:firstLine="480"/>
    </w:pPr>
    <w:rPr>
      <w:rFonts w:ascii="Century Gothic" w:hAnsi="Century Gothic"/>
      <w:szCs w:val="20"/>
    </w:rPr>
  </w:style>
  <w:style w:type="paragraph" w:customStyle="1" w:styleId="1538">
    <w:name w:val="text"/>
    <w:basedOn w:val="1"/>
    <w:qFormat/>
    <w:uiPriority w:val="0"/>
    <w:pPr>
      <w:widowControl/>
      <w:tabs>
        <w:tab w:val="clear" w:pos="480"/>
      </w:tabs>
      <w:spacing w:before="100" w:beforeAutospacing="1" w:after="100" w:afterAutospacing="1" w:line="264" w:lineRule="auto"/>
    </w:pPr>
    <w:rPr>
      <w:rFonts w:ascii="宋体"/>
      <w:kern w:val="0"/>
      <w:sz w:val="18"/>
      <w:szCs w:val="20"/>
    </w:rPr>
  </w:style>
  <w:style w:type="paragraph" w:customStyle="1" w:styleId="1539">
    <w:name w:val="二级目录"/>
    <w:basedOn w:val="4"/>
    <w:qFormat/>
    <w:uiPriority w:val="0"/>
    <w:pPr>
      <w:tabs>
        <w:tab w:val="clear" w:pos="480"/>
        <w:tab w:val="clear" w:pos="630"/>
      </w:tabs>
      <w:spacing w:before="120"/>
      <w:jc w:val="left"/>
    </w:pPr>
    <w:rPr>
      <w:rFonts w:ascii="宋体" w:hAnsi="Arial"/>
      <w:bCs w:val="0"/>
      <w:kern w:val="0"/>
      <w:sz w:val="28"/>
      <w:szCs w:val="20"/>
    </w:rPr>
  </w:style>
  <w:style w:type="paragraph" w:customStyle="1" w:styleId="1540">
    <w:name w:val="图名"/>
    <w:basedOn w:val="1"/>
    <w:next w:val="557"/>
    <w:qFormat/>
    <w:uiPriority w:val="0"/>
    <w:pPr>
      <w:tabs>
        <w:tab w:val="clear" w:pos="480"/>
      </w:tabs>
      <w:snapToGrid w:val="0"/>
      <w:spacing w:line="300" w:lineRule="auto"/>
      <w:jc w:val="center"/>
    </w:pPr>
    <w:rPr>
      <w:b/>
      <w:spacing w:val="10"/>
      <w:szCs w:val="20"/>
    </w:rPr>
  </w:style>
  <w:style w:type="paragraph" w:customStyle="1" w:styleId="1541">
    <w:name w:val="样式 标题 3标题 3 Char条标题1.1.1ReHead 3 WSAh3BSH-3H3b33rd leve..."/>
    <w:basedOn w:val="5"/>
    <w:qFormat/>
    <w:uiPriority w:val="0"/>
    <w:pPr>
      <w:keepNext w:val="0"/>
      <w:tabs>
        <w:tab w:val="left" w:pos="720"/>
        <w:tab w:val="left" w:pos="1418"/>
        <w:tab w:val="clear" w:pos="480"/>
        <w:tab w:val="clear" w:pos="840"/>
      </w:tabs>
      <w:adjustRightInd w:val="0"/>
      <w:spacing w:beforeLines="50" w:afterLines="50" w:line="360" w:lineRule="auto"/>
      <w:jc w:val="left"/>
    </w:pPr>
    <w:rPr>
      <w:rFonts w:ascii="Times New Roman" w:eastAsia="宋体"/>
      <w:bCs w:val="0"/>
      <w:szCs w:val="20"/>
    </w:rPr>
  </w:style>
  <w:style w:type="paragraph" w:customStyle="1" w:styleId="1542">
    <w:name w:val="第四节"/>
    <w:basedOn w:val="1"/>
    <w:qFormat/>
    <w:uiPriority w:val="0"/>
    <w:pPr>
      <w:tabs>
        <w:tab w:val="clear" w:pos="480"/>
      </w:tabs>
      <w:spacing w:beforeLines="150"/>
      <w:ind w:firstLine="358" w:firstLineChars="119"/>
      <w:jc w:val="left"/>
    </w:pPr>
    <w:rPr>
      <w:rFonts w:eastAsia="黑体"/>
      <w:b/>
      <w:kern w:val="0"/>
      <w:sz w:val="30"/>
      <w:szCs w:val="20"/>
    </w:rPr>
  </w:style>
  <w:style w:type="paragraph" w:customStyle="1" w:styleId="1543">
    <w:name w:val="表格名称"/>
    <w:basedOn w:val="1"/>
    <w:link w:val="3868"/>
    <w:qFormat/>
    <w:uiPriority w:val="0"/>
    <w:pPr>
      <w:tabs>
        <w:tab w:val="clear" w:pos="480"/>
      </w:tabs>
      <w:ind w:firstLine="489" w:firstLineChars="203"/>
    </w:pPr>
    <w:rPr>
      <w:b/>
      <w:szCs w:val="20"/>
    </w:rPr>
  </w:style>
  <w:style w:type="paragraph" w:customStyle="1" w:styleId="1544">
    <w:name w:val="Char Char Char Char Char Char Char Char Char Char Char Char Char Char Char Char Char Char Char"/>
    <w:basedOn w:val="1"/>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545">
    <w:name w:val="字元 字元1"/>
    <w:basedOn w:val="1"/>
    <w:semiHidden/>
    <w:qFormat/>
    <w:uiPriority w:val="0"/>
    <w:pPr>
      <w:tabs>
        <w:tab w:val="clear" w:pos="480"/>
      </w:tabs>
      <w:spacing w:line="240" w:lineRule="auto"/>
    </w:pPr>
    <w:rPr>
      <w:sz w:val="21"/>
      <w:szCs w:val="20"/>
    </w:rPr>
  </w:style>
  <w:style w:type="paragraph" w:customStyle="1" w:styleId="1546">
    <w:name w:val="图表文"/>
    <w:basedOn w:val="1"/>
    <w:qFormat/>
    <w:uiPriority w:val="0"/>
    <w:pPr>
      <w:tabs>
        <w:tab w:val="clear" w:pos="480"/>
      </w:tabs>
      <w:spacing w:line="240" w:lineRule="auto"/>
      <w:jc w:val="center"/>
    </w:pPr>
    <w:rPr>
      <w:sz w:val="21"/>
      <w:szCs w:val="20"/>
    </w:rPr>
  </w:style>
  <w:style w:type="paragraph" w:customStyle="1" w:styleId="1547">
    <w:name w:val="论文5号样式"/>
    <w:basedOn w:val="1"/>
    <w:qFormat/>
    <w:uiPriority w:val="0"/>
    <w:pPr>
      <w:tabs>
        <w:tab w:val="left" w:pos="360"/>
        <w:tab w:val="clear" w:pos="480"/>
      </w:tabs>
      <w:spacing w:line="240" w:lineRule="auto"/>
    </w:pPr>
    <w:rPr>
      <w:b/>
      <w:sz w:val="28"/>
      <w:szCs w:val="20"/>
    </w:rPr>
  </w:style>
  <w:style w:type="paragraph" w:customStyle="1" w:styleId="1548">
    <w:name w:val="样式 表格2 + 首行缩进:  1 字符 段前: 0.1 行 段后: 0.1 行"/>
    <w:basedOn w:val="1"/>
    <w:qFormat/>
    <w:uiPriority w:val="0"/>
    <w:pPr>
      <w:tabs>
        <w:tab w:val="clear" w:pos="480"/>
      </w:tabs>
      <w:adjustRightInd w:val="0"/>
      <w:snapToGrid w:val="0"/>
      <w:spacing w:line="240" w:lineRule="atLeast"/>
      <w:jc w:val="center"/>
      <w:textAlignment w:val="baseline"/>
    </w:pPr>
    <w:rPr>
      <w:rFonts w:hAnsi="宋体"/>
      <w:spacing w:val="8"/>
      <w:sz w:val="21"/>
      <w:szCs w:val="20"/>
    </w:rPr>
  </w:style>
  <w:style w:type="paragraph" w:customStyle="1" w:styleId="1549">
    <w:name w:val="表頭"/>
    <w:basedOn w:val="1"/>
    <w:qFormat/>
    <w:uiPriority w:val="0"/>
    <w:pPr>
      <w:tabs>
        <w:tab w:val="clear" w:pos="480"/>
      </w:tabs>
      <w:spacing w:before="120" w:after="120" w:line="400" w:lineRule="exact"/>
      <w:ind w:firstLine="482"/>
      <w:jc w:val="center"/>
    </w:pPr>
    <w:rPr>
      <w:rFonts w:eastAsia="DFKai-SB"/>
      <w:b/>
      <w:spacing w:val="20"/>
      <w:kern w:val="0"/>
      <w:szCs w:val="20"/>
      <w:lang w:eastAsia="zh-TW"/>
    </w:rPr>
  </w:style>
  <w:style w:type="paragraph" w:customStyle="1" w:styleId="1550">
    <w:name w:val="广西表"/>
    <w:basedOn w:val="1"/>
    <w:qFormat/>
    <w:uiPriority w:val="0"/>
    <w:pPr>
      <w:tabs>
        <w:tab w:val="left" w:pos="900"/>
        <w:tab w:val="clear" w:pos="480"/>
      </w:tabs>
      <w:spacing w:line="240" w:lineRule="auto"/>
      <w:jc w:val="center"/>
    </w:pPr>
    <w:rPr>
      <w:rFonts w:ascii="宋体"/>
      <w:kern w:val="0"/>
      <w:sz w:val="21"/>
      <w:szCs w:val="20"/>
      <w:u w:color="000000"/>
      <w:lang w:val="sq-AL"/>
    </w:rPr>
  </w:style>
  <w:style w:type="table" w:customStyle="1" w:styleId="1551">
    <w:name w:val="网格型3"/>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2">
    <w:name w:val="字元 字元1 Char Char"/>
    <w:basedOn w:val="1"/>
    <w:semiHidden/>
    <w:qFormat/>
    <w:uiPriority w:val="0"/>
    <w:pPr>
      <w:tabs>
        <w:tab w:val="clear" w:pos="480"/>
      </w:tabs>
      <w:spacing w:line="240" w:lineRule="auto"/>
    </w:pPr>
    <w:rPr>
      <w:sz w:val="21"/>
      <w:szCs w:val="21"/>
    </w:rPr>
  </w:style>
  <w:style w:type="paragraph" w:customStyle="1" w:styleId="1553">
    <w:name w:val="表格内容自定"/>
    <w:basedOn w:val="1"/>
    <w:semiHidden/>
    <w:qFormat/>
    <w:uiPriority w:val="0"/>
    <w:pPr>
      <w:tabs>
        <w:tab w:val="clear" w:pos="480"/>
      </w:tabs>
      <w:spacing w:line="280" w:lineRule="exact"/>
      <w:jc w:val="center"/>
    </w:pPr>
    <w:rPr>
      <w:kern w:val="0"/>
      <w:sz w:val="18"/>
      <w:szCs w:val="21"/>
    </w:rPr>
  </w:style>
  <w:style w:type="table" w:customStyle="1" w:styleId="1554">
    <w:name w:val="网格型4"/>
    <w:basedOn w:val="88"/>
    <w:qFormat/>
    <w:uiPriority w:val="59"/>
    <w:pPr>
      <w:widowControl w:val="0"/>
      <w:spacing w:line="40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5">
    <w:name w:val="文章正文"/>
    <w:basedOn w:val="1"/>
    <w:link w:val="1556"/>
    <w:qFormat/>
    <w:uiPriority w:val="0"/>
    <w:pPr>
      <w:tabs>
        <w:tab w:val="clear" w:pos="480"/>
      </w:tabs>
      <w:jc w:val="left"/>
    </w:pPr>
    <w:rPr>
      <w:rFonts w:eastAsia="仿宋_GB2312"/>
      <w:kern w:val="0"/>
      <w:sz w:val="28"/>
      <w:lang w:val="zh-CN"/>
    </w:rPr>
  </w:style>
  <w:style w:type="character" w:customStyle="1" w:styleId="1556">
    <w:name w:val="文章正文 Char"/>
    <w:link w:val="1555"/>
    <w:qFormat/>
    <w:uiPriority w:val="0"/>
    <w:rPr>
      <w:rFonts w:eastAsia="仿宋_GB2312"/>
      <w:sz w:val="28"/>
      <w:szCs w:val="24"/>
      <w:lang w:bidi="ar-SA"/>
    </w:rPr>
  </w:style>
  <w:style w:type="character" w:customStyle="1" w:styleId="1557">
    <w:name w:val="标题 2 Char Char Char Char Char Char"/>
    <w:semiHidden/>
    <w:qFormat/>
    <w:uiPriority w:val="0"/>
    <w:rPr>
      <w:rFonts w:eastAsia="宋体"/>
      <w:b/>
      <w:bCs/>
      <w:kern w:val="2"/>
      <w:sz w:val="36"/>
      <w:szCs w:val="32"/>
      <w:lang w:val="en-US" w:eastAsia="zh-CN" w:bidi="ar-SA"/>
    </w:rPr>
  </w:style>
  <w:style w:type="paragraph" w:customStyle="1" w:styleId="1558">
    <w:name w:val="general description- new"/>
    <w:basedOn w:val="1"/>
    <w:semiHidden/>
    <w:qFormat/>
    <w:uiPriority w:val="0"/>
    <w:pPr>
      <w:widowControl/>
      <w:tabs>
        <w:tab w:val="left" w:pos="-1530"/>
        <w:tab w:val="clear" w:pos="480"/>
      </w:tabs>
      <w:suppressAutoHyphens/>
      <w:overflowPunct w:val="0"/>
      <w:autoSpaceDE w:val="0"/>
      <w:autoSpaceDN w:val="0"/>
      <w:adjustRightInd w:val="0"/>
      <w:spacing w:line="288" w:lineRule="auto"/>
      <w:ind w:left="2160" w:hanging="720"/>
      <w:jc w:val="left"/>
      <w:textAlignment w:val="baseline"/>
    </w:pPr>
    <w:rPr>
      <w:b/>
      <w:kern w:val="0"/>
      <w:szCs w:val="20"/>
      <w:lang w:val="en-GB" w:eastAsia="en-US"/>
    </w:rPr>
  </w:style>
  <w:style w:type="character" w:customStyle="1" w:styleId="1559">
    <w:name w:val="文本 Char"/>
    <w:link w:val="1424"/>
    <w:qFormat/>
    <w:uiPriority w:val="0"/>
    <w:rPr>
      <w:rFonts w:ascii="宋体" w:eastAsia="宋体"/>
      <w:sz w:val="28"/>
      <w:lang w:bidi="ar-SA"/>
    </w:rPr>
  </w:style>
  <w:style w:type="paragraph" w:customStyle="1" w:styleId="1560">
    <w:name w:val="样式 小三 加粗 居中"/>
    <w:basedOn w:val="1"/>
    <w:qFormat/>
    <w:uiPriority w:val="0"/>
    <w:pPr>
      <w:pageBreakBefore/>
      <w:tabs>
        <w:tab w:val="clear" w:pos="480"/>
      </w:tabs>
      <w:ind w:firstLine="420"/>
      <w:jc w:val="center"/>
    </w:pPr>
    <w:rPr>
      <w:rFonts w:cs="宋体"/>
      <w:b/>
      <w:bCs/>
      <w:sz w:val="30"/>
      <w:szCs w:val="20"/>
    </w:rPr>
  </w:style>
  <w:style w:type="paragraph" w:customStyle="1" w:styleId="1561">
    <w:name w:val="样式 文本 + 加粗 首行缩进:  2 字符"/>
    <w:basedOn w:val="1424"/>
    <w:qFormat/>
    <w:uiPriority w:val="0"/>
    <w:pPr>
      <w:autoSpaceDE w:val="0"/>
      <w:autoSpaceDN w:val="0"/>
      <w:spacing w:line="520" w:lineRule="exact"/>
      <w:jc w:val="both"/>
      <w:textAlignment w:val="auto"/>
    </w:pPr>
    <w:rPr>
      <w:rFonts w:ascii="Times New Roman" w:cs="宋体"/>
      <w:b/>
      <w:bCs/>
      <w:kern w:val="2"/>
    </w:rPr>
  </w:style>
  <w:style w:type="paragraph" w:customStyle="1" w:styleId="1562">
    <w:name w:val="样式 标题 4H4H41Subsection + 首行缩进:  9.75 厘米"/>
    <w:basedOn w:val="6"/>
    <w:qFormat/>
    <w:uiPriority w:val="0"/>
    <w:pPr>
      <w:keepNext w:val="0"/>
      <w:keepLines w:val="0"/>
      <w:numPr>
        <w:ilvl w:val="0"/>
        <w:numId w:val="0"/>
      </w:numPr>
      <w:tabs>
        <w:tab w:val="clear" w:pos="480"/>
      </w:tabs>
      <w:overflowPunct w:val="0"/>
      <w:spacing w:before="0" w:after="0"/>
      <w:jc w:val="center"/>
      <w:outlineLvl w:val="9"/>
    </w:pPr>
    <w:rPr>
      <w:rFonts w:ascii="Times New Roman" w:hAnsi="Times New Roman" w:eastAsia="宋体"/>
      <w:b w:val="0"/>
      <w:bCs w:val="0"/>
      <w:color w:val="0000FF"/>
      <w:kern w:val="0"/>
      <w:szCs w:val="20"/>
    </w:rPr>
  </w:style>
  <w:style w:type="paragraph" w:styleId="1563">
    <w:name w:val="No Spacing"/>
    <w:link w:val="2664"/>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564">
    <w:name w:val="style31"/>
    <w:qFormat/>
    <w:uiPriority w:val="0"/>
    <w:rPr>
      <w:color w:val="145DA7"/>
    </w:rPr>
  </w:style>
  <w:style w:type="paragraph" w:customStyle="1" w:styleId="1565">
    <w:name w:val="通舟正文"/>
    <w:basedOn w:val="1"/>
    <w:link w:val="1566"/>
    <w:qFormat/>
    <w:uiPriority w:val="0"/>
    <w:pPr>
      <w:widowControl/>
      <w:tabs>
        <w:tab w:val="clear" w:pos="480"/>
      </w:tabs>
      <w:spacing w:beforeLines="50" w:line="440" w:lineRule="exact"/>
      <w:jc w:val="left"/>
    </w:pPr>
    <w:rPr>
      <w:rFonts w:eastAsia="仿宋_GB2312"/>
      <w:kern w:val="0"/>
      <w:sz w:val="28"/>
      <w:szCs w:val="20"/>
      <w:lang w:val="zh-CN"/>
    </w:rPr>
  </w:style>
  <w:style w:type="character" w:customStyle="1" w:styleId="1566">
    <w:name w:val="通舟正文 Char"/>
    <w:link w:val="1565"/>
    <w:qFormat/>
    <w:uiPriority w:val="0"/>
    <w:rPr>
      <w:rFonts w:eastAsia="仿宋_GB2312"/>
      <w:sz w:val="28"/>
      <w:lang w:bidi="ar-SA"/>
    </w:rPr>
  </w:style>
  <w:style w:type="paragraph" w:customStyle="1" w:styleId="1567">
    <w:name w:val="正文格式"/>
    <w:next w:val="1"/>
    <w:link w:val="1568"/>
    <w:qFormat/>
    <w:uiPriority w:val="0"/>
    <w:pPr>
      <w:spacing w:beforeLines="50" w:line="440" w:lineRule="exact"/>
      <w:ind w:firstLine="560" w:firstLineChars="200"/>
      <w:jc w:val="both"/>
    </w:pPr>
    <w:rPr>
      <w:rFonts w:ascii="Times New Roman" w:hAnsi="Times New Roman" w:eastAsia="仿宋_GB2312" w:cs="Times New Roman"/>
      <w:kern w:val="2"/>
      <w:sz w:val="28"/>
      <w:szCs w:val="28"/>
      <w:lang w:val="en-US" w:eastAsia="zh-CN" w:bidi="ar-SA"/>
    </w:rPr>
  </w:style>
  <w:style w:type="character" w:customStyle="1" w:styleId="1568">
    <w:name w:val="正文格式 Char"/>
    <w:link w:val="1567"/>
    <w:qFormat/>
    <w:uiPriority w:val="0"/>
    <w:rPr>
      <w:rFonts w:eastAsia="仿宋_GB2312"/>
      <w:sz w:val="28"/>
      <w:szCs w:val="28"/>
      <w:lang w:bidi="ar-SA"/>
    </w:rPr>
  </w:style>
  <w:style w:type="character" w:customStyle="1" w:styleId="1569">
    <w:name w:val="c Char1"/>
    <w:semiHidden/>
    <w:qFormat/>
    <w:uiPriority w:val="0"/>
    <w:rPr>
      <w:rFonts w:eastAsia="仿宋_GB2312" w:cs="宋体"/>
      <w:kern w:val="2"/>
      <w:sz w:val="28"/>
      <w:lang w:val="en-US" w:eastAsia="zh-CN" w:bidi="ar-SA"/>
    </w:rPr>
  </w:style>
  <w:style w:type="character" w:customStyle="1" w:styleId="1570">
    <w:name w:val="ccc Char"/>
    <w:semiHidden/>
    <w:qFormat/>
    <w:uiPriority w:val="0"/>
    <w:rPr>
      <w:rFonts w:eastAsia="仿宋_GB2312"/>
      <w:bCs/>
      <w:iCs/>
      <w:color w:val="000000"/>
      <w:kern w:val="2"/>
      <w:sz w:val="28"/>
      <w:lang w:val="en-US" w:eastAsia="zh-CN" w:bidi="ar-SA"/>
    </w:rPr>
  </w:style>
  <w:style w:type="character" w:customStyle="1" w:styleId="1571">
    <w:name w:val="size13"/>
    <w:basedOn w:val="133"/>
    <w:semiHidden/>
    <w:qFormat/>
    <w:uiPriority w:val="0"/>
  </w:style>
  <w:style w:type="character" w:customStyle="1" w:styleId="1572">
    <w:name w:val="Section Char Char"/>
    <w:semiHidden/>
    <w:qFormat/>
    <w:uiPriority w:val="0"/>
    <w:rPr>
      <w:rFonts w:ascii="宋体" w:eastAsia="宋体"/>
      <w:b/>
      <w:color w:val="000000"/>
      <w:w w:val="90"/>
      <w:sz w:val="28"/>
      <w:lang w:val="en-US" w:eastAsia="zh-CN" w:bidi="ar-SA"/>
    </w:rPr>
  </w:style>
  <w:style w:type="paragraph" w:customStyle="1" w:styleId="1573">
    <w:name w:val="正文1.2"/>
    <w:qFormat/>
    <w:uiPriority w:val="0"/>
    <w:pPr>
      <w:spacing w:line="500" w:lineRule="exact"/>
      <w:ind w:firstLine="560" w:firstLineChars="200"/>
      <w:jc w:val="both"/>
    </w:pPr>
    <w:rPr>
      <w:rFonts w:ascii="Times New Roman" w:hAnsi="Times New Roman" w:eastAsia="宋体" w:cs="Times New Roman"/>
      <w:color w:val="FF0000"/>
      <w:kern w:val="2"/>
      <w:sz w:val="28"/>
      <w:szCs w:val="28"/>
      <w:lang w:val="en-US" w:eastAsia="zh-CN" w:bidi="ar-SA"/>
    </w:rPr>
  </w:style>
  <w:style w:type="paragraph" w:customStyle="1" w:styleId="1574">
    <w:name w:val="表格文本"/>
    <w:basedOn w:val="1"/>
    <w:semiHidden/>
    <w:qFormat/>
    <w:uiPriority w:val="0"/>
    <w:pPr>
      <w:tabs>
        <w:tab w:val="clear" w:pos="480"/>
      </w:tabs>
      <w:adjustRightInd w:val="0"/>
      <w:spacing w:line="240" w:lineRule="auto"/>
      <w:jc w:val="center"/>
      <w:textAlignment w:val="baseline"/>
    </w:pPr>
    <w:rPr>
      <w:kern w:val="0"/>
      <w:szCs w:val="20"/>
    </w:rPr>
  </w:style>
  <w:style w:type="paragraph" w:customStyle="1" w:styleId="1575">
    <w:name w:val="表图标题"/>
    <w:basedOn w:val="1"/>
    <w:link w:val="1576"/>
    <w:qFormat/>
    <w:uiPriority w:val="0"/>
    <w:pPr>
      <w:tabs>
        <w:tab w:val="left" w:pos="3960"/>
        <w:tab w:val="clear" w:pos="480"/>
      </w:tabs>
    </w:pPr>
    <w:rPr>
      <w:b/>
      <w:bCs/>
      <w:kern w:val="0"/>
      <w:lang w:val="zh-CN"/>
    </w:rPr>
  </w:style>
  <w:style w:type="character" w:customStyle="1" w:styleId="1576">
    <w:name w:val="表图标题 Char"/>
    <w:link w:val="1575"/>
    <w:qFormat/>
    <w:uiPriority w:val="0"/>
    <w:rPr>
      <w:rFonts w:eastAsia="宋体"/>
      <w:b/>
      <w:bCs/>
      <w:sz w:val="24"/>
      <w:szCs w:val="24"/>
      <w:lang w:bidi="ar-SA"/>
    </w:rPr>
  </w:style>
  <w:style w:type="paragraph" w:customStyle="1" w:styleId="1577">
    <w:name w:val="表头编号"/>
    <w:basedOn w:val="1"/>
    <w:link w:val="1578"/>
    <w:qFormat/>
    <w:uiPriority w:val="0"/>
    <w:pPr>
      <w:tabs>
        <w:tab w:val="clear" w:pos="480"/>
      </w:tabs>
      <w:snapToGrid w:val="0"/>
      <w:spacing w:line="240" w:lineRule="atLeast"/>
      <w:jc w:val="right"/>
    </w:pPr>
    <w:rPr>
      <w:b/>
      <w:color w:val="000000"/>
      <w:spacing w:val="-2"/>
      <w:kern w:val="0"/>
      <w:sz w:val="18"/>
      <w:szCs w:val="20"/>
      <w:lang w:val="zh-CN"/>
    </w:rPr>
  </w:style>
  <w:style w:type="character" w:customStyle="1" w:styleId="1578">
    <w:name w:val="表头编号 Char1"/>
    <w:link w:val="1577"/>
    <w:qFormat/>
    <w:uiPriority w:val="0"/>
    <w:rPr>
      <w:rFonts w:eastAsia="宋体"/>
      <w:b/>
      <w:color w:val="000000"/>
      <w:spacing w:val="-2"/>
      <w:sz w:val="18"/>
      <w:lang w:bidi="ar-SA"/>
    </w:rPr>
  </w:style>
  <w:style w:type="paragraph" w:customStyle="1" w:styleId="1579">
    <w:name w:val="表头编号 Char"/>
    <w:basedOn w:val="1"/>
    <w:link w:val="1580"/>
    <w:qFormat/>
    <w:uiPriority w:val="0"/>
    <w:pPr>
      <w:tabs>
        <w:tab w:val="clear" w:pos="480"/>
      </w:tabs>
      <w:snapToGrid w:val="0"/>
      <w:spacing w:line="240" w:lineRule="atLeast"/>
      <w:ind w:left="498" w:hanging="498" w:hangingChars="200"/>
      <w:jc w:val="right"/>
    </w:pPr>
    <w:rPr>
      <w:b/>
      <w:color w:val="000000"/>
      <w:spacing w:val="-2"/>
      <w:kern w:val="0"/>
      <w:sz w:val="20"/>
      <w:szCs w:val="20"/>
      <w:lang w:val="zh-CN"/>
    </w:rPr>
  </w:style>
  <w:style w:type="character" w:customStyle="1" w:styleId="1580">
    <w:name w:val="表头编号 Char Char"/>
    <w:link w:val="1579"/>
    <w:qFormat/>
    <w:uiPriority w:val="0"/>
    <w:rPr>
      <w:rFonts w:eastAsia="宋体"/>
      <w:b/>
      <w:color w:val="000000"/>
      <w:spacing w:val="-2"/>
      <w:lang w:bidi="ar-SA"/>
    </w:rPr>
  </w:style>
  <w:style w:type="paragraph" w:customStyle="1" w:styleId="1581">
    <w:name w:val="汇报材料正文"/>
    <w:basedOn w:val="1"/>
    <w:link w:val="1582"/>
    <w:qFormat/>
    <w:uiPriority w:val="0"/>
    <w:pPr>
      <w:tabs>
        <w:tab w:val="clear" w:pos="480"/>
      </w:tabs>
      <w:adjustRightInd w:val="0"/>
      <w:snapToGrid w:val="0"/>
      <w:ind w:firstLine="530"/>
      <w:jc w:val="left"/>
    </w:pPr>
    <w:rPr>
      <w:rFonts w:ascii="宋体"/>
      <w:bCs/>
      <w:snapToGrid w:val="0"/>
      <w:spacing w:val="16"/>
      <w:kern w:val="0"/>
      <w:szCs w:val="20"/>
      <w:lang w:val="zh-CN"/>
    </w:rPr>
  </w:style>
  <w:style w:type="character" w:customStyle="1" w:styleId="1582">
    <w:name w:val="汇报材料正文 Char"/>
    <w:link w:val="1581"/>
    <w:qFormat/>
    <w:uiPriority w:val="0"/>
    <w:rPr>
      <w:rFonts w:ascii="宋体" w:eastAsia="宋体"/>
      <w:bCs/>
      <w:snapToGrid w:val="0"/>
      <w:spacing w:val="16"/>
      <w:sz w:val="24"/>
      <w:lang w:bidi="ar-SA"/>
    </w:rPr>
  </w:style>
  <w:style w:type="paragraph" w:customStyle="1" w:styleId="1583">
    <w:name w:val="正文1.5倍行距 Char"/>
    <w:qFormat/>
    <w:uiPriority w:val="0"/>
    <w:pPr>
      <w:adjustRightInd w:val="0"/>
      <w:snapToGrid w:val="0"/>
      <w:spacing w:line="360" w:lineRule="auto"/>
      <w:ind w:firstLine="560" w:firstLineChars="200"/>
      <w:jc w:val="both"/>
    </w:pPr>
    <w:rPr>
      <w:rFonts w:ascii="宋体" w:hAnsi="宋体" w:eastAsia="宋体" w:cs="Times New Roman"/>
      <w:bCs/>
      <w:color w:val="FF6600"/>
      <w:kern w:val="2"/>
      <w:sz w:val="28"/>
      <w:szCs w:val="28"/>
      <w:lang w:val="en-US" w:eastAsia="zh-CN" w:bidi="ar-SA"/>
    </w:rPr>
  </w:style>
  <w:style w:type="character" w:customStyle="1" w:styleId="1584">
    <w:name w:val="正文1.5倍行距 Char Char"/>
    <w:qFormat/>
    <w:uiPriority w:val="0"/>
    <w:rPr>
      <w:rFonts w:ascii="宋体" w:hAnsi="宋体" w:eastAsia="宋体"/>
      <w:bCs/>
      <w:sz w:val="24"/>
      <w:szCs w:val="24"/>
      <w:lang w:val="en-US" w:eastAsia="zh-CN" w:bidi="ar-SA"/>
    </w:rPr>
  </w:style>
  <w:style w:type="character" w:customStyle="1" w:styleId="1585">
    <w:name w:val="f141"/>
    <w:qFormat/>
    <w:uiPriority w:val="0"/>
    <w:rPr>
      <w:sz w:val="22"/>
      <w:szCs w:val="22"/>
    </w:rPr>
  </w:style>
  <w:style w:type="character" w:customStyle="1" w:styleId="1586">
    <w:name w:val="图表 Char Char"/>
    <w:qFormat/>
    <w:uiPriority w:val="0"/>
    <w:rPr>
      <w:rFonts w:ascii="宋体" w:hAnsi="宋体" w:eastAsia="宋体"/>
      <w:kern w:val="10"/>
      <w:sz w:val="21"/>
      <w:szCs w:val="21"/>
      <w:lang w:val="en-US" w:eastAsia="zh-CN" w:bidi="ar-SA"/>
    </w:rPr>
  </w:style>
  <w:style w:type="paragraph" w:customStyle="1" w:styleId="1587">
    <w:name w:val="注释"/>
    <w:basedOn w:val="1"/>
    <w:qFormat/>
    <w:uiPriority w:val="0"/>
    <w:pPr>
      <w:tabs>
        <w:tab w:val="clear" w:pos="480"/>
      </w:tabs>
      <w:spacing w:line="240" w:lineRule="auto"/>
      <w:ind w:firstLine="840" w:firstLineChars="400"/>
    </w:pPr>
    <w:rPr>
      <w:rFonts w:ascii="Arial" w:hAnsi="Arial" w:cs="宋体"/>
      <w:sz w:val="21"/>
      <w:szCs w:val="21"/>
    </w:rPr>
  </w:style>
  <w:style w:type="paragraph" w:customStyle="1" w:styleId="1588">
    <w:name w:val="黑体正文"/>
    <w:qFormat/>
    <w:uiPriority w:val="0"/>
    <w:pPr>
      <w:spacing w:line="360" w:lineRule="auto"/>
      <w:ind w:firstLine="544" w:firstLineChars="200"/>
      <w:jc w:val="both"/>
    </w:pPr>
    <w:rPr>
      <w:rFonts w:ascii="黑体" w:hAnsi="Times New Roman" w:eastAsia="黑体" w:cs="宋体"/>
      <w:bCs/>
      <w:snapToGrid w:val="0"/>
      <w:spacing w:val="16"/>
      <w:kern w:val="2"/>
      <w:sz w:val="24"/>
      <w:szCs w:val="24"/>
      <w:lang w:val="en-US" w:eastAsia="zh-CN" w:bidi="ar-SA"/>
    </w:rPr>
  </w:style>
  <w:style w:type="paragraph" w:customStyle="1" w:styleId="1589">
    <w:name w:val="正文1.5倍行距"/>
    <w:link w:val="1590"/>
    <w:qFormat/>
    <w:uiPriority w:val="0"/>
    <w:pPr>
      <w:adjustRightInd w:val="0"/>
      <w:snapToGrid w:val="0"/>
      <w:spacing w:line="500" w:lineRule="exact"/>
      <w:ind w:firstLine="560" w:firstLineChars="200"/>
      <w:jc w:val="both"/>
    </w:pPr>
    <w:rPr>
      <w:rFonts w:ascii="Times New Roman" w:hAnsi="Times New Roman" w:eastAsia="宋体" w:cs="Times New Roman"/>
      <w:snapToGrid w:val="0"/>
      <w:kern w:val="2"/>
      <w:sz w:val="28"/>
      <w:szCs w:val="28"/>
      <w:lang w:val="en-US" w:eastAsia="zh-CN" w:bidi="ar-SA"/>
    </w:rPr>
  </w:style>
  <w:style w:type="character" w:customStyle="1" w:styleId="1590">
    <w:name w:val="正文1.5倍行距 Char1"/>
    <w:link w:val="1589"/>
    <w:qFormat/>
    <w:uiPriority w:val="0"/>
    <w:rPr>
      <w:snapToGrid w:val="0"/>
      <w:sz w:val="28"/>
      <w:szCs w:val="28"/>
      <w:lang w:bidi="ar-SA"/>
    </w:rPr>
  </w:style>
  <w:style w:type="paragraph" w:customStyle="1" w:styleId="1591">
    <w:name w:val="正文29"/>
    <w:basedOn w:val="1"/>
    <w:link w:val="1592"/>
    <w:qFormat/>
    <w:uiPriority w:val="0"/>
    <w:pPr>
      <w:tabs>
        <w:tab w:val="clear" w:pos="480"/>
      </w:tabs>
      <w:topLinePunct/>
      <w:snapToGrid w:val="0"/>
      <w:spacing w:line="580" w:lineRule="exact"/>
      <w:ind w:firstLine="567"/>
    </w:pPr>
    <w:rPr>
      <w:kern w:val="0"/>
      <w:sz w:val="28"/>
      <w:szCs w:val="28"/>
      <w:lang w:val="zh-CN"/>
    </w:rPr>
  </w:style>
  <w:style w:type="character" w:customStyle="1" w:styleId="1592">
    <w:name w:val="正文29 Char"/>
    <w:link w:val="1591"/>
    <w:qFormat/>
    <w:uiPriority w:val="0"/>
    <w:rPr>
      <w:rFonts w:eastAsia="宋体"/>
      <w:sz w:val="28"/>
      <w:szCs w:val="28"/>
      <w:lang w:bidi="ar-SA"/>
    </w:rPr>
  </w:style>
  <w:style w:type="paragraph" w:customStyle="1" w:styleId="1593">
    <w:name w:val="style20"/>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1594">
    <w:name w:val="正文15"/>
    <w:basedOn w:val="1"/>
    <w:link w:val="1595"/>
    <w:qFormat/>
    <w:uiPriority w:val="0"/>
    <w:pPr>
      <w:tabs>
        <w:tab w:val="clear" w:pos="480"/>
      </w:tabs>
      <w:overflowPunct w:val="0"/>
      <w:topLinePunct/>
      <w:snapToGrid w:val="0"/>
      <w:ind w:firstLine="567"/>
    </w:pPr>
    <w:rPr>
      <w:kern w:val="0"/>
      <w:sz w:val="28"/>
      <w:szCs w:val="28"/>
      <w:lang w:val="zh-CN"/>
    </w:rPr>
  </w:style>
  <w:style w:type="character" w:customStyle="1" w:styleId="1595">
    <w:name w:val="正文15 Char"/>
    <w:link w:val="1594"/>
    <w:qFormat/>
    <w:uiPriority w:val="0"/>
    <w:rPr>
      <w:rFonts w:eastAsia="宋体"/>
      <w:sz w:val="28"/>
      <w:szCs w:val="28"/>
      <w:lang w:bidi="ar-SA"/>
    </w:rPr>
  </w:style>
  <w:style w:type="paragraph" w:customStyle="1" w:styleId="1596">
    <w:name w:val="码头正文2"/>
    <w:basedOn w:val="1"/>
    <w:link w:val="1597"/>
    <w:qFormat/>
    <w:uiPriority w:val="0"/>
    <w:pPr>
      <w:tabs>
        <w:tab w:val="clear" w:pos="480"/>
      </w:tabs>
      <w:adjustRightInd w:val="0"/>
      <w:spacing w:line="324" w:lineRule="auto"/>
      <w:jc w:val="left"/>
      <w:textAlignment w:val="baseline"/>
    </w:pPr>
    <w:rPr>
      <w:kern w:val="0"/>
      <w:lang w:val="zh-CN"/>
    </w:rPr>
  </w:style>
  <w:style w:type="character" w:customStyle="1" w:styleId="1597">
    <w:name w:val="码头正文2 Char"/>
    <w:link w:val="1596"/>
    <w:qFormat/>
    <w:uiPriority w:val="0"/>
    <w:rPr>
      <w:rFonts w:eastAsia="宋体"/>
      <w:sz w:val="24"/>
      <w:szCs w:val="24"/>
      <w:lang w:bidi="ar-SA"/>
    </w:rPr>
  </w:style>
  <w:style w:type="paragraph" w:customStyle="1" w:styleId="1598">
    <w:name w:val="丽洁"/>
    <w:basedOn w:val="8"/>
    <w:link w:val="1599"/>
    <w:qFormat/>
    <w:uiPriority w:val="0"/>
    <w:pPr>
      <w:keepNext w:val="0"/>
      <w:keepLines w:val="0"/>
      <w:numPr>
        <w:ilvl w:val="0"/>
        <w:numId w:val="0"/>
      </w:numPr>
      <w:tabs>
        <w:tab w:val="clear" w:pos="480"/>
      </w:tabs>
      <w:autoSpaceDE/>
      <w:autoSpaceDN/>
      <w:spacing w:beforeLines="50" w:afterLines="50" w:line="360" w:lineRule="auto"/>
      <w:jc w:val="center"/>
      <w:outlineLvl w:val="9"/>
    </w:pPr>
    <w:rPr>
      <w:rFonts w:ascii="Times New Roman" w:hAnsi="Times New Roman" w:eastAsia="黑体"/>
      <w:spacing w:val="10"/>
      <w:kern w:val="0"/>
    </w:rPr>
  </w:style>
  <w:style w:type="character" w:customStyle="1" w:styleId="1599">
    <w:name w:val="丽洁 Char"/>
    <w:link w:val="1598"/>
    <w:qFormat/>
    <w:uiPriority w:val="0"/>
    <w:rPr>
      <w:rFonts w:eastAsia="黑体"/>
      <w:b/>
      <w:spacing w:val="10"/>
      <w:sz w:val="24"/>
      <w:lang w:bidi="ar-SA"/>
    </w:rPr>
  </w:style>
  <w:style w:type="character" w:customStyle="1" w:styleId="1600">
    <w:name w:val="图标题 Char"/>
    <w:qFormat/>
    <w:uiPriority w:val="0"/>
    <w:rPr>
      <w:rFonts w:ascii="Times New Roman" w:hAnsi="Times New Roman" w:eastAsia="宋体" w:cs="Times New Roman"/>
      <w:b/>
      <w:spacing w:val="10"/>
      <w:kern w:val="0"/>
      <w:sz w:val="24"/>
      <w:szCs w:val="20"/>
    </w:rPr>
  </w:style>
  <w:style w:type="paragraph" w:customStyle="1" w:styleId="1601">
    <w:name w:val="丽洁1"/>
    <w:basedOn w:val="1"/>
    <w:link w:val="1602"/>
    <w:qFormat/>
    <w:uiPriority w:val="0"/>
    <w:pPr>
      <w:tabs>
        <w:tab w:val="clear" w:pos="480"/>
      </w:tabs>
      <w:autoSpaceDE w:val="0"/>
      <w:autoSpaceDN w:val="0"/>
      <w:adjustRightInd w:val="0"/>
      <w:spacing w:beforeLines="50" w:afterLines="50"/>
      <w:jc w:val="center"/>
    </w:pPr>
    <w:rPr>
      <w:rFonts w:eastAsia="黑体"/>
      <w:b/>
      <w:kern w:val="0"/>
      <w:lang w:val="zh-CN"/>
    </w:rPr>
  </w:style>
  <w:style w:type="character" w:customStyle="1" w:styleId="1602">
    <w:name w:val="丽洁1 Char"/>
    <w:link w:val="1601"/>
    <w:qFormat/>
    <w:uiPriority w:val="0"/>
    <w:rPr>
      <w:rFonts w:eastAsia="黑体"/>
      <w:b/>
      <w:sz w:val="24"/>
      <w:szCs w:val="24"/>
      <w:lang w:bidi="ar-SA"/>
    </w:rPr>
  </w:style>
  <w:style w:type="table" w:customStyle="1" w:styleId="1603">
    <w:name w:val="网格型5"/>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04">
    <w:name w:val="无节项 Char"/>
    <w:qFormat/>
    <w:uiPriority w:val="0"/>
    <w:rPr>
      <w:rFonts w:ascii="Arial" w:hAnsi="Arial" w:eastAsia="黑体"/>
      <w:kern w:val="2"/>
      <w:sz w:val="21"/>
      <w:szCs w:val="21"/>
    </w:rPr>
  </w:style>
  <w:style w:type="character" w:customStyle="1" w:styleId="1605">
    <w:name w:val="Char Char17"/>
    <w:qFormat/>
    <w:uiPriority w:val="0"/>
    <w:rPr>
      <w:kern w:val="2"/>
      <w:sz w:val="21"/>
      <w:szCs w:val="24"/>
      <w:shd w:val="clear" w:color="auto" w:fill="000080"/>
    </w:rPr>
  </w:style>
  <w:style w:type="character" w:customStyle="1" w:styleId="1606">
    <w:name w:val="Название объекта Знак1 Char"/>
    <w:semiHidden/>
    <w:qFormat/>
    <w:uiPriority w:val="0"/>
    <w:rPr>
      <w:rFonts w:ascii="Arial" w:hAnsi="Arial" w:eastAsia="黑体" w:cs="Times New Roman"/>
      <w:sz w:val="20"/>
      <w:szCs w:val="20"/>
    </w:rPr>
  </w:style>
  <w:style w:type="paragraph" w:customStyle="1" w:styleId="1607">
    <w:name w:val="样式 电镀正文 + 首行缩进:  2 字符"/>
    <w:basedOn w:val="1"/>
    <w:link w:val="1608"/>
    <w:qFormat/>
    <w:uiPriority w:val="0"/>
    <w:pPr>
      <w:tabs>
        <w:tab w:val="clear" w:pos="480"/>
      </w:tabs>
      <w:spacing w:line="324" w:lineRule="auto"/>
    </w:pPr>
    <w:rPr>
      <w:rFonts w:ascii="宋体" w:hAnsi="宋体"/>
      <w:kern w:val="0"/>
      <w:lang w:val="zh-CN"/>
    </w:rPr>
  </w:style>
  <w:style w:type="character" w:customStyle="1" w:styleId="1608">
    <w:name w:val="样式 电镀正文 + 首行缩进:  2 字符 Char"/>
    <w:link w:val="1607"/>
    <w:qFormat/>
    <w:uiPriority w:val="0"/>
    <w:rPr>
      <w:rFonts w:ascii="宋体" w:hAnsi="宋体" w:eastAsia="宋体"/>
      <w:sz w:val="24"/>
      <w:szCs w:val="24"/>
      <w:lang w:bidi="ar-SA"/>
    </w:rPr>
  </w:style>
  <w:style w:type="character" w:customStyle="1" w:styleId="1609">
    <w:name w:val="可研-正文首行缩进 Char"/>
    <w:qFormat/>
    <w:uiPriority w:val="0"/>
    <w:rPr>
      <w:kern w:val="2"/>
      <w:sz w:val="21"/>
      <w:szCs w:val="24"/>
    </w:rPr>
  </w:style>
  <w:style w:type="paragraph" w:customStyle="1" w:styleId="1610">
    <w:name w:val="生物质发电表"/>
    <w:basedOn w:val="1"/>
    <w:link w:val="1611"/>
    <w:qFormat/>
    <w:uiPriority w:val="0"/>
    <w:pPr>
      <w:tabs>
        <w:tab w:val="clear" w:pos="480"/>
      </w:tabs>
      <w:autoSpaceDE w:val="0"/>
      <w:autoSpaceDN w:val="0"/>
      <w:adjustRightInd w:val="0"/>
      <w:spacing w:line="0" w:lineRule="atLeast"/>
      <w:jc w:val="center"/>
      <w:textAlignment w:val="center"/>
    </w:pPr>
    <w:rPr>
      <w:rFonts w:ascii="宋体" w:hAnsi="宋体"/>
      <w:color w:val="000000"/>
      <w:kern w:val="0"/>
      <w:sz w:val="20"/>
      <w:szCs w:val="21"/>
      <w:lang w:val="zh-CN"/>
    </w:rPr>
  </w:style>
  <w:style w:type="character" w:customStyle="1" w:styleId="1611">
    <w:name w:val="生物质发电表 Char Char"/>
    <w:link w:val="1610"/>
    <w:qFormat/>
    <w:uiPriority w:val="0"/>
    <w:rPr>
      <w:rFonts w:ascii="宋体" w:hAnsi="宋体" w:eastAsia="宋体"/>
      <w:color w:val="000000"/>
      <w:szCs w:val="21"/>
      <w:lang w:bidi="ar-SA"/>
    </w:rPr>
  </w:style>
  <w:style w:type="paragraph" w:customStyle="1" w:styleId="1612">
    <w:name w:val="正文（1）"/>
    <w:basedOn w:val="21"/>
    <w:next w:val="85"/>
    <w:qFormat/>
    <w:uiPriority w:val="0"/>
    <w:pPr>
      <w:widowControl/>
      <w:tabs>
        <w:tab w:val="clear" w:pos="480"/>
      </w:tabs>
      <w:adjustRightInd w:val="0"/>
      <w:snapToGrid w:val="0"/>
      <w:spacing w:line="480" w:lineRule="exact"/>
      <w:ind w:firstLine="480"/>
    </w:pPr>
    <w:rPr>
      <w:rFonts w:cs="宋体"/>
      <w:color w:val="FF00FF"/>
      <w:kern w:val="0"/>
      <w:szCs w:val="20"/>
    </w:rPr>
  </w:style>
  <w:style w:type="paragraph" w:customStyle="1" w:styleId="1613">
    <w:name w:val="东方工业区表"/>
    <w:basedOn w:val="1"/>
    <w:qFormat/>
    <w:uiPriority w:val="0"/>
    <w:pPr>
      <w:tabs>
        <w:tab w:val="left" w:pos="0"/>
        <w:tab w:val="clear" w:pos="480"/>
      </w:tabs>
      <w:adjustRightInd w:val="0"/>
      <w:snapToGrid w:val="0"/>
      <w:spacing w:line="0" w:lineRule="atLeast"/>
      <w:jc w:val="center"/>
      <w:textAlignment w:val="baseline"/>
    </w:pPr>
    <w:rPr>
      <w:kern w:val="0"/>
      <w:sz w:val="21"/>
      <w:szCs w:val="18"/>
    </w:rPr>
  </w:style>
  <w:style w:type="paragraph" w:customStyle="1" w:styleId="1614">
    <w:name w:val="正文标准格式张"/>
    <w:basedOn w:val="1"/>
    <w:link w:val="1615"/>
    <w:qFormat/>
    <w:uiPriority w:val="0"/>
    <w:pPr>
      <w:tabs>
        <w:tab w:val="clear" w:pos="480"/>
      </w:tabs>
      <w:adjustRightInd w:val="0"/>
      <w:snapToGrid w:val="0"/>
      <w:spacing w:beforeLines="25" w:afterLines="25" w:line="312" w:lineRule="auto"/>
      <w:ind w:firstLine="480"/>
      <w:textAlignment w:val="baseline"/>
    </w:pPr>
    <w:rPr>
      <w:rFonts w:ascii="宋体" w:hAnsi="宋体"/>
      <w:kern w:val="0"/>
      <w:szCs w:val="20"/>
      <w:lang w:val="zh-CN"/>
    </w:rPr>
  </w:style>
  <w:style w:type="character" w:customStyle="1" w:styleId="1615">
    <w:name w:val="正文标准格式张 Char"/>
    <w:link w:val="1614"/>
    <w:qFormat/>
    <w:uiPriority w:val="0"/>
    <w:rPr>
      <w:rFonts w:ascii="宋体" w:hAnsi="宋体" w:eastAsia="宋体"/>
      <w:sz w:val="24"/>
      <w:lang w:bidi="ar-SA"/>
    </w:rPr>
  </w:style>
  <w:style w:type="character" w:customStyle="1" w:styleId="1616">
    <w:name w:val="标题 4 Char Char Char Char Char Char Char Char Char Char Char Char Char Char Char Char Char Char Char"/>
    <w:semiHidden/>
    <w:qFormat/>
    <w:uiPriority w:val="0"/>
    <w:rPr>
      <w:rFonts w:ascii="Arial" w:hAnsi="Arial" w:eastAsia="黑体"/>
      <w:b/>
      <w:bCs/>
      <w:snapToGrid w:val="0"/>
      <w:sz w:val="24"/>
      <w:szCs w:val="28"/>
      <w:lang w:val="en-US" w:eastAsia="zh-CN" w:bidi="ar-SA"/>
    </w:rPr>
  </w:style>
  <w:style w:type="paragraph" w:customStyle="1" w:styleId="1617">
    <w:name w:val="表格文字1"/>
    <w:basedOn w:val="1"/>
    <w:qFormat/>
    <w:uiPriority w:val="0"/>
    <w:pPr>
      <w:tabs>
        <w:tab w:val="clear" w:pos="480"/>
      </w:tabs>
      <w:autoSpaceDE w:val="0"/>
      <w:autoSpaceDN w:val="0"/>
      <w:adjustRightInd w:val="0"/>
      <w:spacing w:line="240" w:lineRule="auto"/>
      <w:jc w:val="center"/>
    </w:pPr>
    <w:rPr>
      <w:rFonts w:ascii="宋体" w:hAnsi="宋体"/>
      <w:snapToGrid w:val="0"/>
      <w:kern w:val="0"/>
      <w:sz w:val="21"/>
      <w:szCs w:val="20"/>
    </w:rPr>
  </w:style>
  <w:style w:type="paragraph" w:customStyle="1" w:styleId="1618">
    <w:name w:val="图表名称"/>
    <w:next w:val="1"/>
    <w:link w:val="1619"/>
    <w:qFormat/>
    <w:uiPriority w:val="0"/>
    <w:pPr>
      <w:spacing w:before="25" w:after="25" w:line="360" w:lineRule="auto"/>
      <w:ind w:firstLine="200" w:firstLineChars="200"/>
    </w:pPr>
    <w:rPr>
      <w:rFonts w:ascii="Times New Roman" w:hAnsi="Times New Roman" w:eastAsia="黑体" w:cs="Times New Roman"/>
      <w:b/>
      <w:bCs/>
      <w:kern w:val="2"/>
      <w:sz w:val="24"/>
      <w:szCs w:val="21"/>
      <w:lang w:val="en-US" w:eastAsia="zh-CN" w:bidi="ar-SA"/>
    </w:rPr>
  </w:style>
  <w:style w:type="character" w:customStyle="1" w:styleId="1619">
    <w:name w:val="图表名称 Char"/>
    <w:link w:val="1618"/>
    <w:qFormat/>
    <w:uiPriority w:val="0"/>
    <w:rPr>
      <w:rFonts w:eastAsia="黑体"/>
      <w:b/>
      <w:bCs/>
      <w:sz w:val="24"/>
      <w:szCs w:val="21"/>
      <w:lang w:bidi="ar-SA"/>
    </w:rPr>
  </w:style>
  <w:style w:type="paragraph" w:customStyle="1" w:styleId="1620">
    <w:name w:val="表注"/>
    <w:basedOn w:val="1"/>
    <w:link w:val="1621"/>
    <w:qFormat/>
    <w:uiPriority w:val="0"/>
    <w:pPr>
      <w:tabs>
        <w:tab w:val="clear" w:pos="480"/>
      </w:tabs>
      <w:autoSpaceDE w:val="0"/>
      <w:autoSpaceDN w:val="0"/>
      <w:adjustRightInd w:val="0"/>
      <w:spacing w:beforeLines="50" w:afterLines="50" w:line="240" w:lineRule="auto"/>
      <w:jc w:val="center"/>
    </w:pPr>
    <w:rPr>
      <w:rFonts w:ascii="Arial" w:hAnsi="Arial"/>
      <w:b/>
      <w:kern w:val="0"/>
      <w:sz w:val="20"/>
      <w:szCs w:val="21"/>
      <w:lang w:val="zh-CN"/>
    </w:rPr>
  </w:style>
  <w:style w:type="character" w:customStyle="1" w:styleId="1621">
    <w:name w:val="表注 Char"/>
    <w:link w:val="1620"/>
    <w:qFormat/>
    <w:uiPriority w:val="0"/>
    <w:rPr>
      <w:rFonts w:ascii="Arial" w:hAnsi="Arial" w:eastAsia="宋体"/>
      <w:b/>
      <w:szCs w:val="21"/>
      <w:lang w:bidi="ar-SA"/>
    </w:rPr>
  </w:style>
  <w:style w:type="paragraph" w:customStyle="1" w:styleId="1622">
    <w:name w:val="正文首行缩进0.85"/>
    <w:basedOn w:val="1"/>
    <w:link w:val="1623"/>
    <w:qFormat/>
    <w:uiPriority w:val="0"/>
    <w:pPr>
      <w:widowControl/>
      <w:tabs>
        <w:tab w:val="left" w:pos="900"/>
        <w:tab w:val="clear" w:pos="480"/>
      </w:tabs>
      <w:ind w:firstLine="480"/>
      <w:jc w:val="left"/>
    </w:pPr>
    <w:rPr>
      <w:color w:val="000000"/>
      <w:kern w:val="0"/>
      <w:lang w:val="zh-CN"/>
    </w:rPr>
  </w:style>
  <w:style w:type="character" w:customStyle="1" w:styleId="1623">
    <w:name w:val="正文首行缩进0.85 Char"/>
    <w:link w:val="1622"/>
    <w:qFormat/>
    <w:uiPriority w:val="0"/>
    <w:rPr>
      <w:rFonts w:eastAsia="宋体"/>
      <w:color w:val="000000"/>
      <w:sz w:val="24"/>
      <w:szCs w:val="24"/>
      <w:lang w:val="zh-CN" w:bidi="ar-SA"/>
    </w:rPr>
  </w:style>
  <w:style w:type="paragraph" w:customStyle="1" w:styleId="1624">
    <w:name w:val="正文＋黑体"/>
    <w:basedOn w:val="1"/>
    <w:link w:val="1625"/>
    <w:qFormat/>
    <w:uiPriority w:val="0"/>
    <w:pPr>
      <w:tabs>
        <w:tab w:val="clear" w:pos="480"/>
      </w:tabs>
      <w:spacing w:beforeLines="50" w:afterLines="50" w:line="240" w:lineRule="auto"/>
      <w:ind w:firstLine="480"/>
      <w:jc w:val="left"/>
    </w:pPr>
    <w:rPr>
      <w:rFonts w:ascii="Arial" w:hAnsi="Arial" w:eastAsia="黑体"/>
      <w:kern w:val="0"/>
      <w:lang w:val="zh-CN"/>
    </w:rPr>
  </w:style>
  <w:style w:type="character" w:customStyle="1" w:styleId="1625">
    <w:name w:val="正文＋黑体 Char"/>
    <w:link w:val="1624"/>
    <w:qFormat/>
    <w:uiPriority w:val="0"/>
    <w:rPr>
      <w:rFonts w:ascii="Arial" w:hAnsi="Arial" w:eastAsia="黑体"/>
      <w:sz w:val="24"/>
      <w:szCs w:val="24"/>
      <w:lang w:bidi="ar-SA"/>
    </w:rPr>
  </w:style>
  <w:style w:type="paragraph" w:customStyle="1" w:styleId="1626">
    <w:name w:val="表后段落"/>
    <w:basedOn w:val="1"/>
    <w:next w:val="1"/>
    <w:link w:val="1627"/>
    <w:semiHidden/>
    <w:qFormat/>
    <w:uiPriority w:val="0"/>
    <w:pPr>
      <w:tabs>
        <w:tab w:val="clear" w:pos="480"/>
      </w:tabs>
      <w:spacing w:before="240"/>
      <w:jc w:val="left"/>
    </w:pPr>
    <w:rPr>
      <w:rFonts w:ascii="Arial" w:hAnsi="Arial"/>
      <w:kern w:val="0"/>
      <w:lang w:val="zh-CN"/>
    </w:rPr>
  </w:style>
  <w:style w:type="character" w:customStyle="1" w:styleId="1627">
    <w:name w:val="表后段落 Char"/>
    <w:link w:val="1626"/>
    <w:qFormat/>
    <w:uiPriority w:val="0"/>
    <w:rPr>
      <w:rFonts w:ascii="Arial" w:hAnsi="Arial" w:eastAsia="宋体"/>
      <w:sz w:val="24"/>
      <w:szCs w:val="24"/>
      <w:lang w:bidi="ar-SA"/>
    </w:rPr>
  </w:style>
  <w:style w:type="paragraph" w:customStyle="1" w:styleId="1628">
    <w:name w:val="样式正文"/>
    <w:basedOn w:val="1"/>
    <w:link w:val="1629"/>
    <w:qFormat/>
    <w:uiPriority w:val="0"/>
    <w:pPr>
      <w:tabs>
        <w:tab w:val="clear" w:pos="480"/>
      </w:tabs>
      <w:spacing w:line="300" w:lineRule="auto"/>
    </w:pPr>
    <w:rPr>
      <w:kern w:val="0"/>
      <w:lang w:val="zh-CN"/>
    </w:rPr>
  </w:style>
  <w:style w:type="character" w:customStyle="1" w:styleId="1629">
    <w:name w:val="样式正文 Char"/>
    <w:link w:val="1628"/>
    <w:qFormat/>
    <w:uiPriority w:val="0"/>
    <w:rPr>
      <w:rFonts w:eastAsia="宋体"/>
      <w:sz w:val="24"/>
      <w:szCs w:val="24"/>
      <w:lang w:bidi="ar-SA"/>
    </w:rPr>
  </w:style>
  <w:style w:type="paragraph" w:customStyle="1" w:styleId="1630">
    <w:name w:val="段落1 Char"/>
    <w:basedOn w:val="1"/>
    <w:link w:val="1631"/>
    <w:qFormat/>
    <w:uiPriority w:val="0"/>
    <w:pPr>
      <w:tabs>
        <w:tab w:val="clear" w:pos="480"/>
      </w:tabs>
      <w:adjustRightInd w:val="0"/>
      <w:spacing w:line="440" w:lineRule="exact"/>
    </w:pPr>
    <w:rPr>
      <w:spacing w:val="8"/>
      <w:kern w:val="0"/>
      <w:szCs w:val="20"/>
      <w:lang w:val="zh-CN"/>
    </w:rPr>
  </w:style>
  <w:style w:type="character" w:customStyle="1" w:styleId="1631">
    <w:name w:val="段落1 Char Char1"/>
    <w:link w:val="1630"/>
    <w:qFormat/>
    <w:uiPriority w:val="0"/>
    <w:rPr>
      <w:rFonts w:eastAsia="宋体"/>
      <w:spacing w:val="8"/>
      <w:sz w:val="24"/>
      <w:lang w:bidi="ar-SA"/>
    </w:rPr>
  </w:style>
  <w:style w:type="paragraph" w:customStyle="1" w:styleId="1632">
    <w:name w:val="表表题"/>
    <w:basedOn w:val="1"/>
    <w:link w:val="1633"/>
    <w:semiHidden/>
    <w:qFormat/>
    <w:uiPriority w:val="0"/>
    <w:pPr>
      <w:tabs>
        <w:tab w:val="clear" w:pos="480"/>
      </w:tabs>
      <w:spacing w:before="120" w:line="240" w:lineRule="auto"/>
      <w:jc w:val="center"/>
    </w:pPr>
    <w:rPr>
      <w:rFonts w:ascii="Arial" w:hAnsi="Arial"/>
      <w:kern w:val="0"/>
      <w:sz w:val="20"/>
      <w:lang w:val="zh-CN"/>
    </w:rPr>
  </w:style>
  <w:style w:type="character" w:customStyle="1" w:styleId="1633">
    <w:name w:val="表表题 Char"/>
    <w:link w:val="1632"/>
    <w:qFormat/>
    <w:uiPriority w:val="0"/>
    <w:rPr>
      <w:rFonts w:ascii="Arial" w:hAnsi="Arial" w:eastAsia="宋体"/>
      <w:szCs w:val="24"/>
      <w:lang w:bidi="ar-SA"/>
    </w:rPr>
  </w:style>
  <w:style w:type="character" w:customStyle="1" w:styleId="1634">
    <w:name w:val="题注 Char1 Char"/>
    <w:qFormat/>
    <w:uiPriority w:val="0"/>
    <w:rPr>
      <w:rFonts w:ascii="Arial" w:hAnsi="Arial" w:eastAsia="黑体" w:cs="Arial"/>
      <w:kern w:val="2"/>
      <w:lang w:val="en-US" w:eastAsia="zh-CN" w:bidi="ar-SA"/>
    </w:rPr>
  </w:style>
  <w:style w:type="paragraph" w:customStyle="1" w:styleId="1635">
    <w:name w:val="Char Char Char Char Char Char Char Char Char2"/>
    <w:basedOn w:val="1"/>
    <w:qFormat/>
    <w:uiPriority w:val="0"/>
    <w:pPr>
      <w:tabs>
        <w:tab w:val="clear" w:pos="480"/>
      </w:tabs>
      <w:spacing w:line="240" w:lineRule="auto"/>
    </w:pPr>
  </w:style>
  <w:style w:type="paragraph" w:customStyle="1" w:styleId="1636">
    <w:name w:val="二级标题 Char Char Char"/>
    <w:basedOn w:val="1"/>
    <w:next w:val="1"/>
    <w:qFormat/>
    <w:uiPriority w:val="0"/>
    <w:pPr>
      <w:tabs>
        <w:tab w:val="clear" w:pos="480"/>
      </w:tabs>
      <w:spacing w:line="529" w:lineRule="exact"/>
      <w:ind w:firstLine="480"/>
    </w:pPr>
    <w:rPr>
      <w:rFonts w:ascii="宋体" w:hAnsi="宋体" w:cs="宋体"/>
    </w:rPr>
  </w:style>
  <w:style w:type="paragraph" w:customStyle="1" w:styleId="1637">
    <w:name w:val="CM38"/>
    <w:basedOn w:val="151"/>
    <w:next w:val="151"/>
    <w:semiHidden/>
    <w:qFormat/>
    <w:uiPriority w:val="0"/>
    <w:pPr>
      <w:spacing w:after="130" w:line="360" w:lineRule="auto"/>
      <w:ind w:firstLine="200" w:firstLineChars="200"/>
      <w:jc w:val="both"/>
    </w:pPr>
    <w:rPr>
      <w:rFonts w:ascii="宋体" w:eastAsia="宋体" w:cs="Times New Roman"/>
      <w:color w:val="auto"/>
    </w:rPr>
  </w:style>
  <w:style w:type="paragraph" w:customStyle="1" w:styleId="1638">
    <w:name w:val="表尾注"/>
    <w:basedOn w:val="1"/>
    <w:next w:val="1"/>
    <w:qFormat/>
    <w:uiPriority w:val="0"/>
    <w:pPr>
      <w:tabs>
        <w:tab w:val="clear" w:pos="480"/>
      </w:tabs>
      <w:autoSpaceDE w:val="0"/>
      <w:autoSpaceDN w:val="0"/>
      <w:adjustRightInd w:val="0"/>
      <w:spacing w:after="240" w:line="240" w:lineRule="auto"/>
      <w:jc w:val="left"/>
    </w:pPr>
    <w:rPr>
      <w:rFonts w:ascii="Arial" w:hAnsi="Arial" w:cs="宋体"/>
      <w:kern w:val="0"/>
      <w:sz w:val="18"/>
      <w:szCs w:val="21"/>
    </w:rPr>
  </w:style>
  <w:style w:type="paragraph" w:customStyle="1" w:styleId="1639">
    <w:name w:val="样式 标题 3标题 3 Char Char标题 3 Char1H3Heading 3 - old标题 3 Char C..."/>
    <w:basedOn w:val="5"/>
    <w:qFormat/>
    <w:uiPriority w:val="0"/>
    <w:pPr>
      <w:tabs>
        <w:tab w:val="clear" w:pos="480"/>
        <w:tab w:val="clear" w:pos="840"/>
      </w:tabs>
      <w:spacing w:before="240" w:after="0" w:line="360" w:lineRule="auto"/>
      <w:ind w:left="1476" w:hanging="1476"/>
    </w:pPr>
    <w:rPr>
      <w:rFonts w:ascii="Arial" w:hAnsi="Arial" w:eastAsia="楷体_GB2312" w:cs="宋体"/>
      <w:szCs w:val="20"/>
    </w:rPr>
  </w:style>
  <w:style w:type="paragraph" w:customStyle="1" w:styleId="1640">
    <w:name w:val="样式 (符号) 宋体 行距: 最小值 12 磅"/>
    <w:basedOn w:val="1"/>
    <w:qFormat/>
    <w:uiPriority w:val="0"/>
    <w:pPr>
      <w:tabs>
        <w:tab w:val="clear" w:pos="480"/>
      </w:tabs>
    </w:pPr>
    <w:rPr>
      <w:rFonts w:hAnsi="宋体" w:cs="宋体"/>
      <w:szCs w:val="20"/>
    </w:rPr>
  </w:style>
  <w:style w:type="character" w:customStyle="1" w:styleId="1641">
    <w:name w:val="h31"/>
    <w:semiHidden/>
    <w:qFormat/>
    <w:uiPriority w:val="0"/>
    <w:rPr>
      <w:spacing w:val="440"/>
      <w:sz w:val="28"/>
      <w:szCs w:val="28"/>
    </w:rPr>
  </w:style>
  <w:style w:type="paragraph" w:customStyle="1" w:styleId="1642">
    <w:name w:val="样式 标题 1 + 首行缩进:  0 厘米"/>
    <w:basedOn w:val="3"/>
    <w:qFormat/>
    <w:uiPriority w:val="0"/>
    <w:pPr>
      <w:tabs>
        <w:tab w:val="clear" w:pos="480"/>
      </w:tabs>
      <w:spacing w:beforeLines="50" w:afterLines="50" w:line="576" w:lineRule="auto"/>
    </w:pPr>
    <w:rPr>
      <w:rFonts w:hint="eastAsia" w:ascii="Times New Roman" w:eastAsia="宋体"/>
      <w:bCs w:val="0"/>
      <w:sz w:val="32"/>
      <w:szCs w:val="20"/>
    </w:rPr>
  </w:style>
  <w:style w:type="paragraph" w:customStyle="1" w:styleId="1643">
    <w:name w:val="样式 正文文本缩进 2正文文字缩进 2 + 四号 蓝色"/>
    <w:basedOn w:val="51"/>
    <w:qFormat/>
    <w:uiPriority w:val="0"/>
    <w:pPr>
      <w:spacing w:line="480" w:lineRule="exact"/>
      <w:ind w:left="0" w:firstLine="709" w:firstLineChars="0"/>
    </w:pPr>
    <w:rPr>
      <w:rFonts w:hint="eastAsia"/>
      <w:color w:val="0000FF"/>
      <w:spacing w:val="0"/>
      <w:kern w:val="2"/>
      <w:sz w:val="24"/>
      <w:szCs w:val="20"/>
    </w:rPr>
  </w:style>
  <w:style w:type="paragraph" w:customStyle="1" w:styleId="1644">
    <w:name w:val="表格用字 Char1"/>
    <w:basedOn w:val="76"/>
    <w:semiHidden/>
    <w:qFormat/>
    <w:uiPriority w:val="0"/>
    <w:pPr>
      <w:spacing w:line="0" w:lineRule="atLeast"/>
      <w:jc w:val="both"/>
    </w:pPr>
    <w:rPr>
      <w:rFonts w:hint="eastAsia" w:eastAsia="仿宋_GB2312"/>
      <w:color w:val="auto"/>
      <w:sz w:val="21"/>
    </w:rPr>
  </w:style>
  <w:style w:type="paragraph" w:customStyle="1" w:styleId="1645">
    <w:name w:val="普通(网站)1"/>
    <w:basedOn w:val="1"/>
    <w:qFormat/>
    <w:uiPriority w:val="0"/>
    <w:pPr>
      <w:widowControl/>
      <w:tabs>
        <w:tab w:val="clear" w:pos="480"/>
      </w:tabs>
      <w:spacing w:before="100" w:beforeAutospacing="1" w:after="100" w:afterAutospacing="1" w:line="240" w:lineRule="auto"/>
      <w:jc w:val="left"/>
    </w:pPr>
    <w:rPr>
      <w:rFonts w:hint="eastAsia" w:hAnsi="宋体"/>
      <w:sz w:val="21"/>
      <w:szCs w:val="20"/>
    </w:rPr>
  </w:style>
  <w:style w:type="paragraph" w:customStyle="1" w:styleId="1646">
    <w:name w:val="说明-标题2"/>
    <w:basedOn w:val="4"/>
    <w:qFormat/>
    <w:uiPriority w:val="0"/>
    <w:pPr>
      <w:pageBreakBefore/>
      <w:tabs>
        <w:tab w:val="clear" w:pos="480"/>
        <w:tab w:val="clear" w:pos="630"/>
      </w:tabs>
      <w:spacing w:before="156" w:after="156" w:line="416" w:lineRule="atLeast"/>
    </w:pPr>
    <w:rPr>
      <w:rFonts w:hint="eastAsia" w:ascii="Arial" w:hAnsi="Arial" w:eastAsia="黑体"/>
      <w:b w:val="0"/>
      <w:bCs w:val="0"/>
      <w:sz w:val="36"/>
      <w:szCs w:val="20"/>
    </w:rPr>
  </w:style>
  <w:style w:type="paragraph" w:customStyle="1" w:styleId="1647">
    <w:name w:val="说明-表格-注"/>
    <w:basedOn w:val="1"/>
    <w:qFormat/>
    <w:uiPriority w:val="0"/>
    <w:pPr>
      <w:tabs>
        <w:tab w:val="clear" w:pos="480"/>
      </w:tabs>
      <w:spacing w:line="0" w:lineRule="atLeast"/>
      <w:ind w:left="454" w:leftChars="189" w:right="374" w:firstLine="13" w:firstLineChars="7"/>
    </w:pPr>
    <w:rPr>
      <w:rFonts w:hint="eastAsia" w:hAnsi="宋体"/>
      <w:sz w:val="18"/>
      <w:szCs w:val="20"/>
    </w:rPr>
  </w:style>
  <w:style w:type="paragraph" w:customStyle="1" w:styleId="1648">
    <w:name w:val="样式 标题 1 + 加粗 首行缩进:  0 厘米"/>
    <w:basedOn w:val="3"/>
    <w:qFormat/>
    <w:uiPriority w:val="0"/>
    <w:pPr>
      <w:widowControl/>
      <w:tabs>
        <w:tab w:val="clear" w:pos="480"/>
      </w:tabs>
      <w:spacing w:beforeLines="50" w:afterLines="50" w:line="480" w:lineRule="atLeast"/>
    </w:pPr>
    <w:rPr>
      <w:rFonts w:hint="eastAsia" w:ascii="Times New Roman" w:eastAsia="宋体"/>
      <w:bCs w:val="0"/>
      <w:sz w:val="32"/>
      <w:szCs w:val="20"/>
    </w:rPr>
  </w:style>
  <w:style w:type="paragraph" w:customStyle="1" w:styleId="1649">
    <w:name w:val="说明-标题4"/>
    <w:basedOn w:val="6"/>
    <w:qFormat/>
    <w:uiPriority w:val="0"/>
    <w:pPr>
      <w:numPr>
        <w:ilvl w:val="0"/>
        <w:numId w:val="0"/>
      </w:numPr>
      <w:tabs>
        <w:tab w:val="clear" w:pos="480"/>
      </w:tabs>
      <w:spacing w:afterLines="50" w:line="376" w:lineRule="atLeast"/>
      <w:ind w:left="240" w:leftChars="100"/>
    </w:pPr>
    <w:rPr>
      <w:rFonts w:hint="eastAsia" w:ascii="Arial" w:hAnsi="Arial" w:eastAsia="宋体"/>
      <w:b w:val="0"/>
      <w:bCs w:val="0"/>
      <w:kern w:val="0"/>
      <w:sz w:val="21"/>
      <w:szCs w:val="20"/>
    </w:rPr>
  </w:style>
  <w:style w:type="paragraph" w:customStyle="1" w:styleId="1650">
    <w:name w:val="表格用字 Char Char"/>
    <w:basedOn w:val="76"/>
    <w:semiHidden/>
    <w:qFormat/>
    <w:uiPriority w:val="0"/>
    <w:pPr>
      <w:spacing w:line="0" w:lineRule="atLeast"/>
      <w:jc w:val="both"/>
    </w:pPr>
    <w:rPr>
      <w:rFonts w:hint="eastAsia" w:eastAsia="仿宋_GB2312"/>
      <w:color w:val="auto"/>
      <w:sz w:val="21"/>
    </w:rPr>
  </w:style>
  <w:style w:type="paragraph" w:customStyle="1" w:styleId="1651">
    <w:name w:val="样式 样式 标题 2 + 左侧:  2 字符 + 首行缩进:  2 字符1"/>
    <w:basedOn w:val="1"/>
    <w:qFormat/>
    <w:uiPriority w:val="0"/>
    <w:pPr>
      <w:keepNext/>
      <w:keepLines/>
      <w:tabs>
        <w:tab w:val="clear" w:pos="480"/>
      </w:tabs>
      <w:spacing w:before="260" w:after="260" w:line="416" w:lineRule="atLeast"/>
      <w:ind w:firstLine="640"/>
      <w:jc w:val="left"/>
    </w:pPr>
    <w:rPr>
      <w:rFonts w:hint="eastAsia" w:ascii="Arial" w:hAnsi="Arial" w:eastAsia="黑体"/>
      <w:b/>
      <w:sz w:val="28"/>
      <w:szCs w:val="20"/>
    </w:rPr>
  </w:style>
  <w:style w:type="paragraph" w:customStyle="1" w:styleId="1652">
    <w:name w:val="样式 标题 3标题 3 Char标题 3 Char Char Char Char Char标题 3 Char Char C..."/>
    <w:basedOn w:val="5"/>
    <w:qFormat/>
    <w:uiPriority w:val="0"/>
    <w:pPr>
      <w:tabs>
        <w:tab w:val="left" w:pos="636"/>
        <w:tab w:val="clear" w:pos="480"/>
        <w:tab w:val="clear" w:pos="840"/>
      </w:tabs>
      <w:spacing w:before="260" w:line="480" w:lineRule="exact"/>
    </w:pPr>
    <w:rPr>
      <w:rFonts w:hint="eastAsia" w:ascii="Times New Roman" w:hAnsi="宋体" w:eastAsia="宋体"/>
      <w:bCs w:val="0"/>
      <w:color w:val="000000"/>
      <w:sz w:val="24"/>
      <w:szCs w:val="20"/>
    </w:rPr>
  </w:style>
  <w:style w:type="paragraph" w:customStyle="1" w:styleId="1653">
    <w:name w:val="main"/>
    <w:basedOn w:val="1"/>
    <w:semiHidden/>
    <w:qFormat/>
    <w:uiPriority w:val="0"/>
    <w:pPr>
      <w:widowControl/>
      <w:tabs>
        <w:tab w:val="clear" w:pos="480"/>
      </w:tabs>
      <w:spacing w:before="100" w:beforeAutospacing="1" w:after="100" w:afterAutospacing="1" w:line="240" w:lineRule="auto"/>
      <w:ind w:firstLine="400"/>
      <w:jc w:val="left"/>
    </w:pPr>
    <w:rPr>
      <w:rFonts w:hint="eastAsia" w:eastAsia="Arial Unicode MS"/>
      <w:sz w:val="18"/>
      <w:szCs w:val="20"/>
    </w:rPr>
  </w:style>
  <w:style w:type="paragraph" w:customStyle="1" w:styleId="1654">
    <w:name w:val="说明-正文-公式"/>
    <w:basedOn w:val="1655"/>
    <w:qFormat/>
    <w:uiPriority w:val="0"/>
    <w:pPr>
      <w:ind w:firstLine="200" w:firstLineChars="0"/>
    </w:pPr>
  </w:style>
  <w:style w:type="paragraph" w:customStyle="1" w:styleId="1655">
    <w:name w:val="说明-正文"/>
    <w:basedOn w:val="1"/>
    <w:qFormat/>
    <w:uiPriority w:val="0"/>
    <w:pPr>
      <w:tabs>
        <w:tab w:val="clear" w:pos="480"/>
      </w:tabs>
      <w:ind w:firstLine="480"/>
    </w:pPr>
    <w:rPr>
      <w:rFonts w:hint="eastAsia"/>
      <w:sz w:val="21"/>
      <w:szCs w:val="20"/>
    </w:rPr>
  </w:style>
  <w:style w:type="paragraph" w:customStyle="1" w:styleId="1656">
    <w:name w:val="条-成果 Char"/>
    <w:basedOn w:val="5"/>
    <w:qFormat/>
    <w:uiPriority w:val="0"/>
    <w:pPr>
      <w:keepNext w:val="0"/>
      <w:keepLines w:val="0"/>
      <w:tabs>
        <w:tab w:val="left" w:pos="1440"/>
        <w:tab w:val="clear" w:pos="480"/>
        <w:tab w:val="clear" w:pos="840"/>
      </w:tabs>
      <w:spacing w:before="156" w:after="156" w:line="400" w:lineRule="exact"/>
      <w:ind w:left="1440" w:hanging="720"/>
      <w:outlineLvl w:val="9"/>
    </w:pPr>
    <w:rPr>
      <w:rFonts w:hint="eastAsia" w:ascii="Times New Roman" w:hAnsi="宋体" w:eastAsia="宋体"/>
      <w:b w:val="0"/>
      <w:bCs w:val="0"/>
      <w:sz w:val="24"/>
      <w:szCs w:val="20"/>
    </w:rPr>
  </w:style>
  <w:style w:type="paragraph" w:customStyle="1" w:styleId="1657">
    <w:name w:val="样式 标题 1 + 浅蓝 首行缩进:  0 厘米"/>
    <w:basedOn w:val="3"/>
    <w:qFormat/>
    <w:uiPriority w:val="0"/>
    <w:pPr>
      <w:tabs>
        <w:tab w:val="clear" w:pos="480"/>
      </w:tabs>
      <w:spacing w:beforeLines="50" w:afterLines="50" w:line="576" w:lineRule="auto"/>
    </w:pPr>
    <w:rPr>
      <w:rFonts w:hint="eastAsia" w:ascii="Times New Roman" w:eastAsia="宋体"/>
      <w:bCs w:val="0"/>
      <w:sz w:val="32"/>
      <w:szCs w:val="20"/>
    </w:rPr>
  </w:style>
  <w:style w:type="paragraph" w:customStyle="1" w:styleId="1658">
    <w:name w:val="表格用字 +  六号"/>
    <w:basedOn w:val="1"/>
    <w:semiHidden/>
    <w:qFormat/>
    <w:uiPriority w:val="0"/>
    <w:pPr>
      <w:tabs>
        <w:tab w:val="clear" w:pos="480"/>
      </w:tabs>
      <w:spacing w:line="0" w:lineRule="atLeast"/>
    </w:pPr>
    <w:rPr>
      <w:rFonts w:hint="eastAsia" w:eastAsia="仿宋_GB2312"/>
      <w:sz w:val="15"/>
      <w:szCs w:val="20"/>
    </w:rPr>
  </w:style>
  <w:style w:type="paragraph" w:customStyle="1" w:styleId="1659">
    <w:name w:val="表格内正文"/>
    <w:semiHidden/>
    <w:qFormat/>
    <w:uiPriority w:val="0"/>
    <w:pPr>
      <w:widowControl w:val="0"/>
      <w:spacing w:line="360" w:lineRule="exact"/>
      <w:ind w:firstLine="420" w:firstLineChars="200"/>
      <w:jc w:val="both"/>
    </w:pPr>
    <w:rPr>
      <w:rFonts w:hint="eastAsia" w:ascii="Times New Roman" w:hAnsi="Times New Roman" w:eastAsia="宋体" w:cs="Times New Roman"/>
      <w:kern w:val="2"/>
      <w:sz w:val="21"/>
      <w:szCs w:val="24"/>
      <w:lang w:val="en-US" w:eastAsia="zh-CN" w:bidi="ar-SA"/>
    </w:rPr>
  </w:style>
  <w:style w:type="paragraph" w:customStyle="1" w:styleId="1660">
    <w:name w:val="样式 节 + 段前: 0.5 行 段后: 0.5 行"/>
    <w:basedOn w:val="4"/>
    <w:qFormat/>
    <w:uiPriority w:val="0"/>
    <w:pPr>
      <w:tabs>
        <w:tab w:val="left" w:pos="840"/>
        <w:tab w:val="clear" w:pos="480"/>
        <w:tab w:val="clear" w:pos="630"/>
      </w:tabs>
      <w:spacing w:before="360" w:after="156" w:line="240" w:lineRule="auto"/>
      <w:ind w:left="839" w:hanging="839"/>
      <w:outlineLvl w:val="2"/>
    </w:pPr>
    <w:rPr>
      <w:rFonts w:hint="eastAsia" w:hAnsi="宋体"/>
      <w:b w:val="0"/>
      <w:bCs w:val="0"/>
      <w:sz w:val="28"/>
      <w:szCs w:val="20"/>
    </w:rPr>
  </w:style>
  <w:style w:type="paragraph" w:customStyle="1" w:styleId="1661">
    <w:name w:val="样式 标题 2 + 浅蓝 段前: 1 行"/>
    <w:basedOn w:val="4"/>
    <w:qFormat/>
    <w:uiPriority w:val="0"/>
    <w:pPr>
      <w:tabs>
        <w:tab w:val="clear" w:pos="480"/>
        <w:tab w:val="clear" w:pos="630"/>
      </w:tabs>
      <w:spacing w:before="320" w:after="160"/>
      <w:ind w:firstLine="567"/>
    </w:pPr>
    <w:rPr>
      <w:rFonts w:hint="eastAsia" w:ascii="Arial" w:hAnsi="Arial" w:eastAsia="黑体"/>
      <w:b w:val="0"/>
      <w:bCs w:val="0"/>
      <w:sz w:val="28"/>
      <w:szCs w:val="20"/>
    </w:rPr>
  </w:style>
  <w:style w:type="paragraph" w:customStyle="1" w:styleId="1662">
    <w:name w:val="说明-标题3"/>
    <w:basedOn w:val="5"/>
    <w:qFormat/>
    <w:uiPriority w:val="0"/>
    <w:pPr>
      <w:tabs>
        <w:tab w:val="clear" w:pos="480"/>
        <w:tab w:val="clear" w:pos="840"/>
      </w:tabs>
      <w:spacing w:before="312" w:after="156" w:line="416" w:lineRule="atLeast"/>
    </w:pPr>
    <w:rPr>
      <w:rFonts w:hint="eastAsia" w:ascii="Times New Roman" w:eastAsia="黑体"/>
      <w:b w:val="0"/>
      <w:bCs w:val="0"/>
      <w:szCs w:val="20"/>
    </w:rPr>
  </w:style>
  <w:style w:type="paragraph" w:customStyle="1" w:styleId="1663">
    <w:name w:val="样式 首行缩进:  2 字符 行距: 固定值 26 磅"/>
    <w:basedOn w:val="1"/>
    <w:qFormat/>
    <w:uiPriority w:val="0"/>
    <w:pPr>
      <w:tabs>
        <w:tab w:val="clear" w:pos="480"/>
      </w:tabs>
      <w:spacing w:line="480" w:lineRule="exact"/>
    </w:pPr>
    <w:rPr>
      <w:rFonts w:hint="eastAsia"/>
      <w:sz w:val="21"/>
      <w:szCs w:val="20"/>
    </w:rPr>
  </w:style>
  <w:style w:type="paragraph" w:customStyle="1" w:styleId="1664">
    <w:name w:val="说明-表格用字"/>
    <w:basedOn w:val="1"/>
    <w:qFormat/>
    <w:uiPriority w:val="0"/>
    <w:pPr>
      <w:tabs>
        <w:tab w:val="clear" w:pos="480"/>
      </w:tabs>
      <w:spacing w:line="240" w:lineRule="auto"/>
      <w:jc w:val="center"/>
    </w:pPr>
    <w:rPr>
      <w:rFonts w:hint="eastAsia" w:hAnsi="宋体"/>
      <w:sz w:val="21"/>
      <w:szCs w:val="20"/>
    </w:rPr>
  </w:style>
  <w:style w:type="paragraph" w:customStyle="1" w:styleId="1665">
    <w:name w:val="表格用字"/>
    <w:basedOn w:val="76"/>
    <w:semiHidden/>
    <w:qFormat/>
    <w:uiPriority w:val="0"/>
    <w:pPr>
      <w:spacing w:before="156" w:line="0" w:lineRule="atLeast"/>
      <w:jc w:val="both"/>
    </w:pPr>
    <w:rPr>
      <w:rFonts w:hint="eastAsia" w:eastAsia="仿宋_GB2312"/>
      <w:color w:val="auto"/>
      <w:sz w:val="21"/>
    </w:rPr>
  </w:style>
  <w:style w:type="paragraph" w:customStyle="1" w:styleId="1666">
    <w:name w:val="样式 小五 居中 首行缩进:  2 字符"/>
    <w:basedOn w:val="1"/>
    <w:qFormat/>
    <w:uiPriority w:val="0"/>
    <w:pPr>
      <w:tabs>
        <w:tab w:val="clear" w:pos="480"/>
      </w:tabs>
      <w:spacing w:line="240" w:lineRule="auto"/>
      <w:jc w:val="center"/>
    </w:pPr>
    <w:rPr>
      <w:rFonts w:hint="eastAsia"/>
      <w:sz w:val="18"/>
      <w:szCs w:val="20"/>
    </w:rPr>
  </w:style>
  <w:style w:type="paragraph" w:customStyle="1" w:styleId="1667">
    <w:name w:val="样式 样式 标题 2 + 加粗 段前: 1 行 + 四号 首行缩进:  0 厘米"/>
    <w:basedOn w:val="1"/>
    <w:qFormat/>
    <w:uiPriority w:val="0"/>
    <w:pPr>
      <w:keepNext/>
      <w:keepLines/>
      <w:tabs>
        <w:tab w:val="clear" w:pos="480"/>
      </w:tabs>
      <w:spacing w:before="320" w:after="200" w:line="240" w:lineRule="auto"/>
      <w:ind w:firstLine="567"/>
      <w:jc w:val="left"/>
    </w:pPr>
    <w:rPr>
      <w:rFonts w:hint="eastAsia"/>
      <w:b/>
      <w:sz w:val="28"/>
      <w:szCs w:val="20"/>
    </w:rPr>
  </w:style>
  <w:style w:type="paragraph" w:customStyle="1" w:styleId="1668">
    <w:name w:val="样式 标题 3 + 首行缩进:  0 厘米"/>
    <w:basedOn w:val="5"/>
    <w:qFormat/>
    <w:uiPriority w:val="0"/>
    <w:pPr>
      <w:tabs>
        <w:tab w:val="clear" w:pos="480"/>
        <w:tab w:val="clear" w:pos="840"/>
      </w:tabs>
      <w:spacing w:before="260" w:line="413" w:lineRule="auto"/>
    </w:pPr>
    <w:rPr>
      <w:rFonts w:hint="eastAsia" w:ascii="Times New Roman" w:eastAsia="宋体"/>
      <w:bCs w:val="0"/>
      <w:sz w:val="24"/>
      <w:szCs w:val="20"/>
    </w:rPr>
  </w:style>
  <w:style w:type="paragraph" w:customStyle="1" w:styleId="1669">
    <w:name w:val="样式 样式7 + 小四"/>
    <w:basedOn w:val="1"/>
    <w:qFormat/>
    <w:uiPriority w:val="0"/>
    <w:pPr>
      <w:keepNext/>
      <w:keepLines/>
      <w:tabs>
        <w:tab w:val="left" w:pos="560"/>
        <w:tab w:val="clear" w:pos="480"/>
      </w:tabs>
      <w:snapToGrid w:val="0"/>
      <w:spacing w:before="260" w:after="260" w:line="480" w:lineRule="exact"/>
      <w:outlineLvl w:val="2"/>
    </w:pPr>
    <w:rPr>
      <w:rFonts w:hint="eastAsia" w:hAnsi="宋体"/>
      <w:b/>
      <w:color w:val="000000"/>
      <w:szCs w:val="20"/>
    </w:rPr>
  </w:style>
  <w:style w:type="paragraph" w:customStyle="1" w:styleId="1670">
    <w:name w:val="样式 标题 2 + 段前: 1 行"/>
    <w:basedOn w:val="4"/>
    <w:qFormat/>
    <w:uiPriority w:val="0"/>
    <w:pPr>
      <w:tabs>
        <w:tab w:val="clear" w:pos="480"/>
        <w:tab w:val="clear" w:pos="630"/>
      </w:tabs>
      <w:spacing w:before="320" w:after="160"/>
      <w:ind w:firstLine="567"/>
      <w:jc w:val="left"/>
    </w:pPr>
    <w:rPr>
      <w:rFonts w:hint="eastAsia" w:ascii="Arial" w:hAnsi="Arial" w:eastAsia="黑体"/>
      <w:b w:val="0"/>
      <w:bCs w:val="0"/>
      <w:sz w:val="28"/>
      <w:szCs w:val="20"/>
    </w:rPr>
  </w:style>
  <w:style w:type="paragraph" w:customStyle="1" w:styleId="1671">
    <w:name w:val="样式 左侧:  0.85 厘米 首行缩进:  2 字符"/>
    <w:basedOn w:val="1"/>
    <w:qFormat/>
    <w:uiPriority w:val="0"/>
    <w:pPr>
      <w:tabs>
        <w:tab w:val="clear" w:pos="480"/>
      </w:tabs>
      <w:spacing w:line="480" w:lineRule="exact"/>
    </w:pPr>
    <w:rPr>
      <w:rFonts w:hint="eastAsia"/>
      <w:sz w:val="21"/>
      <w:szCs w:val="20"/>
    </w:rPr>
  </w:style>
  <w:style w:type="paragraph" w:customStyle="1" w:styleId="1672">
    <w:name w:val="样式 小五 首行缩进:  2 字符"/>
    <w:basedOn w:val="1"/>
    <w:qFormat/>
    <w:uiPriority w:val="0"/>
    <w:pPr>
      <w:tabs>
        <w:tab w:val="clear" w:pos="480"/>
      </w:tabs>
      <w:spacing w:line="240" w:lineRule="auto"/>
    </w:pPr>
    <w:rPr>
      <w:rFonts w:hint="eastAsia"/>
      <w:sz w:val="18"/>
      <w:szCs w:val="20"/>
    </w:rPr>
  </w:style>
  <w:style w:type="paragraph" w:customStyle="1" w:styleId="1673">
    <w:name w:val="说明-表格用字1"/>
    <w:basedOn w:val="1664"/>
    <w:qFormat/>
    <w:uiPriority w:val="0"/>
    <w:pPr/>
  </w:style>
  <w:style w:type="paragraph" w:customStyle="1" w:styleId="1674">
    <w:name w:val="样式 样式 标题 3 + 宋体 小四 加粗 + 首行缩进:  0 厘米"/>
    <w:basedOn w:val="1"/>
    <w:qFormat/>
    <w:uiPriority w:val="0"/>
    <w:pPr>
      <w:keepNext/>
      <w:keepLines/>
      <w:tabs>
        <w:tab w:val="clear" w:pos="480"/>
      </w:tabs>
      <w:spacing w:before="240" w:after="120" w:line="240" w:lineRule="auto"/>
      <w:ind w:firstLine="567"/>
    </w:pPr>
    <w:rPr>
      <w:rFonts w:hint="eastAsia" w:hAnsi="宋体"/>
      <w:b/>
      <w:sz w:val="21"/>
      <w:szCs w:val="20"/>
    </w:rPr>
  </w:style>
  <w:style w:type="paragraph" w:customStyle="1" w:styleId="1675">
    <w:name w:val="In Table"/>
    <w:basedOn w:val="1"/>
    <w:semiHidden/>
    <w:qFormat/>
    <w:uiPriority w:val="0"/>
    <w:pPr>
      <w:tabs>
        <w:tab w:val="left" w:pos="2200"/>
        <w:tab w:val="left" w:pos="3960"/>
        <w:tab w:val="left" w:pos="5280"/>
        <w:tab w:val="clear" w:pos="480"/>
      </w:tabs>
      <w:spacing w:before="96" w:after="96" w:line="0" w:lineRule="atLeast"/>
      <w:jc w:val="center"/>
    </w:pPr>
    <w:rPr>
      <w:rFonts w:ascii="Tahoma" w:hAnsi="Tahoma" w:eastAsia="华文中宋"/>
      <w:sz w:val="21"/>
      <w:szCs w:val="20"/>
    </w:rPr>
  </w:style>
  <w:style w:type="paragraph" w:customStyle="1" w:styleId="1676">
    <w:name w:val="样式 红色 首行缩进:  2 字符"/>
    <w:basedOn w:val="1"/>
    <w:qFormat/>
    <w:uiPriority w:val="0"/>
    <w:pPr>
      <w:tabs>
        <w:tab w:val="clear" w:pos="480"/>
      </w:tabs>
      <w:spacing w:line="480" w:lineRule="exact"/>
      <w:ind w:firstLine="480"/>
    </w:pPr>
    <w:rPr>
      <w:color w:val="FF0000"/>
      <w:szCs w:val="20"/>
    </w:rPr>
  </w:style>
  <w:style w:type="paragraph" w:customStyle="1" w:styleId="1677">
    <w:name w:val="样式 五号 居中 行距: 最小值 18 磅"/>
    <w:basedOn w:val="1"/>
    <w:qFormat/>
    <w:uiPriority w:val="0"/>
    <w:pPr>
      <w:tabs>
        <w:tab w:val="clear" w:pos="480"/>
      </w:tabs>
      <w:spacing w:line="360" w:lineRule="atLeast"/>
      <w:jc w:val="center"/>
    </w:pPr>
    <w:rPr>
      <w:sz w:val="21"/>
      <w:szCs w:val="20"/>
    </w:rPr>
  </w:style>
  <w:style w:type="paragraph" w:customStyle="1" w:styleId="1678">
    <w:name w:val="样式 (中文) 黑体"/>
    <w:basedOn w:val="1"/>
    <w:qFormat/>
    <w:uiPriority w:val="0"/>
    <w:pPr>
      <w:tabs>
        <w:tab w:val="clear" w:pos="480"/>
      </w:tabs>
      <w:spacing w:line="480" w:lineRule="exact"/>
      <w:ind w:firstLine="567"/>
    </w:pPr>
    <w:rPr>
      <w:rFonts w:eastAsia="黑体"/>
      <w:kern w:val="0"/>
      <w:szCs w:val="20"/>
    </w:rPr>
  </w:style>
  <w:style w:type="paragraph" w:customStyle="1" w:styleId="1679">
    <w:name w:val="热电厂正文"/>
    <w:basedOn w:val="1"/>
    <w:qFormat/>
    <w:uiPriority w:val="0"/>
    <w:pPr>
      <w:tabs>
        <w:tab w:val="clear" w:pos="480"/>
      </w:tabs>
      <w:spacing w:line="440" w:lineRule="exact"/>
      <w:ind w:firstLine="480"/>
    </w:pPr>
  </w:style>
  <w:style w:type="paragraph" w:customStyle="1" w:styleId="1680">
    <w:name w:val="标题后正文"/>
    <w:basedOn w:val="1"/>
    <w:semiHidden/>
    <w:qFormat/>
    <w:uiPriority w:val="0"/>
    <w:pPr>
      <w:tabs>
        <w:tab w:val="clear" w:pos="480"/>
      </w:tabs>
      <w:adjustRightInd w:val="0"/>
      <w:textAlignment w:val="baseline"/>
    </w:pPr>
    <w:rPr>
      <w:rFonts w:ascii="Arial" w:hAnsi="Arial"/>
      <w:snapToGrid w:val="0"/>
      <w:kern w:val="28"/>
      <w:szCs w:val="20"/>
    </w:rPr>
  </w:style>
  <w:style w:type="paragraph" w:customStyle="1" w:styleId="1681">
    <w:name w:val="样式 小四 行距: 固定值 24 磅 首行缩进:  2 字符"/>
    <w:basedOn w:val="1"/>
    <w:qFormat/>
    <w:uiPriority w:val="0"/>
    <w:pPr>
      <w:tabs>
        <w:tab w:val="clear" w:pos="480"/>
      </w:tabs>
      <w:spacing w:line="440" w:lineRule="exact"/>
    </w:pPr>
  </w:style>
  <w:style w:type="paragraph" w:customStyle="1" w:styleId="1682">
    <w:name w:val="样式 标题 3 + 小四 黑色1 Char Char Char"/>
    <w:basedOn w:val="5"/>
    <w:qFormat/>
    <w:uiPriority w:val="0"/>
    <w:pPr>
      <w:tabs>
        <w:tab w:val="clear" w:pos="480"/>
        <w:tab w:val="clear" w:pos="840"/>
      </w:tabs>
      <w:spacing w:before="0" w:after="0" w:line="480" w:lineRule="exact"/>
      <w:ind w:firstLine="420"/>
    </w:pPr>
    <w:rPr>
      <w:rFonts w:ascii="Times New Roman" w:eastAsia="宋体"/>
      <w:color w:val="000000"/>
      <w:sz w:val="24"/>
      <w:szCs w:val="28"/>
    </w:rPr>
  </w:style>
  <w:style w:type="paragraph" w:customStyle="1" w:styleId="1683">
    <w:name w:val="样式 标题 3 + 小四 黑色1 Char Char"/>
    <w:basedOn w:val="5"/>
    <w:qFormat/>
    <w:uiPriority w:val="0"/>
    <w:pPr>
      <w:tabs>
        <w:tab w:val="clear" w:pos="480"/>
        <w:tab w:val="clear" w:pos="840"/>
      </w:tabs>
      <w:spacing w:before="0" w:after="0" w:line="480" w:lineRule="exact"/>
      <w:ind w:firstLine="420"/>
    </w:pPr>
    <w:rPr>
      <w:rFonts w:ascii="Times New Roman" w:eastAsia="宋体"/>
      <w:color w:val="000000"/>
      <w:sz w:val="24"/>
      <w:szCs w:val="28"/>
    </w:rPr>
  </w:style>
  <w:style w:type="paragraph" w:customStyle="1" w:styleId="1684">
    <w:name w:val="样式 小四 行距: 固定值 22 磅"/>
    <w:basedOn w:val="1"/>
    <w:next w:val="6"/>
    <w:qFormat/>
    <w:uiPriority w:val="0"/>
    <w:pPr>
      <w:tabs>
        <w:tab w:val="clear" w:pos="480"/>
      </w:tabs>
      <w:spacing w:line="440" w:lineRule="exact"/>
      <w:ind w:firstLine="454"/>
    </w:pPr>
    <w:rPr>
      <w:rFonts w:eastAsia="黑体"/>
      <w:sz w:val="28"/>
      <w:szCs w:val="28"/>
    </w:rPr>
  </w:style>
  <w:style w:type="paragraph" w:customStyle="1" w:styleId="1685">
    <w:name w:val="样式 标题 4 + Times New Roman"/>
    <w:basedOn w:val="6"/>
    <w:qFormat/>
    <w:uiPriority w:val="0"/>
    <w:pPr>
      <w:numPr>
        <w:ilvl w:val="0"/>
        <w:numId w:val="0"/>
      </w:numPr>
      <w:tabs>
        <w:tab w:val="clear" w:pos="480"/>
      </w:tabs>
      <w:spacing w:before="0" w:afterLines="50" w:line="440" w:lineRule="exact"/>
      <w:ind w:firstLine="454"/>
    </w:pPr>
    <w:rPr>
      <w:rFonts w:ascii="Times New Roman" w:hAnsi="Times New Roman" w:eastAsia="黑体"/>
      <w:b w:val="0"/>
      <w:bCs w:val="0"/>
      <w:kern w:val="0"/>
      <w:sz w:val="24"/>
      <w:szCs w:val="24"/>
    </w:rPr>
  </w:style>
  <w:style w:type="paragraph" w:customStyle="1" w:styleId="1686">
    <w:name w:val="样式 小四 首行缩进:  0.74 厘米 行距: 固定值 20 磅"/>
    <w:basedOn w:val="1"/>
    <w:qFormat/>
    <w:uiPriority w:val="0"/>
    <w:pPr>
      <w:tabs>
        <w:tab w:val="clear" w:pos="480"/>
      </w:tabs>
      <w:spacing w:line="440" w:lineRule="exact"/>
      <w:ind w:firstLine="454"/>
    </w:pPr>
    <w:rPr>
      <w:szCs w:val="20"/>
    </w:rPr>
  </w:style>
  <w:style w:type="paragraph" w:customStyle="1" w:styleId="1687">
    <w:name w:val="样式 宋体 小四 首行缩进:  0.74 厘米 行距: 固定值 20 磅"/>
    <w:basedOn w:val="1"/>
    <w:qFormat/>
    <w:uiPriority w:val="0"/>
    <w:pPr>
      <w:tabs>
        <w:tab w:val="clear" w:pos="480"/>
      </w:tabs>
      <w:spacing w:line="440" w:lineRule="exact"/>
      <w:ind w:firstLine="454"/>
    </w:pPr>
    <w:rPr>
      <w:rFonts w:ascii="宋体" w:hAnsi="宋体"/>
      <w:szCs w:val="20"/>
    </w:rPr>
  </w:style>
  <w:style w:type="paragraph" w:customStyle="1" w:styleId="1688">
    <w:name w:val="样式 小四 黑色 首行缩进:  0.74 厘米 行距: 固定值 20 磅"/>
    <w:basedOn w:val="1"/>
    <w:qFormat/>
    <w:uiPriority w:val="0"/>
    <w:pPr>
      <w:tabs>
        <w:tab w:val="clear" w:pos="480"/>
      </w:tabs>
      <w:spacing w:line="440" w:lineRule="exact"/>
      <w:ind w:firstLine="454"/>
    </w:pPr>
    <w:rPr>
      <w:color w:val="000000"/>
      <w:szCs w:val="20"/>
    </w:rPr>
  </w:style>
  <w:style w:type="paragraph" w:customStyle="1" w:styleId="1689">
    <w:name w:val="样式 正文文本缩进 + 小四 非加粗 非倾斜 行距: 固定值 20 磅"/>
    <w:basedOn w:val="35"/>
    <w:qFormat/>
    <w:uiPriority w:val="0"/>
    <w:pPr>
      <w:tabs>
        <w:tab w:val="clear" w:pos="480"/>
      </w:tabs>
      <w:spacing w:line="440" w:lineRule="exact"/>
      <w:ind w:firstLine="454" w:firstLineChars="0"/>
    </w:pPr>
    <w:rPr>
      <w:kern w:val="0"/>
      <w:szCs w:val="20"/>
    </w:rPr>
  </w:style>
  <w:style w:type="paragraph" w:customStyle="1" w:styleId="1690">
    <w:name w:val="表1"/>
    <w:basedOn w:val="1"/>
    <w:semiHidden/>
    <w:qFormat/>
    <w:uiPriority w:val="0"/>
    <w:pPr>
      <w:tabs>
        <w:tab w:val="clear" w:pos="480"/>
      </w:tabs>
      <w:spacing w:before="40" w:line="0" w:lineRule="atLeast"/>
      <w:jc w:val="center"/>
    </w:pPr>
    <w:rPr>
      <w:sz w:val="21"/>
      <w:szCs w:val="20"/>
    </w:rPr>
  </w:style>
  <w:style w:type="paragraph" w:customStyle="1" w:styleId="1691">
    <w:name w:val="正文宋体四号字"/>
    <w:basedOn w:val="1"/>
    <w:qFormat/>
    <w:uiPriority w:val="0"/>
    <w:pPr>
      <w:tabs>
        <w:tab w:val="clear" w:pos="480"/>
      </w:tabs>
      <w:adjustRightInd w:val="0"/>
      <w:spacing w:line="560" w:lineRule="exact"/>
      <w:ind w:firstLine="567"/>
      <w:textAlignment w:val="baseline"/>
    </w:pPr>
    <w:rPr>
      <w:rFonts w:ascii="Arial" w:hAnsi="Arial"/>
      <w:spacing w:val="2"/>
      <w:kern w:val="0"/>
      <w:sz w:val="28"/>
      <w:szCs w:val="20"/>
    </w:rPr>
  </w:style>
  <w:style w:type="paragraph" w:customStyle="1" w:styleId="1692">
    <w:name w:val="样式 标题 4标题 4 Char Char标题 4 Char + 小四 加粗"/>
    <w:basedOn w:val="6"/>
    <w:qFormat/>
    <w:uiPriority w:val="0"/>
    <w:pPr>
      <w:numPr>
        <w:ilvl w:val="0"/>
        <w:numId w:val="0"/>
      </w:numPr>
      <w:tabs>
        <w:tab w:val="clear" w:pos="480"/>
      </w:tabs>
      <w:spacing w:beforeLines="50" w:afterLines="50" w:line="520" w:lineRule="atLeast"/>
    </w:pPr>
    <w:rPr>
      <w:rFonts w:hint="eastAsia" w:ascii="Times New Roman" w:hAnsi="Times New Roman" w:eastAsia="宋体"/>
      <w:kern w:val="0"/>
      <w:sz w:val="24"/>
      <w:szCs w:val="20"/>
    </w:rPr>
  </w:style>
  <w:style w:type="paragraph" w:customStyle="1" w:styleId="1693">
    <w:name w:val="样式 标题 4标题 4 Char Char标题 4 Char + 小四 加粗1"/>
    <w:basedOn w:val="6"/>
    <w:qFormat/>
    <w:uiPriority w:val="0"/>
    <w:pPr>
      <w:numPr>
        <w:ilvl w:val="0"/>
        <w:numId w:val="0"/>
      </w:numPr>
      <w:tabs>
        <w:tab w:val="clear" w:pos="480"/>
      </w:tabs>
      <w:spacing w:before="0" w:afterLines="50" w:line="520" w:lineRule="atLeast"/>
    </w:pPr>
    <w:rPr>
      <w:rFonts w:hint="eastAsia" w:ascii="Times New Roman" w:hAnsi="Times New Roman" w:eastAsia="宋体"/>
      <w:kern w:val="0"/>
      <w:sz w:val="24"/>
      <w:szCs w:val="20"/>
    </w:rPr>
  </w:style>
  <w:style w:type="paragraph" w:customStyle="1" w:styleId="1694">
    <w:name w:val="样式 标题 4标题 4 Char Char标题 4 Char + 小四 加粗2"/>
    <w:basedOn w:val="6"/>
    <w:qFormat/>
    <w:uiPriority w:val="0"/>
    <w:pPr>
      <w:numPr>
        <w:ilvl w:val="0"/>
        <w:numId w:val="0"/>
      </w:numPr>
      <w:tabs>
        <w:tab w:val="clear" w:pos="480"/>
      </w:tabs>
      <w:spacing w:before="0" w:afterLines="50" w:line="520" w:lineRule="atLeast"/>
    </w:pPr>
    <w:rPr>
      <w:rFonts w:hint="eastAsia" w:ascii="Times New Roman" w:hAnsi="Times New Roman" w:eastAsia="宋体"/>
      <w:kern w:val="0"/>
      <w:sz w:val="24"/>
      <w:szCs w:val="20"/>
    </w:rPr>
  </w:style>
  <w:style w:type="paragraph" w:customStyle="1" w:styleId="1695">
    <w:name w:val="我的样式（正文）"/>
    <w:basedOn w:val="1"/>
    <w:qFormat/>
    <w:uiPriority w:val="0"/>
    <w:pPr>
      <w:tabs>
        <w:tab w:val="clear" w:pos="480"/>
      </w:tabs>
      <w:spacing w:line="440" w:lineRule="exact"/>
    </w:pPr>
    <w:rPr>
      <w:rFonts w:ascii="宋体"/>
      <w:sz w:val="28"/>
      <w:szCs w:val="20"/>
    </w:rPr>
  </w:style>
  <w:style w:type="paragraph" w:customStyle="1" w:styleId="1696">
    <w:name w:val="样式 首行缩进:  0.80 厘米 段前: 7.8 磅"/>
    <w:basedOn w:val="1"/>
    <w:qFormat/>
    <w:uiPriority w:val="0"/>
    <w:pPr>
      <w:tabs>
        <w:tab w:val="clear" w:pos="480"/>
      </w:tabs>
      <w:adjustRightInd w:val="0"/>
      <w:snapToGrid w:val="0"/>
      <w:spacing w:before="156" w:line="312" w:lineRule="auto"/>
      <w:ind w:firstLine="480"/>
    </w:pPr>
    <w:rPr>
      <w:szCs w:val="20"/>
    </w:rPr>
  </w:style>
  <w:style w:type="character" w:customStyle="1" w:styleId="1697">
    <w:name w:val="表格用字 +  六号 Char"/>
    <w:semiHidden/>
    <w:qFormat/>
    <w:uiPriority w:val="0"/>
    <w:rPr>
      <w:rFonts w:ascii="宋体" w:eastAsia="仿宋_GB2312" w:cs="宋体"/>
      <w:bCs/>
      <w:kern w:val="2"/>
      <w:sz w:val="15"/>
      <w:szCs w:val="21"/>
      <w:lang w:val="en-US" w:eastAsia="zh-CN" w:bidi="ar-SA"/>
    </w:rPr>
  </w:style>
  <w:style w:type="character" w:customStyle="1" w:styleId="1698">
    <w:name w:val="条-成果 Char Char"/>
    <w:qFormat/>
    <w:uiPriority w:val="0"/>
    <w:rPr>
      <w:rFonts w:ascii="宋体" w:hAnsi="宋体" w:eastAsia="宋体" w:cs="宋体"/>
      <w:bCs/>
      <w:kern w:val="2"/>
      <w:sz w:val="24"/>
      <w:szCs w:val="30"/>
      <w:lang w:val="en-US" w:eastAsia="zh-CN" w:bidi="ar-SA"/>
    </w:rPr>
  </w:style>
  <w:style w:type="character" w:customStyle="1" w:styleId="1699">
    <w:name w:val="sbody1"/>
    <w:semiHidden/>
    <w:qFormat/>
    <w:uiPriority w:val="0"/>
    <w:rPr>
      <w:spacing w:val="360"/>
      <w:sz w:val="14"/>
      <w:szCs w:val="14"/>
    </w:rPr>
  </w:style>
  <w:style w:type="character" w:customStyle="1" w:styleId="1700">
    <w:name w:val="main1"/>
    <w:qFormat/>
    <w:uiPriority w:val="0"/>
    <w:rPr>
      <w:rFonts w:hint="default"/>
      <w:color w:val="0033CC"/>
      <w:spacing w:val="240"/>
      <w:sz w:val="18"/>
      <w:szCs w:val="18"/>
    </w:rPr>
  </w:style>
  <w:style w:type="character" w:customStyle="1" w:styleId="1701">
    <w:name w:val="text_l1"/>
    <w:semiHidden/>
    <w:qFormat/>
    <w:uiPriority w:val="0"/>
    <w:rPr>
      <w:color w:val="000066"/>
      <w:sz w:val="18"/>
      <w:szCs w:val="18"/>
    </w:rPr>
  </w:style>
  <w:style w:type="character" w:customStyle="1" w:styleId="1702">
    <w:name w:val="样式 正文文本缩进 2正文文字缩进 2 + 四号 蓝色 Char"/>
    <w:qFormat/>
    <w:uiPriority w:val="0"/>
    <w:rPr>
      <w:rFonts w:eastAsia="宋体"/>
      <w:color w:val="0000FF"/>
      <w:kern w:val="2"/>
      <w:sz w:val="24"/>
      <w:szCs w:val="24"/>
      <w:lang w:val="en-US" w:eastAsia="zh-CN" w:bidi="ar-SA"/>
    </w:rPr>
  </w:style>
  <w:style w:type="paragraph" w:customStyle="1" w:styleId="1703">
    <w:name w:val="表格用字 Char"/>
    <w:basedOn w:val="76"/>
    <w:semiHidden/>
    <w:qFormat/>
    <w:uiPriority w:val="0"/>
    <w:pPr>
      <w:spacing w:line="0" w:lineRule="atLeast"/>
      <w:jc w:val="both"/>
    </w:pPr>
    <w:rPr>
      <w:rFonts w:ascii="宋体" w:eastAsia="仿宋_GB2312"/>
      <w:bCs/>
      <w:color w:val="auto"/>
      <w:szCs w:val="21"/>
    </w:rPr>
  </w:style>
  <w:style w:type="character" w:customStyle="1" w:styleId="1704">
    <w:name w:val="表格用字 Char Char1"/>
    <w:semiHidden/>
    <w:qFormat/>
    <w:uiPriority w:val="0"/>
    <w:rPr>
      <w:rFonts w:ascii="宋体" w:eastAsia="仿宋_GB2312" w:cs="宋体"/>
      <w:bCs/>
      <w:kern w:val="2"/>
      <w:sz w:val="24"/>
      <w:szCs w:val="21"/>
      <w:lang w:val="en-US" w:eastAsia="zh-CN" w:bidi="ar-SA"/>
    </w:rPr>
  </w:style>
  <w:style w:type="paragraph" w:customStyle="1" w:styleId="1705">
    <w:name w:val="普通(网站)11"/>
    <w:basedOn w:val="1"/>
    <w:qFormat/>
    <w:uiPriority w:val="0"/>
    <w:pPr>
      <w:widowControl/>
      <w:tabs>
        <w:tab w:val="clear" w:pos="480"/>
      </w:tabs>
      <w:spacing w:before="100" w:beforeAutospacing="1" w:after="100" w:afterAutospacing="1" w:line="240" w:lineRule="auto"/>
      <w:jc w:val="left"/>
    </w:pPr>
    <w:rPr>
      <w:rFonts w:hint="eastAsia" w:hAnsi="宋体"/>
      <w:sz w:val="21"/>
      <w:szCs w:val="20"/>
    </w:rPr>
  </w:style>
  <w:style w:type="paragraph" w:customStyle="1" w:styleId="1706">
    <w:name w:val="Char Char Char Char Char Char Char1"/>
    <w:basedOn w:val="1"/>
    <w:qFormat/>
    <w:uiPriority w:val="0"/>
    <w:pPr>
      <w:tabs>
        <w:tab w:val="clear" w:pos="480"/>
      </w:tabs>
      <w:spacing w:line="240" w:lineRule="auto"/>
    </w:pPr>
    <w:rPr>
      <w:sz w:val="21"/>
      <w:szCs w:val="21"/>
    </w:rPr>
  </w:style>
  <w:style w:type="paragraph" w:customStyle="1" w:styleId="1707">
    <w:name w:val="Char Char Char Char Char Char Char Char Char1"/>
    <w:basedOn w:val="1"/>
    <w:qFormat/>
    <w:uiPriority w:val="0"/>
    <w:pPr>
      <w:tabs>
        <w:tab w:val="clear" w:pos="480"/>
      </w:tabs>
      <w:spacing w:line="240" w:lineRule="auto"/>
    </w:pPr>
  </w:style>
  <w:style w:type="paragraph" w:customStyle="1" w:styleId="1708">
    <w:name w:val="正文文本 21"/>
    <w:basedOn w:val="1"/>
    <w:qFormat/>
    <w:uiPriority w:val="0"/>
    <w:pPr>
      <w:tabs>
        <w:tab w:val="clear" w:pos="480"/>
      </w:tabs>
      <w:adjustRightInd w:val="0"/>
      <w:snapToGrid w:val="0"/>
      <w:spacing w:line="480" w:lineRule="exact"/>
      <w:ind w:firstLine="510"/>
      <w:textAlignment w:val="baseline"/>
    </w:pPr>
    <w:rPr>
      <w:rFonts w:eastAsia="仿宋_GB2312"/>
      <w:kern w:val="0"/>
      <w:sz w:val="28"/>
      <w:szCs w:val="20"/>
    </w:rPr>
  </w:style>
  <w:style w:type="paragraph" w:customStyle="1" w:styleId="1709">
    <w:name w:val="样式 首行缩进:  0.77 厘米 行距: 固定值 20 磅"/>
    <w:basedOn w:val="1"/>
    <w:qFormat/>
    <w:uiPriority w:val="0"/>
    <w:pPr>
      <w:tabs>
        <w:tab w:val="clear" w:pos="480"/>
      </w:tabs>
      <w:ind w:firstLine="435"/>
    </w:pPr>
    <w:rPr>
      <w:szCs w:val="20"/>
    </w:rPr>
  </w:style>
  <w:style w:type="paragraph" w:customStyle="1" w:styleId="1710">
    <w:name w:val="CM3"/>
    <w:basedOn w:val="1"/>
    <w:next w:val="1"/>
    <w:semiHidden/>
    <w:qFormat/>
    <w:uiPriority w:val="0"/>
    <w:pPr>
      <w:tabs>
        <w:tab w:val="clear" w:pos="480"/>
      </w:tabs>
      <w:autoSpaceDE w:val="0"/>
      <w:autoSpaceDN w:val="0"/>
      <w:adjustRightInd w:val="0"/>
      <w:spacing w:line="463" w:lineRule="atLeast"/>
      <w:jc w:val="left"/>
    </w:pPr>
    <w:rPr>
      <w:kern w:val="0"/>
    </w:rPr>
  </w:style>
  <w:style w:type="paragraph" w:customStyle="1" w:styleId="1711">
    <w:name w:val="CM58"/>
    <w:basedOn w:val="151"/>
    <w:next w:val="151"/>
    <w:semiHidden/>
    <w:qFormat/>
    <w:uiPriority w:val="0"/>
    <w:pPr>
      <w:spacing w:after="155" w:line="360" w:lineRule="auto"/>
      <w:ind w:firstLine="200" w:firstLineChars="200"/>
      <w:jc w:val="both"/>
    </w:pPr>
    <w:rPr>
      <w:rFonts w:ascii="Times New Roman" w:eastAsia="宋体" w:cs="Times New Roman"/>
      <w:color w:val="auto"/>
    </w:rPr>
  </w:style>
  <w:style w:type="paragraph" w:customStyle="1" w:styleId="1712">
    <w:name w:val="表 头 Char"/>
    <w:basedOn w:val="1"/>
    <w:semiHidden/>
    <w:qFormat/>
    <w:uiPriority w:val="0"/>
    <w:pPr>
      <w:tabs>
        <w:tab w:val="clear" w:pos="480"/>
      </w:tabs>
      <w:adjustRightInd w:val="0"/>
      <w:spacing w:before="120" w:after="120" w:line="360" w:lineRule="atLeast"/>
      <w:jc w:val="center"/>
    </w:pPr>
    <w:rPr>
      <w:rFonts w:eastAsia="黑体"/>
      <w:spacing w:val="10"/>
      <w:kern w:val="0"/>
      <w:szCs w:val="20"/>
    </w:rPr>
  </w:style>
  <w:style w:type="paragraph" w:customStyle="1" w:styleId="1713">
    <w:name w:val="表文5号"/>
    <w:basedOn w:val="1"/>
    <w:qFormat/>
    <w:uiPriority w:val="0"/>
    <w:pPr>
      <w:tabs>
        <w:tab w:val="clear" w:pos="480"/>
      </w:tabs>
      <w:snapToGrid w:val="0"/>
      <w:spacing w:line="240" w:lineRule="auto"/>
      <w:jc w:val="center"/>
    </w:pPr>
    <w:rPr>
      <w:sz w:val="21"/>
      <w:szCs w:val="21"/>
    </w:rPr>
  </w:style>
  <w:style w:type="paragraph" w:customStyle="1" w:styleId="1714">
    <w:name w:val="表格内容5"/>
    <w:basedOn w:val="1"/>
    <w:next w:val="1"/>
    <w:semiHidden/>
    <w:qFormat/>
    <w:uiPriority w:val="0"/>
    <w:pPr>
      <w:tabs>
        <w:tab w:val="clear" w:pos="480"/>
      </w:tabs>
      <w:spacing w:before="40" w:after="60" w:line="200" w:lineRule="atLeast"/>
      <w:jc w:val="left"/>
      <w:textAlignment w:val="baseline"/>
    </w:pPr>
    <w:rPr>
      <w:rFonts w:ascii="Arial" w:hAnsi="Arial" w:eastAsia="仿宋_GB2312"/>
      <w:kern w:val="0"/>
      <w:sz w:val="21"/>
    </w:rPr>
  </w:style>
  <w:style w:type="paragraph" w:customStyle="1" w:styleId="1715">
    <w:name w:val="题注图"/>
    <w:basedOn w:val="23"/>
    <w:qFormat/>
    <w:uiPriority w:val="0"/>
    <w:pPr>
      <w:adjustRightInd/>
      <w:snapToGrid/>
      <w:spacing w:before="0" w:after="360" w:line="300" w:lineRule="auto"/>
      <w:ind w:firstLine="0" w:firstLineChars="0"/>
    </w:pPr>
    <w:rPr>
      <w:rFonts w:ascii="Times New Roman" w:hAnsi="Times New Roman" w:eastAsia="仿宋_GB2312" w:cs="Times New Roman"/>
      <w:b/>
      <w:color w:val="auto"/>
      <w:kern w:val="0"/>
      <w:szCs w:val="24"/>
    </w:rPr>
  </w:style>
  <w:style w:type="paragraph" w:customStyle="1" w:styleId="1716">
    <w:name w:val="样式 标题 3Char + 字距调整四号1"/>
    <w:basedOn w:val="5"/>
    <w:qFormat/>
    <w:uiPriority w:val="0"/>
    <w:pPr>
      <w:tabs>
        <w:tab w:val="left" w:pos="1080"/>
        <w:tab w:val="clear" w:pos="480"/>
      </w:tabs>
      <w:adjustRightInd w:val="0"/>
      <w:snapToGrid w:val="0"/>
      <w:spacing w:before="240" w:after="120" w:line="360" w:lineRule="auto"/>
      <w:ind w:left="720" w:hanging="720"/>
    </w:pPr>
    <w:rPr>
      <w:rFonts w:ascii="Times New Roman" w:eastAsia="楷体_GB2312"/>
      <w:color w:val="000000"/>
      <w:kern w:val="28"/>
      <w:sz w:val="24"/>
      <w:szCs w:val="24"/>
    </w:rPr>
  </w:style>
  <w:style w:type="character" w:customStyle="1" w:styleId="1717">
    <w:name w:val="neiwen1"/>
    <w:semiHidden/>
    <w:qFormat/>
    <w:uiPriority w:val="0"/>
    <w:rPr>
      <w:color w:val="000000"/>
      <w:spacing w:val="320"/>
      <w:sz w:val="20"/>
      <w:szCs w:val="20"/>
    </w:rPr>
  </w:style>
  <w:style w:type="character" w:customStyle="1" w:styleId="1718">
    <w:name w:val="H1 Char1"/>
    <w:semiHidden/>
    <w:qFormat/>
    <w:uiPriority w:val="0"/>
    <w:rPr>
      <w:rFonts w:eastAsia="宋体"/>
      <w:b/>
      <w:bCs/>
      <w:kern w:val="44"/>
      <w:sz w:val="44"/>
      <w:szCs w:val="44"/>
      <w:lang w:val="en-US" w:eastAsia="zh-CN" w:bidi="ar-SA"/>
    </w:rPr>
  </w:style>
  <w:style w:type="character" w:customStyle="1" w:styleId="1719">
    <w:name w:val="可研-标题 9 Char"/>
    <w:qFormat/>
    <w:locked/>
    <w:uiPriority w:val="0"/>
    <w:rPr>
      <w:rFonts w:ascii="Arial" w:hAnsi="Arial" w:eastAsia="黑体"/>
      <w:snapToGrid w:val="0"/>
      <w:kern w:val="2"/>
      <w:sz w:val="21"/>
      <w:szCs w:val="21"/>
      <w:lang w:val="eu-ES" w:eastAsia="zh-CN" w:bidi="ar-SA"/>
    </w:rPr>
  </w:style>
  <w:style w:type="paragraph" w:customStyle="1" w:styleId="1720">
    <w:name w:val="注解文字"/>
    <w:basedOn w:val="1"/>
    <w:qFormat/>
    <w:uiPriority w:val="0"/>
    <w:pPr>
      <w:tabs>
        <w:tab w:val="clear" w:pos="480"/>
      </w:tabs>
      <w:spacing w:afterLines="50" w:line="300" w:lineRule="auto"/>
    </w:pPr>
    <w:rPr>
      <w:rFonts w:hAnsi="Arial"/>
      <w:bCs/>
      <w:snapToGrid w:val="0"/>
      <w:kern w:val="0"/>
      <w:sz w:val="18"/>
      <w:szCs w:val="18"/>
      <w:lang w:val="eu-ES"/>
    </w:rPr>
  </w:style>
  <w:style w:type="paragraph" w:customStyle="1" w:styleId="1721">
    <w:name w:val="表后间隔"/>
    <w:basedOn w:val="1"/>
    <w:semiHidden/>
    <w:qFormat/>
    <w:uiPriority w:val="0"/>
    <w:pPr>
      <w:tabs>
        <w:tab w:val="center" w:pos="4153"/>
        <w:tab w:val="right" w:pos="8306"/>
        <w:tab w:val="clear" w:pos="480"/>
      </w:tabs>
      <w:snapToGrid w:val="0"/>
      <w:spacing w:line="240" w:lineRule="auto"/>
    </w:pPr>
    <w:rPr>
      <w:rFonts w:ascii="Arial" w:hAnsi="Arial"/>
      <w:bCs/>
      <w:snapToGrid w:val="0"/>
      <w:kern w:val="0"/>
      <w:sz w:val="18"/>
      <w:szCs w:val="27"/>
      <w:lang w:val="eu-ES"/>
    </w:rPr>
  </w:style>
  <w:style w:type="paragraph" w:customStyle="1" w:styleId="1722">
    <w:name w:val="标题 1文章"/>
    <w:basedOn w:val="3"/>
    <w:next w:val="1"/>
    <w:semiHidden/>
    <w:qFormat/>
    <w:uiPriority w:val="0"/>
    <w:pPr>
      <w:keepNext w:val="0"/>
      <w:keepLines w:val="0"/>
      <w:autoSpaceDN w:val="0"/>
      <w:adjustRightInd w:val="0"/>
      <w:spacing w:beforeLines="50" w:afterLines="50" w:line="520" w:lineRule="exact"/>
      <w:contextualSpacing/>
      <w:jc w:val="left"/>
      <w:textAlignment w:val="baseline"/>
    </w:pPr>
    <w:rPr>
      <w:rFonts w:ascii="黑体" w:hAnsi="Arial" w:eastAsia="黑体" w:cs="宋体"/>
      <w:b w:val="0"/>
      <w:bCs w:val="0"/>
      <w:snapToGrid w:val="0"/>
      <w:kern w:val="2"/>
      <w:szCs w:val="36"/>
      <w:lang w:val="eu-ES"/>
    </w:rPr>
  </w:style>
  <w:style w:type="character" w:customStyle="1" w:styleId="1723">
    <w:name w:val="标题 2 Char Char1"/>
    <w:semiHidden/>
    <w:qFormat/>
    <w:uiPriority w:val="0"/>
    <w:rPr>
      <w:rFonts w:ascii="黑体" w:hAnsi="Arial" w:eastAsia="黑体" w:cs="宋体"/>
      <w:bCs/>
      <w:snapToGrid w:val="0"/>
      <w:kern w:val="2"/>
      <w:sz w:val="28"/>
      <w:szCs w:val="28"/>
      <w:lang w:val="eu-ES" w:eastAsia="zh-CN" w:bidi="ar-SA"/>
    </w:rPr>
  </w:style>
  <w:style w:type="character" w:customStyle="1" w:styleId="1724">
    <w:name w:val="表格名称 Char Char"/>
    <w:semiHidden/>
    <w:qFormat/>
    <w:uiPriority w:val="0"/>
    <w:rPr>
      <w:rFonts w:ascii="黑体" w:hAnsi="宋体" w:eastAsia="黑体" w:cs="宋体"/>
      <w:bCs/>
      <w:snapToGrid w:val="0"/>
      <w:kern w:val="18"/>
      <w:sz w:val="24"/>
      <w:szCs w:val="24"/>
      <w:lang w:val="eu-ES" w:eastAsia="zh-CN" w:bidi="ar-SA"/>
    </w:rPr>
  </w:style>
  <w:style w:type="paragraph" w:customStyle="1" w:styleId="1725">
    <w:name w:val="图片名称"/>
    <w:basedOn w:val="1"/>
    <w:link w:val="1882"/>
    <w:qFormat/>
    <w:uiPriority w:val="0"/>
    <w:pPr>
      <w:tabs>
        <w:tab w:val="clear" w:pos="480"/>
      </w:tabs>
      <w:wordWrap w:val="0"/>
      <w:spacing w:line="240" w:lineRule="auto"/>
      <w:jc w:val="center"/>
    </w:pPr>
    <w:rPr>
      <w:rFonts w:ascii="黑体" w:hAnsi="宋体" w:eastAsia="黑体"/>
      <w:bCs/>
      <w:snapToGrid w:val="0"/>
      <w:color w:val="000000"/>
      <w:spacing w:val="-4"/>
      <w:kern w:val="0"/>
      <w:lang w:val="eu-ES"/>
    </w:rPr>
  </w:style>
  <w:style w:type="character" w:customStyle="1" w:styleId="1726">
    <w:name w:val="Char Char1"/>
    <w:qFormat/>
    <w:locked/>
    <w:uiPriority w:val="0"/>
    <w:rPr>
      <w:rFonts w:ascii="Arial" w:hAnsi="Arial" w:eastAsia="宋体"/>
      <w:bCs/>
      <w:snapToGrid w:val="0"/>
      <w:kern w:val="2"/>
      <w:sz w:val="18"/>
      <w:szCs w:val="18"/>
      <w:lang w:val="eu-ES" w:eastAsia="zh-CN" w:bidi="ar-SA"/>
    </w:rPr>
  </w:style>
  <w:style w:type="paragraph" w:customStyle="1" w:styleId="1727">
    <w:name w:val="表格文字3"/>
    <w:basedOn w:val="200"/>
    <w:semiHidden/>
    <w:qFormat/>
    <w:uiPriority w:val="0"/>
    <w:pPr>
      <w:tabs>
        <w:tab w:val="clear" w:pos="277"/>
        <w:tab w:val="clear" w:pos="600"/>
        <w:tab w:val="clear" w:pos="780"/>
        <w:tab w:val="clear" w:pos="2517"/>
      </w:tabs>
      <w:autoSpaceDE w:val="0"/>
      <w:autoSpaceDN w:val="0"/>
      <w:spacing w:beforeLines="10" w:afterLines="10"/>
      <w:jc w:val="both"/>
      <w:textAlignment w:val="auto"/>
    </w:pPr>
    <w:rPr>
      <w:bCs/>
      <w:szCs w:val="24"/>
    </w:rPr>
  </w:style>
  <w:style w:type="paragraph" w:customStyle="1" w:styleId="1728">
    <w:name w:val="标 题 2"/>
    <w:basedOn w:val="4"/>
    <w:semiHidden/>
    <w:qFormat/>
    <w:uiPriority w:val="0"/>
    <w:pPr>
      <w:keepNext w:val="0"/>
      <w:keepLines w:val="0"/>
      <w:tabs>
        <w:tab w:val="clear" w:pos="480"/>
        <w:tab w:val="clear" w:pos="630"/>
      </w:tabs>
      <w:autoSpaceDE w:val="0"/>
      <w:autoSpaceDN w:val="0"/>
      <w:adjustRightInd w:val="0"/>
      <w:snapToGrid w:val="0"/>
      <w:spacing w:before="163" w:after="163" w:line="520" w:lineRule="exact"/>
      <w:textAlignment w:val="baseline"/>
    </w:pPr>
    <w:rPr>
      <w:rFonts w:ascii="黑体" w:hAnsi="Arial" w:eastAsia="黑体"/>
      <w:b w:val="0"/>
      <w:snapToGrid w:val="0"/>
      <w:sz w:val="30"/>
      <w:szCs w:val="20"/>
      <w:lang w:val="eu-ES"/>
    </w:rPr>
  </w:style>
  <w:style w:type="character" w:customStyle="1" w:styleId="1729">
    <w:name w:val="表头 Char"/>
    <w:qFormat/>
    <w:uiPriority w:val="0"/>
    <w:rPr>
      <w:rFonts w:ascii="黑体" w:hAnsi="Arial" w:eastAsia="黑体" w:cs="Arial"/>
      <w:bCs/>
      <w:kern w:val="2"/>
      <w:sz w:val="24"/>
      <w:szCs w:val="24"/>
      <w:lang w:val="en-US" w:eastAsia="zh-CN" w:bidi="ar-SA"/>
    </w:rPr>
  </w:style>
  <w:style w:type="character" w:customStyle="1" w:styleId="1730">
    <w:name w:val="样式 正文首行缩进 + 宋体 小四 行距: 1.5 倍行距 Char1"/>
    <w:qFormat/>
    <w:uiPriority w:val="0"/>
    <w:rPr>
      <w:rFonts w:ascii="黑体" w:hAnsi="Arial" w:eastAsia="黑体" w:cs="Arial"/>
      <w:bCs/>
      <w:kern w:val="2"/>
      <w:sz w:val="24"/>
      <w:szCs w:val="24"/>
      <w:lang w:val="en-US" w:eastAsia="zh-CN" w:bidi="ar-SA"/>
    </w:rPr>
  </w:style>
  <w:style w:type="paragraph" w:customStyle="1" w:styleId="1731">
    <w:name w:val="样式 表格 + 宋体 五号"/>
    <w:basedOn w:val="1"/>
    <w:qFormat/>
    <w:uiPriority w:val="0"/>
    <w:pPr>
      <w:tabs>
        <w:tab w:val="clear" w:pos="480"/>
      </w:tabs>
      <w:adjustRightInd w:val="0"/>
      <w:snapToGrid w:val="0"/>
      <w:textAlignment w:val="center"/>
    </w:pPr>
    <w:rPr>
      <w:rFonts w:ascii="宋体" w:hAnsi="宋体"/>
      <w:snapToGrid w:val="0"/>
      <w:kern w:val="0"/>
      <w:sz w:val="21"/>
      <w:szCs w:val="20"/>
      <w:lang w:val="eu-ES"/>
    </w:rPr>
  </w:style>
  <w:style w:type="character" w:customStyle="1" w:styleId="1732">
    <w:name w:val="样式 仿宋_GB2312 四号1"/>
    <w:qFormat/>
    <w:uiPriority w:val="0"/>
    <w:rPr>
      <w:rFonts w:ascii="黑体" w:hAnsi="Arial" w:eastAsia="黑体" w:cs="Arial"/>
      <w:bCs/>
      <w:kern w:val="2"/>
      <w:sz w:val="24"/>
      <w:szCs w:val="24"/>
      <w:lang w:val="en-US" w:eastAsia="zh-CN" w:bidi="ar-SA"/>
    </w:rPr>
  </w:style>
  <w:style w:type="paragraph" w:customStyle="1" w:styleId="1733">
    <w:name w:val="样式 标题 1文章标题一、章节H1Otsikko 1Eia标题1－1 + 段前: 0.5 行 段后: 0.5 行"/>
    <w:basedOn w:val="3"/>
    <w:next w:val="1"/>
    <w:qFormat/>
    <w:uiPriority w:val="0"/>
    <w:pPr>
      <w:keepNext w:val="0"/>
      <w:keepLines w:val="0"/>
      <w:tabs>
        <w:tab w:val="clear" w:pos="480"/>
      </w:tabs>
      <w:autoSpaceDN w:val="0"/>
      <w:spacing w:beforeLines="50" w:afterLines="50" w:line="520" w:lineRule="exact"/>
      <w:ind w:firstLine="471"/>
      <w:contextualSpacing/>
      <w:jc w:val="left"/>
      <w:textAlignment w:val="baseline"/>
    </w:pPr>
    <w:rPr>
      <w:rFonts w:ascii="黑体" w:hAnsi="Arial" w:eastAsia="黑体" w:cs="宋体"/>
      <w:b w:val="0"/>
      <w:bCs w:val="0"/>
      <w:snapToGrid w:val="0"/>
      <w:kern w:val="2"/>
      <w:szCs w:val="20"/>
      <w:lang w:val="eu-ES"/>
    </w:rPr>
  </w:style>
  <w:style w:type="paragraph" w:customStyle="1" w:styleId="1734">
    <w:name w:val="样式 标题 1文章标题一、章节H1Otsikko 1Eia标题1－1 + 首行缩进:  0 厘米"/>
    <w:basedOn w:val="3"/>
    <w:next w:val="1"/>
    <w:qFormat/>
    <w:uiPriority w:val="0"/>
    <w:pPr>
      <w:keepNext w:val="0"/>
      <w:keepLines w:val="0"/>
      <w:autoSpaceDN w:val="0"/>
      <w:spacing w:beforeLines="50" w:afterLines="50" w:line="520" w:lineRule="exact"/>
      <w:contextualSpacing/>
      <w:textAlignment w:val="baseline"/>
    </w:pPr>
    <w:rPr>
      <w:rFonts w:ascii="黑体" w:hAnsi="Arial" w:eastAsia="黑体" w:cs="宋体"/>
      <w:b w:val="0"/>
      <w:bCs w:val="0"/>
      <w:snapToGrid w:val="0"/>
      <w:kern w:val="2"/>
      <w:szCs w:val="20"/>
      <w:lang w:val="eu-ES"/>
    </w:rPr>
  </w:style>
  <w:style w:type="paragraph" w:customStyle="1" w:styleId="1735">
    <w:name w:val="样式 标题 1文章 + 段前: 0.5 行 段后: 0.5 行"/>
    <w:basedOn w:val="1722"/>
    <w:next w:val="1"/>
    <w:qFormat/>
    <w:uiPriority w:val="0"/>
    <w:pPr>
      <w:ind w:firstLine="720" w:firstLineChars="200"/>
    </w:pPr>
    <w:rPr>
      <w:szCs w:val="20"/>
    </w:rPr>
  </w:style>
  <w:style w:type="paragraph" w:customStyle="1" w:styleId="1736">
    <w:name w:val="样式 样式 标题 1文章 + 段前: 0.5 行 段后: 0.5 行 + 段前: 0.5 行 段后: 0.5 行"/>
    <w:basedOn w:val="1735"/>
    <w:qFormat/>
    <w:uiPriority w:val="0"/>
    <w:pPr>
      <w:spacing w:before="50" w:after="50"/>
      <w:ind w:firstLine="0" w:firstLineChars="0"/>
    </w:pPr>
  </w:style>
  <w:style w:type="paragraph" w:customStyle="1" w:styleId="1737">
    <w:name w:val="样式 标题 + 首行缩进:  0.83 厘米"/>
    <w:basedOn w:val="84"/>
    <w:qFormat/>
    <w:uiPriority w:val="0"/>
    <w:pPr>
      <w:widowControl w:val="0"/>
      <w:tabs>
        <w:tab w:val="left" w:pos="480"/>
      </w:tabs>
      <w:autoSpaceDN w:val="0"/>
      <w:snapToGrid/>
      <w:spacing w:beforeLines="50" w:afterLines="50" w:line="520" w:lineRule="exact"/>
      <w:ind w:firstLine="471" w:firstLineChars="0"/>
      <w:contextualSpacing/>
      <w:textAlignment w:val="baseline"/>
    </w:pPr>
    <w:rPr>
      <w:rFonts w:ascii="黑体" w:eastAsia="黑体" w:cs="宋体"/>
      <w:snapToGrid w:val="0"/>
      <w:color w:val="auto"/>
      <w:sz w:val="36"/>
      <w:szCs w:val="36"/>
      <w:lang w:val="eu-ES"/>
    </w:rPr>
  </w:style>
  <w:style w:type="paragraph" w:customStyle="1" w:styleId="1738">
    <w:name w:val="标题111"/>
    <w:basedOn w:val="3"/>
    <w:next w:val="1"/>
    <w:semiHidden/>
    <w:qFormat/>
    <w:uiPriority w:val="0"/>
    <w:pPr>
      <w:keepNext w:val="0"/>
      <w:keepLines w:val="0"/>
      <w:tabs>
        <w:tab w:val="clear" w:pos="480"/>
      </w:tabs>
      <w:autoSpaceDN w:val="0"/>
      <w:adjustRightInd w:val="0"/>
      <w:snapToGrid w:val="0"/>
      <w:spacing w:beforeLines="50" w:afterLines="50" w:line="520" w:lineRule="exact"/>
      <w:ind w:firstLine="471"/>
      <w:contextualSpacing/>
      <w:textAlignment w:val="baseline"/>
    </w:pPr>
    <w:rPr>
      <w:rFonts w:ascii="黑体" w:hAnsi="Arial" w:eastAsia="黑体"/>
      <w:b w:val="0"/>
      <w:bCs w:val="0"/>
      <w:snapToGrid w:val="0"/>
      <w:kern w:val="2"/>
      <w:szCs w:val="20"/>
      <w:lang w:val="eu-ES"/>
    </w:rPr>
  </w:style>
  <w:style w:type="paragraph" w:customStyle="1" w:styleId="1739">
    <w:name w:val="样式 标题 3 + (西文) 宋体"/>
    <w:basedOn w:val="5"/>
    <w:next w:val="1"/>
    <w:qFormat/>
    <w:uiPriority w:val="0"/>
    <w:pPr>
      <w:tabs>
        <w:tab w:val="clear" w:pos="480"/>
        <w:tab w:val="clear" w:pos="840"/>
      </w:tabs>
      <w:autoSpaceDN w:val="0"/>
      <w:adjustRightInd w:val="0"/>
      <w:spacing w:beforeLines="50" w:afterLines="50" w:line="520" w:lineRule="exact"/>
      <w:ind w:firstLine="471"/>
      <w:contextualSpacing/>
      <w:textAlignment w:val="baseline"/>
    </w:pPr>
    <w:rPr>
      <w:rFonts w:ascii="宋体" w:hAnsi="宋体" w:eastAsia="黑体" w:cs="宋体"/>
      <w:b w:val="0"/>
      <w:bCs w:val="0"/>
      <w:snapToGrid w:val="0"/>
      <w:sz w:val="24"/>
      <w:szCs w:val="24"/>
      <w:lang w:val="eu-ES"/>
    </w:rPr>
  </w:style>
  <w:style w:type="character" w:customStyle="1" w:styleId="1740">
    <w:name w:val="标题 1文章 Char"/>
    <w:semiHidden/>
    <w:qFormat/>
    <w:uiPriority w:val="0"/>
    <w:rPr>
      <w:rFonts w:ascii="黑体" w:hAnsi="Arial" w:eastAsia="黑体" w:cs="宋体"/>
      <w:bCs/>
      <w:kern w:val="2"/>
      <w:sz w:val="36"/>
      <w:szCs w:val="36"/>
      <w:lang w:val="en-US" w:eastAsia="zh-CN" w:bidi="ar-SA"/>
    </w:rPr>
  </w:style>
  <w:style w:type="character" w:customStyle="1" w:styleId="1741">
    <w:name w:val="样式 标题 3 + (西文) 宋体 Char"/>
    <w:qFormat/>
    <w:uiPriority w:val="0"/>
    <w:rPr>
      <w:rFonts w:ascii="宋体" w:hAnsi="宋体" w:eastAsia="黑体" w:cs="宋体"/>
      <w:b/>
      <w:bCs/>
      <w:snapToGrid w:val="0"/>
      <w:kern w:val="2"/>
      <w:sz w:val="24"/>
      <w:szCs w:val="24"/>
      <w:lang w:val="eu-ES" w:eastAsia="zh-CN" w:bidi="ar-SA"/>
    </w:rPr>
  </w:style>
  <w:style w:type="paragraph" w:customStyle="1" w:styleId="1742">
    <w:name w:val="text1"/>
    <w:basedOn w:val="1"/>
    <w:semiHidden/>
    <w:qFormat/>
    <w:uiPriority w:val="0"/>
    <w:pPr>
      <w:widowControl/>
      <w:tabs>
        <w:tab w:val="clear" w:pos="480"/>
      </w:tabs>
      <w:spacing w:before="100" w:beforeAutospacing="1" w:after="100" w:afterAutospacing="1" w:line="240" w:lineRule="auto"/>
      <w:jc w:val="left"/>
    </w:pPr>
    <w:rPr>
      <w:rFonts w:ascii="宋体" w:hAnsi="宋体" w:cs="宋体"/>
      <w:snapToGrid w:val="0"/>
      <w:kern w:val="0"/>
      <w:lang w:val="eu-ES"/>
    </w:rPr>
  </w:style>
  <w:style w:type="paragraph" w:customStyle="1" w:styleId="1743">
    <w:name w:val="夏1，正文仿3"/>
    <w:basedOn w:val="1"/>
    <w:qFormat/>
    <w:uiPriority w:val="0"/>
    <w:pPr>
      <w:tabs>
        <w:tab w:val="clear" w:pos="480"/>
      </w:tabs>
      <w:snapToGrid w:val="0"/>
      <w:spacing w:before="20" w:line="288" w:lineRule="auto"/>
      <w:ind w:firstLine="675"/>
    </w:pPr>
    <w:rPr>
      <w:rFonts w:ascii="仿宋_GB2312" w:eastAsia="仿宋_GB2312"/>
      <w:snapToGrid w:val="0"/>
      <w:spacing w:val="4"/>
      <w:kern w:val="0"/>
      <w:sz w:val="32"/>
      <w:lang w:val="eu-ES"/>
    </w:rPr>
  </w:style>
  <w:style w:type="paragraph" w:customStyle="1" w:styleId="1744">
    <w:name w:val="华2，标题2，黑体3号"/>
    <w:basedOn w:val="1743"/>
    <w:next w:val="1743"/>
    <w:qFormat/>
    <w:uiPriority w:val="0"/>
    <w:pPr>
      <w:spacing w:before="60"/>
      <w:jc w:val="left"/>
      <w:outlineLvl w:val="1"/>
    </w:pPr>
    <w:rPr>
      <w:rFonts w:ascii="黑体" w:hAnsi="Arial" w:eastAsia="黑体"/>
      <w:lang w:val="en-US"/>
    </w:rPr>
  </w:style>
  <w:style w:type="paragraph" w:customStyle="1" w:styleId="1745">
    <w:name w:val="华1，标题1，标宋"/>
    <w:basedOn w:val="1743"/>
    <w:next w:val="1743"/>
    <w:qFormat/>
    <w:uiPriority w:val="0"/>
    <w:pPr>
      <w:spacing w:before="360" w:after="300"/>
      <w:ind w:firstLine="0"/>
      <w:jc w:val="center"/>
      <w:outlineLvl w:val="0"/>
    </w:pPr>
    <w:rPr>
      <w:rFonts w:ascii="方正大标宋_GBK" w:hAnsi="Arial" w:eastAsia="方正大标宋_GBK"/>
      <w:spacing w:val="20"/>
      <w:sz w:val="44"/>
      <w:lang w:val="en-US"/>
    </w:rPr>
  </w:style>
  <w:style w:type="character" w:customStyle="1" w:styleId="1746">
    <w:name w:val="样式 正文首行缩进 2 + 首行缩进:  2 字符1 Char1"/>
    <w:qFormat/>
    <w:uiPriority w:val="0"/>
    <w:rPr>
      <w:rFonts w:ascii="黑体" w:hAnsi="Arial" w:eastAsia="宋体" w:cs="宋体"/>
      <w:bCs/>
      <w:kern w:val="2"/>
      <w:sz w:val="24"/>
      <w:szCs w:val="24"/>
      <w:lang w:val="en-US" w:eastAsia="zh-CN" w:bidi="ar-SA"/>
    </w:rPr>
  </w:style>
  <w:style w:type="character" w:customStyle="1" w:styleId="1747">
    <w:name w:val="ZX 2标题 Char"/>
    <w:link w:val="455"/>
    <w:qFormat/>
    <w:uiPriority w:val="0"/>
    <w:rPr>
      <w:rFonts w:ascii="宋体" w:cs="宋体"/>
      <w:b/>
      <w:bCs/>
      <w:kern w:val="2"/>
      <w:sz w:val="32"/>
      <w:lang w:val="zh-CN"/>
    </w:rPr>
  </w:style>
  <w:style w:type="character" w:customStyle="1" w:styleId="1748">
    <w:name w:val="样式 小四 首行缩进:  0.85 厘米 行距: 1.5 倍行距 Char"/>
    <w:link w:val="464"/>
    <w:qFormat/>
    <w:uiPriority w:val="0"/>
    <w:rPr>
      <w:rFonts w:ascii="黑体" w:hAnsi="Arial" w:eastAsia="宋体" w:cs="宋体"/>
      <w:bCs/>
      <w:kern w:val="2"/>
      <w:sz w:val="24"/>
      <w:szCs w:val="24"/>
      <w:lang w:val="en-US" w:eastAsia="zh-CN" w:bidi="ar-SA"/>
    </w:rPr>
  </w:style>
  <w:style w:type="paragraph" w:customStyle="1" w:styleId="1749">
    <w:name w:val="银洲湖石化基地表"/>
    <w:basedOn w:val="1"/>
    <w:qFormat/>
    <w:uiPriority w:val="0"/>
    <w:pPr>
      <w:tabs>
        <w:tab w:val="clear" w:pos="480"/>
      </w:tabs>
      <w:autoSpaceDE w:val="0"/>
      <w:autoSpaceDN w:val="0"/>
      <w:adjustRightInd w:val="0"/>
      <w:spacing w:line="0" w:lineRule="atLeast"/>
      <w:jc w:val="center"/>
      <w:textAlignment w:val="center"/>
    </w:pPr>
    <w:rPr>
      <w:kern w:val="0"/>
      <w:sz w:val="21"/>
      <w:szCs w:val="21"/>
    </w:rPr>
  </w:style>
  <w:style w:type="paragraph" w:customStyle="1" w:styleId="1750">
    <w:name w:val="银洲湖规划表标题"/>
    <w:basedOn w:val="1"/>
    <w:qFormat/>
    <w:uiPriority w:val="0"/>
    <w:pPr>
      <w:tabs>
        <w:tab w:val="clear" w:pos="480"/>
      </w:tabs>
      <w:spacing w:line="312" w:lineRule="auto"/>
      <w:jc w:val="center"/>
    </w:pPr>
    <w:rPr>
      <w:b/>
      <w:bCs/>
      <w:kern w:val="0"/>
      <w:lang w:val="en-GB"/>
    </w:rPr>
  </w:style>
  <w:style w:type="character" w:customStyle="1" w:styleId="1751">
    <w:name w:val="p12grey"/>
    <w:basedOn w:val="133"/>
    <w:semiHidden/>
    <w:qFormat/>
    <w:uiPriority w:val="0"/>
  </w:style>
  <w:style w:type="paragraph" w:customStyle="1" w:styleId="1752">
    <w:name w:val="正文31"/>
    <w:basedOn w:val="35"/>
    <w:qFormat/>
    <w:uiPriority w:val="0"/>
    <w:pPr>
      <w:tabs>
        <w:tab w:val="clear" w:pos="480"/>
      </w:tabs>
      <w:spacing w:after="120" w:line="324" w:lineRule="auto"/>
    </w:pPr>
    <w:rPr>
      <w:rFonts w:ascii="Arial" w:hAnsi="Arial"/>
      <w:bCs/>
      <w:snapToGrid w:val="0"/>
      <w:kern w:val="0"/>
      <w:lang w:val="eu-ES"/>
    </w:rPr>
  </w:style>
  <w:style w:type="paragraph" w:customStyle="1" w:styleId="1753">
    <w:name w:val="char"/>
    <w:basedOn w:val="1"/>
    <w:qFormat/>
    <w:uiPriority w:val="0"/>
    <w:pPr>
      <w:widowControl/>
      <w:tabs>
        <w:tab w:val="clear" w:pos="480"/>
      </w:tabs>
      <w:spacing w:after="160" w:line="240" w:lineRule="exact"/>
      <w:jc w:val="left"/>
    </w:pPr>
    <w:rPr>
      <w:rFonts w:ascii="Verdana" w:hAnsi="Verdana" w:eastAsia="仿宋_GB2312" w:cs="”“Times New Roman”“"/>
      <w:kern w:val="0"/>
      <w:szCs w:val="20"/>
      <w:lang w:eastAsia="en-US"/>
    </w:rPr>
  </w:style>
  <w:style w:type="paragraph" w:customStyle="1" w:styleId="1754">
    <w:name w:val="新丰产业转移园表"/>
    <w:basedOn w:val="1"/>
    <w:qFormat/>
    <w:uiPriority w:val="0"/>
    <w:pPr>
      <w:tabs>
        <w:tab w:val="clear" w:pos="480"/>
      </w:tabs>
      <w:autoSpaceDE w:val="0"/>
      <w:autoSpaceDN w:val="0"/>
      <w:adjustRightInd w:val="0"/>
      <w:spacing w:line="0" w:lineRule="atLeast"/>
      <w:textAlignment w:val="center"/>
    </w:pPr>
    <w:rPr>
      <w:rFonts w:ascii="宋体" w:hAnsi="宋体"/>
      <w:kern w:val="0"/>
      <w:sz w:val="21"/>
      <w:szCs w:val="21"/>
    </w:rPr>
  </w:style>
  <w:style w:type="paragraph" w:customStyle="1" w:styleId="1755">
    <w:name w:val="正文  规划"/>
    <w:basedOn w:val="1"/>
    <w:qFormat/>
    <w:uiPriority w:val="0"/>
    <w:pPr>
      <w:tabs>
        <w:tab w:val="clear" w:pos="480"/>
      </w:tabs>
      <w:adjustRightInd w:val="0"/>
      <w:spacing w:before="120" w:after="120"/>
      <w:ind w:firstLine="480"/>
    </w:pPr>
    <w:rPr>
      <w:rFonts w:cs="宋体"/>
      <w:szCs w:val="20"/>
    </w:rPr>
  </w:style>
  <w:style w:type="character" w:customStyle="1" w:styleId="1756">
    <w:name w:val="表文 Char"/>
    <w:link w:val="573"/>
    <w:qFormat/>
    <w:uiPriority w:val="0"/>
    <w:rPr>
      <w:rFonts w:eastAsia="宋体"/>
      <w:spacing w:val="-2"/>
      <w:kern w:val="2"/>
      <w:sz w:val="24"/>
      <w:szCs w:val="24"/>
      <w:lang w:val="en-US" w:eastAsia="zh-CN" w:bidi="ar-SA"/>
    </w:rPr>
  </w:style>
  <w:style w:type="paragraph" w:customStyle="1" w:styleId="1757">
    <w:name w:val="框图文字1"/>
    <w:basedOn w:val="1"/>
    <w:qFormat/>
    <w:uiPriority w:val="0"/>
    <w:pPr>
      <w:tabs>
        <w:tab w:val="left" w:pos="780"/>
        <w:tab w:val="clear" w:pos="480"/>
      </w:tabs>
      <w:adjustRightInd w:val="0"/>
      <w:snapToGrid w:val="0"/>
      <w:spacing w:beforeLines="25" w:line="240" w:lineRule="auto"/>
      <w:ind w:left="200" w:leftChars="200" w:hanging="200" w:hangingChars="200"/>
      <w:jc w:val="center"/>
    </w:pPr>
    <w:rPr>
      <w:sz w:val="18"/>
      <w:szCs w:val="18"/>
    </w:rPr>
  </w:style>
  <w:style w:type="paragraph" w:customStyle="1" w:styleId="1758">
    <w:name w:val="样式 海南化工城正文 + Times New Roman"/>
    <w:basedOn w:val="786"/>
    <w:link w:val="1759"/>
    <w:qFormat/>
    <w:uiPriority w:val="0"/>
    <w:pPr>
      <w:numPr>
        <w:ilvl w:val="0"/>
        <w:numId w:val="0"/>
      </w:numPr>
      <w:adjustRightInd/>
      <w:snapToGrid/>
      <w:spacing w:line="312" w:lineRule="auto"/>
      <w:ind w:firstLine="200" w:firstLineChars="200"/>
    </w:pPr>
    <w:rPr>
      <w:rFonts w:ascii="Times New Roman" w:hAnsi="Times New Roman"/>
    </w:rPr>
  </w:style>
  <w:style w:type="character" w:customStyle="1" w:styleId="1759">
    <w:name w:val="样式 海南化工城正文 + Times New Roman Char"/>
    <w:link w:val="1758"/>
    <w:qFormat/>
    <w:uiPriority w:val="0"/>
    <w:rPr>
      <w:rFonts w:eastAsia="宋体"/>
      <w:sz w:val="24"/>
      <w:lang w:bidi="ar-SA"/>
    </w:rPr>
  </w:style>
  <w:style w:type="paragraph" w:customStyle="1" w:styleId="1760">
    <w:name w:val="海南椰岛正文"/>
    <w:basedOn w:val="21"/>
    <w:link w:val="1761"/>
    <w:qFormat/>
    <w:uiPriority w:val="0"/>
    <w:pPr>
      <w:tabs>
        <w:tab w:val="clear" w:pos="480"/>
      </w:tabs>
      <w:spacing w:line="312" w:lineRule="auto"/>
      <w:ind w:firstLine="200"/>
    </w:pPr>
    <w:rPr>
      <w:rFonts w:ascii="宋体" w:hAnsi="宋体"/>
      <w:kern w:val="0"/>
      <w:lang w:val="zh-CN"/>
    </w:rPr>
  </w:style>
  <w:style w:type="character" w:customStyle="1" w:styleId="1761">
    <w:name w:val="海南椰岛正文 Char"/>
    <w:link w:val="1760"/>
    <w:qFormat/>
    <w:uiPriority w:val="0"/>
    <w:rPr>
      <w:rFonts w:ascii="宋体" w:hAnsi="宋体" w:eastAsia="宋体"/>
      <w:sz w:val="24"/>
      <w:szCs w:val="24"/>
      <w:lang w:bidi="ar-SA"/>
    </w:rPr>
  </w:style>
  <w:style w:type="paragraph" w:customStyle="1" w:styleId="1762">
    <w:name w:val="东方工业区"/>
    <w:basedOn w:val="786"/>
    <w:link w:val="1763"/>
    <w:qFormat/>
    <w:uiPriority w:val="0"/>
    <w:pPr>
      <w:numPr>
        <w:numId w:val="0"/>
      </w:numPr>
      <w:adjustRightInd/>
      <w:snapToGrid/>
      <w:ind w:firstLine="480" w:firstLineChars="200"/>
    </w:pPr>
  </w:style>
  <w:style w:type="character" w:customStyle="1" w:styleId="1763">
    <w:name w:val="东方工业区 Char"/>
    <w:link w:val="1762"/>
    <w:qFormat/>
    <w:uiPriority w:val="0"/>
    <w:rPr>
      <w:rFonts w:ascii="宋体" w:hAnsi="宋体"/>
      <w:sz w:val="24"/>
    </w:rPr>
  </w:style>
  <w:style w:type="paragraph" w:customStyle="1" w:styleId="1764">
    <w:name w:val="样式 海南化工城正文 + 加宽量  1 磅"/>
    <w:basedOn w:val="786"/>
    <w:link w:val="1765"/>
    <w:qFormat/>
    <w:uiPriority w:val="0"/>
    <w:pPr>
      <w:numPr>
        <w:ilvl w:val="0"/>
        <w:numId w:val="0"/>
      </w:numPr>
      <w:adjustRightInd/>
      <w:snapToGrid/>
      <w:spacing w:line="312" w:lineRule="auto"/>
      <w:ind w:firstLine="200" w:firstLineChars="200"/>
    </w:pPr>
    <w:rPr>
      <w:spacing w:val="20"/>
      <w:szCs w:val="24"/>
    </w:rPr>
  </w:style>
  <w:style w:type="character" w:customStyle="1" w:styleId="1765">
    <w:name w:val="样式 海南化工城正文 + 加宽量  1 磅 Char"/>
    <w:link w:val="1764"/>
    <w:qFormat/>
    <w:uiPriority w:val="0"/>
    <w:rPr>
      <w:rFonts w:ascii="宋体" w:hAnsi="宋体" w:eastAsia="宋体"/>
      <w:spacing w:val="20"/>
      <w:sz w:val="24"/>
      <w:szCs w:val="24"/>
      <w:lang w:bidi="ar-SA"/>
    </w:rPr>
  </w:style>
  <w:style w:type="paragraph" w:customStyle="1" w:styleId="1766">
    <w:name w:val="表标题41"/>
    <w:basedOn w:val="1"/>
    <w:semiHidden/>
    <w:qFormat/>
    <w:uiPriority w:val="0"/>
    <w:pPr>
      <w:tabs>
        <w:tab w:val="left" w:pos="1200"/>
        <w:tab w:val="clear" w:pos="480"/>
      </w:tabs>
      <w:spacing w:beforeLines="100" w:line="0" w:lineRule="atLeast"/>
      <w:ind w:left="1200" w:leftChars="400" w:hanging="360" w:hangingChars="200"/>
      <w:jc w:val="center"/>
    </w:pPr>
    <w:rPr>
      <w:rFonts w:eastAsia="黑体"/>
      <w:b/>
      <w:szCs w:val="20"/>
    </w:rPr>
  </w:style>
  <w:style w:type="paragraph" w:customStyle="1" w:styleId="1767">
    <w:name w:val="目录1"/>
    <w:basedOn w:val="1"/>
    <w:next w:val="1"/>
    <w:qFormat/>
    <w:uiPriority w:val="0"/>
    <w:pPr>
      <w:tabs>
        <w:tab w:val="clear" w:pos="480"/>
      </w:tabs>
      <w:spacing w:beforeLines="30" w:afterLines="30" w:line="400" w:lineRule="exact"/>
    </w:pPr>
    <w:rPr>
      <w:rFonts w:ascii="Arial" w:hAnsi="Arial" w:eastAsia="黑体"/>
      <w:spacing w:val="10"/>
      <w:w w:val="90"/>
      <w:kern w:val="21"/>
      <w:szCs w:val="20"/>
    </w:rPr>
  </w:style>
  <w:style w:type="paragraph" w:customStyle="1" w:styleId="1768">
    <w:name w:val="样式 标题 2 + 左侧:  0 厘米 悬挂缩进: 5.76 字符 段前: 6 磅 段后: 6 磅 行距: 固定值 20..."/>
    <w:basedOn w:val="4"/>
    <w:qFormat/>
    <w:uiPriority w:val="0"/>
    <w:pPr>
      <w:tabs>
        <w:tab w:val="clear" w:pos="480"/>
        <w:tab w:val="clear" w:pos="630"/>
      </w:tabs>
      <w:adjustRightInd w:val="0"/>
      <w:snapToGrid w:val="0"/>
      <w:spacing w:before="0" w:line="400" w:lineRule="exact"/>
      <w:ind w:left="576" w:hanging="576"/>
    </w:pPr>
    <w:rPr>
      <w:rFonts w:ascii="Arial" w:hAnsi="Arial" w:eastAsia="黑体"/>
      <w:b w:val="0"/>
      <w:bCs w:val="0"/>
      <w:szCs w:val="20"/>
    </w:rPr>
  </w:style>
  <w:style w:type="character" w:customStyle="1" w:styleId="1769">
    <w:name w:val="样式 题注 + 首行缩进:  2 字符2 Char"/>
    <w:link w:val="1770"/>
    <w:qFormat/>
    <w:locked/>
    <w:uiPriority w:val="0"/>
    <w:rPr>
      <w:rFonts w:ascii="黑体" w:hAnsi="宋体" w:eastAsia="黑体"/>
      <w:sz w:val="24"/>
      <w:lang w:bidi="ar-SA"/>
    </w:rPr>
  </w:style>
  <w:style w:type="paragraph" w:customStyle="1" w:styleId="1770">
    <w:name w:val="样式 题注 + 首行缩进:  2 字符2"/>
    <w:basedOn w:val="23"/>
    <w:link w:val="1769"/>
    <w:qFormat/>
    <w:uiPriority w:val="0"/>
    <w:pPr>
      <w:keepNext/>
      <w:widowControl w:val="0"/>
      <w:spacing w:before="0" w:after="0" w:line="240" w:lineRule="auto"/>
      <w:ind w:firstLine="0" w:firstLineChars="0"/>
    </w:pPr>
    <w:rPr>
      <w:rFonts w:ascii="黑体" w:hAnsi="宋体" w:eastAsia="黑体" w:cs="Times New Roman"/>
      <w:color w:val="auto"/>
      <w:kern w:val="0"/>
      <w:lang w:val="zh-CN"/>
    </w:rPr>
  </w:style>
  <w:style w:type="paragraph" w:customStyle="1" w:styleId="1771">
    <w:name w:val="In Table (II)"/>
    <w:basedOn w:val="1675"/>
    <w:semiHidden/>
    <w:qFormat/>
    <w:uiPriority w:val="0"/>
    <w:pPr>
      <w:spacing w:beforeLines="25" w:afterLines="25"/>
      <w:ind w:left="20" w:leftChars="20"/>
      <w:jc w:val="left"/>
    </w:pPr>
  </w:style>
  <w:style w:type="paragraph" w:customStyle="1" w:styleId="1772">
    <w:name w:val="样式 标题 31.1.1条标题 3 Char Char标题 3 Char标3§1.1.1.. (1.1.1)- ...1"/>
    <w:basedOn w:val="1"/>
    <w:qFormat/>
    <w:uiPriority w:val="0"/>
    <w:pPr>
      <w:tabs>
        <w:tab w:val="left" w:pos="0"/>
        <w:tab w:val="left" w:pos="1260"/>
        <w:tab w:val="clear" w:pos="480"/>
      </w:tabs>
      <w:spacing w:line="312" w:lineRule="auto"/>
      <w:ind w:left="1260" w:hanging="420"/>
    </w:pPr>
    <w:rPr>
      <w:szCs w:val="20"/>
    </w:rPr>
  </w:style>
  <w:style w:type="paragraph" w:customStyle="1" w:styleId="1773">
    <w:name w:val="表－居中列"/>
    <w:basedOn w:val="1"/>
    <w:semiHidden/>
    <w:qFormat/>
    <w:uiPriority w:val="0"/>
    <w:pPr>
      <w:suppressLineNumbers/>
      <w:tabs>
        <w:tab w:val="clear" w:pos="480"/>
      </w:tabs>
      <w:suppressAutoHyphens/>
      <w:snapToGrid w:val="0"/>
      <w:spacing w:before="60" w:after="60" w:line="240" w:lineRule="auto"/>
      <w:jc w:val="center"/>
    </w:pPr>
    <w:rPr>
      <w:kern w:val="0"/>
      <w:sz w:val="21"/>
      <w:szCs w:val="20"/>
      <w:lang w:eastAsia="ja-JP"/>
    </w:rPr>
  </w:style>
  <w:style w:type="paragraph" w:customStyle="1" w:styleId="1774">
    <w:name w:val="8.2.2.1"/>
    <w:basedOn w:val="1"/>
    <w:semiHidden/>
    <w:qFormat/>
    <w:uiPriority w:val="0"/>
    <w:pPr>
      <w:tabs>
        <w:tab w:val="left" w:pos="0"/>
        <w:tab w:val="left" w:pos="720"/>
        <w:tab w:val="clear" w:pos="480"/>
      </w:tabs>
      <w:spacing w:line="312" w:lineRule="auto"/>
    </w:pPr>
    <w:rPr>
      <w:szCs w:val="20"/>
    </w:rPr>
  </w:style>
  <w:style w:type="paragraph" w:customStyle="1" w:styleId="1775">
    <w:name w:val="表格中"/>
    <w:basedOn w:val="66"/>
    <w:semiHidden/>
    <w:qFormat/>
    <w:uiPriority w:val="0"/>
    <w:pPr>
      <w:spacing w:beforeLines="50"/>
      <w:ind w:left="0" w:firstLine="0" w:firstLineChars="0"/>
      <w:jc w:val="center"/>
      <w:outlineLvl w:val="5"/>
    </w:pPr>
    <w:rPr>
      <w:rFonts w:ascii="黑体" w:eastAsia="黑体"/>
      <w:sz w:val="24"/>
      <w:szCs w:val="20"/>
    </w:rPr>
  </w:style>
  <w:style w:type="paragraph" w:customStyle="1" w:styleId="1776">
    <w:name w:val="样式 标题 3 + 左侧:  0 厘米 悬挂缩进: 7.2 字符 段前: 4.65 磅 段后: 6 磅 行距: 固定值 ..."/>
    <w:basedOn w:val="5"/>
    <w:qFormat/>
    <w:uiPriority w:val="0"/>
    <w:pPr>
      <w:tabs>
        <w:tab w:val="clear" w:pos="480"/>
        <w:tab w:val="clear" w:pos="840"/>
      </w:tabs>
      <w:spacing w:before="93" w:after="120" w:line="440" w:lineRule="exact"/>
      <w:ind w:left="720" w:hanging="720"/>
    </w:pPr>
    <w:rPr>
      <w:rFonts w:ascii="Times New Roman" w:eastAsia="黑体"/>
      <w:b w:val="0"/>
      <w:bCs w:val="0"/>
      <w:sz w:val="26"/>
      <w:szCs w:val="20"/>
    </w:rPr>
  </w:style>
  <w:style w:type="character" w:customStyle="1" w:styleId="1777">
    <w:name w:val="标准条文 Char Char"/>
    <w:link w:val="1778"/>
    <w:semiHidden/>
    <w:qFormat/>
    <w:locked/>
    <w:uiPriority w:val="0"/>
    <w:rPr>
      <w:rFonts w:eastAsia="Times New Roman"/>
      <w:kern w:val="2"/>
      <w:sz w:val="21"/>
      <w:szCs w:val="22"/>
      <w:lang w:val="en-US" w:eastAsia="zh-CN" w:bidi="ar-SA"/>
    </w:rPr>
  </w:style>
  <w:style w:type="paragraph" w:customStyle="1" w:styleId="1778">
    <w:name w:val="标准条文"/>
    <w:link w:val="1777"/>
    <w:semiHidden/>
    <w:qFormat/>
    <w:uiPriority w:val="0"/>
    <w:pPr>
      <w:spacing w:beforeLines="20" w:afterLines="20" w:line="360" w:lineRule="auto"/>
      <w:ind w:firstLine="200" w:firstLineChars="200"/>
      <w:jc w:val="both"/>
    </w:pPr>
    <w:rPr>
      <w:rFonts w:ascii="Times New Roman" w:hAnsi="Times New Roman" w:eastAsia="Times New Roman" w:cs="Times New Roman"/>
      <w:kern w:val="2"/>
      <w:sz w:val="21"/>
      <w:szCs w:val="22"/>
      <w:lang w:val="en-US" w:eastAsia="zh-CN" w:bidi="ar-SA"/>
    </w:rPr>
  </w:style>
  <w:style w:type="paragraph" w:customStyle="1" w:styleId="1779">
    <w:name w:val="列项及编号"/>
    <w:basedOn w:val="1778"/>
    <w:qFormat/>
    <w:uiPriority w:val="0"/>
    <w:pPr>
      <w:adjustRightInd w:val="0"/>
      <w:snapToGrid w:val="0"/>
      <w:spacing w:line="288" w:lineRule="auto"/>
      <w:ind w:firstLine="0" w:firstLineChars="0"/>
    </w:pPr>
  </w:style>
  <w:style w:type="paragraph" w:customStyle="1" w:styleId="1780">
    <w:name w:val="附图"/>
    <w:basedOn w:val="1"/>
    <w:qFormat/>
    <w:uiPriority w:val="0"/>
    <w:pPr>
      <w:tabs>
        <w:tab w:val="clear" w:pos="480"/>
      </w:tabs>
      <w:spacing w:line="0" w:lineRule="atLeast"/>
      <w:jc w:val="center"/>
    </w:pPr>
    <w:rPr>
      <w:sz w:val="21"/>
      <w:szCs w:val="20"/>
    </w:rPr>
  </w:style>
  <w:style w:type="paragraph" w:customStyle="1" w:styleId="1781">
    <w:name w:val="表8.1-1"/>
    <w:basedOn w:val="1"/>
    <w:semiHidden/>
    <w:qFormat/>
    <w:uiPriority w:val="0"/>
    <w:pPr>
      <w:tabs>
        <w:tab w:val="left" w:pos="425"/>
        <w:tab w:val="left" w:pos="3480"/>
        <w:tab w:val="clear" w:pos="480"/>
      </w:tabs>
      <w:adjustRightInd w:val="0"/>
      <w:snapToGrid w:val="0"/>
      <w:spacing w:beforeLines="100" w:line="0" w:lineRule="atLeast"/>
      <w:ind w:left="3240" w:hanging="425"/>
      <w:jc w:val="center"/>
    </w:pPr>
    <w:rPr>
      <w:rFonts w:ascii="黑体" w:eastAsia="黑体"/>
      <w:b/>
      <w:szCs w:val="20"/>
    </w:rPr>
  </w:style>
  <w:style w:type="paragraph" w:customStyle="1" w:styleId="1782">
    <w:name w:val="样式 四号 行距: 固定值 24 磅"/>
    <w:basedOn w:val="1"/>
    <w:qFormat/>
    <w:uiPriority w:val="0"/>
    <w:pPr>
      <w:tabs>
        <w:tab w:val="clear" w:pos="480"/>
      </w:tabs>
      <w:spacing w:line="480" w:lineRule="exact"/>
      <w:ind w:firstLine="560"/>
    </w:pPr>
    <w:rPr>
      <w:szCs w:val="20"/>
    </w:rPr>
  </w:style>
  <w:style w:type="paragraph" w:customStyle="1" w:styleId="1783">
    <w:name w:val="8.2.1.1 标题 31.1.1条标题 3 Char Char标题 3 Char标3§1.1.1.. (1.1.1)- ...1"/>
    <w:basedOn w:val="1"/>
    <w:semiHidden/>
    <w:qFormat/>
    <w:uiPriority w:val="0"/>
    <w:pPr>
      <w:tabs>
        <w:tab w:val="left" w:pos="0"/>
        <w:tab w:val="left" w:pos="1571"/>
        <w:tab w:val="clear" w:pos="480"/>
      </w:tabs>
      <w:spacing w:line="312" w:lineRule="auto"/>
      <w:ind w:left="1418" w:hanging="567"/>
    </w:pPr>
    <w:rPr>
      <w:szCs w:val="20"/>
    </w:rPr>
  </w:style>
  <w:style w:type="paragraph" w:customStyle="1" w:styleId="1784">
    <w:name w:val="图注、图的脚注"/>
    <w:basedOn w:val="1778"/>
    <w:qFormat/>
    <w:uiPriority w:val="0"/>
    <w:rPr>
      <w:sz w:val="18"/>
    </w:rPr>
  </w:style>
  <w:style w:type="character" w:customStyle="1" w:styleId="1785">
    <w:name w:val="样式 标题 4 + 左侧:  0 厘米 悬挂缩进: 8.64 字符 段前: 6 磅 段后: 6 磅 行距: 单倍行距 Char Char"/>
    <w:link w:val="1786"/>
    <w:qFormat/>
    <w:locked/>
    <w:uiPriority w:val="0"/>
    <w:rPr>
      <w:rFonts w:ascii="Arial" w:hAnsi="Arial" w:eastAsia="黑体"/>
      <w:b/>
      <w:sz w:val="24"/>
      <w:lang w:bidi="ar-SA"/>
    </w:rPr>
  </w:style>
  <w:style w:type="paragraph" w:customStyle="1" w:styleId="1786">
    <w:name w:val="样式 标题 4 + 左侧:  0 厘米 悬挂缩进: 8.64 字符 段前: 6 磅 段后: 6 磅 行距: 单倍行距"/>
    <w:basedOn w:val="6"/>
    <w:link w:val="1785"/>
    <w:qFormat/>
    <w:uiPriority w:val="0"/>
    <w:pPr>
      <w:numPr>
        <w:ilvl w:val="0"/>
        <w:numId w:val="0"/>
      </w:numPr>
      <w:tabs>
        <w:tab w:val="left" w:pos="0"/>
        <w:tab w:val="left" w:pos="2356"/>
        <w:tab w:val="clear" w:pos="480"/>
      </w:tabs>
      <w:adjustRightInd w:val="0"/>
      <w:snapToGrid w:val="0"/>
      <w:spacing w:before="120" w:after="120" w:line="312" w:lineRule="auto"/>
      <w:ind w:left="1984" w:hanging="708"/>
    </w:pPr>
    <w:rPr>
      <w:rFonts w:ascii="Arial" w:hAnsi="Arial" w:eastAsia="黑体"/>
      <w:bCs w:val="0"/>
      <w:kern w:val="0"/>
      <w:sz w:val="24"/>
      <w:szCs w:val="20"/>
    </w:rPr>
  </w:style>
  <w:style w:type="paragraph" w:customStyle="1" w:styleId="1787">
    <w:name w:val="标题 4(1).H41.1.1.1标题 4.1.1.1.1标题 4 Char款四级标题，黑粗，小四，序号h..."/>
    <w:basedOn w:val="6"/>
    <w:semiHidden/>
    <w:qFormat/>
    <w:uiPriority w:val="0"/>
    <w:pPr>
      <w:keepNext w:val="0"/>
      <w:keepLines w:val="0"/>
      <w:numPr>
        <w:ilvl w:val="0"/>
        <w:numId w:val="0"/>
      </w:numPr>
      <w:tabs>
        <w:tab w:val="clear" w:pos="480"/>
      </w:tabs>
      <w:adjustRightInd w:val="0"/>
      <w:snapToGrid w:val="0"/>
      <w:spacing w:before="120" w:after="120"/>
    </w:pPr>
    <w:rPr>
      <w:rFonts w:ascii="Times New Roman" w:hAnsi="Times New Roman" w:eastAsia="华文楷体"/>
      <w:bCs w:val="0"/>
      <w:kern w:val="0"/>
      <w:szCs w:val="20"/>
    </w:rPr>
  </w:style>
  <w:style w:type="paragraph" w:customStyle="1" w:styleId="1788">
    <w:name w:val="标题4."/>
    <w:basedOn w:val="6"/>
    <w:semiHidden/>
    <w:qFormat/>
    <w:uiPriority w:val="0"/>
    <w:pPr>
      <w:numPr>
        <w:ilvl w:val="0"/>
        <w:numId w:val="0"/>
      </w:numPr>
      <w:tabs>
        <w:tab w:val="left" w:pos="1800"/>
        <w:tab w:val="clear" w:pos="480"/>
      </w:tabs>
      <w:adjustRightInd w:val="0"/>
      <w:snapToGrid w:val="0"/>
      <w:spacing w:before="120" w:after="120" w:line="312" w:lineRule="auto"/>
      <w:ind w:left="851" w:hanging="851"/>
    </w:pPr>
    <w:rPr>
      <w:rFonts w:ascii="Times New Roman" w:hAnsi="Times New Roman" w:eastAsia="黑体"/>
      <w:bCs w:val="0"/>
      <w:kern w:val="0"/>
      <w:szCs w:val="20"/>
    </w:rPr>
  </w:style>
  <w:style w:type="paragraph" w:customStyle="1" w:styleId="1789">
    <w:name w:val="调研内容"/>
    <w:basedOn w:val="1"/>
    <w:qFormat/>
    <w:uiPriority w:val="0"/>
    <w:pPr>
      <w:tabs>
        <w:tab w:val="clear" w:pos="480"/>
      </w:tabs>
    </w:pPr>
    <w:rPr>
      <w:sz w:val="21"/>
      <w:szCs w:val="20"/>
    </w:rPr>
  </w:style>
  <w:style w:type="paragraph" w:customStyle="1" w:styleId="1790">
    <w:name w:val="T表格"/>
    <w:qFormat/>
    <w:uiPriority w:val="0"/>
    <w:pPr>
      <w:widowControl w:val="0"/>
      <w:jc w:val="center"/>
    </w:pPr>
    <w:rPr>
      <w:rFonts w:ascii="仿宋_GB2312" w:hAnsi="Times New Roman" w:eastAsia="仿宋_GB2312" w:cs="Times New Roman"/>
      <w:color w:val="000000"/>
      <w:kern w:val="2"/>
      <w:sz w:val="24"/>
      <w:szCs w:val="24"/>
      <w:lang w:val="en-US" w:eastAsia="zh-CN" w:bidi="ar-SA"/>
    </w:rPr>
  </w:style>
  <w:style w:type="paragraph" w:customStyle="1" w:styleId="1791">
    <w:name w:val="表格文字居中 Char"/>
    <w:basedOn w:val="85"/>
    <w:semiHidden/>
    <w:qFormat/>
    <w:uiPriority w:val="0"/>
    <w:pPr>
      <w:tabs>
        <w:tab w:val="left" w:pos="628"/>
        <w:tab w:val="left" w:pos="1727"/>
        <w:tab w:val="left" w:pos="1884"/>
        <w:tab w:val="left" w:pos="2660"/>
        <w:tab w:val="left" w:pos="5460"/>
      </w:tabs>
      <w:snapToGrid w:val="0"/>
      <w:spacing w:after="0" w:line="320" w:lineRule="exact"/>
      <w:ind w:firstLine="0" w:firstLineChars="0"/>
    </w:pPr>
    <w:rPr>
      <w:rFonts w:ascii="宋体" w:hAnsi="宋体"/>
      <w:color w:val="FF0000"/>
      <w:kern w:val="0"/>
      <w:szCs w:val="20"/>
    </w:rPr>
  </w:style>
  <w:style w:type="character" w:customStyle="1" w:styleId="1792">
    <w:name w:val="样式 表标8.2 + 黑体 四号 Char"/>
    <w:link w:val="1793"/>
    <w:qFormat/>
    <w:locked/>
    <w:uiPriority w:val="0"/>
    <w:rPr>
      <w:rFonts w:ascii="黑体" w:hAnsi="黑体" w:eastAsia="黑体"/>
      <w:b/>
      <w:color w:val="000000"/>
      <w:sz w:val="28"/>
      <w:lang w:bidi="ar-SA"/>
    </w:rPr>
  </w:style>
  <w:style w:type="paragraph" w:customStyle="1" w:styleId="1793">
    <w:name w:val="样式 表标8.2 + 黑体 四号"/>
    <w:basedOn w:val="1"/>
    <w:link w:val="1792"/>
    <w:qFormat/>
    <w:uiPriority w:val="0"/>
    <w:pPr>
      <w:widowControl/>
      <w:tabs>
        <w:tab w:val="left" w:pos="360"/>
        <w:tab w:val="left" w:pos="8207"/>
        <w:tab w:val="clear" w:pos="480"/>
      </w:tabs>
      <w:adjustRightInd w:val="0"/>
      <w:snapToGrid w:val="0"/>
      <w:spacing w:before="120" w:line="0" w:lineRule="atLeast"/>
      <w:ind w:left="360" w:hanging="200" w:hangingChars="200"/>
      <w:jc w:val="center"/>
    </w:pPr>
    <w:rPr>
      <w:rFonts w:ascii="黑体" w:hAnsi="黑体" w:eastAsia="黑体"/>
      <w:b/>
      <w:color w:val="000000"/>
      <w:kern w:val="0"/>
      <w:sz w:val="28"/>
      <w:szCs w:val="20"/>
      <w:lang w:val="zh-CN"/>
    </w:rPr>
  </w:style>
  <w:style w:type="character" w:customStyle="1" w:styleId="1794">
    <w:name w:val="Char Char13"/>
    <w:qFormat/>
    <w:uiPriority w:val="0"/>
    <w:rPr>
      <w:b/>
      <w:kern w:val="44"/>
      <w:sz w:val="44"/>
    </w:rPr>
  </w:style>
  <w:style w:type="character" w:customStyle="1" w:styleId="1795">
    <w:name w:val="bt1"/>
    <w:semiHidden/>
    <w:qFormat/>
    <w:uiPriority w:val="0"/>
    <w:rPr>
      <w:color w:val="000000"/>
    </w:rPr>
  </w:style>
  <w:style w:type="paragraph" w:customStyle="1" w:styleId="1796">
    <w:name w:val="样式 表格文字居中 Char + 自动设置"/>
    <w:basedOn w:val="1791"/>
    <w:qFormat/>
    <w:uiPriority w:val="0"/>
    <w:rPr>
      <w:color w:val="000000"/>
    </w:rPr>
  </w:style>
  <w:style w:type="paragraph" w:customStyle="1" w:styleId="1797">
    <w:name w:val="报告书正文"/>
    <w:basedOn w:val="1"/>
    <w:link w:val="3610"/>
    <w:qFormat/>
    <w:uiPriority w:val="0"/>
    <w:pPr>
      <w:tabs>
        <w:tab w:val="clear" w:pos="480"/>
      </w:tabs>
      <w:adjustRightInd w:val="0"/>
      <w:snapToGrid w:val="0"/>
      <w:spacing w:line="300" w:lineRule="auto"/>
    </w:pPr>
    <w:rPr>
      <w:rFonts w:ascii="宋体"/>
      <w:sz w:val="28"/>
    </w:rPr>
  </w:style>
  <w:style w:type="paragraph" w:customStyle="1" w:styleId="1798">
    <w:name w:val="zw"/>
    <w:basedOn w:val="1"/>
    <w:qFormat/>
    <w:uiPriority w:val="0"/>
    <w:pPr>
      <w:widowControl/>
      <w:tabs>
        <w:tab w:val="clear" w:pos="480"/>
      </w:tabs>
      <w:spacing w:before="30" w:line="240" w:lineRule="auto"/>
      <w:ind w:left="100" w:right="100"/>
    </w:pPr>
    <w:rPr>
      <w:rFonts w:ascii="方正书宋简体" w:hAnsi="宋体" w:eastAsia="方正书宋简体"/>
      <w:color w:val="000000"/>
      <w:kern w:val="0"/>
      <w:sz w:val="21"/>
      <w:szCs w:val="21"/>
    </w:rPr>
  </w:style>
  <w:style w:type="table" w:customStyle="1" w:styleId="1799">
    <w:name w:val="表格样式2"/>
    <w:basedOn w:val="88"/>
    <w:semiHidden/>
    <w:qFormat/>
    <w:uiPriority w:val="0"/>
    <w:pPr>
      <w:snapToGrid w:val="0"/>
      <w:spacing w:beforeLines="50" w:afterLines="25" w:line="312" w:lineRule="auto"/>
      <w:ind w:firstLine="200" w:firstLineChars="200"/>
    </w:pPr>
    <w:rPr>
      <w:rFonts w:hAnsi="宋体" w:cs="宋体"/>
      <w:b/>
    </w:rPr>
  </w:style>
  <w:style w:type="table" w:customStyle="1" w:styleId="1800">
    <w:name w:val="三线表1"/>
    <w:basedOn w:val="88"/>
    <w:qFormat/>
    <w:uiPriority w:val="0"/>
    <w:pPr>
      <w:widowControl w:val="0"/>
      <w:spacing w:before="60" w:after="60" w:line="34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801">
    <w:name w:val="t_tag"/>
    <w:basedOn w:val="133"/>
    <w:qFormat/>
    <w:uiPriority w:val="0"/>
  </w:style>
  <w:style w:type="paragraph" w:customStyle="1" w:styleId="1802">
    <w:name w:val="表标题4"/>
    <w:basedOn w:val="1"/>
    <w:semiHidden/>
    <w:qFormat/>
    <w:uiPriority w:val="0"/>
    <w:pPr>
      <w:tabs>
        <w:tab w:val="clear" w:pos="480"/>
      </w:tabs>
      <w:autoSpaceDE w:val="0"/>
      <w:autoSpaceDN w:val="0"/>
      <w:adjustRightInd w:val="0"/>
      <w:snapToGrid w:val="0"/>
      <w:spacing w:before="180" w:after="120" w:line="408" w:lineRule="atLeast"/>
      <w:jc w:val="center"/>
      <w:textAlignment w:val="baseline"/>
    </w:pPr>
    <w:rPr>
      <w:b/>
      <w:spacing w:val="2"/>
      <w:kern w:val="0"/>
      <w:sz w:val="28"/>
      <w:szCs w:val="20"/>
    </w:rPr>
  </w:style>
  <w:style w:type="paragraph" w:customStyle="1" w:styleId="1803">
    <w:name w:val="表标题3"/>
    <w:basedOn w:val="1"/>
    <w:semiHidden/>
    <w:qFormat/>
    <w:uiPriority w:val="0"/>
    <w:pPr>
      <w:tabs>
        <w:tab w:val="clear" w:pos="480"/>
      </w:tabs>
      <w:autoSpaceDE w:val="0"/>
      <w:autoSpaceDN w:val="0"/>
      <w:adjustRightInd w:val="0"/>
      <w:snapToGrid w:val="0"/>
      <w:spacing w:before="180" w:after="120" w:line="408" w:lineRule="atLeast"/>
      <w:jc w:val="center"/>
      <w:textAlignment w:val="baseline"/>
    </w:pPr>
    <w:rPr>
      <w:b/>
      <w:spacing w:val="2"/>
      <w:kern w:val="0"/>
      <w:sz w:val="28"/>
      <w:szCs w:val="20"/>
    </w:rPr>
  </w:style>
  <w:style w:type="paragraph" w:customStyle="1" w:styleId="1804">
    <w:name w:val="Char Char Char12"/>
    <w:basedOn w:val="1"/>
    <w:semiHidden/>
    <w:qFormat/>
    <w:uiPriority w:val="0"/>
    <w:pPr>
      <w:tabs>
        <w:tab w:val="clear" w:pos="480"/>
      </w:tabs>
      <w:adjustRightInd w:val="0"/>
      <w:snapToGrid w:val="0"/>
      <w:spacing w:line="400" w:lineRule="exact"/>
    </w:pPr>
    <w:rPr>
      <w:szCs w:val="20"/>
    </w:rPr>
  </w:style>
  <w:style w:type="paragraph" w:customStyle="1" w:styleId="1805">
    <w:name w:val="Char Char3"/>
    <w:basedOn w:val="1"/>
    <w:semiHidden/>
    <w:qFormat/>
    <w:uiPriority w:val="0"/>
    <w:pPr>
      <w:tabs>
        <w:tab w:val="clear" w:pos="480"/>
      </w:tabs>
      <w:adjustRightInd w:val="0"/>
      <w:snapToGrid w:val="0"/>
      <w:spacing w:line="400" w:lineRule="exact"/>
    </w:pPr>
    <w:rPr>
      <w:szCs w:val="20"/>
    </w:rPr>
  </w:style>
  <w:style w:type="paragraph" w:customStyle="1" w:styleId="1806">
    <w:name w:val="Char Char Char Char2"/>
    <w:basedOn w:val="1"/>
    <w:qFormat/>
    <w:uiPriority w:val="0"/>
    <w:pPr>
      <w:tabs>
        <w:tab w:val="clear" w:pos="480"/>
      </w:tabs>
      <w:spacing w:line="240" w:lineRule="auto"/>
    </w:pPr>
    <w:rPr>
      <w:sz w:val="21"/>
    </w:rPr>
  </w:style>
  <w:style w:type="paragraph" w:customStyle="1" w:styleId="1807">
    <w:name w:val="Char Char Char2 Char Char Char1"/>
    <w:basedOn w:val="1"/>
    <w:semiHidden/>
    <w:qFormat/>
    <w:uiPriority w:val="0"/>
    <w:pPr>
      <w:tabs>
        <w:tab w:val="clear" w:pos="480"/>
      </w:tabs>
      <w:spacing w:line="240" w:lineRule="auto"/>
    </w:pPr>
  </w:style>
  <w:style w:type="paragraph" w:customStyle="1" w:styleId="1808">
    <w:name w:val="Char1 Char Char1"/>
    <w:basedOn w:val="1"/>
    <w:semiHidden/>
    <w:qFormat/>
    <w:uiPriority w:val="0"/>
    <w:pPr>
      <w:tabs>
        <w:tab w:val="clear" w:pos="480"/>
      </w:tabs>
    </w:pPr>
    <w:rPr>
      <w:rFonts w:ascii="宋体" w:hAnsi="宋体" w:cs="宋体"/>
    </w:rPr>
  </w:style>
  <w:style w:type="paragraph" w:customStyle="1" w:styleId="1809">
    <w:name w:val="Char Char Char Char Char Char Char2"/>
    <w:basedOn w:val="1"/>
    <w:qFormat/>
    <w:uiPriority w:val="0"/>
    <w:pPr>
      <w:tabs>
        <w:tab w:val="clear" w:pos="480"/>
      </w:tabs>
      <w:spacing w:line="240" w:lineRule="auto"/>
    </w:pPr>
    <w:rPr>
      <w:sz w:val="21"/>
    </w:rPr>
  </w:style>
  <w:style w:type="paragraph" w:customStyle="1" w:styleId="1810">
    <w:name w:val="Char Char Char Char Char Char1"/>
    <w:basedOn w:val="1"/>
    <w:qFormat/>
    <w:uiPriority w:val="0"/>
    <w:pPr>
      <w:tabs>
        <w:tab w:val="clear" w:pos="480"/>
      </w:tabs>
      <w:spacing w:line="240" w:lineRule="auto"/>
    </w:pPr>
    <w:rPr>
      <w:sz w:val="21"/>
    </w:rPr>
  </w:style>
  <w:style w:type="paragraph" w:customStyle="1" w:styleId="1811">
    <w:name w:val="zwb-正文"/>
    <w:basedOn w:val="1"/>
    <w:link w:val="1815"/>
    <w:semiHidden/>
    <w:qFormat/>
    <w:uiPriority w:val="0"/>
    <w:pPr>
      <w:tabs>
        <w:tab w:val="clear" w:pos="480"/>
      </w:tabs>
      <w:ind w:firstLine="480"/>
    </w:pPr>
    <w:rPr>
      <w:kern w:val="0"/>
      <w:lang w:val="zh-CN"/>
    </w:rPr>
  </w:style>
  <w:style w:type="paragraph" w:customStyle="1" w:styleId="1812">
    <w:name w:val="zwb-图表标题"/>
    <w:basedOn w:val="1"/>
    <w:semiHidden/>
    <w:qFormat/>
    <w:uiPriority w:val="0"/>
    <w:pPr>
      <w:tabs>
        <w:tab w:val="clear" w:pos="480"/>
      </w:tabs>
      <w:jc w:val="center"/>
    </w:pPr>
    <w:rPr>
      <w:b/>
    </w:rPr>
  </w:style>
  <w:style w:type="table" w:customStyle="1" w:styleId="1813">
    <w:name w:val="zwb-表格"/>
    <w:basedOn w:val="88"/>
    <w:semiHidden/>
    <w:qFormat/>
    <w:uiPriority w:val="0"/>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Pr>
    <w:tcPr>
      <w:vAlign w:val="center"/>
    </w:tcPr>
  </w:style>
  <w:style w:type="paragraph" w:customStyle="1" w:styleId="1814">
    <w:name w:val="Char Char Char1 Char Char Char Char Char Char Char Char Char Char Char Char Char Char Char Char Char Char Char"/>
    <w:basedOn w:val="1"/>
    <w:qFormat/>
    <w:uiPriority w:val="0"/>
    <w:pPr>
      <w:tabs>
        <w:tab w:val="left" w:pos="360"/>
        <w:tab w:val="clear" w:pos="480"/>
      </w:tabs>
      <w:spacing w:afterLines="20" w:line="324" w:lineRule="auto"/>
    </w:pPr>
    <w:rPr>
      <w:rFonts w:ascii="Verdana" w:hAnsi="Verdana" w:eastAsia="黑体"/>
      <w:b/>
      <w:kern w:val="0"/>
      <w:sz w:val="32"/>
      <w:szCs w:val="20"/>
      <w:lang w:eastAsia="en-US"/>
    </w:rPr>
  </w:style>
  <w:style w:type="character" w:customStyle="1" w:styleId="1815">
    <w:name w:val="zwb-正文 Char"/>
    <w:link w:val="1811"/>
    <w:qFormat/>
    <w:uiPriority w:val="0"/>
    <w:rPr>
      <w:rFonts w:eastAsia="宋体"/>
      <w:sz w:val="24"/>
      <w:szCs w:val="24"/>
      <w:lang w:bidi="ar-SA"/>
    </w:rPr>
  </w:style>
  <w:style w:type="paragraph" w:customStyle="1" w:styleId="1816">
    <w:name w:val="丽洁表头"/>
    <w:basedOn w:val="1598"/>
    <w:link w:val="1817"/>
    <w:qFormat/>
    <w:uiPriority w:val="0"/>
  </w:style>
  <w:style w:type="character" w:customStyle="1" w:styleId="1817">
    <w:name w:val="丽洁表头 Char"/>
    <w:link w:val="1816"/>
    <w:qFormat/>
    <w:uiPriority w:val="0"/>
    <w:rPr>
      <w:rFonts w:eastAsia="黑体"/>
      <w:b/>
      <w:spacing w:val="10"/>
      <w:sz w:val="24"/>
      <w:lang w:bidi="ar-SA"/>
    </w:rPr>
  </w:style>
  <w:style w:type="paragraph" w:customStyle="1" w:styleId="1818">
    <w:name w:val="Char Char Char Char Char Char Char Char Char Char Char Char Char Char Char Char Char Char Char Char Char Char Char Char Char Char Char Char"/>
    <w:semiHidden/>
    <w:qFormat/>
    <w:uiPriority w:val="0"/>
    <w:pPr>
      <w:spacing w:line="360" w:lineRule="auto"/>
      <w:ind w:firstLine="200" w:firstLineChars="200"/>
      <w:jc w:val="both"/>
    </w:pPr>
    <w:rPr>
      <w:rFonts w:ascii="宋体" w:hAnsi="宋体" w:eastAsia="宋体" w:cs="宋体"/>
      <w:kern w:val="2"/>
      <w:sz w:val="24"/>
      <w:szCs w:val="24"/>
      <w:lang w:val="en-US" w:eastAsia="zh-CN" w:bidi="ar-SA"/>
    </w:rPr>
  </w:style>
  <w:style w:type="character" w:customStyle="1" w:styleId="1819">
    <w:name w:val="佛表 Char"/>
    <w:link w:val="224"/>
    <w:qFormat/>
    <w:uiPriority w:val="0"/>
    <w:rPr>
      <w:rFonts w:eastAsia="宋体"/>
      <w:color w:val="000000"/>
      <w:kern w:val="2"/>
      <w:sz w:val="21"/>
      <w:szCs w:val="21"/>
      <w:lang w:val="en-US" w:eastAsia="zh-CN" w:bidi="ar-SA"/>
    </w:rPr>
  </w:style>
  <w:style w:type="paragraph" w:customStyle="1" w:styleId="1820">
    <w:name w:val="样式 标题 4标题 4 Char Char Char Char Char Char Char Char Char Char C..."/>
    <w:basedOn w:val="6"/>
    <w:qFormat/>
    <w:uiPriority w:val="0"/>
    <w:pPr>
      <w:keepNext w:val="0"/>
      <w:keepLines w:val="0"/>
      <w:numPr>
        <w:ilvl w:val="0"/>
        <w:numId w:val="0"/>
      </w:numPr>
      <w:tabs>
        <w:tab w:val="clear" w:pos="480"/>
      </w:tabs>
      <w:spacing w:before="0" w:after="0" w:line="312" w:lineRule="auto"/>
      <w:jc w:val="center"/>
      <w:outlineLvl w:val="9"/>
    </w:pPr>
    <w:rPr>
      <w:rFonts w:ascii="Times New Roman" w:hAnsi="Times New Roman" w:eastAsia="宋体"/>
      <w:b w:val="0"/>
      <w:bCs w:val="0"/>
      <w:kern w:val="0"/>
      <w:sz w:val="21"/>
      <w:szCs w:val="24"/>
    </w:rPr>
  </w:style>
  <w:style w:type="paragraph" w:customStyle="1" w:styleId="1821">
    <w:name w:val="正文小四首缩1.3行距"/>
    <w:basedOn w:val="1"/>
    <w:link w:val="1822"/>
    <w:qFormat/>
    <w:uiPriority w:val="0"/>
    <w:pPr>
      <w:tabs>
        <w:tab w:val="clear" w:pos="480"/>
      </w:tabs>
      <w:spacing w:line="312" w:lineRule="auto"/>
      <w:ind w:firstLine="420"/>
    </w:pPr>
    <w:rPr>
      <w:rFonts w:ascii="Calibri" w:hAnsi="Calibri"/>
      <w:kern w:val="0"/>
      <w:lang w:val="zh-CN"/>
    </w:rPr>
  </w:style>
  <w:style w:type="character" w:customStyle="1" w:styleId="1822">
    <w:name w:val="正文小四首缩1.3行距 Char"/>
    <w:link w:val="1821"/>
    <w:qFormat/>
    <w:uiPriority w:val="0"/>
    <w:rPr>
      <w:rFonts w:ascii="Calibri" w:hAnsi="Calibri" w:eastAsia="宋体"/>
      <w:sz w:val="24"/>
      <w:szCs w:val="24"/>
      <w:lang w:bidi="ar-SA"/>
    </w:rPr>
  </w:style>
  <w:style w:type="character" w:customStyle="1" w:styleId="1823">
    <w:name w:val="表格new Char"/>
    <w:link w:val="799"/>
    <w:qFormat/>
    <w:uiPriority w:val="0"/>
    <w:rPr>
      <w:rFonts w:eastAsia="宋体"/>
      <w:szCs w:val="21"/>
      <w:lang w:bidi="ar-SA"/>
    </w:rPr>
  </w:style>
  <w:style w:type="paragraph" w:customStyle="1" w:styleId="1824">
    <w:name w:val="Char5"/>
    <w:basedOn w:val="1"/>
    <w:qFormat/>
    <w:uiPriority w:val="0"/>
    <w:pPr>
      <w:tabs>
        <w:tab w:val="clear" w:pos="480"/>
      </w:tabs>
      <w:spacing w:line="240" w:lineRule="auto"/>
    </w:pPr>
    <w:rPr>
      <w:sz w:val="21"/>
    </w:rPr>
  </w:style>
  <w:style w:type="paragraph" w:customStyle="1" w:styleId="1825">
    <w:name w:val="正文7"/>
    <w:basedOn w:val="1"/>
    <w:semiHidden/>
    <w:qFormat/>
    <w:uiPriority w:val="0"/>
    <w:pPr>
      <w:widowControl/>
      <w:tabs>
        <w:tab w:val="clear" w:pos="480"/>
      </w:tabs>
      <w:overflowPunct w:val="0"/>
      <w:autoSpaceDE w:val="0"/>
      <w:autoSpaceDN w:val="0"/>
      <w:adjustRightInd w:val="0"/>
      <w:textAlignment w:val="baseline"/>
    </w:pPr>
    <w:rPr>
      <w:rFonts w:ascii="楷体" w:eastAsia="楷体"/>
      <w:kern w:val="0"/>
      <w:sz w:val="28"/>
      <w:szCs w:val="20"/>
      <w:lang w:val="en-GB"/>
    </w:rPr>
  </w:style>
  <w:style w:type="paragraph" w:customStyle="1" w:styleId="1826">
    <w:name w:val="表头 1"/>
    <w:basedOn w:val="3"/>
    <w:next w:val="1"/>
    <w:qFormat/>
    <w:uiPriority w:val="0"/>
    <w:pPr>
      <w:tabs>
        <w:tab w:val="left" w:pos="3600"/>
        <w:tab w:val="clear" w:pos="480"/>
      </w:tabs>
      <w:adjustRightInd w:val="0"/>
      <w:spacing w:before="0" w:after="0" w:line="240" w:lineRule="auto"/>
      <w:ind w:right="-108"/>
      <w:textAlignment w:val="baseline"/>
      <w:outlineLvl w:val="9"/>
    </w:pPr>
    <w:rPr>
      <w:rFonts w:ascii="Times New Roman" w:eastAsia="长城仿宋"/>
      <w:b w:val="0"/>
      <w:bCs w:val="0"/>
      <w:color w:val="008080"/>
      <w:sz w:val="28"/>
      <w:szCs w:val="20"/>
    </w:rPr>
  </w:style>
  <w:style w:type="paragraph" w:customStyle="1" w:styleId="1827">
    <w:name w:val="正文报告"/>
    <w:basedOn w:val="1"/>
    <w:qFormat/>
    <w:uiPriority w:val="0"/>
    <w:pPr>
      <w:tabs>
        <w:tab w:val="left" w:pos="510"/>
        <w:tab w:val="clear" w:pos="480"/>
      </w:tabs>
      <w:adjustRightInd w:val="0"/>
      <w:spacing w:line="460" w:lineRule="exact"/>
      <w:ind w:firstLine="482"/>
      <w:textAlignment w:val="baseline"/>
    </w:pPr>
    <w:rPr>
      <w:kern w:val="0"/>
      <w:szCs w:val="20"/>
    </w:rPr>
  </w:style>
  <w:style w:type="paragraph" w:customStyle="1" w:styleId="1828">
    <w:name w:val="biao"/>
    <w:basedOn w:val="1"/>
    <w:semiHidden/>
    <w:qFormat/>
    <w:uiPriority w:val="0"/>
    <w:pPr>
      <w:tabs>
        <w:tab w:val="left" w:pos="720"/>
        <w:tab w:val="left" w:pos="2340"/>
        <w:tab w:val="clear" w:pos="480"/>
      </w:tabs>
      <w:autoSpaceDE w:val="0"/>
      <w:autoSpaceDN w:val="0"/>
      <w:adjustRightInd w:val="0"/>
      <w:spacing w:line="240" w:lineRule="atLeast"/>
      <w:jc w:val="center"/>
    </w:pPr>
    <w:rPr>
      <w:rFonts w:hint="eastAsia" w:ascii="黑体" w:hAnsi="Tms Rmn" w:eastAsia="黑体"/>
      <w:kern w:val="0"/>
      <w:sz w:val="30"/>
      <w:szCs w:val="20"/>
    </w:rPr>
  </w:style>
  <w:style w:type="paragraph" w:customStyle="1" w:styleId="1829">
    <w:name w:val="样式  + 宋体"/>
    <w:basedOn w:val="1"/>
    <w:qFormat/>
    <w:uiPriority w:val="0"/>
    <w:pPr>
      <w:tabs>
        <w:tab w:val="left" w:pos="600"/>
        <w:tab w:val="clear" w:pos="480"/>
      </w:tabs>
    </w:pPr>
    <w:rPr>
      <w:rFonts w:ascii="宋体" w:hAnsi="宋体"/>
      <w:color w:val="000000"/>
    </w:rPr>
  </w:style>
  <w:style w:type="paragraph" w:customStyle="1" w:styleId="1830">
    <w:name w:val="质量手册小标题"/>
    <w:basedOn w:val="1"/>
    <w:qFormat/>
    <w:uiPriority w:val="0"/>
    <w:pPr>
      <w:tabs>
        <w:tab w:val="left" w:pos="425"/>
        <w:tab w:val="clear" w:pos="480"/>
      </w:tabs>
      <w:spacing w:line="240" w:lineRule="auto"/>
    </w:pPr>
    <w:rPr>
      <w:rFonts w:ascii="宋体" w:hAnsi="Courier New" w:cs="Courier New"/>
      <w:sz w:val="21"/>
      <w:szCs w:val="21"/>
    </w:rPr>
  </w:style>
  <w:style w:type="paragraph" w:customStyle="1" w:styleId="1831">
    <w:name w:val="组织设计正文"/>
    <w:basedOn w:val="1"/>
    <w:qFormat/>
    <w:uiPriority w:val="0"/>
    <w:pPr>
      <w:tabs>
        <w:tab w:val="clear" w:pos="480"/>
      </w:tabs>
      <w:spacing w:after="100" w:afterAutospacing="1" w:line="240" w:lineRule="auto"/>
    </w:pPr>
    <w:rPr>
      <w:rFonts w:ascii="宋体" w:hAnsi="宋体"/>
      <w:szCs w:val="28"/>
    </w:rPr>
  </w:style>
  <w:style w:type="paragraph" w:customStyle="1" w:styleId="1832">
    <w:name w:val="二级标题T2"/>
    <w:basedOn w:val="4"/>
    <w:qFormat/>
    <w:uiPriority w:val="0"/>
    <w:pPr>
      <w:spacing w:before="0" w:after="0"/>
    </w:pPr>
    <w:rPr>
      <w:rFonts w:cs="宋体"/>
      <w:color w:val="000000"/>
      <w:szCs w:val="20"/>
    </w:rPr>
  </w:style>
  <w:style w:type="paragraph" w:customStyle="1" w:styleId="1833">
    <w:name w:val="三级标题T3"/>
    <w:basedOn w:val="5"/>
    <w:link w:val="1834"/>
    <w:qFormat/>
    <w:uiPriority w:val="0"/>
    <w:pPr>
      <w:spacing w:before="0" w:after="0" w:line="360" w:lineRule="auto"/>
    </w:pPr>
    <w:rPr>
      <w:rFonts w:ascii="Times New Roman" w:eastAsia="宋体"/>
      <w:color w:val="000000"/>
    </w:rPr>
  </w:style>
  <w:style w:type="character" w:customStyle="1" w:styleId="1834">
    <w:name w:val="三级标题T3 Char"/>
    <w:link w:val="1833"/>
    <w:qFormat/>
    <w:uiPriority w:val="0"/>
    <w:rPr>
      <w:b/>
      <w:bCs/>
      <w:color w:val="000000"/>
      <w:kern w:val="2"/>
      <w:sz w:val="30"/>
      <w:szCs w:val="32"/>
      <w:lang w:val="zh-CN"/>
    </w:rPr>
  </w:style>
  <w:style w:type="paragraph" w:customStyle="1" w:styleId="1835">
    <w:name w:val="正文 首行缩进:  2 字符 Char"/>
    <w:basedOn w:val="1"/>
    <w:link w:val="1836"/>
    <w:semiHidden/>
    <w:qFormat/>
    <w:uiPriority w:val="0"/>
    <w:pPr>
      <w:tabs>
        <w:tab w:val="clear" w:pos="480"/>
      </w:tabs>
      <w:spacing w:line="520" w:lineRule="exact"/>
    </w:pPr>
    <w:rPr>
      <w:rFonts w:cs="宋体"/>
      <w:kern w:val="44"/>
      <w:szCs w:val="20"/>
    </w:rPr>
  </w:style>
  <w:style w:type="character" w:customStyle="1" w:styleId="1836">
    <w:name w:val="正文 首行缩进:  2 字符 Char Char1"/>
    <w:link w:val="1835"/>
    <w:qFormat/>
    <w:uiPriority w:val="0"/>
    <w:rPr>
      <w:rFonts w:eastAsia="宋体" w:cs="宋体"/>
      <w:kern w:val="44"/>
      <w:sz w:val="24"/>
      <w:lang w:val="en-US" w:eastAsia="zh-CN" w:bidi="ar-SA"/>
    </w:rPr>
  </w:style>
  <w:style w:type="character" w:customStyle="1" w:styleId="1837">
    <w:name w:val="c1"/>
    <w:qFormat/>
    <w:uiPriority w:val="0"/>
    <w:rPr>
      <w:rFonts w:hint="default" w:ascii="ˎ̥" w:hAnsi="ˎ̥"/>
      <w:color w:val="000000"/>
      <w:sz w:val="21"/>
      <w:szCs w:val="21"/>
      <w:u w:val="none"/>
    </w:rPr>
  </w:style>
  <w:style w:type="character" w:customStyle="1" w:styleId="1838">
    <w:name w:val="缩进 Char1"/>
    <w:link w:val="207"/>
    <w:qFormat/>
    <w:uiPriority w:val="0"/>
    <w:rPr>
      <w:rFonts w:eastAsia="宋体"/>
      <w:sz w:val="24"/>
      <w:lang w:val="en-US" w:eastAsia="zh-CN" w:bidi="ar-SA"/>
    </w:rPr>
  </w:style>
  <w:style w:type="paragraph" w:customStyle="1" w:styleId="1839">
    <w:name w:val="样式 黑体 左 行距: 固定值 23 磅"/>
    <w:basedOn w:val="1"/>
    <w:semiHidden/>
    <w:qFormat/>
    <w:uiPriority w:val="0"/>
    <w:pPr>
      <w:tabs>
        <w:tab w:val="clear" w:pos="480"/>
      </w:tabs>
      <w:spacing w:line="520" w:lineRule="exact"/>
      <w:jc w:val="left"/>
    </w:pPr>
    <w:rPr>
      <w:rFonts w:ascii="黑体" w:eastAsia="黑体"/>
      <w:kern w:val="44"/>
      <w:szCs w:val="20"/>
    </w:rPr>
  </w:style>
  <w:style w:type="character" w:customStyle="1" w:styleId="1840">
    <w:name w:val="表格内文字 Char1"/>
    <w:link w:val="796"/>
    <w:qFormat/>
    <w:uiPriority w:val="0"/>
    <w:rPr>
      <w:sz w:val="21"/>
      <w:szCs w:val="21"/>
      <w:lang w:val="zh-CN" w:eastAsia="zh-CN" w:bidi="ar-SA"/>
    </w:rPr>
  </w:style>
  <w:style w:type="paragraph" w:customStyle="1" w:styleId="1841">
    <w:name w:val="【表头】"/>
    <w:next w:val="1"/>
    <w:qFormat/>
    <w:uiPriority w:val="0"/>
    <w:pPr>
      <w:spacing w:before="100" w:beforeAutospacing="1" w:line="360" w:lineRule="exact"/>
      <w:jc w:val="center"/>
    </w:pPr>
    <w:rPr>
      <w:rFonts w:ascii="Times New Roman" w:hAnsi="Times New Roman" w:eastAsia="黑体" w:cs="Times New Roman"/>
      <w:bCs/>
      <w:color w:val="000000"/>
      <w:kern w:val="2"/>
      <w:sz w:val="24"/>
      <w:szCs w:val="24"/>
      <w:lang w:val="en-US" w:eastAsia="zh-CN" w:bidi="ar-SA"/>
    </w:rPr>
  </w:style>
  <w:style w:type="paragraph" w:customStyle="1" w:styleId="1842">
    <w:name w:val="五级标题"/>
    <w:basedOn w:val="1"/>
    <w:semiHidden/>
    <w:qFormat/>
    <w:uiPriority w:val="0"/>
    <w:pPr>
      <w:tabs>
        <w:tab w:val="clear" w:pos="480"/>
      </w:tabs>
      <w:spacing w:before="156" w:after="156" w:line="240" w:lineRule="auto"/>
    </w:pPr>
    <w:rPr>
      <w:sz w:val="28"/>
      <w:szCs w:val="20"/>
    </w:rPr>
  </w:style>
  <w:style w:type="paragraph" w:customStyle="1" w:styleId="1843">
    <w:name w:val="表底说明"/>
    <w:basedOn w:val="1"/>
    <w:semiHidden/>
    <w:qFormat/>
    <w:uiPriority w:val="0"/>
    <w:pPr>
      <w:tabs>
        <w:tab w:val="clear" w:pos="480"/>
      </w:tabs>
      <w:spacing w:line="240" w:lineRule="auto"/>
    </w:pPr>
    <w:rPr>
      <w:sz w:val="18"/>
    </w:rPr>
  </w:style>
  <w:style w:type="character" w:customStyle="1" w:styleId="1844">
    <w:name w:val="表底说明 Char"/>
    <w:semiHidden/>
    <w:qFormat/>
    <w:uiPriority w:val="0"/>
    <w:rPr>
      <w:rFonts w:eastAsia="宋体"/>
      <w:kern w:val="2"/>
      <w:sz w:val="18"/>
      <w:szCs w:val="24"/>
      <w:lang w:val="en-US" w:eastAsia="zh-CN" w:bidi="ar-SA"/>
    </w:rPr>
  </w:style>
  <w:style w:type="paragraph" w:customStyle="1" w:styleId="1845">
    <w:name w:val="我的表头"/>
    <w:basedOn w:val="1"/>
    <w:semiHidden/>
    <w:qFormat/>
    <w:uiPriority w:val="0"/>
    <w:pPr>
      <w:tabs>
        <w:tab w:val="clear" w:pos="480"/>
      </w:tabs>
      <w:spacing w:before="156" w:line="240" w:lineRule="auto"/>
      <w:jc w:val="center"/>
    </w:pPr>
    <w:rPr>
      <w:rFonts w:ascii="黑体" w:eastAsia="黑体" w:cs="宋体"/>
      <w:b/>
      <w:bCs/>
      <w:szCs w:val="20"/>
    </w:rPr>
  </w:style>
  <w:style w:type="paragraph" w:customStyle="1" w:styleId="1846">
    <w:name w:val="表头格式"/>
    <w:basedOn w:val="1"/>
    <w:semiHidden/>
    <w:qFormat/>
    <w:uiPriority w:val="0"/>
    <w:pPr>
      <w:tabs>
        <w:tab w:val="clear" w:pos="480"/>
      </w:tabs>
      <w:spacing w:beforeLines="100" w:line="240" w:lineRule="auto"/>
    </w:pPr>
    <w:rPr>
      <w:rFonts w:ascii="宋体" w:hAnsi="宋体"/>
      <w:b/>
      <w:sz w:val="21"/>
    </w:rPr>
  </w:style>
  <w:style w:type="paragraph" w:customStyle="1" w:styleId="1847">
    <w:name w:val="报告表格"/>
    <w:basedOn w:val="1"/>
    <w:qFormat/>
    <w:uiPriority w:val="0"/>
    <w:pPr>
      <w:tabs>
        <w:tab w:val="clear" w:pos="480"/>
      </w:tabs>
      <w:autoSpaceDE w:val="0"/>
      <w:autoSpaceDN w:val="0"/>
      <w:adjustRightInd w:val="0"/>
      <w:spacing w:before="40" w:after="40" w:line="240" w:lineRule="auto"/>
      <w:jc w:val="center"/>
      <w:textAlignment w:val="bottom"/>
    </w:pPr>
    <w:rPr>
      <w:kern w:val="0"/>
      <w:sz w:val="21"/>
      <w:szCs w:val="20"/>
    </w:rPr>
  </w:style>
  <w:style w:type="paragraph" w:customStyle="1" w:styleId="1848">
    <w:name w:val="首行缩进 Char Char"/>
    <w:basedOn w:val="1"/>
    <w:semiHidden/>
    <w:qFormat/>
    <w:uiPriority w:val="0"/>
    <w:pPr>
      <w:tabs>
        <w:tab w:val="clear" w:pos="480"/>
      </w:tabs>
      <w:snapToGrid w:val="0"/>
      <w:ind w:firstLine="499"/>
    </w:pPr>
    <w:rPr>
      <w:szCs w:val="20"/>
    </w:rPr>
  </w:style>
  <w:style w:type="paragraph" w:customStyle="1" w:styleId="1849">
    <w:name w:val="样式 题注 + 黑色"/>
    <w:basedOn w:val="23"/>
    <w:link w:val="1850"/>
    <w:semiHidden/>
    <w:qFormat/>
    <w:uiPriority w:val="0"/>
    <w:pPr>
      <w:widowControl w:val="0"/>
      <w:tabs>
        <w:tab w:val="center" w:pos="10467"/>
        <w:tab w:val="left" w:pos="13095"/>
      </w:tabs>
      <w:adjustRightInd/>
      <w:snapToGrid/>
      <w:spacing w:before="0" w:afterLines="50" w:line="240" w:lineRule="auto"/>
      <w:ind w:firstLine="0" w:firstLineChars="0"/>
    </w:pPr>
    <w:rPr>
      <w:b/>
      <w:bCs/>
    </w:rPr>
  </w:style>
  <w:style w:type="character" w:customStyle="1" w:styleId="1850">
    <w:name w:val="样式 题注 + 黑色 Char"/>
    <w:link w:val="1849"/>
    <w:qFormat/>
    <w:uiPriority w:val="0"/>
    <w:rPr>
      <w:rFonts w:ascii="Arial" w:hAnsi="Arial" w:eastAsia="宋体" w:cs="Arial"/>
      <w:b/>
      <w:bCs/>
      <w:color w:val="000000"/>
      <w:kern w:val="2"/>
      <w:sz w:val="24"/>
      <w:lang w:val="en-US" w:eastAsia="zh-CN" w:bidi="ar-SA"/>
    </w:rPr>
  </w:style>
  <w:style w:type="paragraph" w:customStyle="1" w:styleId="1851">
    <w:name w:val="样式 行距: 固定值 25 磅1"/>
    <w:basedOn w:val="1"/>
    <w:semiHidden/>
    <w:qFormat/>
    <w:uiPriority w:val="0"/>
    <w:pPr>
      <w:tabs>
        <w:tab w:val="clear" w:pos="480"/>
      </w:tabs>
      <w:adjustRightInd w:val="0"/>
      <w:spacing w:after="120" w:line="240" w:lineRule="auto"/>
      <w:ind w:firstLine="560"/>
      <w:textAlignment w:val="baseline"/>
    </w:pPr>
    <w:rPr>
      <w:rFonts w:ascii="宋体" w:hAnsi="宋体" w:cs="宋体"/>
      <w:color w:val="0000FF"/>
      <w:kern w:val="0"/>
      <w:sz w:val="28"/>
      <w:szCs w:val="28"/>
    </w:rPr>
  </w:style>
  <w:style w:type="paragraph" w:customStyle="1" w:styleId="1852">
    <w:name w:val="样式 (符号) 宋体 小四 加粗"/>
    <w:basedOn w:val="1"/>
    <w:link w:val="1853"/>
    <w:semiHidden/>
    <w:qFormat/>
    <w:uiPriority w:val="0"/>
    <w:pPr>
      <w:tabs>
        <w:tab w:val="clear" w:pos="480"/>
      </w:tabs>
      <w:jc w:val="center"/>
    </w:pPr>
    <w:rPr>
      <w:b/>
      <w:bCs/>
    </w:rPr>
  </w:style>
  <w:style w:type="character" w:customStyle="1" w:styleId="1853">
    <w:name w:val="样式 (符号) 宋体 小四 加粗 Char"/>
    <w:link w:val="1852"/>
    <w:qFormat/>
    <w:uiPriority w:val="0"/>
    <w:rPr>
      <w:rFonts w:eastAsia="宋体"/>
      <w:b/>
      <w:bCs/>
      <w:kern w:val="2"/>
      <w:sz w:val="24"/>
      <w:szCs w:val="24"/>
      <w:lang w:val="en-US" w:eastAsia="zh-CN" w:bidi="ar-SA"/>
    </w:rPr>
  </w:style>
  <w:style w:type="paragraph" w:customStyle="1" w:styleId="1854">
    <w:name w:val="表头格式1"/>
    <w:basedOn w:val="1"/>
    <w:link w:val="1856"/>
    <w:semiHidden/>
    <w:qFormat/>
    <w:uiPriority w:val="0"/>
    <w:pPr>
      <w:tabs>
        <w:tab w:val="clear" w:pos="480"/>
      </w:tabs>
      <w:jc w:val="center"/>
    </w:pPr>
    <w:rPr>
      <w:rFonts w:hAnsi="宋体"/>
      <w:b/>
      <w:bCs/>
    </w:rPr>
  </w:style>
  <w:style w:type="paragraph" w:customStyle="1" w:styleId="1855">
    <w:name w:val="表内内容"/>
    <w:basedOn w:val="198"/>
    <w:semiHidden/>
    <w:qFormat/>
    <w:uiPriority w:val="0"/>
    <w:pPr>
      <w:spacing w:line="240" w:lineRule="auto"/>
      <w:ind w:firstLine="0" w:firstLineChars="0"/>
      <w:jc w:val="center"/>
    </w:pPr>
    <w:rPr>
      <w:sz w:val="21"/>
      <w:lang w:val="zh-CN"/>
    </w:rPr>
  </w:style>
  <w:style w:type="character" w:customStyle="1" w:styleId="1856">
    <w:name w:val="表头格式1 Char"/>
    <w:link w:val="1854"/>
    <w:qFormat/>
    <w:uiPriority w:val="0"/>
    <w:rPr>
      <w:rFonts w:hAnsi="宋体" w:eastAsia="宋体"/>
      <w:b/>
      <w:bCs/>
      <w:kern w:val="2"/>
      <w:sz w:val="24"/>
      <w:szCs w:val="24"/>
      <w:lang w:val="en-US" w:eastAsia="zh-CN" w:bidi="ar-SA"/>
    </w:rPr>
  </w:style>
  <w:style w:type="paragraph" w:customStyle="1" w:styleId="1857">
    <w:name w:val="A_GZ表格"/>
    <w:basedOn w:val="164"/>
    <w:semiHidden/>
    <w:qFormat/>
    <w:uiPriority w:val="0"/>
    <w:pPr/>
    <w:rPr>
      <w:sz w:val="21"/>
      <w:szCs w:val="21"/>
    </w:rPr>
  </w:style>
  <w:style w:type="character" w:customStyle="1" w:styleId="1858">
    <w:name w:val="px14"/>
    <w:basedOn w:val="133"/>
    <w:semiHidden/>
    <w:qFormat/>
    <w:uiPriority w:val="0"/>
  </w:style>
  <w:style w:type="paragraph" w:customStyle="1" w:styleId="1859">
    <w:name w:val="GZ表格：样式 缩进 + 五号 居中 首行缩进:  0 厘米 行距: 单倍行距"/>
    <w:basedOn w:val="207"/>
    <w:semiHidden/>
    <w:qFormat/>
    <w:uiPriority w:val="0"/>
    <w:pPr>
      <w:spacing w:line="240" w:lineRule="auto"/>
      <w:ind w:firstLine="0"/>
      <w:jc w:val="center"/>
    </w:pPr>
    <w:rPr>
      <w:rFonts w:cs="宋体"/>
      <w:sz w:val="21"/>
    </w:rPr>
  </w:style>
  <w:style w:type="paragraph" w:customStyle="1" w:styleId="1860">
    <w:name w:val="样式 四号 行距: 1.5 倍行距 首行缩进:  2 字符"/>
    <w:basedOn w:val="1"/>
    <w:semiHidden/>
    <w:qFormat/>
    <w:uiPriority w:val="0"/>
    <w:pPr>
      <w:tabs>
        <w:tab w:val="clear" w:pos="480"/>
      </w:tabs>
      <w:ind w:firstLine="560"/>
    </w:pPr>
    <w:rPr>
      <w:rFonts w:cs="宋体"/>
      <w:sz w:val="28"/>
      <w:szCs w:val="20"/>
    </w:rPr>
  </w:style>
  <w:style w:type="paragraph" w:customStyle="1" w:styleId="1861">
    <w:name w:val="样式 样式 宋体 段前: 0.5 行 行距: 固定值 18 磅 + 首行缩进:  2 字符"/>
    <w:basedOn w:val="1"/>
    <w:link w:val="1862"/>
    <w:qFormat/>
    <w:uiPriority w:val="0"/>
    <w:pPr>
      <w:tabs>
        <w:tab w:val="clear" w:pos="480"/>
      </w:tabs>
      <w:ind w:firstLine="562"/>
      <w:jc w:val="left"/>
    </w:pPr>
    <w:rPr>
      <w:rFonts w:ascii="仿宋_GB2312" w:hAnsi="宋体" w:eastAsia="仿宋_GB2312"/>
      <w:b/>
      <w:bCs/>
      <w:sz w:val="28"/>
      <w:szCs w:val="28"/>
    </w:rPr>
  </w:style>
  <w:style w:type="character" w:customStyle="1" w:styleId="1862">
    <w:name w:val="样式 样式 宋体 段前: 0.5 行 行距: 固定值 18 磅 + 首行缩进:  2 字符 Char"/>
    <w:link w:val="1861"/>
    <w:qFormat/>
    <w:uiPriority w:val="0"/>
    <w:rPr>
      <w:rFonts w:ascii="仿宋_GB2312" w:hAnsi="宋体" w:eastAsia="仿宋_GB2312"/>
      <w:b/>
      <w:bCs/>
      <w:kern w:val="2"/>
      <w:sz w:val="28"/>
      <w:szCs w:val="28"/>
      <w:lang w:val="en-US" w:eastAsia="zh-CN" w:bidi="ar-SA"/>
    </w:rPr>
  </w:style>
  <w:style w:type="paragraph" w:customStyle="1" w:styleId="1863">
    <w:name w:val="样式 标题 3 + 段前: 0.5 行"/>
    <w:basedOn w:val="5"/>
    <w:qFormat/>
    <w:uiPriority w:val="0"/>
    <w:pPr>
      <w:tabs>
        <w:tab w:val="clear" w:pos="480"/>
        <w:tab w:val="clear" w:pos="840"/>
      </w:tabs>
      <w:spacing w:beforeLines="50" w:after="0" w:line="240" w:lineRule="auto"/>
      <w:jc w:val="left"/>
    </w:pPr>
    <w:rPr>
      <w:rFonts w:ascii="黑体" w:hAnsi="宋体" w:eastAsia="黑体" w:cs="宋体"/>
      <w:b w:val="0"/>
      <w:sz w:val="24"/>
      <w:szCs w:val="24"/>
    </w:rPr>
  </w:style>
  <w:style w:type="character" w:customStyle="1" w:styleId="1864">
    <w:name w:val="style23"/>
    <w:basedOn w:val="133"/>
    <w:qFormat/>
    <w:uiPriority w:val="0"/>
  </w:style>
  <w:style w:type="paragraph" w:customStyle="1" w:styleId="1865">
    <w:name w:val="样式 宋体 小四 黑色 首行缩进:  2字符 行距: 1.5 倍行距1"/>
    <w:basedOn w:val="1"/>
    <w:qFormat/>
    <w:uiPriority w:val="0"/>
    <w:pPr>
      <w:tabs>
        <w:tab w:val="clear" w:pos="480"/>
      </w:tabs>
    </w:pPr>
    <w:rPr>
      <w:rFonts w:ascii="宋体" w:hAnsi="宋体"/>
      <w:color w:val="000000"/>
      <w:szCs w:val="20"/>
    </w:rPr>
  </w:style>
  <w:style w:type="character" w:customStyle="1" w:styleId="1866">
    <w:name w:val="标题 2 字符"/>
    <w:link w:val="4"/>
    <w:qFormat/>
    <w:uiPriority w:val="9"/>
    <w:rPr>
      <w:b/>
      <w:bCs/>
      <w:kern w:val="2"/>
      <w:sz w:val="32"/>
      <w:szCs w:val="32"/>
      <w:lang w:val="zh-CN"/>
    </w:rPr>
  </w:style>
  <w:style w:type="paragraph" w:customStyle="1" w:styleId="1867">
    <w:name w:val="6级标题"/>
    <w:basedOn w:val="1"/>
    <w:link w:val="1869"/>
    <w:qFormat/>
    <w:uiPriority w:val="0"/>
    <w:pPr>
      <w:numPr>
        <w:ilvl w:val="0"/>
        <w:numId w:val="19"/>
      </w:numPr>
      <w:tabs>
        <w:tab w:val="left" w:pos="425"/>
        <w:tab w:val="clear" w:pos="480"/>
      </w:tabs>
      <w:ind w:left="0" w:firstLine="0"/>
      <w:jc w:val="left"/>
    </w:pPr>
    <w:rPr>
      <w:szCs w:val="22"/>
    </w:rPr>
  </w:style>
  <w:style w:type="paragraph" w:customStyle="1" w:styleId="1868">
    <w:name w:val="7级标题"/>
    <w:basedOn w:val="1"/>
    <w:link w:val="1871"/>
    <w:qFormat/>
    <w:uiPriority w:val="0"/>
    <w:pPr>
      <w:numPr>
        <w:ilvl w:val="0"/>
        <w:numId w:val="20"/>
      </w:numPr>
      <w:tabs>
        <w:tab w:val="clear" w:pos="480"/>
      </w:tabs>
      <w:ind w:left="0" w:firstLine="425" w:firstLineChars="177"/>
    </w:pPr>
    <w:rPr>
      <w:szCs w:val="22"/>
      <w:lang w:val="zh-CN"/>
    </w:rPr>
  </w:style>
  <w:style w:type="character" w:customStyle="1" w:styleId="1869">
    <w:name w:val="6级标题 Char"/>
    <w:basedOn w:val="133"/>
    <w:link w:val="1867"/>
    <w:qFormat/>
    <w:uiPriority w:val="0"/>
    <w:rPr>
      <w:kern w:val="2"/>
      <w:sz w:val="24"/>
      <w:szCs w:val="22"/>
    </w:rPr>
  </w:style>
  <w:style w:type="paragraph" w:customStyle="1" w:styleId="1870">
    <w:name w:val="8级标题"/>
    <w:basedOn w:val="1868"/>
    <w:link w:val="1872"/>
    <w:qFormat/>
    <w:uiPriority w:val="0"/>
    <w:pPr>
      <w:numPr>
        <w:numId w:val="21"/>
      </w:numPr>
      <w:tabs>
        <w:tab w:val="left" w:pos="360"/>
        <w:tab w:val="left" w:pos="680"/>
      </w:tabs>
      <w:ind w:left="360" w:hanging="360" w:firstLineChars="0"/>
    </w:pPr>
  </w:style>
  <w:style w:type="character" w:customStyle="1" w:styleId="1871">
    <w:name w:val="7级标题 Char"/>
    <w:link w:val="1868"/>
    <w:qFormat/>
    <w:uiPriority w:val="0"/>
    <w:rPr>
      <w:kern w:val="2"/>
      <w:sz w:val="24"/>
      <w:szCs w:val="22"/>
      <w:lang w:val="zh-CN"/>
    </w:rPr>
  </w:style>
  <w:style w:type="character" w:customStyle="1" w:styleId="1872">
    <w:name w:val="8级标题 Char"/>
    <w:basedOn w:val="1871"/>
    <w:link w:val="1870"/>
    <w:qFormat/>
    <w:uiPriority w:val="0"/>
    <w:rPr>
      <w:kern w:val="2"/>
      <w:sz w:val="24"/>
      <w:szCs w:val="22"/>
      <w:lang w:val="zh-CN"/>
    </w:rPr>
  </w:style>
  <w:style w:type="character" w:customStyle="1" w:styleId="1873">
    <w:name w:val="正文 Char"/>
    <w:qFormat/>
    <w:uiPriority w:val="0"/>
    <w:rPr>
      <w:rFonts w:eastAsia="宋体"/>
      <w:kern w:val="2"/>
      <w:sz w:val="24"/>
      <w:szCs w:val="22"/>
      <w:lang w:val="en-US" w:eastAsia="zh-CN" w:bidi="ar-SA"/>
    </w:rPr>
  </w:style>
  <w:style w:type="paragraph" w:customStyle="1" w:styleId="1874">
    <w:name w:val="【图片标题】"/>
    <w:next w:val="1"/>
    <w:qFormat/>
    <w:uiPriority w:val="0"/>
    <w:pPr>
      <w:numPr>
        <w:ilvl w:val="1"/>
        <w:numId w:val="22"/>
      </w:numPr>
      <w:tabs>
        <w:tab w:val="clear" w:pos="576"/>
      </w:tabs>
      <w:spacing w:after="100" w:afterAutospacing="1" w:line="360" w:lineRule="exact"/>
      <w:ind w:left="0" w:firstLine="0"/>
      <w:jc w:val="center"/>
    </w:pPr>
    <w:rPr>
      <w:rFonts w:ascii="Times New Roman" w:hAnsi="Times New Roman" w:eastAsia="黑体" w:cs="Times New Roman"/>
      <w:b/>
      <w:bCs/>
      <w:kern w:val="2"/>
      <w:sz w:val="24"/>
      <w:szCs w:val="24"/>
      <w:lang w:val="en-US" w:eastAsia="zh-CN" w:bidi="ar-SA"/>
    </w:rPr>
  </w:style>
  <w:style w:type="paragraph" w:customStyle="1" w:styleId="1875">
    <w:name w:val="样式 标题 1 + 仿宋_GB2312 小三 行距: 单倍行距"/>
    <w:basedOn w:val="3"/>
    <w:qFormat/>
    <w:uiPriority w:val="0"/>
    <w:pPr>
      <w:numPr>
        <w:ilvl w:val="0"/>
        <w:numId w:val="23"/>
      </w:numPr>
      <w:tabs>
        <w:tab w:val="clear" w:pos="480"/>
      </w:tabs>
      <w:adjustRightInd w:val="0"/>
      <w:spacing w:line="240" w:lineRule="auto"/>
      <w:textAlignment w:val="baseline"/>
    </w:pPr>
    <w:rPr>
      <w:rFonts w:cs="宋体"/>
      <w:szCs w:val="36"/>
    </w:rPr>
  </w:style>
  <w:style w:type="paragraph" w:customStyle="1" w:styleId="1876">
    <w:name w:val="第2级标题"/>
    <w:basedOn w:val="4"/>
    <w:next w:val="1"/>
    <w:link w:val="2270"/>
    <w:qFormat/>
    <w:uiPriority w:val="0"/>
    <w:pPr>
      <w:tabs>
        <w:tab w:val="clear" w:pos="480"/>
        <w:tab w:val="clear" w:pos="630"/>
      </w:tabs>
      <w:spacing w:before="100" w:beforeAutospacing="1" w:after="100" w:afterAutospacing="1" w:line="500" w:lineRule="exact"/>
      <w:ind w:left="864" w:hanging="864"/>
    </w:pPr>
    <w:rPr>
      <w:rFonts w:eastAsia="华文中宋"/>
      <w:smallCaps/>
      <w:lang w:val="en-US"/>
    </w:rPr>
  </w:style>
  <w:style w:type="paragraph" w:customStyle="1" w:styleId="1877">
    <w:name w:val="第3级标题"/>
    <w:basedOn w:val="5"/>
    <w:next w:val="1"/>
    <w:link w:val="2017"/>
    <w:qFormat/>
    <w:uiPriority w:val="0"/>
    <w:pPr>
      <w:tabs>
        <w:tab w:val="left" w:pos="432"/>
        <w:tab w:val="left" w:pos="720"/>
        <w:tab w:val="clear" w:pos="480"/>
        <w:tab w:val="clear" w:pos="840"/>
      </w:tabs>
      <w:spacing w:beforeLines="50" w:beforeAutospacing="1" w:after="100" w:afterAutospacing="1" w:line="440" w:lineRule="exact"/>
      <w:ind w:left="432" w:hanging="432"/>
      <w:jc w:val="left"/>
    </w:pPr>
    <w:rPr>
      <w:rFonts w:ascii="Times New Roman" w:eastAsia="华文中宋"/>
      <w:szCs w:val="30"/>
    </w:rPr>
  </w:style>
  <w:style w:type="paragraph" w:customStyle="1" w:styleId="1878">
    <w:name w:val="样式 第3级标题 + (中文) 宋体"/>
    <w:basedOn w:val="1877"/>
    <w:link w:val="1879"/>
    <w:qFormat/>
    <w:uiPriority w:val="0"/>
    <w:pPr>
      <w:spacing w:before="50" w:beforeAutospacing="0" w:afterLines="50" w:afterAutospacing="0"/>
    </w:pPr>
    <w:rPr>
      <w:rFonts w:eastAsia="宋体"/>
    </w:rPr>
  </w:style>
  <w:style w:type="character" w:customStyle="1" w:styleId="1879">
    <w:name w:val="样式 第3级标题 + (中文) 宋体 Char"/>
    <w:link w:val="1878"/>
    <w:qFormat/>
    <w:uiPriority w:val="0"/>
    <w:rPr>
      <w:b/>
      <w:bCs/>
      <w:kern w:val="2"/>
      <w:sz w:val="30"/>
      <w:szCs w:val="30"/>
      <w:lang w:val="zh-CN"/>
    </w:rPr>
  </w:style>
  <w:style w:type="paragraph" w:customStyle="1" w:styleId="1880">
    <w:name w:val="样式 第1级标题 + (中文) 宋体"/>
    <w:basedOn w:val="1"/>
    <w:qFormat/>
    <w:uiPriority w:val="0"/>
    <w:pPr>
      <w:keepNext/>
      <w:keepLines/>
      <w:numPr>
        <w:ilvl w:val="0"/>
        <w:numId w:val="22"/>
      </w:numPr>
      <w:tabs>
        <w:tab w:val="clear" w:pos="480"/>
      </w:tabs>
      <w:spacing w:before="100" w:beforeAutospacing="1" w:after="100" w:afterAutospacing="1" w:line="560" w:lineRule="exact"/>
      <w:jc w:val="center"/>
      <w:outlineLvl w:val="0"/>
    </w:pPr>
    <w:rPr>
      <w:b/>
      <w:bCs/>
      <w:kern w:val="44"/>
      <w:sz w:val="36"/>
      <w:szCs w:val="36"/>
    </w:rPr>
  </w:style>
  <w:style w:type="paragraph" w:customStyle="1" w:styleId="1881">
    <w:name w:val="三级标题"/>
    <w:basedOn w:val="5"/>
    <w:qFormat/>
    <w:uiPriority w:val="0"/>
    <w:pPr>
      <w:tabs>
        <w:tab w:val="left" w:pos="720"/>
        <w:tab w:val="clear" w:pos="480"/>
        <w:tab w:val="clear" w:pos="840"/>
      </w:tabs>
      <w:spacing w:before="0" w:after="0" w:line="720" w:lineRule="exact"/>
      <w:ind w:left="720" w:hanging="720"/>
    </w:pPr>
    <w:rPr>
      <w:rFonts w:ascii="Arial" w:hAnsi="Arial" w:eastAsia="黑体"/>
      <w:b w:val="0"/>
      <w:snapToGrid w:val="0"/>
      <w:kern w:val="0"/>
      <w:sz w:val="28"/>
      <w:szCs w:val="28"/>
    </w:rPr>
  </w:style>
  <w:style w:type="character" w:customStyle="1" w:styleId="1882">
    <w:name w:val="图片名称 Char"/>
    <w:link w:val="1725"/>
    <w:qFormat/>
    <w:uiPriority w:val="0"/>
    <w:rPr>
      <w:rFonts w:ascii="黑体" w:hAnsi="宋体" w:eastAsia="黑体"/>
      <w:bCs/>
      <w:snapToGrid w:val="0"/>
      <w:color w:val="000000"/>
      <w:spacing w:val="-4"/>
      <w:sz w:val="24"/>
      <w:szCs w:val="24"/>
      <w:lang w:val="eu-ES" w:eastAsia="zh-CN" w:bidi="ar-SA"/>
    </w:rPr>
  </w:style>
  <w:style w:type="paragraph" w:customStyle="1" w:styleId="1883">
    <w:name w:val="法规"/>
    <w:basedOn w:val="1"/>
    <w:qFormat/>
    <w:uiPriority w:val="0"/>
    <w:pPr>
      <w:tabs>
        <w:tab w:val="left" w:pos="360"/>
        <w:tab w:val="clear" w:pos="480"/>
      </w:tabs>
      <w:spacing w:line="440" w:lineRule="exact"/>
      <w:ind w:left="-40" w:firstLine="400"/>
    </w:pPr>
    <w:rPr>
      <w:sz w:val="25"/>
      <w:szCs w:val="20"/>
    </w:rPr>
  </w:style>
  <w:style w:type="paragraph" w:customStyle="1" w:styleId="1884">
    <w:name w:val="表格小字"/>
    <w:basedOn w:val="222"/>
    <w:qFormat/>
    <w:uiPriority w:val="0"/>
    <w:pPr>
      <w:wordWrap w:val="0"/>
      <w:topLinePunct/>
    </w:pPr>
    <w:rPr>
      <w:rFonts w:ascii="Arial" w:hAnsi="Arial" w:cs="Arial Unicode MS"/>
      <w:kern w:val="0"/>
      <w:sz w:val="18"/>
      <w:szCs w:val="21"/>
      <w:lang w:val="zh-CN"/>
    </w:rPr>
  </w:style>
  <w:style w:type="paragraph" w:customStyle="1" w:styleId="1885">
    <w:name w:val="样式 1表格头 + 段前: 0.5 行 段后: 0.5 行"/>
    <w:basedOn w:val="1"/>
    <w:qFormat/>
    <w:uiPriority w:val="0"/>
    <w:pPr>
      <w:tabs>
        <w:tab w:val="clear" w:pos="480"/>
      </w:tabs>
      <w:ind w:firstLine="471"/>
    </w:pPr>
    <w:rPr>
      <w:rFonts w:ascii="Arial" w:hAnsi="Arial" w:eastAsia="黑体" w:cs="宋体"/>
      <w:b/>
      <w:szCs w:val="20"/>
    </w:rPr>
  </w:style>
  <w:style w:type="paragraph" w:customStyle="1" w:styleId="1886">
    <w:name w:val="样式 标题 1文章标题一、章节H1Otsikko 1Eia标题1－1Head 1wsah1Part'Docu...1"/>
    <w:basedOn w:val="3"/>
    <w:qFormat/>
    <w:uiPriority w:val="0"/>
    <w:pPr>
      <w:keepLines w:val="0"/>
      <w:pageBreakBefore/>
      <w:tabs>
        <w:tab w:val="clear" w:pos="480"/>
      </w:tabs>
      <w:autoSpaceDN w:val="0"/>
      <w:adjustRightInd w:val="0"/>
      <w:spacing w:beforeLines="50" w:afterLines="50" w:line="520" w:lineRule="exact"/>
      <w:jc w:val="center"/>
      <w:textAlignment w:val="baseline"/>
    </w:pPr>
    <w:rPr>
      <w:rFonts w:ascii="Times New Roman" w:hAnsi="Arial" w:eastAsia="黑体"/>
      <w:b w:val="0"/>
      <w:snapToGrid w:val="0"/>
      <w:color w:val="FF0000"/>
      <w:kern w:val="2"/>
      <w:szCs w:val="36"/>
      <w:lang w:val="en-GB"/>
    </w:rPr>
  </w:style>
  <w:style w:type="paragraph" w:customStyle="1" w:styleId="1887">
    <w:name w:val="样式 小四 行距: 1.5 倍行距"/>
    <w:basedOn w:val="1"/>
    <w:qFormat/>
    <w:uiPriority w:val="0"/>
    <w:pPr>
      <w:tabs>
        <w:tab w:val="clear" w:pos="480"/>
      </w:tabs>
      <w:spacing w:line="480" w:lineRule="exact"/>
      <w:ind w:firstLine="471"/>
    </w:pPr>
    <w:rPr>
      <w:rFonts w:cs="宋体"/>
      <w:bCs/>
      <w:szCs w:val="20"/>
    </w:rPr>
  </w:style>
  <w:style w:type="paragraph" w:customStyle="1" w:styleId="1888">
    <w:name w:val="样式 标题 1文章标题一、章节H1Otsikko 1Eia标题1－1Head 1wsah1Part'Docu...2"/>
    <w:basedOn w:val="3"/>
    <w:qFormat/>
    <w:uiPriority w:val="0"/>
    <w:pPr>
      <w:pageBreakBefore/>
      <w:tabs>
        <w:tab w:val="clear" w:pos="480"/>
      </w:tabs>
      <w:spacing w:beforeLines="150" w:after="156" w:line="480" w:lineRule="exact"/>
      <w:jc w:val="center"/>
    </w:pPr>
    <w:rPr>
      <w:rFonts w:ascii="Times New Roman" w:hAnsi="Arial" w:eastAsia="黑体"/>
      <w:b w:val="0"/>
      <w:bCs w:val="0"/>
      <w:color w:val="FF0000"/>
      <w:kern w:val="2"/>
      <w:sz w:val="44"/>
      <w:szCs w:val="20"/>
      <w:lang w:val="en-GB"/>
    </w:rPr>
  </w:style>
  <w:style w:type="paragraph" w:customStyle="1" w:styleId="1889">
    <w:name w:val="样式 纯文本纯文本 Char普通文字 Char普通文字 Char Char Char普通文字 Char Char Cha..."/>
    <w:basedOn w:val="45"/>
    <w:qFormat/>
    <w:uiPriority w:val="0"/>
    <w:pPr>
      <w:jc w:val="center"/>
    </w:pPr>
    <w:rPr>
      <w:rFonts w:ascii="Arial" w:hAnsi="Arial" w:cs="宋体"/>
      <w:kern w:val="0"/>
      <w:szCs w:val="21"/>
    </w:rPr>
  </w:style>
  <w:style w:type="paragraph" w:customStyle="1" w:styleId="1890">
    <w:name w:val="样式 标题 2标题 2 Char Char Char Char Char Char Char Char Char Char C..."/>
    <w:basedOn w:val="84"/>
    <w:next w:val="84"/>
    <w:qFormat/>
    <w:uiPriority w:val="0"/>
    <w:pPr>
      <w:widowControl w:val="0"/>
      <w:adjustRightInd/>
      <w:snapToGrid/>
      <w:spacing w:beforeLines="50" w:afterLines="50" w:line="480" w:lineRule="exact"/>
      <w:ind w:firstLine="471" w:firstLineChars="0"/>
      <w:jc w:val="both"/>
      <w:outlineLvl w:val="1"/>
    </w:pPr>
    <w:rPr>
      <w:rFonts w:ascii="黑体" w:hAnsi="宋体" w:eastAsia="黑体"/>
      <w:color w:val="auto"/>
      <w:kern w:val="0"/>
      <w:szCs w:val="20"/>
    </w:rPr>
  </w:style>
  <w:style w:type="paragraph" w:customStyle="1" w:styleId="1891">
    <w:name w:val="样式 标题 1文章标题一、章节H1Otsikko 1Eia标题1－1Head 1wsah1Part'Docu..."/>
    <w:basedOn w:val="84"/>
    <w:next w:val="1"/>
    <w:qFormat/>
    <w:uiPriority w:val="0"/>
    <w:pPr>
      <w:widowControl w:val="0"/>
      <w:adjustRightInd/>
      <w:snapToGrid/>
      <w:spacing w:beforeLines="50" w:afterLines="50" w:line="480" w:lineRule="exact"/>
      <w:ind w:firstLine="0" w:firstLineChars="0"/>
    </w:pPr>
    <w:rPr>
      <w:rFonts w:ascii="黑体" w:hAnsi="ˎ̥" w:eastAsia="黑体"/>
      <w:bCs w:val="0"/>
      <w:color w:val="auto"/>
      <w:kern w:val="0"/>
      <w:szCs w:val="20"/>
    </w:rPr>
  </w:style>
  <w:style w:type="paragraph" w:customStyle="1" w:styleId="1892">
    <w:name w:val="样式 标题 2SeHead wsa2ChapterChapter TitleH21标题 1.1节标题 1.1标..."/>
    <w:basedOn w:val="4"/>
    <w:qFormat/>
    <w:uiPriority w:val="0"/>
    <w:pPr>
      <w:tabs>
        <w:tab w:val="left" w:pos="420"/>
        <w:tab w:val="clear" w:pos="480"/>
        <w:tab w:val="clear" w:pos="630"/>
      </w:tabs>
      <w:spacing w:beforeLines="50" w:afterLines="50" w:line="480" w:lineRule="exact"/>
      <w:ind w:firstLine="471"/>
      <w:jc w:val="left"/>
    </w:pPr>
    <w:rPr>
      <w:rFonts w:eastAsia="黑体"/>
      <w:szCs w:val="20"/>
    </w:rPr>
  </w:style>
  <w:style w:type="paragraph" w:customStyle="1" w:styleId="1893">
    <w:name w:val="样式 标题 3ReHead 3 WSAh3h3 Charh3 Char Char条标题1.1.1标题3H33r..."/>
    <w:basedOn w:val="5"/>
    <w:qFormat/>
    <w:uiPriority w:val="0"/>
    <w:pPr>
      <w:keepLines w:val="0"/>
      <w:tabs>
        <w:tab w:val="clear" w:pos="480"/>
        <w:tab w:val="clear" w:pos="840"/>
      </w:tabs>
      <w:spacing w:after="50" w:line="480" w:lineRule="exact"/>
      <w:ind w:firstLine="471"/>
    </w:pPr>
    <w:rPr>
      <w:rFonts w:ascii="黑体" w:eastAsia="黑体" w:cs="宋体"/>
      <w:b w:val="0"/>
      <w:sz w:val="24"/>
      <w:szCs w:val="20"/>
    </w:rPr>
  </w:style>
  <w:style w:type="paragraph" w:customStyle="1" w:styleId="1894">
    <w:name w:val="样式 表格文字 + (中文) 黑体 小四 加粗 左侧:  0.83 厘米 段前: 7.8 磅 行距: 固定值 24 磅"/>
    <w:basedOn w:val="222"/>
    <w:qFormat/>
    <w:uiPriority w:val="0"/>
    <w:pPr>
      <w:wordWrap w:val="0"/>
      <w:topLinePunct/>
    </w:pPr>
    <w:rPr>
      <w:rFonts w:ascii="Arial" w:hAnsi="Arial" w:cs="宋体"/>
      <w:bCs/>
      <w:color w:val="000000"/>
      <w:kern w:val="0"/>
      <w:szCs w:val="21"/>
      <w:lang w:val="eu-ES"/>
    </w:rPr>
  </w:style>
  <w:style w:type="paragraph" w:customStyle="1" w:styleId="1895">
    <w:name w:val="样式 楷体_GB2312 三号 行距: 固定值 24 磅"/>
    <w:basedOn w:val="1"/>
    <w:qFormat/>
    <w:uiPriority w:val="0"/>
    <w:pPr>
      <w:tabs>
        <w:tab w:val="clear" w:pos="480"/>
      </w:tabs>
      <w:spacing w:line="480" w:lineRule="exact"/>
      <w:ind w:firstLine="358" w:firstLineChars="112"/>
    </w:pPr>
    <w:rPr>
      <w:rFonts w:ascii="楷体_GB2312" w:hAnsi="Calibri" w:eastAsia="楷体_GB2312" w:cs="宋体"/>
      <w:bCs/>
      <w:sz w:val="28"/>
      <w:szCs w:val="20"/>
    </w:rPr>
  </w:style>
  <w:style w:type="paragraph" w:customStyle="1" w:styleId="1896">
    <w:name w:val="样式 标题 2 + 首行缩进:  2 字符2"/>
    <w:basedOn w:val="4"/>
    <w:qFormat/>
    <w:uiPriority w:val="0"/>
    <w:pPr>
      <w:tabs>
        <w:tab w:val="left" w:pos="420"/>
        <w:tab w:val="clear" w:pos="480"/>
        <w:tab w:val="clear" w:pos="630"/>
      </w:tabs>
      <w:spacing w:beforeLines="50" w:afterLines="50" w:line="480" w:lineRule="exact"/>
      <w:ind w:firstLine="200"/>
    </w:pPr>
    <w:rPr>
      <w:rFonts w:ascii="黑体" w:hAnsi="Arial" w:eastAsia="黑体" w:cs="宋体"/>
      <w:b w:val="0"/>
      <w:sz w:val="28"/>
      <w:szCs w:val="20"/>
    </w:rPr>
  </w:style>
  <w:style w:type="paragraph" w:customStyle="1" w:styleId="1897">
    <w:name w:val="样式 标题 2 + 首行缩进:  2 字符3"/>
    <w:basedOn w:val="4"/>
    <w:qFormat/>
    <w:uiPriority w:val="0"/>
    <w:pPr>
      <w:tabs>
        <w:tab w:val="left" w:pos="420"/>
        <w:tab w:val="clear" w:pos="480"/>
        <w:tab w:val="clear" w:pos="630"/>
      </w:tabs>
      <w:spacing w:beforeLines="50" w:afterLines="50" w:line="480" w:lineRule="exact"/>
      <w:ind w:firstLine="200"/>
      <w:jc w:val="left"/>
    </w:pPr>
    <w:rPr>
      <w:rFonts w:ascii="黑体" w:hAnsi="Arial" w:eastAsia="黑体" w:cs="宋体"/>
      <w:b w:val="0"/>
      <w:sz w:val="28"/>
      <w:szCs w:val="20"/>
    </w:rPr>
  </w:style>
  <w:style w:type="paragraph" w:customStyle="1" w:styleId="1898">
    <w:name w:val="样式 样式 标题 2 + 首行缩进:  2 字符3 + 首行缩进:  2 字符"/>
    <w:basedOn w:val="1897"/>
    <w:qFormat/>
    <w:uiPriority w:val="0"/>
    <w:pPr>
      <w:jc w:val="both"/>
    </w:pPr>
  </w:style>
  <w:style w:type="paragraph" w:customStyle="1" w:styleId="1899">
    <w:name w:val="样式 要点 + 黑体 非加粗"/>
    <w:basedOn w:val="1"/>
    <w:qFormat/>
    <w:uiPriority w:val="0"/>
    <w:pPr>
      <w:keepNext/>
      <w:keepLines/>
      <w:tabs>
        <w:tab w:val="clear" w:pos="480"/>
      </w:tabs>
      <w:wordWrap w:val="0"/>
      <w:topLinePunct/>
      <w:autoSpaceDE w:val="0"/>
      <w:autoSpaceDN w:val="0"/>
      <w:snapToGrid w:val="0"/>
      <w:spacing w:line="440" w:lineRule="exact"/>
      <w:ind w:firstLine="454"/>
    </w:pPr>
    <w:rPr>
      <w:rFonts w:ascii="黑体" w:hAnsi="Arial" w:eastAsia="黑体"/>
    </w:rPr>
  </w:style>
  <w:style w:type="paragraph" w:customStyle="1" w:styleId="1900">
    <w:name w:val="样式 报告表文字01 + Arial 小四 首行缩进:  2 字符"/>
    <w:basedOn w:val="1"/>
    <w:qFormat/>
    <w:uiPriority w:val="0"/>
    <w:pPr>
      <w:tabs>
        <w:tab w:val="clear" w:pos="480"/>
      </w:tabs>
      <w:spacing w:line="480" w:lineRule="exact"/>
      <w:ind w:firstLine="471"/>
    </w:pPr>
    <w:rPr>
      <w:rFonts w:ascii="Arial" w:hAnsi="宋体" w:cs="宋体"/>
      <w:bCs/>
      <w:szCs w:val="20"/>
    </w:rPr>
  </w:style>
  <w:style w:type="paragraph" w:customStyle="1" w:styleId="1901">
    <w:name w:val="样式 报告表文字01 + Arial 小四 首行缩进:  2 字符1"/>
    <w:basedOn w:val="1"/>
    <w:qFormat/>
    <w:uiPriority w:val="0"/>
    <w:pPr>
      <w:tabs>
        <w:tab w:val="clear" w:pos="480"/>
      </w:tabs>
      <w:spacing w:line="480" w:lineRule="exact"/>
      <w:ind w:firstLine="471"/>
    </w:pPr>
    <w:rPr>
      <w:rFonts w:ascii="Arial" w:hAnsi="宋体" w:cs="宋体"/>
      <w:bCs/>
      <w:szCs w:val="20"/>
    </w:rPr>
  </w:style>
  <w:style w:type="paragraph" w:customStyle="1" w:styleId="1902">
    <w:name w:val="表头名称"/>
    <w:basedOn w:val="1"/>
    <w:qFormat/>
    <w:uiPriority w:val="0"/>
    <w:pPr>
      <w:tabs>
        <w:tab w:val="clear" w:pos="480"/>
      </w:tabs>
      <w:spacing w:line="480" w:lineRule="exact"/>
    </w:pPr>
    <w:rPr>
      <w:rFonts w:eastAsia="黑体"/>
      <w:sz w:val="28"/>
    </w:rPr>
  </w:style>
  <w:style w:type="paragraph" w:customStyle="1" w:styleId="1903">
    <w:name w:val="样式 加粗 黑色 首行缩进:  0.83 厘米 行距: 固定值 24 磅"/>
    <w:basedOn w:val="1"/>
    <w:qFormat/>
    <w:uiPriority w:val="0"/>
    <w:pPr>
      <w:tabs>
        <w:tab w:val="clear" w:pos="480"/>
      </w:tabs>
      <w:spacing w:line="480" w:lineRule="exact"/>
      <w:ind w:firstLine="471"/>
    </w:pPr>
    <w:rPr>
      <w:rFonts w:ascii="Arial" w:hAnsi="Arial" w:cs="宋体"/>
      <w:b/>
      <w:color w:val="000000"/>
      <w:kern w:val="0"/>
    </w:rPr>
  </w:style>
  <w:style w:type="paragraph" w:customStyle="1" w:styleId="1904">
    <w:name w:val="样式 表格文字 + 字符缩放: 90%"/>
    <w:basedOn w:val="222"/>
    <w:qFormat/>
    <w:uiPriority w:val="0"/>
    <w:pPr>
      <w:wordWrap w:val="0"/>
      <w:topLinePunct/>
    </w:pPr>
    <w:rPr>
      <w:rFonts w:hAnsi="Arial" w:cs="Arial Unicode MS"/>
      <w:color w:val="000000"/>
      <w:kern w:val="0"/>
      <w:szCs w:val="20"/>
      <w:lang w:val="eu-ES"/>
    </w:rPr>
  </w:style>
  <w:style w:type="paragraph" w:customStyle="1" w:styleId="1905">
    <w:name w:val="样式 标题 2 + 段后: 12 磅"/>
    <w:basedOn w:val="4"/>
    <w:qFormat/>
    <w:uiPriority w:val="0"/>
    <w:pPr>
      <w:tabs>
        <w:tab w:val="left" w:pos="420"/>
        <w:tab w:val="clear" w:pos="480"/>
        <w:tab w:val="clear" w:pos="630"/>
      </w:tabs>
      <w:spacing w:beforeLines="50" w:afterLines="50" w:line="480" w:lineRule="exact"/>
      <w:jc w:val="center"/>
    </w:pPr>
    <w:rPr>
      <w:rFonts w:ascii="黑体" w:hAnsi="Arial" w:eastAsia="黑体" w:cs="宋体"/>
      <w:b w:val="0"/>
      <w:bCs w:val="0"/>
      <w:sz w:val="30"/>
      <w:szCs w:val="30"/>
    </w:rPr>
  </w:style>
  <w:style w:type="paragraph" w:customStyle="1" w:styleId="1906">
    <w:name w:val="样式 标题 3 + 段后: 12 磅"/>
    <w:basedOn w:val="5"/>
    <w:qFormat/>
    <w:uiPriority w:val="0"/>
    <w:pPr>
      <w:keepLines w:val="0"/>
      <w:tabs>
        <w:tab w:val="clear" w:pos="480"/>
        <w:tab w:val="clear" w:pos="840"/>
      </w:tabs>
      <w:spacing w:beforeLines="50" w:after="240" w:line="480" w:lineRule="exact"/>
      <w:jc w:val="center"/>
    </w:pPr>
    <w:rPr>
      <w:rFonts w:ascii="黑体" w:hAnsi="黑体" w:eastAsia="黑体" w:cs="宋体"/>
      <w:sz w:val="24"/>
      <w:szCs w:val="24"/>
    </w:rPr>
  </w:style>
  <w:style w:type="paragraph" w:customStyle="1" w:styleId="1907">
    <w:name w:val="样式 宋体 行距: 固定值 21 磅"/>
    <w:basedOn w:val="1"/>
    <w:qFormat/>
    <w:uiPriority w:val="0"/>
    <w:pPr>
      <w:tabs>
        <w:tab w:val="clear" w:pos="480"/>
      </w:tabs>
      <w:spacing w:line="480" w:lineRule="exact"/>
      <w:ind w:firstLine="471"/>
    </w:pPr>
    <w:rPr>
      <w:rFonts w:ascii="Arial" w:hAnsi="Arial" w:cs="宋体"/>
      <w:bCs/>
    </w:rPr>
  </w:style>
  <w:style w:type="paragraph" w:customStyle="1" w:styleId="1908">
    <w:name w:val="样式 样式 表格文字 + (中文) 黑体 小四 加粗 左侧:  0.83 厘米 段前: 7.8 磅 行距: 固定值 24 磅 +..."/>
    <w:basedOn w:val="222"/>
    <w:qFormat/>
    <w:uiPriority w:val="0"/>
    <w:pPr>
      <w:wordWrap w:val="0"/>
      <w:topLinePunct/>
    </w:pPr>
    <w:rPr>
      <w:rFonts w:ascii="Arial" w:hAnsi="Arial" w:eastAsia="黑体" w:cs="Arial Unicode MS"/>
      <w:b/>
      <w:color w:val="000000"/>
      <w:kern w:val="0"/>
      <w:sz w:val="24"/>
      <w:szCs w:val="20"/>
      <w:lang w:val="eu-ES"/>
    </w:rPr>
  </w:style>
  <w:style w:type="paragraph" w:customStyle="1" w:styleId="1909">
    <w:name w:val="样式 表格文字 + (中文) 黑体 加粗 左侧:  0.83 厘米 段前: 7.8 磅 行距: 固定值 24 磅"/>
    <w:basedOn w:val="222"/>
    <w:qFormat/>
    <w:uiPriority w:val="0"/>
    <w:pPr>
      <w:wordWrap w:val="0"/>
      <w:topLinePunct/>
    </w:pPr>
    <w:rPr>
      <w:rFonts w:ascii="Arial" w:hAnsi="Arial" w:eastAsia="黑体" w:cs="宋体"/>
      <w:b/>
      <w:bCs/>
      <w:snapToGrid w:val="0"/>
      <w:color w:val="000000"/>
      <w:kern w:val="0"/>
      <w:szCs w:val="21"/>
      <w:lang w:val="eu-ES"/>
    </w:rPr>
  </w:style>
  <w:style w:type="paragraph" w:customStyle="1" w:styleId="1910">
    <w:name w:val="样式 报告表文字01 + 首行缩进:  2 字符"/>
    <w:basedOn w:val="1"/>
    <w:qFormat/>
    <w:uiPriority w:val="0"/>
    <w:pPr>
      <w:tabs>
        <w:tab w:val="clear" w:pos="480"/>
      </w:tabs>
      <w:spacing w:line="240" w:lineRule="auto"/>
      <w:jc w:val="center"/>
    </w:pPr>
    <w:rPr>
      <w:rFonts w:ascii="Arial" w:hAnsi="Arial" w:cs="宋体"/>
      <w:bCs/>
    </w:rPr>
  </w:style>
  <w:style w:type="paragraph" w:customStyle="1" w:styleId="1911">
    <w:name w:val="样式 标题 11"/>
    <w:basedOn w:val="84"/>
    <w:next w:val="1"/>
    <w:qFormat/>
    <w:uiPriority w:val="0"/>
    <w:pPr>
      <w:keepNext/>
      <w:pageBreakBefore/>
      <w:widowControl w:val="0"/>
      <w:adjustRightInd/>
      <w:snapToGrid/>
      <w:spacing w:before="120" w:after="120"/>
      <w:ind w:firstLine="0" w:firstLineChars="0"/>
    </w:pPr>
    <w:rPr>
      <w:rFonts w:ascii="黑体" w:eastAsia="黑体" w:cs="宋体"/>
      <w:color w:val="auto"/>
      <w:sz w:val="36"/>
      <w:szCs w:val="36"/>
    </w:rPr>
  </w:style>
  <w:style w:type="paragraph" w:customStyle="1" w:styleId="1912">
    <w:name w:val="样式 标题 1 + 段前: 0.5 行 段后: 0.5 行1"/>
    <w:basedOn w:val="3"/>
    <w:next w:val="1"/>
    <w:qFormat/>
    <w:uiPriority w:val="0"/>
    <w:pPr>
      <w:pageBreakBefore/>
      <w:tabs>
        <w:tab w:val="clear" w:pos="480"/>
      </w:tabs>
      <w:spacing w:beforeLines="150" w:after="163" w:line="480" w:lineRule="exact"/>
      <w:jc w:val="center"/>
    </w:pPr>
    <w:rPr>
      <w:rFonts w:ascii="Times New Roman" w:hAnsi="Arial" w:eastAsia="黑体" w:cs="宋体"/>
      <w:b w:val="0"/>
      <w:color w:val="FF0000"/>
      <w:kern w:val="2"/>
      <w:szCs w:val="20"/>
      <w:lang w:val="en-GB"/>
    </w:rPr>
  </w:style>
  <w:style w:type="paragraph" w:customStyle="1" w:styleId="1913">
    <w:name w:val="样式 标题 1 + 段前: 0.5 行 段后: 0.5 行2"/>
    <w:basedOn w:val="3"/>
    <w:qFormat/>
    <w:uiPriority w:val="0"/>
    <w:pPr>
      <w:pageBreakBefore/>
      <w:tabs>
        <w:tab w:val="clear" w:pos="480"/>
      </w:tabs>
      <w:spacing w:beforeLines="150" w:after="50" w:line="480" w:lineRule="exact"/>
      <w:jc w:val="center"/>
    </w:pPr>
    <w:rPr>
      <w:rFonts w:ascii="Times New Roman" w:hAnsi="Arial" w:eastAsia="黑体" w:cs="宋体"/>
      <w:b w:val="0"/>
      <w:color w:val="FF0000"/>
      <w:kern w:val="2"/>
      <w:szCs w:val="20"/>
      <w:lang w:val="en-GB"/>
    </w:rPr>
  </w:style>
  <w:style w:type="paragraph" w:customStyle="1" w:styleId="1914">
    <w:name w:val="样式 样式 纯文本 + + Arial 五号"/>
    <w:basedOn w:val="1"/>
    <w:qFormat/>
    <w:uiPriority w:val="0"/>
    <w:pPr>
      <w:tabs>
        <w:tab w:val="clear" w:pos="480"/>
      </w:tabs>
      <w:spacing w:line="240" w:lineRule="auto"/>
      <w:jc w:val="center"/>
    </w:pPr>
    <w:rPr>
      <w:rFonts w:ascii="Arial" w:hAnsi="Arial"/>
      <w:bCs/>
      <w:kern w:val="0"/>
      <w:sz w:val="21"/>
      <w:szCs w:val="21"/>
    </w:rPr>
  </w:style>
  <w:style w:type="paragraph" w:customStyle="1" w:styleId="1915">
    <w:name w:val="样式 首行缩进:  0 字符"/>
    <w:basedOn w:val="1"/>
    <w:qFormat/>
    <w:uiPriority w:val="0"/>
    <w:pPr>
      <w:tabs>
        <w:tab w:val="clear" w:pos="480"/>
      </w:tabs>
      <w:spacing w:line="480" w:lineRule="exact"/>
      <w:ind w:firstLine="471"/>
    </w:pPr>
    <w:rPr>
      <w:rFonts w:ascii="Arial" w:hAnsi="Arial" w:cs="宋体"/>
      <w:bCs/>
      <w:szCs w:val="20"/>
    </w:rPr>
  </w:style>
  <w:style w:type="paragraph" w:customStyle="1" w:styleId="1916">
    <w:name w:val="报告表名字"/>
    <w:basedOn w:val="1"/>
    <w:next w:val="1"/>
    <w:qFormat/>
    <w:uiPriority w:val="0"/>
    <w:pPr>
      <w:tabs>
        <w:tab w:val="clear" w:pos="480"/>
      </w:tabs>
      <w:spacing w:line="480" w:lineRule="exact"/>
      <w:ind w:firstLine="480"/>
    </w:pPr>
    <w:rPr>
      <w:rFonts w:ascii="Arial" w:hAnsi="Arial"/>
      <w:bCs/>
    </w:rPr>
  </w:style>
  <w:style w:type="paragraph" w:customStyle="1" w:styleId="1917">
    <w:name w:val="样式 标题 1 + 首行缩进:  0.5 字符"/>
    <w:basedOn w:val="3"/>
    <w:qFormat/>
    <w:uiPriority w:val="0"/>
    <w:pPr>
      <w:keepNext w:val="0"/>
      <w:tabs>
        <w:tab w:val="clear" w:pos="480"/>
      </w:tabs>
      <w:spacing w:beforeLines="150" w:after="120" w:line="480" w:lineRule="exact"/>
      <w:jc w:val="center"/>
    </w:pPr>
    <w:rPr>
      <w:rFonts w:ascii="Times New Roman" w:hAnsi="Arial" w:eastAsia="黑体" w:cs="宋体"/>
      <w:b w:val="0"/>
      <w:color w:val="FF0000"/>
      <w:kern w:val="0"/>
      <w:szCs w:val="20"/>
      <w:lang w:val="en-GB"/>
    </w:rPr>
  </w:style>
  <w:style w:type="paragraph" w:customStyle="1" w:styleId="1918">
    <w:name w:val="编号文字"/>
    <w:basedOn w:val="1"/>
    <w:qFormat/>
    <w:uiPriority w:val="0"/>
    <w:pPr>
      <w:tabs>
        <w:tab w:val="clear" w:pos="480"/>
      </w:tabs>
      <w:spacing w:line="480" w:lineRule="exact"/>
      <w:ind w:firstLine="471"/>
    </w:pPr>
    <w:rPr>
      <w:rFonts w:ascii="Arial" w:hAnsi="Arial"/>
      <w:bCs/>
    </w:rPr>
  </w:style>
  <w:style w:type="paragraph" w:customStyle="1" w:styleId="1919">
    <w:name w:val="样式 题注 + 黑色 居中"/>
    <w:basedOn w:val="23"/>
    <w:qFormat/>
    <w:uiPriority w:val="0"/>
    <w:pPr>
      <w:widowControl w:val="0"/>
      <w:adjustRightInd/>
      <w:snapToGrid/>
      <w:spacing w:before="0" w:after="0" w:line="240" w:lineRule="auto"/>
      <w:ind w:firstLine="0" w:firstLineChars="0"/>
    </w:pPr>
    <w:rPr>
      <w:rFonts w:ascii="黑体" w:eastAsia="黑体" w:cs="宋体"/>
      <w:bCs/>
      <w:szCs w:val="24"/>
    </w:rPr>
  </w:style>
  <w:style w:type="paragraph" w:customStyle="1" w:styleId="1920">
    <w:name w:val="样式 标题 3 + 黑体 小四"/>
    <w:basedOn w:val="5"/>
    <w:qFormat/>
    <w:uiPriority w:val="0"/>
    <w:pPr>
      <w:keepLines w:val="0"/>
      <w:tabs>
        <w:tab w:val="clear" w:pos="480"/>
        <w:tab w:val="clear" w:pos="840"/>
      </w:tabs>
      <w:spacing w:before="260" w:line="413" w:lineRule="auto"/>
    </w:pPr>
    <w:rPr>
      <w:rFonts w:ascii="黑体" w:hAnsi="黑体" w:eastAsia="黑体"/>
      <w:sz w:val="24"/>
      <w:szCs w:val="24"/>
    </w:rPr>
  </w:style>
  <w:style w:type="paragraph" w:customStyle="1" w:styleId="1921">
    <w:name w:val="样式 标题 1 + (中文) 黑体"/>
    <w:basedOn w:val="3"/>
    <w:qFormat/>
    <w:uiPriority w:val="0"/>
    <w:pPr>
      <w:pageBreakBefore/>
      <w:tabs>
        <w:tab w:val="clear" w:pos="480"/>
      </w:tabs>
      <w:spacing w:beforeLines="150" w:after="120" w:line="576" w:lineRule="auto"/>
      <w:jc w:val="center"/>
    </w:pPr>
    <w:rPr>
      <w:rFonts w:ascii="Times New Roman" w:eastAsia="黑体"/>
      <w:b w:val="0"/>
      <w:bCs w:val="0"/>
      <w:color w:val="FF0000"/>
      <w:kern w:val="2"/>
      <w:szCs w:val="36"/>
      <w:lang w:val="en-GB"/>
    </w:rPr>
  </w:style>
  <w:style w:type="paragraph" w:customStyle="1" w:styleId="1922">
    <w:name w:val="样式 普通(网站) + ˎ̥ 11.5 磅 黑色 首行缩进:  0.81 厘米 段前: 自动 段后: 自动 行距: ..."/>
    <w:basedOn w:val="81"/>
    <w:qFormat/>
    <w:uiPriority w:val="0"/>
    <w:pPr>
      <w:spacing w:before="190" w:after="190" w:line="375" w:lineRule="atLeast"/>
      <w:ind w:firstLine="460"/>
    </w:pPr>
    <w:rPr>
      <w:rFonts w:ascii="ˎ̥" w:hAnsi="ˎ̥" w:eastAsia="宋体" w:cs="宋体"/>
      <w:bCs/>
      <w:color w:val="000000"/>
      <w:sz w:val="23"/>
      <w:szCs w:val="20"/>
    </w:rPr>
  </w:style>
  <w:style w:type="paragraph" w:customStyle="1" w:styleId="1923">
    <w:name w:val="样式 标题 2 + 首行缩进:  2 字符4"/>
    <w:basedOn w:val="4"/>
    <w:qFormat/>
    <w:uiPriority w:val="0"/>
    <w:pPr>
      <w:tabs>
        <w:tab w:val="left" w:pos="420"/>
        <w:tab w:val="clear" w:pos="480"/>
        <w:tab w:val="clear" w:pos="630"/>
      </w:tabs>
      <w:spacing w:beforeLines="50" w:afterLines="50" w:line="480" w:lineRule="exact"/>
      <w:ind w:firstLine="471"/>
      <w:jc w:val="left"/>
    </w:pPr>
    <w:rPr>
      <w:rFonts w:ascii="黑体" w:hAnsi="Arial" w:eastAsia="黑体" w:cs="宋体"/>
      <w:b w:val="0"/>
      <w:kern w:val="0"/>
      <w:sz w:val="24"/>
      <w:szCs w:val="24"/>
    </w:rPr>
  </w:style>
  <w:style w:type="paragraph" w:customStyle="1" w:styleId="1924">
    <w:name w:val="样式 表格名称 +"/>
    <w:basedOn w:val="1543"/>
    <w:qFormat/>
    <w:uiPriority w:val="0"/>
    <w:pPr>
      <w:keepNext/>
      <w:keepLines/>
      <w:wordWrap w:val="0"/>
      <w:topLinePunct/>
      <w:spacing w:line="240" w:lineRule="auto"/>
      <w:ind w:firstLine="471" w:firstLineChars="0"/>
    </w:pPr>
    <w:rPr>
      <w:rFonts w:ascii="黑体" w:hAnsi="宋体" w:eastAsia="黑体"/>
      <w:b w:val="0"/>
      <w:szCs w:val="24"/>
    </w:rPr>
  </w:style>
  <w:style w:type="paragraph" w:customStyle="1" w:styleId="1925">
    <w:name w:val="样式 报告表标题02 + 首行缩进:  2 字符"/>
    <w:basedOn w:val="1"/>
    <w:qFormat/>
    <w:uiPriority w:val="0"/>
    <w:pPr>
      <w:tabs>
        <w:tab w:val="clear" w:pos="480"/>
      </w:tabs>
      <w:spacing w:afterLines="50" w:line="480" w:lineRule="exact"/>
    </w:pPr>
    <w:rPr>
      <w:rFonts w:ascii="Arial" w:hAnsi="Arial" w:cs="宋体"/>
      <w:b/>
    </w:rPr>
  </w:style>
  <w:style w:type="paragraph" w:customStyle="1" w:styleId="1926">
    <w:name w:val="样式 标题 1"/>
    <w:basedOn w:val="84"/>
    <w:next w:val="1"/>
    <w:qFormat/>
    <w:uiPriority w:val="0"/>
    <w:pPr>
      <w:keepNext/>
      <w:pageBreakBefore/>
      <w:widowControl w:val="0"/>
      <w:adjustRightInd/>
      <w:snapToGrid/>
      <w:spacing w:before="120" w:after="120" w:line="520" w:lineRule="exact"/>
      <w:ind w:firstLine="471" w:firstLineChars="0"/>
    </w:pPr>
    <w:rPr>
      <w:rFonts w:ascii="黑体" w:eastAsia="黑体" w:cs="宋体"/>
      <w:color w:val="auto"/>
      <w:sz w:val="36"/>
      <w:szCs w:val="36"/>
    </w:rPr>
  </w:style>
  <w:style w:type="paragraph" w:customStyle="1" w:styleId="1927">
    <w:name w:val="样式 环评1 + 段前: 6 磅 段后: 6 磅 行距: 单倍行距"/>
    <w:basedOn w:val="1"/>
    <w:qFormat/>
    <w:uiPriority w:val="0"/>
    <w:pPr>
      <w:keepNext/>
      <w:keepLines/>
      <w:widowControl/>
      <w:tabs>
        <w:tab w:val="clear" w:pos="480"/>
      </w:tabs>
      <w:spacing w:before="120" w:after="120" w:line="240" w:lineRule="auto"/>
      <w:ind w:firstLine="471"/>
      <w:outlineLvl w:val="0"/>
    </w:pPr>
    <w:rPr>
      <w:rFonts w:ascii="黑体" w:hAnsi="Arial Rounded MT Bold" w:eastAsia="黑体" w:cs="宋体"/>
      <w:spacing w:val="20"/>
      <w:kern w:val="44"/>
      <w:sz w:val="48"/>
      <w:szCs w:val="48"/>
    </w:rPr>
  </w:style>
  <w:style w:type="paragraph" w:customStyle="1" w:styleId="1928">
    <w:name w:val="样式 标题 3 + 首行缩进:  0.5 字符"/>
    <w:basedOn w:val="5"/>
    <w:qFormat/>
    <w:uiPriority w:val="0"/>
    <w:pPr>
      <w:keepLines w:val="0"/>
      <w:widowControl/>
      <w:tabs>
        <w:tab w:val="left" w:pos="420"/>
        <w:tab w:val="clear" w:pos="480"/>
        <w:tab w:val="clear" w:pos="840"/>
      </w:tabs>
      <w:spacing w:beforeLines="50" w:after="50" w:line="480" w:lineRule="exact"/>
      <w:ind w:firstLine="471"/>
    </w:pPr>
    <w:rPr>
      <w:rFonts w:ascii="黑体" w:hAnsi="黑体" w:eastAsia="黑体" w:cs="宋体"/>
      <w:bCs w:val="0"/>
      <w:kern w:val="0"/>
      <w:sz w:val="24"/>
      <w:szCs w:val="24"/>
    </w:rPr>
  </w:style>
  <w:style w:type="paragraph" w:customStyle="1" w:styleId="1929">
    <w:name w:val="样式 标题 3ReHead 3 WSAh3B HeadH3Section小标题小节标题H31H32H33..."/>
    <w:basedOn w:val="5"/>
    <w:qFormat/>
    <w:uiPriority w:val="0"/>
    <w:pPr>
      <w:keepLines w:val="0"/>
      <w:tabs>
        <w:tab w:val="clear" w:pos="480"/>
        <w:tab w:val="clear" w:pos="840"/>
      </w:tabs>
      <w:spacing w:after="0" w:line="240" w:lineRule="auto"/>
      <w:ind w:firstLine="471"/>
    </w:pPr>
    <w:rPr>
      <w:rFonts w:ascii="黑体" w:hAnsi="黑体" w:eastAsia="黑体" w:cs="宋体"/>
      <w:b w:val="0"/>
      <w:bCs w:val="0"/>
      <w:sz w:val="24"/>
      <w:szCs w:val="24"/>
    </w:rPr>
  </w:style>
  <w:style w:type="paragraph" w:customStyle="1" w:styleId="1930">
    <w:name w:val="法律法规文字"/>
    <w:basedOn w:val="1"/>
    <w:qFormat/>
    <w:uiPriority w:val="0"/>
    <w:pPr>
      <w:numPr>
        <w:ilvl w:val="0"/>
        <w:numId w:val="24"/>
      </w:numPr>
      <w:tabs>
        <w:tab w:val="clear" w:pos="480"/>
      </w:tabs>
      <w:spacing w:line="480" w:lineRule="exact"/>
    </w:pPr>
    <w:rPr>
      <w:rFonts w:ascii="Arial" w:hAnsi="Arial"/>
      <w:bCs/>
      <w:szCs w:val="20"/>
    </w:rPr>
  </w:style>
  <w:style w:type="paragraph" w:customStyle="1" w:styleId="1931">
    <w:name w:val="样式 标题 1Head 1ws标题 1标1章..."/>
    <w:basedOn w:val="3"/>
    <w:qFormat/>
    <w:uiPriority w:val="0"/>
    <w:pPr>
      <w:pageBreakBefore/>
      <w:tabs>
        <w:tab w:val="clear" w:pos="480"/>
      </w:tabs>
      <w:adjustRightInd w:val="0"/>
      <w:spacing w:beforeLines="50" w:after="120" w:line="480" w:lineRule="exact"/>
      <w:jc w:val="center"/>
      <w:textAlignment w:val="baseline"/>
    </w:pPr>
    <w:rPr>
      <w:rFonts w:ascii="Times New Roman" w:hAnsi="Arial" w:eastAsia="黑体" w:cs="宋体"/>
      <w:b w:val="0"/>
      <w:color w:val="FF0000"/>
      <w:sz w:val="30"/>
      <w:szCs w:val="20"/>
    </w:rPr>
  </w:style>
  <w:style w:type="paragraph" w:customStyle="1" w:styleId="1932">
    <w:name w:val="样式 首行缩进:  2 字符3"/>
    <w:basedOn w:val="1"/>
    <w:qFormat/>
    <w:uiPriority w:val="0"/>
    <w:pPr>
      <w:tabs>
        <w:tab w:val="clear" w:pos="480"/>
      </w:tabs>
      <w:spacing w:line="480" w:lineRule="exact"/>
      <w:ind w:firstLine="471"/>
    </w:pPr>
    <w:rPr>
      <w:rFonts w:ascii="Arial" w:hAnsi="Arial" w:cs="宋体"/>
      <w:bCs/>
    </w:rPr>
  </w:style>
  <w:style w:type="paragraph" w:customStyle="1" w:styleId="1933">
    <w:name w:val="样式 标题 1标题 1 Char Char标题 1 CharH1Heading 11level 1Level 1 H..."/>
    <w:basedOn w:val="3"/>
    <w:qFormat/>
    <w:uiPriority w:val="0"/>
    <w:pPr>
      <w:keepLines w:val="0"/>
      <w:pageBreakBefore/>
      <w:widowControl/>
      <w:tabs>
        <w:tab w:val="right" w:pos="8640"/>
        <w:tab w:val="clear" w:pos="480"/>
      </w:tabs>
      <w:overflowPunct w:val="0"/>
      <w:autoSpaceDE w:val="0"/>
      <w:autoSpaceDN w:val="0"/>
      <w:adjustRightInd w:val="0"/>
      <w:spacing w:beforeLines="150" w:after="120"/>
      <w:jc w:val="center"/>
      <w:textAlignment w:val="baseline"/>
    </w:pPr>
    <w:rPr>
      <w:rFonts w:ascii="Times New Roman" w:eastAsia="黑体" w:cs="宋体"/>
      <w:b w:val="0"/>
      <w:bCs w:val="0"/>
      <w:color w:val="FF0000"/>
      <w:kern w:val="28"/>
      <w:szCs w:val="36"/>
    </w:rPr>
  </w:style>
  <w:style w:type="paragraph" w:customStyle="1" w:styleId="1934">
    <w:name w:val="样式 环评1.1.1.1 + 左侧:  1 字符 右侧:  1 字符"/>
    <w:basedOn w:val="1"/>
    <w:qFormat/>
    <w:uiPriority w:val="0"/>
    <w:pPr>
      <w:keepNext/>
      <w:keepLines/>
      <w:tabs>
        <w:tab w:val="clear" w:pos="480"/>
      </w:tabs>
      <w:spacing w:line="480" w:lineRule="exact"/>
      <w:ind w:firstLine="471"/>
      <w:outlineLvl w:val="3"/>
    </w:pPr>
    <w:rPr>
      <w:rFonts w:ascii="Arial" w:hAnsi="Arial" w:cs="宋体"/>
      <w:b/>
    </w:rPr>
  </w:style>
  <w:style w:type="paragraph" w:customStyle="1" w:styleId="1935">
    <w:name w:val="样式 标题 2标题 2 Char CharH2Heading 2 HiddenHeading 2 CCBSHD2节..."/>
    <w:basedOn w:val="4"/>
    <w:qFormat/>
    <w:uiPriority w:val="0"/>
    <w:pPr>
      <w:keepLines w:val="0"/>
      <w:widowControl/>
      <w:tabs>
        <w:tab w:val="left" w:pos="420"/>
        <w:tab w:val="right" w:pos="8640"/>
        <w:tab w:val="clear" w:pos="480"/>
        <w:tab w:val="clear" w:pos="630"/>
      </w:tabs>
      <w:overflowPunct w:val="0"/>
      <w:autoSpaceDE w:val="0"/>
      <w:autoSpaceDN w:val="0"/>
      <w:spacing w:beforeLines="50" w:afterLines="50"/>
      <w:ind w:firstLine="470"/>
      <w:jc w:val="left"/>
    </w:pPr>
    <w:rPr>
      <w:rFonts w:ascii="黑体" w:eastAsia="黑体" w:cs="宋体"/>
      <w:b w:val="0"/>
      <w:bCs w:val="0"/>
      <w:kern w:val="28"/>
      <w:sz w:val="28"/>
      <w:szCs w:val="28"/>
    </w:rPr>
  </w:style>
  <w:style w:type="paragraph" w:customStyle="1" w:styleId="1936">
    <w:name w:val="样式 标题 3标题 3 Char Char Char标题 3 Char Char Char Char Char Char标...1"/>
    <w:basedOn w:val="5"/>
    <w:qFormat/>
    <w:uiPriority w:val="0"/>
    <w:pPr>
      <w:keepLines w:val="0"/>
      <w:tabs>
        <w:tab w:val="clear" w:pos="480"/>
        <w:tab w:val="clear" w:pos="840"/>
      </w:tabs>
      <w:adjustRightInd w:val="0"/>
      <w:spacing w:after="0" w:line="360" w:lineRule="auto"/>
      <w:ind w:firstLine="471"/>
    </w:pPr>
    <w:rPr>
      <w:rFonts w:ascii="黑体" w:eastAsia="黑体" w:cs="宋体"/>
      <w:b w:val="0"/>
      <w:bCs w:val="0"/>
      <w:kern w:val="28"/>
      <w:sz w:val="24"/>
      <w:szCs w:val="24"/>
    </w:rPr>
  </w:style>
  <w:style w:type="paragraph" w:customStyle="1" w:styleId="1937">
    <w:name w:val="样式 (符号) 宋体 小四 行距: 1.5 倍行距"/>
    <w:basedOn w:val="1"/>
    <w:qFormat/>
    <w:uiPriority w:val="0"/>
    <w:pPr>
      <w:tabs>
        <w:tab w:val="clear" w:pos="480"/>
      </w:tabs>
      <w:ind w:firstLine="471"/>
    </w:pPr>
    <w:rPr>
      <w:rFonts w:hAnsi="宋体" w:cs="宋体"/>
      <w:bCs/>
      <w:szCs w:val="20"/>
    </w:rPr>
  </w:style>
  <w:style w:type="paragraph" w:customStyle="1" w:styleId="1938">
    <w:name w:val="分标题"/>
    <w:basedOn w:val="1"/>
    <w:semiHidden/>
    <w:qFormat/>
    <w:uiPriority w:val="0"/>
    <w:pPr>
      <w:keepNext/>
      <w:keepLines/>
      <w:suppressLineNumbers/>
      <w:tabs>
        <w:tab w:val="clear" w:pos="480"/>
      </w:tabs>
      <w:autoSpaceDE w:val="0"/>
      <w:autoSpaceDN w:val="0"/>
      <w:adjustRightInd w:val="0"/>
      <w:spacing w:after="120" w:line="400" w:lineRule="atLeast"/>
      <w:textAlignment w:val="baseline"/>
    </w:pPr>
    <w:rPr>
      <w:rFonts w:ascii="宋体" w:hAnsi="Tms Rmn" w:cs="宋体"/>
      <w:b/>
      <w:kern w:val="0"/>
      <w:u w:val="single"/>
      <w:lang w:val="en-GB"/>
    </w:rPr>
  </w:style>
  <w:style w:type="paragraph" w:customStyle="1" w:styleId="1939">
    <w:name w:val="条目"/>
    <w:basedOn w:val="1"/>
    <w:semiHidden/>
    <w:qFormat/>
    <w:uiPriority w:val="0"/>
    <w:pPr>
      <w:widowControl/>
      <w:tabs>
        <w:tab w:val="left" w:pos="1620"/>
        <w:tab w:val="clear" w:pos="480"/>
      </w:tabs>
      <w:overflowPunct w:val="0"/>
      <w:autoSpaceDE w:val="0"/>
      <w:autoSpaceDN w:val="0"/>
      <w:adjustRightInd w:val="0"/>
      <w:spacing w:before="60" w:after="60" w:line="400" w:lineRule="atLeast"/>
      <w:ind w:left="709"/>
      <w:textAlignment w:val="baseline"/>
    </w:pPr>
    <w:rPr>
      <w:rFonts w:ascii="宋体" w:hAnsi="Tms Rmn" w:cs="宋体"/>
      <w:bCs/>
      <w:kern w:val="0"/>
    </w:rPr>
  </w:style>
  <w:style w:type="character" w:customStyle="1" w:styleId="1940">
    <w:name w:val="小标题 Char Char"/>
    <w:semiHidden/>
    <w:qFormat/>
    <w:uiPriority w:val="0"/>
    <w:rPr>
      <w:rFonts w:ascii="Arial" w:hAnsi="Arial" w:eastAsia="宋体"/>
      <w:b/>
      <w:bCs/>
      <w:kern w:val="2"/>
      <w:sz w:val="24"/>
      <w:szCs w:val="24"/>
      <w:u w:val="words"/>
      <w:lang w:val="en-US" w:eastAsia="zh-CN" w:bidi="ar-SA"/>
    </w:rPr>
  </w:style>
  <w:style w:type="character" w:customStyle="1" w:styleId="1941">
    <w:name w:val="小标题1"/>
    <w:semiHidden/>
    <w:qFormat/>
    <w:uiPriority w:val="0"/>
    <w:rPr>
      <w:rFonts w:ascii="Arial" w:hAnsi="Arial" w:eastAsia="宋体"/>
      <w:b/>
      <w:bCs/>
      <w:kern w:val="2"/>
      <w:sz w:val="24"/>
      <w:szCs w:val="24"/>
      <w:u w:val="single"/>
      <w:lang w:val="en-US" w:eastAsia="zh-CN" w:bidi="ar-SA"/>
    </w:rPr>
  </w:style>
  <w:style w:type="paragraph" w:customStyle="1" w:styleId="1942">
    <w:name w:val="样式 报告 + 段前: 0.2 行 段后: 0.2 行 左  0 字符 首行缩进:  2 字符"/>
    <w:basedOn w:val="1"/>
    <w:semiHidden/>
    <w:qFormat/>
    <w:uiPriority w:val="0"/>
    <w:pPr>
      <w:tabs>
        <w:tab w:val="clear" w:pos="480"/>
      </w:tabs>
      <w:overflowPunct w:val="0"/>
      <w:autoSpaceDE w:val="0"/>
      <w:autoSpaceDN w:val="0"/>
      <w:adjustRightInd w:val="0"/>
      <w:spacing w:beforeLines="20" w:afterLines="20" w:line="440" w:lineRule="atLeast"/>
      <w:ind w:firstLine="480"/>
      <w:textAlignment w:val="baseline"/>
    </w:pPr>
    <w:rPr>
      <w:rFonts w:ascii="Arial" w:hAnsi="Arial"/>
      <w:bCs/>
      <w:kern w:val="0"/>
    </w:rPr>
  </w:style>
  <w:style w:type="paragraph" w:customStyle="1" w:styleId="1943">
    <w:name w:val="样式 报告 + 段前: 0.3 行 段后: 0.3 行1"/>
    <w:basedOn w:val="1"/>
    <w:semiHidden/>
    <w:qFormat/>
    <w:uiPriority w:val="0"/>
    <w:pPr>
      <w:tabs>
        <w:tab w:val="clear" w:pos="480"/>
      </w:tabs>
      <w:overflowPunct w:val="0"/>
      <w:autoSpaceDE w:val="0"/>
      <w:autoSpaceDN w:val="0"/>
      <w:adjustRightInd w:val="0"/>
      <w:spacing w:beforeLines="30" w:afterLines="30" w:line="440" w:lineRule="atLeast"/>
      <w:ind w:firstLine="540" w:firstLineChars="225"/>
      <w:textAlignment w:val="baseline"/>
    </w:pPr>
    <w:rPr>
      <w:rFonts w:ascii="Arial" w:hAnsi="Arial"/>
      <w:bCs/>
      <w:kern w:val="0"/>
    </w:rPr>
  </w:style>
  <w:style w:type="paragraph" w:customStyle="1" w:styleId="1944">
    <w:name w:val="样式 报告 + 首行缩进:  0.58 字符 Char"/>
    <w:basedOn w:val="1"/>
    <w:semiHidden/>
    <w:qFormat/>
    <w:uiPriority w:val="0"/>
    <w:pPr>
      <w:tabs>
        <w:tab w:val="clear" w:pos="480"/>
      </w:tabs>
      <w:overflowPunct w:val="0"/>
      <w:autoSpaceDE w:val="0"/>
      <w:autoSpaceDN w:val="0"/>
      <w:adjustRightInd w:val="0"/>
      <w:spacing w:beforeLines="10" w:afterLines="10" w:line="440" w:lineRule="atLeast"/>
      <w:textAlignment w:val="baseline"/>
    </w:pPr>
    <w:rPr>
      <w:rFonts w:ascii="Arial" w:hAnsi="Arial"/>
      <w:bCs/>
      <w:kern w:val="0"/>
    </w:rPr>
  </w:style>
  <w:style w:type="character" w:customStyle="1" w:styleId="1945">
    <w:name w:val="样式 报告 + 首行缩进:  0.58 字符 Char Char"/>
    <w:semiHidden/>
    <w:qFormat/>
    <w:uiPriority w:val="0"/>
    <w:rPr>
      <w:rFonts w:ascii="Arial" w:hAnsi="Arial" w:eastAsia="宋体"/>
      <w:kern w:val="2"/>
      <w:sz w:val="24"/>
      <w:szCs w:val="24"/>
      <w:lang w:val="en-US" w:eastAsia="zh-CN" w:bidi="ar-SA"/>
    </w:rPr>
  </w:style>
  <w:style w:type="paragraph" w:customStyle="1" w:styleId="1946">
    <w:name w:val="样式 报告 + 首行缩进:  2 字符"/>
    <w:basedOn w:val="1"/>
    <w:semiHidden/>
    <w:qFormat/>
    <w:uiPriority w:val="0"/>
    <w:pPr>
      <w:widowControl/>
      <w:tabs>
        <w:tab w:val="clear" w:pos="480"/>
      </w:tabs>
      <w:overflowPunct w:val="0"/>
      <w:autoSpaceDE w:val="0"/>
      <w:autoSpaceDN w:val="0"/>
      <w:adjustRightInd w:val="0"/>
      <w:spacing w:before="120" w:after="120" w:line="400" w:lineRule="atLeast"/>
      <w:ind w:firstLine="480"/>
      <w:textAlignment w:val="baseline"/>
    </w:pPr>
    <w:rPr>
      <w:rFonts w:ascii="Arial" w:hAnsi="Arial"/>
      <w:bCs/>
      <w:kern w:val="0"/>
    </w:rPr>
  </w:style>
  <w:style w:type="character" w:customStyle="1" w:styleId="1947">
    <w:name w:val="样式 报告 + 首行缩进:  2 字符 Char"/>
    <w:semiHidden/>
    <w:qFormat/>
    <w:uiPriority w:val="0"/>
    <w:rPr>
      <w:rFonts w:ascii="Arial" w:hAnsi="Arial" w:eastAsia="宋体"/>
      <w:kern w:val="2"/>
      <w:sz w:val="24"/>
      <w:szCs w:val="24"/>
      <w:lang w:val="en-US" w:eastAsia="zh-CN" w:bidi="ar-SA"/>
    </w:rPr>
  </w:style>
  <w:style w:type="paragraph" w:customStyle="1" w:styleId="1948">
    <w:name w:val="样式 报告 + 首行缩进:  2 字符 段前: 0.1 行 段后: 0.1 行"/>
    <w:basedOn w:val="1"/>
    <w:semiHidden/>
    <w:qFormat/>
    <w:uiPriority w:val="0"/>
    <w:pPr>
      <w:tabs>
        <w:tab w:val="clear" w:pos="480"/>
      </w:tabs>
      <w:overflowPunct w:val="0"/>
      <w:autoSpaceDE w:val="0"/>
      <w:autoSpaceDN w:val="0"/>
      <w:adjustRightInd w:val="0"/>
      <w:spacing w:beforeLines="10" w:afterLines="10" w:line="440" w:lineRule="atLeast"/>
      <w:ind w:firstLine="497" w:firstLineChars="207"/>
      <w:textAlignment w:val="baseline"/>
    </w:pPr>
    <w:rPr>
      <w:rFonts w:ascii="Arial" w:hAnsi="Arial"/>
      <w:bCs/>
      <w:kern w:val="0"/>
      <w:lang w:val="zh-CN"/>
    </w:rPr>
  </w:style>
  <w:style w:type="paragraph" w:customStyle="1" w:styleId="1949">
    <w:name w:val="样式 报告 + 首行缩进:  2 字符 段前: 0.3 行 段后: 0.3 行"/>
    <w:basedOn w:val="1"/>
    <w:semiHidden/>
    <w:qFormat/>
    <w:uiPriority w:val="0"/>
    <w:pPr>
      <w:tabs>
        <w:tab w:val="clear" w:pos="480"/>
      </w:tabs>
      <w:spacing w:before="93" w:after="93"/>
      <w:ind w:firstLine="480"/>
    </w:pPr>
    <w:rPr>
      <w:rFonts w:ascii="Arial" w:hAnsi="Arial"/>
      <w:bCs/>
      <w:color w:val="FF0000"/>
      <w:lang w:val="en-GB"/>
    </w:rPr>
  </w:style>
  <w:style w:type="paragraph" w:customStyle="1" w:styleId="1950">
    <w:name w:val="样式 报告 + 小四 段前: 0.3 行 段后: 0.3 行"/>
    <w:basedOn w:val="1"/>
    <w:semiHidden/>
    <w:qFormat/>
    <w:uiPriority w:val="0"/>
    <w:pPr>
      <w:tabs>
        <w:tab w:val="clear" w:pos="480"/>
      </w:tabs>
      <w:overflowPunct w:val="0"/>
      <w:autoSpaceDE w:val="0"/>
      <w:autoSpaceDN w:val="0"/>
      <w:adjustRightInd w:val="0"/>
      <w:spacing w:beforeLines="30" w:afterLines="30" w:line="440" w:lineRule="atLeast"/>
      <w:ind w:firstLine="540" w:firstLineChars="225"/>
      <w:textAlignment w:val="baseline"/>
    </w:pPr>
    <w:rPr>
      <w:rFonts w:ascii="Arial" w:hAnsi="Arial"/>
      <w:bCs/>
      <w:kern w:val="0"/>
    </w:rPr>
  </w:style>
  <w:style w:type="paragraph" w:customStyle="1" w:styleId="1951">
    <w:name w:val="样式 报告 Char + 首行缩进:  2 字符"/>
    <w:basedOn w:val="1"/>
    <w:semiHidden/>
    <w:qFormat/>
    <w:uiPriority w:val="0"/>
    <w:pPr>
      <w:widowControl/>
      <w:tabs>
        <w:tab w:val="clear" w:pos="480"/>
      </w:tabs>
      <w:overflowPunct w:val="0"/>
      <w:autoSpaceDE w:val="0"/>
      <w:autoSpaceDN w:val="0"/>
      <w:adjustRightInd w:val="0"/>
      <w:spacing w:before="120" w:after="120" w:line="400" w:lineRule="atLeast"/>
      <w:ind w:firstLine="480"/>
      <w:textAlignment w:val="baseline"/>
    </w:pPr>
    <w:rPr>
      <w:rFonts w:ascii="Arial" w:hAnsi="Arial"/>
      <w:bCs/>
    </w:rPr>
  </w:style>
  <w:style w:type="paragraph" w:customStyle="1" w:styleId="1952">
    <w:name w:val="样式 标题 2标题 2 CharH2título 2h2RN chapter段节 + 左侧:  0 厘米 首行缩..."/>
    <w:basedOn w:val="4"/>
    <w:semiHidden/>
    <w:qFormat/>
    <w:uiPriority w:val="0"/>
    <w:pPr>
      <w:keepNext w:val="0"/>
      <w:keepLines w:val="0"/>
      <w:tabs>
        <w:tab w:val="left" w:pos="420"/>
        <w:tab w:val="left" w:pos="992"/>
        <w:tab w:val="clear" w:pos="480"/>
        <w:tab w:val="clear" w:pos="630"/>
      </w:tabs>
      <w:adjustRightInd w:val="0"/>
      <w:spacing w:beforeLines="100" w:afterLines="100" w:line="416" w:lineRule="atLeast"/>
      <w:ind w:left="992" w:hanging="567"/>
      <w:jc w:val="left"/>
      <w:textAlignment w:val="baseline"/>
    </w:pPr>
    <w:rPr>
      <w:rFonts w:ascii="黑体" w:hAnsi="Arial" w:eastAsia="黑体"/>
      <w:b w:val="0"/>
      <w:kern w:val="0"/>
      <w:sz w:val="28"/>
      <w:szCs w:val="28"/>
    </w:rPr>
  </w:style>
  <w:style w:type="paragraph" w:customStyle="1" w:styleId="1953">
    <w:name w:val="样式 标题 3标题3H3h33rd level第二层条标题 3 Char Char标题 31标题 3 Char ..."/>
    <w:basedOn w:val="5"/>
    <w:semiHidden/>
    <w:qFormat/>
    <w:uiPriority w:val="0"/>
    <w:pPr>
      <w:keepLines w:val="0"/>
      <w:tabs>
        <w:tab w:val="clear" w:pos="480"/>
        <w:tab w:val="clear" w:pos="840"/>
      </w:tabs>
      <w:adjustRightInd w:val="0"/>
      <w:spacing w:beforeLines="50" w:after="0" w:line="416" w:lineRule="atLeast"/>
      <w:ind w:firstLine="471"/>
      <w:textAlignment w:val="baseline"/>
    </w:pPr>
    <w:rPr>
      <w:rFonts w:ascii="Arial" w:hAnsi="Arial" w:eastAsia="黑体" w:cs="Arial"/>
      <w:b w:val="0"/>
      <w:color w:val="000000"/>
      <w:kern w:val="0"/>
      <w:sz w:val="24"/>
      <w:szCs w:val="24"/>
    </w:rPr>
  </w:style>
  <w:style w:type="paragraph" w:customStyle="1" w:styleId="1954">
    <w:name w:val="样式 标题 4 + 段前: 7.8 磅 段后: 0 磅 行距: 单倍行距"/>
    <w:basedOn w:val="6"/>
    <w:semiHidden/>
    <w:qFormat/>
    <w:uiPriority w:val="0"/>
    <w:pPr>
      <w:numPr>
        <w:numId w:val="0"/>
      </w:numPr>
      <w:tabs>
        <w:tab w:val="left" w:pos="864"/>
        <w:tab w:val="clear" w:pos="480"/>
      </w:tabs>
      <w:spacing w:beforeLines="50" w:after="0" w:line="240" w:lineRule="auto"/>
      <w:ind w:left="864" w:hanging="864"/>
    </w:pPr>
    <w:rPr>
      <w:rFonts w:ascii="Arial" w:hAnsi="Arial" w:eastAsia="宋体" w:cs="宋体"/>
      <w:b w:val="0"/>
      <w:bCs w:val="0"/>
      <w:i/>
      <w:sz w:val="24"/>
      <w:szCs w:val="20"/>
    </w:rPr>
  </w:style>
  <w:style w:type="paragraph" w:customStyle="1" w:styleId="1955">
    <w:name w:val="样式 表格标题 + 首行缩进:  0.61 字符"/>
    <w:basedOn w:val="170"/>
    <w:semiHidden/>
    <w:qFormat/>
    <w:uiPriority w:val="0"/>
    <w:pPr>
      <w:wordWrap w:val="0"/>
      <w:snapToGrid w:val="0"/>
      <w:ind w:left="-143" w:leftChars="-68" w:firstLine="128" w:firstLineChars="61"/>
      <w:jc w:val="both"/>
    </w:pPr>
    <w:rPr>
      <w:rFonts w:ascii="Times New Roman" w:eastAsia="宋体" w:cs="宋体"/>
      <w:b w:val="0"/>
      <w:bCs/>
      <w:color w:val="auto"/>
      <w:sz w:val="21"/>
      <w:lang w:val="en-US"/>
    </w:rPr>
  </w:style>
  <w:style w:type="paragraph" w:customStyle="1" w:styleId="1956">
    <w:name w:val="样式 表格标题 + 五号 左侧:  -0.45 字符"/>
    <w:basedOn w:val="1"/>
    <w:qFormat/>
    <w:uiPriority w:val="0"/>
    <w:pPr>
      <w:tabs>
        <w:tab w:val="clear" w:pos="480"/>
      </w:tabs>
      <w:wordWrap w:val="0"/>
      <w:adjustRightInd w:val="0"/>
      <w:snapToGrid w:val="0"/>
      <w:spacing w:line="240" w:lineRule="auto"/>
      <w:ind w:left="105"/>
    </w:pPr>
    <w:rPr>
      <w:rFonts w:ascii="Arial" w:hAnsi="宋体"/>
      <w:b/>
      <w:sz w:val="21"/>
      <w:szCs w:val="21"/>
    </w:rPr>
  </w:style>
  <w:style w:type="paragraph" w:customStyle="1" w:styleId="1957">
    <w:name w:val="样式 表格标题 + 左侧:  -0.45 字符"/>
    <w:basedOn w:val="1"/>
    <w:qFormat/>
    <w:uiPriority w:val="0"/>
    <w:pPr>
      <w:tabs>
        <w:tab w:val="clear" w:pos="480"/>
      </w:tabs>
      <w:adjustRightInd w:val="0"/>
      <w:snapToGrid w:val="0"/>
      <w:spacing w:before="120" w:after="60" w:line="400" w:lineRule="exact"/>
      <w:ind w:left="-45" w:leftChars="-45"/>
      <w:jc w:val="center"/>
    </w:pPr>
    <w:rPr>
      <w:rFonts w:ascii="Times" w:hAnsi="Arial" w:eastAsia="仿宋_GB2312" w:cs="宋体"/>
      <w:b/>
      <w:szCs w:val="20"/>
    </w:rPr>
  </w:style>
  <w:style w:type="paragraph" w:customStyle="1" w:styleId="1958">
    <w:name w:val="样式 表格正文 + 五号"/>
    <w:qFormat/>
    <w:uiPriority w:val="0"/>
    <w:pPr>
      <w:jc w:val="center"/>
    </w:pPr>
    <w:rPr>
      <w:rFonts w:ascii="Times New Roman" w:hAnsi="Times New Roman" w:eastAsia="宋体" w:cs="Times New Roman"/>
      <w:kern w:val="2"/>
      <w:sz w:val="24"/>
      <w:szCs w:val="24"/>
      <w:lang w:val="en-US" w:eastAsia="zh-CN" w:bidi="ar-SA"/>
    </w:rPr>
  </w:style>
  <w:style w:type="paragraph" w:customStyle="1" w:styleId="1959">
    <w:name w:val="样式 段前: 0.3 行 段后: 0.3 行"/>
    <w:basedOn w:val="1"/>
    <w:semiHidden/>
    <w:qFormat/>
    <w:uiPriority w:val="0"/>
    <w:pPr>
      <w:tabs>
        <w:tab w:val="clear" w:pos="480"/>
      </w:tabs>
      <w:spacing w:before="93" w:after="93"/>
    </w:pPr>
    <w:rPr>
      <w:rFonts w:ascii="Arial" w:hAnsi="Arial"/>
      <w:bCs/>
    </w:rPr>
  </w:style>
  <w:style w:type="paragraph" w:customStyle="1" w:styleId="1960">
    <w:name w:val="样式 样式 样式 报告 + 首行缩进:  0.58 字符 Char + 黑色 首行缩进:  2 字符 段前: 0.1 行 段后:...1"/>
    <w:basedOn w:val="1"/>
    <w:semiHidden/>
    <w:qFormat/>
    <w:uiPriority w:val="0"/>
    <w:pPr>
      <w:tabs>
        <w:tab w:val="clear" w:pos="480"/>
      </w:tabs>
      <w:overflowPunct w:val="0"/>
      <w:autoSpaceDE w:val="0"/>
      <w:autoSpaceDN w:val="0"/>
      <w:adjustRightInd w:val="0"/>
      <w:spacing w:before="93" w:after="93"/>
      <w:ind w:firstLine="540" w:firstLineChars="225"/>
      <w:textAlignment w:val="baseline"/>
    </w:pPr>
    <w:rPr>
      <w:rFonts w:ascii="Arial" w:hAnsi="Arial" w:cs="Arial"/>
      <w:bCs/>
      <w:color w:val="000000"/>
      <w:kern w:val="0"/>
    </w:rPr>
  </w:style>
  <w:style w:type="paragraph" w:customStyle="1" w:styleId="1961">
    <w:name w:val="正文图五"/>
    <w:basedOn w:val="1"/>
    <w:semiHidden/>
    <w:qFormat/>
    <w:uiPriority w:val="0"/>
    <w:pPr>
      <w:tabs>
        <w:tab w:val="clear" w:pos="480"/>
      </w:tabs>
      <w:spacing w:line="240" w:lineRule="auto"/>
      <w:ind w:firstLine="471"/>
      <w:jc w:val="center"/>
    </w:pPr>
    <w:rPr>
      <w:rFonts w:ascii="Arial" w:hAnsi="Arial"/>
      <w:bCs/>
    </w:rPr>
  </w:style>
  <w:style w:type="paragraph" w:customStyle="1" w:styleId="1962">
    <w:name w:val="样式 表标题 + 首行缩进:  2 字符"/>
    <w:basedOn w:val="1"/>
    <w:qFormat/>
    <w:uiPriority w:val="0"/>
    <w:pPr>
      <w:tabs>
        <w:tab w:val="clear" w:pos="480"/>
      </w:tabs>
      <w:adjustRightInd w:val="0"/>
      <w:spacing w:line="480" w:lineRule="exact"/>
      <w:ind w:firstLine="471"/>
      <w:textAlignment w:val="baseline"/>
    </w:pPr>
    <w:rPr>
      <w:rFonts w:ascii="Arial" w:hAnsi="Arial" w:cs="宋体"/>
      <w:bCs/>
      <w:kern w:val="0"/>
      <w:szCs w:val="20"/>
    </w:rPr>
  </w:style>
  <w:style w:type="paragraph" w:customStyle="1" w:styleId="1963">
    <w:name w:val="样式 表格正文 + 首行缩进:  2 字符"/>
    <w:basedOn w:val="182"/>
    <w:qFormat/>
    <w:uiPriority w:val="0"/>
    <w:pPr/>
    <w:rPr>
      <w:rFonts w:ascii="Arial" w:hAnsi="Arial" w:eastAsia="宋体" w:cs="宋体"/>
      <w:bCs/>
      <w:snapToGrid w:val="0"/>
      <w:kern w:val="0"/>
      <w:sz w:val="24"/>
    </w:rPr>
  </w:style>
  <w:style w:type="paragraph" w:customStyle="1" w:styleId="1964">
    <w:name w:val="样式 纯文本 + 首行缩进:  2 字符"/>
    <w:basedOn w:val="45"/>
    <w:qFormat/>
    <w:uiPriority w:val="0"/>
    <w:pPr/>
    <w:rPr>
      <w:rFonts w:hint="eastAsia" w:ascii="Times New Roman" w:hAnsi="Times New Roman" w:cs="宋体"/>
      <w:bCs/>
      <w:szCs w:val="21"/>
    </w:rPr>
  </w:style>
  <w:style w:type="paragraph" w:customStyle="1" w:styleId="1965">
    <w:name w:val="样式 表标题 +"/>
    <w:basedOn w:val="7"/>
    <w:qFormat/>
    <w:uiPriority w:val="0"/>
    <w:pPr>
      <w:keepNext w:val="0"/>
      <w:keepLines w:val="0"/>
      <w:numPr>
        <w:ilvl w:val="0"/>
        <w:numId w:val="0"/>
      </w:numPr>
      <w:tabs>
        <w:tab w:val="clear" w:pos="480"/>
      </w:tabs>
      <w:adjustRightInd w:val="0"/>
      <w:spacing w:before="0" w:after="0" w:line="240" w:lineRule="auto"/>
      <w:textAlignment w:val="baseline"/>
      <w:outlineLvl w:val="9"/>
    </w:pPr>
    <w:rPr>
      <w:rFonts w:ascii="Times New Roman" w:hAnsi="Times New Roman" w:eastAsia="宋体" w:cs="宋体"/>
      <w:bCs/>
      <w:kern w:val="0"/>
    </w:rPr>
  </w:style>
  <w:style w:type="paragraph" w:customStyle="1" w:styleId="1966">
    <w:name w:val="样式 样式 纯文本 + 首行缩进:  2 字符 +"/>
    <w:basedOn w:val="1964"/>
    <w:qFormat/>
    <w:uiPriority w:val="0"/>
    <w:pPr/>
    <w:rPr>
      <w:szCs w:val="20"/>
    </w:rPr>
  </w:style>
  <w:style w:type="paragraph" w:customStyle="1" w:styleId="1967">
    <w:name w:val="样式 标题 4Subsection标题 14标题 4 Char款标题1.1.1.1H4四 + 加粗"/>
    <w:basedOn w:val="6"/>
    <w:link w:val="1992"/>
    <w:qFormat/>
    <w:uiPriority w:val="0"/>
    <w:pPr>
      <w:numPr>
        <w:ilvl w:val="0"/>
        <w:numId w:val="0"/>
      </w:numPr>
      <w:tabs>
        <w:tab w:val="clear" w:pos="480"/>
      </w:tabs>
      <w:spacing w:beforeLines="50" w:after="0" w:line="480" w:lineRule="exact"/>
      <w:ind w:firstLine="471"/>
      <w:textAlignment w:val="baseline"/>
    </w:pPr>
    <w:rPr>
      <w:rFonts w:ascii="Arial" w:hAnsi="Arial" w:eastAsia="宋体"/>
      <w:b w:val="0"/>
      <w:kern w:val="0"/>
      <w:sz w:val="24"/>
      <w:szCs w:val="24"/>
      <w:lang w:val="en-US"/>
    </w:rPr>
  </w:style>
  <w:style w:type="paragraph" w:customStyle="1" w:styleId="1968">
    <w:name w:val="样式 标题 4Subsection标题 14标题 4 Char款标题1.1.1.1H4四 + 加粗1"/>
    <w:basedOn w:val="6"/>
    <w:link w:val="1993"/>
    <w:qFormat/>
    <w:uiPriority w:val="0"/>
    <w:pPr>
      <w:numPr>
        <w:ilvl w:val="0"/>
        <w:numId w:val="0"/>
      </w:numPr>
      <w:tabs>
        <w:tab w:val="clear" w:pos="480"/>
      </w:tabs>
      <w:spacing w:beforeLines="50" w:after="0"/>
      <w:ind w:firstLine="471"/>
      <w:textAlignment w:val="baseline"/>
    </w:pPr>
    <w:rPr>
      <w:rFonts w:ascii="Arial" w:hAnsi="Arial" w:eastAsia="宋体"/>
      <w:b w:val="0"/>
      <w:kern w:val="0"/>
      <w:sz w:val="24"/>
      <w:szCs w:val="24"/>
      <w:lang w:val="en-US"/>
    </w:rPr>
  </w:style>
  <w:style w:type="paragraph" w:customStyle="1" w:styleId="1969">
    <w:name w:val="编号文字1"/>
    <w:basedOn w:val="1"/>
    <w:qFormat/>
    <w:uiPriority w:val="0"/>
    <w:pPr>
      <w:numPr>
        <w:ilvl w:val="0"/>
        <w:numId w:val="25"/>
      </w:numPr>
      <w:tabs>
        <w:tab w:val="clear" w:pos="480"/>
      </w:tabs>
      <w:spacing w:line="480" w:lineRule="exact"/>
    </w:pPr>
    <w:rPr>
      <w:rFonts w:ascii="Arial" w:hAnsi="Arial"/>
      <w:bCs/>
    </w:rPr>
  </w:style>
  <w:style w:type="paragraph" w:customStyle="1" w:styleId="1970">
    <w:name w:val="编号文字2"/>
    <w:basedOn w:val="1969"/>
    <w:qFormat/>
    <w:uiPriority w:val="0"/>
    <w:pPr>
      <w:numPr>
        <w:numId w:val="26"/>
      </w:numPr>
    </w:pPr>
  </w:style>
  <w:style w:type="paragraph" w:customStyle="1" w:styleId="1971">
    <w:name w:val="编号文字3"/>
    <w:basedOn w:val="1918"/>
    <w:qFormat/>
    <w:uiPriority w:val="0"/>
    <w:pPr>
      <w:numPr>
        <w:ilvl w:val="0"/>
        <w:numId w:val="27"/>
      </w:numPr>
    </w:pPr>
  </w:style>
  <w:style w:type="paragraph" w:customStyle="1" w:styleId="1972">
    <w:name w:val="编号文字4"/>
    <w:basedOn w:val="1918"/>
    <w:qFormat/>
    <w:uiPriority w:val="0"/>
    <w:pPr>
      <w:numPr>
        <w:ilvl w:val="0"/>
        <w:numId w:val="28"/>
      </w:numPr>
    </w:pPr>
  </w:style>
  <w:style w:type="paragraph" w:customStyle="1" w:styleId="1973">
    <w:name w:val="环评1.1"/>
    <w:basedOn w:val="4"/>
    <w:next w:val="1"/>
    <w:qFormat/>
    <w:uiPriority w:val="0"/>
    <w:pPr>
      <w:tabs>
        <w:tab w:val="left" w:pos="420"/>
        <w:tab w:val="clear" w:pos="480"/>
        <w:tab w:val="clear" w:pos="630"/>
      </w:tabs>
      <w:spacing w:beforeLines="50" w:afterLines="50" w:line="480" w:lineRule="exact"/>
      <w:ind w:firstLine="470"/>
      <w:jc w:val="left"/>
      <w:outlineLvl w:val="2"/>
    </w:pPr>
    <w:rPr>
      <w:rFonts w:ascii="黑体" w:hAnsi="Arial Rounded MT Bold" w:eastAsia="黑体"/>
      <w:b w:val="0"/>
      <w:bCs w:val="0"/>
      <w:sz w:val="28"/>
      <w:szCs w:val="28"/>
    </w:rPr>
  </w:style>
  <w:style w:type="paragraph" w:customStyle="1" w:styleId="1974">
    <w:name w:val="环评1.1.1"/>
    <w:basedOn w:val="5"/>
    <w:next w:val="1"/>
    <w:qFormat/>
    <w:uiPriority w:val="0"/>
    <w:pPr>
      <w:keepLines w:val="0"/>
      <w:tabs>
        <w:tab w:val="clear" w:pos="480"/>
        <w:tab w:val="clear" w:pos="840"/>
      </w:tabs>
      <w:spacing w:after="0" w:line="480" w:lineRule="exact"/>
      <w:ind w:firstLine="471"/>
    </w:pPr>
    <w:rPr>
      <w:rFonts w:ascii="黑体" w:hAnsi="黑体" w:eastAsia="黑体"/>
      <w:b w:val="0"/>
      <w:bCs w:val="0"/>
      <w:sz w:val="24"/>
      <w:szCs w:val="24"/>
    </w:rPr>
  </w:style>
  <w:style w:type="paragraph" w:customStyle="1" w:styleId="1975">
    <w:name w:val="样式 公式 + 段前: 0.3 行 段后: 0.3 行1"/>
    <w:basedOn w:val="289"/>
    <w:qFormat/>
    <w:uiPriority w:val="0"/>
    <w:pPr>
      <w:keepLines/>
      <w:wordWrap w:val="0"/>
      <w:topLinePunct/>
      <w:adjustRightInd/>
      <w:snapToGrid w:val="0"/>
      <w:spacing w:beforeLines="30" w:afterLines="30" w:line="240" w:lineRule="auto"/>
      <w:ind w:firstLine="482"/>
      <w:jc w:val="both"/>
      <w:textAlignment w:val="auto"/>
    </w:pPr>
    <w:rPr>
      <w:rFonts w:cs="宋体"/>
      <w:color w:val="000000"/>
      <w:spacing w:val="-4"/>
      <w:kern w:val="2"/>
      <w:szCs w:val="20"/>
    </w:rPr>
  </w:style>
  <w:style w:type="paragraph" w:customStyle="1" w:styleId="1976">
    <w:name w:val="样式 公式 + 段前: 0.3 行 段后: 0.3 行2"/>
    <w:basedOn w:val="289"/>
    <w:qFormat/>
    <w:uiPriority w:val="0"/>
    <w:pPr>
      <w:keepLines/>
      <w:wordWrap w:val="0"/>
      <w:topLinePunct/>
      <w:adjustRightInd/>
      <w:snapToGrid w:val="0"/>
      <w:spacing w:beforeLines="30" w:afterLines="30" w:line="240" w:lineRule="auto"/>
      <w:ind w:firstLine="482"/>
      <w:jc w:val="both"/>
      <w:textAlignment w:val="auto"/>
    </w:pPr>
    <w:rPr>
      <w:rFonts w:cs="宋体"/>
      <w:color w:val="000000"/>
      <w:spacing w:val="-4"/>
      <w:kern w:val="2"/>
      <w:szCs w:val="20"/>
    </w:rPr>
  </w:style>
  <w:style w:type="paragraph" w:customStyle="1" w:styleId="1977">
    <w:name w:val="样式 公式 + 段前: 0.3 行 段后: 0.3 行3"/>
    <w:basedOn w:val="289"/>
    <w:qFormat/>
    <w:uiPriority w:val="0"/>
    <w:pPr>
      <w:keepLines/>
      <w:wordWrap w:val="0"/>
      <w:topLinePunct/>
      <w:adjustRightInd/>
      <w:snapToGrid w:val="0"/>
      <w:spacing w:line="240" w:lineRule="auto"/>
      <w:ind w:firstLine="482"/>
      <w:jc w:val="both"/>
      <w:textAlignment w:val="auto"/>
    </w:pPr>
    <w:rPr>
      <w:rFonts w:cs="宋体"/>
      <w:color w:val="000000"/>
      <w:spacing w:val="-4"/>
      <w:kern w:val="2"/>
      <w:szCs w:val="20"/>
    </w:rPr>
  </w:style>
  <w:style w:type="paragraph" w:customStyle="1" w:styleId="1978">
    <w:name w:val="样式 表格名称 + 首行缩进:  11.95 字符"/>
    <w:basedOn w:val="1543"/>
    <w:qFormat/>
    <w:uiPriority w:val="0"/>
    <w:pPr>
      <w:keepLines/>
      <w:widowControl/>
      <w:wordWrap w:val="0"/>
      <w:topLinePunct/>
      <w:spacing w:line="240" w:lineRule="auto"/>
      <w:ind w:firstLine="471" w:firstLineChars="0"/>
    </w:pPr>
    <w:rPr>
      <w:rFonts w:ascii="黑体" w:hAnsi="Arial" w:eastAsia="黑体" w:cs="宋体"/>
      <w:b w:val="0"/>
      <w:snapToGrid w:val="0"/>
      <w:lang w:val="eu-ES"/>
    </w:rPr>
  </w:style>
  <w:style w:type="paragraph" w:customStyle="1" w:styleId="1979">
    <w:name w:val="样式 标题 2H21 + 左侧:  0.83 厘米 首行缩进:  0 厘米"/>
    <w:basedOn w:val="4"/>
    <w:qFormat/>
    <w:uiPriority w:val="0"/>
    <w:pPr>
      <w:tabs>
        <w:tab w:val="left" w:pos="420"/>
        <w:tab w:val="clear" w:pos="480"/>
        <w:tab w:val="clear" w:pos="630"/>
      </w:tabs>
      <w:spacing w:beforeLines="50" w:afterLines="50" w:line="480" w:lineRule="exact"/>
      <w:ind w:firstLine="470"/>
      <w:jc w:val="left"/>
    </w:pPr>
    <w:rPr>
      <w:rFonts w:ascii="黑体" w:hAnsi="Arial" w:eastAsia="黑体" w:cs="宋体"/>
      <w:b w:val="0"/>
      <w:bCs w:val="0"/>
      <w:sz w:val="28"/>
      <w:szCs w:val="20"/>
    </w:rPr>
  </w:style>
  <w:style w:type="paragraph" w:customStyle="1" w:styleId="1980">
    <w:name w:val="样式 四号 右"/>
    <w:basedOn w:val="1"/>
    <w:qFormat/>
    <w:uiPriority w:val="0"/>
    <w:pPr>
      <w:tabs>
        <w:tab w:val="clear" w:pos="480"/>
      </w:tabs>
      <w:spacing w:line="480" w:lineRule="exact"/>
      <w:jc w:val="right"/>
    </w:pPr>
    <w:rPr>
      <w:rFonts w:ascii="Arial" w:hAnsi="Arial" w:cs="宋体"/>
      <w:bCs/>
    </w:rPr>
  </w:style>
  <w:style w:type="paragraph" w:customStyle="1" w:styleId="1981">
    <w:name w:val="样式 首行缩进:  0.74 厘米"/>
    <w:basedOn w:val="1"/>
    <w:qFormat/>
    <w:uiPriority w:val="0"/>
    <w:pPr>
      <w:tabs>
        <w:tab w:val="clear" w:pos="480"/>
      </w:tabs>
      <w:spacing w:line="480" w:lineRule="exact"/>
      <w:ind w:firstLine="420"/>
    </w:pPr>
    <w:rPr>
      <w:rFonts w:ascii="Arial" w:hAnsi="Arial" w:cs="宋体"/>
      <w:bCs/>
    </w:rPr>
  </w:style>
  <w:style w:type="paragraph" w:customStyle="1" w:styleId="1982">
    <w:name w:val="样式 图片 + 两端对齐 段前: 0.5 行 段后: 0.5 行"/>
    <w:basedOn w:val="8"/>
    <w:qFormat/>
    <w:uiPriority w:val="0"/>
    <w:pPr>
      <w:keepNext w:val="0"/>
      <w:keepLines w:val="0"/>
      <w:numPr>
        <w:ilvl w:val="0"/>
        <w:numId w:val="0"/>
      </w:numPr>
      <w:tabs>
        <w:tab w:val="clear" w:pos="480"/>
      </w:tabs>
      <w:wordWrap w:val="0"/>
      <w:topLinePunct/>
      <w:autoSpaceDE/>
      <w:autoSpaceDN/>
      <w:snapToGrid w:val="0"/>
      <w:spacing w:beforeLines="50" w:afterLines="50" w:line="240" w:lineRule="auto"/>
      <w:jc w:val="center"/>
      <w:textAlignment w:val="auto"/>
      <w:outlineLvl w:val="9"/>
    </w:pPr>
    <w:rPr>
      <w:rFonts w:ascii="黑体" w:hAnsi="Times New Roman" w:eastAsia="黑体" w:cs="宋体"/>
      <w:b w:val="0"/>
      <w:bCs/>
      <w:color w:val="000000"/>
      <w:kern w:val="2"/>
      <w:szCs w:val="24"/>
      <w:lang w:val="eu-ES"/>
    </w:rPr>
  </w:style>
  <w:style w:type="paragraph" w:customStyle="1" w:styleId="1983">
    <w:name w:val="样式 标题 1文章标题章标题H1H11H12一、 + 首行缩进:  1.55 厘米 段前: 7.8 磅 段后: ..."/>
    <w:basedOn w:val="3"/>
    <w:qFormat/>
    <w:uiPriority w:val="0"/>
    <w:pPr>
      <w:pageBreakBefore/>
      <w:tabs>
        <w:tab w:val="clear" w:pos="480"/>
      </w:tabs>
      <w:spacing w:beforeLines="150" w:after="120" w:line="480" w:lineRule="exact"/>
      <w:jc w:val="center"/>
    </w:pPr>
    <w:rPr>
      <w:rFonts w:ascii="Times New Roman" w:hAnsi="Arial" w:eastAsia="黑体" w:cs="宋体"/>
      <w:b w:val="0"/>
      <w:color w:val="FF0000"/>
      <w:sz w:val="44"/>
    </w:rPr>
  </w:style>
  <w:style w:type="paragraph" w:customStyle="1" w:styleId="1984">
    <w:name w:val="样式 标题 2H21节标题H21 + 两端对齐 左侧:  0.83 厘米 悬挂缩进: 4.71 字符 段前: 0...."/>
    <w:basedOn w:val="4"/>
    <w:qFormat/>
    <w:uiPriority w:val="0"/>
    <w:pPr>
      <w:tabs>
        <w:tab w:val="left" w:pos="420"/>
        <w:tab w:val="clear" w:pos="480"/>
        <w:tab w:val="clear" w:pos="630"/>
      </w:tabs>
      <w:spacing w:beforeLines="50" w:afterLines="50" w:line="480" w:lineRule="exact"/>
      <w:ind w:left="471" w:hanging="471"/>
      <w:jc w:val="left"/>
    </w:pPr>
    <w:rPr>
      <w:rFonts w:ascii="Arial" w:hAnsi="Arial" w:eastAsia="黑体" w:cs="宋体"/>
      <w:b w:val="0"/>
      <w:bCs w:val="0"/>
      <w:sz w:val="28"/>
      <w:szCs w:val="28"/>
    </w:rPr>
  </w:style>
  <w:style w:type="paragraph" w:customStyle="1" w:styleId="1985">
    <w:name w:val="样式 样式 标题 2H21节标题H21 + 两端对齐 左侧:  0.83 厘米 悬挂缩进: 4.71 字符 段前: 0.... ..."/>
    <w:basedOn w:val="1984"/>
    <w:qFormat/>
    <w:uiPriority w:val="0"/>
    <w:pPr>
      <w:ind w:left="0" w:firstLine="0"/>
    </w:pPr>
    <w:rPr>
      <w:szCs w:val="20"/>
    </w:rPr>
  </w:style>
  <w:style w:type="paragraph" w:customStyle="1" w:styleId="1986">
    <w:name w:val="样式 表头 + 行距: 固定值 24 磅"/>
    <w:basedOn w:val="1"/>
    <w:qFormat/>
    <w:uiPriority w:val="0"/>
    <w:pPr>
      <w:tabs>
        <w:tab w:val="clear" w:pos="480"/>
      </w:tabs>
      <w:spacing w:line="480" w:lineRule="exact"/>
      <w:ind w:firstLine="471"/>
      <w:jc w:val="left"/>
    </w:pPr>
    <w:rPr>
      <w:rFonts w:eastAsia="黑体" w:cs="宋体"/>
      <w:bCs/>
      <w:szCs w:val="20"/>
    </w:rPr>
  </w:style>
  <w:style w:type="paragraph" w:customStyle="1" w:styleId="1987">
    <w:name w:val="样式 表格文字 + 楷体_GB2312 四号 橙色"/>
    <w:basedOn w:val="222"/>
    <w:qFormat/>
    <w:uiPriority w:val="0"/>
    <w:pPr>
      <w:wordWrap w:val="0"/>
      <w:topLinePunct/>
    </w:pPr>
    <w:rPr>
      <w:rFonts w:ascii="Arial" w:hAnsi="Arial" w:eastAsia="楷体_GB2312" w:cs="Arial Unicode MS"/>
      <w:b/>
      <w:szCs w:val="21"/>
      <w:lang w:val="eu-ES"/>
    </w:rPr>
  </w:style>
  <w:style w:type="paragraph" w:customStyle="1" w:styleId="1988">
    <w:name w:val="样式 标题 3H3B Head小节标题H31H32H33u3标题 3 Char Char Char标题 3 C..."/>
    <w:basedOn w:val="5"/>
    <w:next w:val="216"/>
    <w:qFormat/>
    <w:uiPriority w:val="0"/>
    <w:pPr>
      <w:keepLines w:val="0"/>
      <w:tabs>
        <w:tab w:val="clear" w:pos="480"/>
        <w:tab w:val="clear" w:pos="840"/>
      </w:tabs>
      <w:spacing w:after="0" w:line="480" w:lineRule="exact"/>
      <w:ind w:firstLine="471"/>
    </w:pPr>
    <w:rPr>
      <w:rFonts w:ascii="黑体" w:hAnsi="黑体" w:eastAsia="黑体" w:cs="宋体"/>
      <w:b w:val="0"/>
      <w:bCs w:val="0"/>
      <w:sz w:val="24"/>
      <w:szCs w:val="20"/>
    </w:rPr>
  </w:style>
  <w:style w:type="character" w:customStyle="1" w:styleId="1989">
    <w:name w:val="公式 Char"/>
    <w:link w:val="289"/>
    <w:qFormat/>
    <w:uiPriority w:val="0"/>
    <w:rPr>
      <w:rFonts w:eastAsia="宋体"/>
      <w:sz w:val="24"/>
      <w:szCs w:val="24"/>
      <w:lang w:val="en-US" w:eastAsia="zh-CN" w:bidi="ar-SA"/>
    </w:rPr>
  </w:style>
  <w:style w:type="paragraph" w:customStyle="1" w:styleId="1990">
    <w:name w:val="样式 标题 3H3B Head小节标题H31H32H33u3标题 3 Char Char Char标题 3 C...1"/>
    <w:basedOn w:val="5"/>
    <w:next w:val="216"/>
    <w:qFormat/>
    <w:uiPriority w:val="0"/>
    <w:pPr>
      <w:keepLines w:val="0"/>
      <w:tabs>
        <w:tab w:val="clear" w:pos="480"/>
        <w:tab w:val="clear" w:pos="840"/>
      </w:tabs>
      <w:spacing w:after="0" w:line="480" w:lineRule="exact"/>
      <w:ind w:firstLine="471"/>
    </w:pPr>
    <w:rPr>
      <w:rFonts w:ascii="黑体" w:hAnsi="黑体" w:eastAsia="黑体" w:cs="宋体"/>
      <w:b w:val="0"/>
      <w:bCs w:val="0"/>
      <w:sz w:val="24"/>
      <w:szCs w:val="20"/>
    </w:rPr>
  </w:style>
  <w:style w:type="character" w:customStyle="1" w:styleId="1991">
    <w:name w:val="图片 Char"/>
    <w:qFormat/>
    <w:uiPriority w:val="0"/>
    <w:rPr>
      <w:rFonts w:ascii="Arial" w:hAnsi="Arial" w:eastAsia="黑体"/>
      <w:b/>
      <w:kern w:val="2"/>
      <w:sz w:val="24"/>
      <w:lang w:val="en-US" w:eastAsia="zh-CN" w:bidi="ar-SA"/>
    </w:rPr>
  </w:style>
  <w:style w:type="character" w:customStyle="1" w:styleId="1992">
    <w:name w:val="样式 标题 4Subsection标题 14标题 4 Char款标题1.1.1.1H4四 + 加粗 Char"/>
    <w:link w:val="1967"/>
    <w:qFormat/>
    <w:uiPriority w:val="0"/>
    <w:rPr>
      <w:rFonts w:ascii="Arial" w:hAnsi="Arial" w:eastAsia="宋体"/>
      <w:bCs/>
      <w:sz w:val="24"/>
      <w:szCs w:val="24"/>
      <w:lang w:val="en-US" w:eastAsia="zh-CN" w:bidi="ar-SA"/>
    </w:rPr>
  </w:style>
  <w:style w:type="character" w:customStyle="1" w:styleId="1993">
    <w:name w:val="样式 标题 4Subsection标题 14标题 4 Char款标题1.1.1.1H4四 + 加粗1 Char"/>
    <w:link w:val="1968"/>
    <w:qFormat/>
    <w:uiPriority w:val="0"/>
    <w:rPr>
      <w:rFonts w:ascii="Arial" w:hAnsi="Arial" w:eastAsia="宋体"/>
      <w:bCs/>
      <w:sz w:val="24"/>
      <w:szCs w:val="24"/>
      <w:lang w:val="en-US" w:eastAsia="zh-CN" w:bidi="ar-SA"/>
    </w:rPr>
  </w:style>
  <w:style w:type="paragraph" w:customStyle="1" w:styleId="1994">
    <w:name w:val="样式 标题 4Subsection标题 14标题 4 Char款标题1.1.1.1H4四 + (西文) Times ..."/>
    <w:basedOn w:val="6"/>
    <w:next w:val="1"/>
    <w:link w:val="1995"/>
    <w:qFormat/>
    <w:uiPriority w:val="0"/>
    <w:pPr>
      <w:numPr>
        <w:ilvl w:val="0"/>
        <w:numId w:val="0"/>
      </w:numPr>
      <w:tabs>
        <w:tab w:val="clear" w:pos="480"/>
      </w:tabs>
      <w:spacing w:beforeLines="50" w:after="0" w:line="480" w:lineRule="exact"/>
      <w:ind w:firstLine="471"/>
      <w:textAlignment w:val="baseline"/>
    </w:pPr>
    <w:rPr>
      <w:rFonts w:ascii="Arial" w:hAnsi="Arial" w:eastAsia="宋体" w:cs="Arial"/>
      <w:bCs w:val="0"/>
      <w:kern w:val="0"/>
      <w:sz w:val="24"/>
      <w:szCs w:val="24"/>
      <w:lang w:val="en-US"/>
    </w:rPr>
  </w:style>
  <w:style w:type="character" w:customStyle="1" w:styleId="1995">
    <w:name w:val="样式 标题 4Subsection标题 14标题 4 Char款标题1.1.1.1H4四 + (西文) Times ... Char"/>
    <w:link w:val="1994"/>
    <w:qFormat/>
    <w:uiPriority w:val="0"/>
    <w:rPr>
      <w:rFonts w:ascii="Arial" w:hAnsi="Arial" w:eastAsia="宋体" w:cs="Arial"/>
      <w:b/>
      <w:sz w:val="24"/>
      <w:szCs w:val="24"/>
      <w:lang w:val="en-US" w:eastAsia="zh-CN" w:bidi="ar-SA"/>
    </w:rPr>
  </w:style>
  <w:style w:type="paragraph" w:customStyle="1" w:styleId="1996">
    <w:name w:val="样式 仿宋_GB2312 四号"/>
    <w:basedOn w:val="1"/>
    <w:qFormat/>
    <w:uiPriority w:val="0"/>
    <w:pPr>
      <w:tabs>
        <w:tab w:val="clear" w:pos="480"/>
      </w:tabs>
      <w:adjustRightInd w:val="0"/>
      <w:spacing w:line="480" w:lineRule="exact"/>
      <w:ind w:firstLine="480"/>
      <w:textAlignment w:val="baseline"/>
    </w:pPr>
    <w:rPr>
      <w:rFonts w:ascii="宋体" w:hAnsi="宋体"/>
      <w:szCs w:val="20"/>
    </w:rPr>
  </w:style>
  <w:style w:type="paragraph" w:customStyle="1" w:styleId="1997">
    <w:name w:val="样式 表格文字 + 段后: 6 磅"/>
    <w:basedOn w:val="222"/>
    <w:qFormat/>
    <w:uiPriority w:val="0"/>
    <w:pPr>
      <w:wordWrap w:val="0"/>
      <w:topLinePunct/>
      <w:ind w:firstLine="210"/>
    </w:pPr>
    <w:rPr>
      <w:rFonts w:ascii="Arial" w:hAnsi="Arial" w:cs="宋体"/>
      <w:color w:val="000000"/>
      <w:kern w:val="0"/>
      <w:szCs w:val="20"/>
      <w:lang w:val="eu-ES"/>
    </w:rPr>
  </w:style>
  <w:style w:type="paragraph" w:customStyle="1" w:styleId="1998">
    <w:name w:val="麦志勤标题四"/>
    <w:basedOn w:val="1"/>
    <w:qFormat/>
    <w:uiPriority w:val="0"/>
    <w:pPr>
      <w:tabs>
        <w:tab w:val="clear" w:pos="480"/>
      </w:tabs>
      <w:adjustRightInd w:val="0"/>
      <w:snapToGrid w:val="0"/>
      <w:spacing w:beforeLines="100" w:line="300" w:lineRule="auto"/>
      <w:outlineLvl w:val="3"/>
    </w:pPr>
    <w:rPr>
      <w:rFonts w:ascii="黑体" w:eastAsia="黑体"/>
      <w:snapToGrid w:val="0"/>
      <w:kern w:val="0"/>
      <w:sz w:val="30"/>
    </w:rPr>
  </w:style>
  <w:style w:type="paragraph" w:customStyle="1" w:styleId="1999">
    <w:name w:val="麦志勤正文"/>
    <w:basedOn w:val="1"/>
    <w:qFormat/>
    <w:uiPriority w:val="0"/>
    <w:pPr>
      <w:tabs>
        <w:tab w:val="clear" w:pos="480"/>
      </w:tabs>
      <w:adjustRightInd w:val="0"/>
      <w:snapToGrid w:val="0"/>
      <w:spacing w:beforeLines="20" w:line="300" w:lineRule="auto"/>
    </w:pPr>
    <w:rPr>
      <w:rFonts w:ascii="宋体" w:hAnsi="宋体" w:cs="Courier New"/>
      <w:snapToGrid w:val="0"/>
      <w:kern w:val="0"/>
      <w:szCs w:val="21"/>
      <w:lang w:val="en-GB"/>
    </w:rPr>
  </w:style>
  <w:style w:type="paragraph" w:customStyle="1" w:styleId="2000">
    <w:name w:val="样式 表格文字 + 段后: 6 磅1"/>
    <w:basedOn w:val="222"/>
    <w:qFormat/>
    <w:uiPriority w:val="0"/>
    <w:pPr>
      <w:wordWrap w:val="0"/>
      <w:topLinePunct/>
    </w:pPr>
    <w:rPr>
      <w:rFonts w:ascii="Arial" w:hAnsi="Arial" w:cs="宋体"/>
      <w:color w:val="000000"/>
      <w:szCs w:val="20"/>
      <w:lang w:val="eu-ES"/>
    </w:rPr>
  </w:style>
  <w:style w:type="character" w:customStyle="1" w:styleId="2001">
    <w:name w:val="正文（首行缩进两字） Char3"/>
    <w:qFormat/>
    <w:uiPriority w:val="0"/>
    <w:rPr>
      <w:rFonts w:eastAsia="仿宋_GB2312"/>
      <w:kern w:val="2"/>
      <w:sz w:val="24"/>
      <w:lang w:val="en-US" w:eastAsia="zh-CN" w:bidi="ar-SA"/>
    </w:rPr>
  </w:style>
  <w:style w:type="paragraph" w:customStyle="1" w:styleId="2002">
    <w:name w:val="样式 zhang正文 + (中文) 宋体"/>
    <w:basedOn w:val="1"/>
    <w:qFormat/>
    <w:uiPriority w:val="0"/>
    <w:pPr>
      <w:tabs>
        <w:tab w:val="clear" w:pos="480"/>
      </w:tabs>
      <w:autoSpaceDE w:val="0"/>
      <w:autoSpaceDN w:val="0"/>
      <w:adjustRightInd w:val="0"/>
      <w:snapToGrid w:val="0"/>
      <w:ind w:firstLine="539"/>
      <w:textAlignment w:val="baseline"/>
    </w:pPr>
    <w:rPr>
      <w:color w:val="000000"/>
      <w:kern w:val="0"/>
      <w:szCs w:val="20"/>
    </w:rPr>
  </w:style>
  <w:style w:type="character" w:customStyle="1" w:styleId="2003">
    <w:name w:val="毕一级 Char"/>
    <w:link w:val="2004"/>
    <w:qFormat/>
    <w:uiPriority w:val="0"/>
    <w:rPr>
      <w:rFonts w:eastAsia="黑体"/>
      <w:kern w:val="2"/>
      <w:sz w:val="36"/>
      <w:szCs w:val="24"/>
      <w:lang w:val="en-US" w:eastAsia="zh-CN" w:bidi="ar-SA"/>
    </w:rPr>
  </w:style>
  <w:style w:type="paragraph" w:customStyle="1" w:styleId="2004">
    <w:name w:val="毕一级"/>
    <w:basedOn w:val="1"/>
    <w:link w:val="2003"/>
    <w:qFormat/>
    <w:uiPriority w:val="0"/>
    <w:pPr>
      <w:tabs>
        <w:tab w:val="left" w:pos="0"/>
        <w:tab w:val="clear" w:pos="480"/>
      </w:tabs>
      <w:spacing w:before="300" w:after="300" w:line="520" w:lineRule="exact"/>
      <w:jc w:val="center"/>
    </w:pPr>
    <w:rPr>
      <w:rFonts w:eastAsia="黑体"/>
      <w:sz w:val="36"/>
    </w:rPr>
  </w:style>
  <w:style w:type="character" w:customStyle="1" w:styleId="2005">
    <w:name w:val="d1"/>
    <w:qFormat/>
    <w:uiPriority w:val="0"/>
    <w:rPr>
      <w:rFonts w:hint="default" w:ascii="ˎ̥" w:hAnsi="ˎ̥" w:eastAsia="宋体" w:cs="宋体"/>
      <w:color w:val="5C5C5C"/>
      <w:kern w:val="2"/>
      <w:sz w:val="23"/>
      <w:szCs w:val="23"/>
      <w:u w:val="none"/>
      <w:lang w:val="en-US" w:eastAsia="zh-CN" w:bidi="ar-SA"/>
    </w:rPr>
  </w:style>
  <w:style w:type="character" w:customStyle="1" w:styleId="2006">
    <w:name w:val="osx285"/>
    <w:qFormat/>
    <w:uiPriority w:val="0"/>
    <w:rPr>
      <w:rFonts w:ascii="宋体" w:hAnsi="宋体" w:eastAsia="宋体" w:cs="宋体"/>
      <w:kern w:val="2"/>
      <w:sz w:val="24"/>
      <w:szCs w:val="24"/>
      <w:lang w:val="en-US" w:eastAsia="zh-CN" w:bidi="ar-SA"/>
    </w:rPr>
  </w:style>
  <w:style w:type="character" w:customStyle="1" w:styleId="2007">
    <w:name w:val="图片（杨） Char"/>
    <w:link w:val="2008"/>
    <w:qFormat/>
    <w:uiPriority w:val="0"/>
    <w:rPr>
      <w:rFonts w:eastAsia="宋体"/>
      <w:kern w:val="2"/>
      <w:sz w:val="24"/>
      <w:szCs w:val="24"/>
      <w:lang w:val="en-US" w:eastAsia="zh-CN" w:bidi="ar-SA"/>
    </w:rPr>
  </w:style>
  <w:style w:type="paragraph" w:customStyle="1" w:styleId="2008">
    <w:name w:val="图片（杨）"/>
    <w:basedOn w:val="2009"/>
    <w:link w:val="2007"/>
    <w:qFormat/>
    <w:uiPriority w:val="0"/>
    <w:pPr>
      <w:spacing w:beforeLines="50"/>
    </w:pPr>
    <w:rPr>
      <w:rFonts w:eastAsia="宋体"/>
    </w:rPr>
  </w:style>
  <w:style w:type="paragraph" w:customStyle="1" w:styleId="2009">
    <w:name w:val="图名（杨）"/>
    <w:basedOn w:val="1"/>
    <w:link w:val="2016"/>
    <w:qFormat/>
    <w:uiPriority w:val="0"/>
    <w:pPr>
      <w:tabs>
        <w:tab w:val="clear" w:pos="480"/>
      </w:tabs>
      <w:spacing w:line="240" w:lineRule="auto"/>
      <w:jc w:val="center"/>
    </w:pPr>
    <w:rPr>
      <w:rFonts w:eastAsia="黑体"/>
    </w:rPr>
  </w:style>
  <w:style w:type="character" w:customStyle="1" w:styleId="2010">
    <w:name w:val="顺德-正文 Char"/>
    <w:link w:val="2011"/>
    <w:qFormat/>
    <w:uiPriority w:val="0"/>
    <w:rPr>
      <w:rFonts w:ascii="宋体" w:hAnsi="宋体" w:eastAsia="宋体" w:cs="宋体"/>
      <w:color w:val="000000"/>
      <w:kern w:val="2"/>
      <w:sz w:val="24"/>
      <w:lang w:val="en-US" w:eastAsia="zh-CN" w:bidi="ar-SA"/>
    </w:rPr>
  </w:style>
  <w:style w:type="paragraph" w:customStyle="1" w:styleId="2011">
    <w:name w:val="顺德-正文"/>
    <w:basedOn w:val="1"/>
    <w:link w:val="2010"/>
    <w:qFormat/>
    <w:uiPriority w:val="0"/>
    <w:pPr>
      <w:tabs>
        <w:tab w:val="clear" w:pos="480"/>
      </w:tabs>
      <w:ind w:firstLine="480"/>
      <w:jc w:val="left"/>
    </w:pPr>
    <w:rPr>
      <w:rFonts w:ascii="宋体" w:hAnsi="宋体" w:cs="宋体"/>
      <w:color w:val="000000"/>
      <w:szCs w:val="20"/>
    </w:rPr>
  </w:style>
  <w:style w:type="character" w:customStyle="1" w:styleId="2012">
    <w:name w:val="中气附件 Char"/>
    <w:link w:val="2013"/>
    <w:qFormat/>
    <w:uiPriority w:val="0"/>
    <w:rPr>
      <w:rFonts w:eastAsia="黑体"/>
      <w:b/>
      <w:bCs/>
      <w:smallCaps/>
      <w:kern w:val="44"/>
      <w:sz w:val="32"/>
      <w:szCs w:val="44"/>
      <w:lang w:val="en-US" w:eastAsia="zh-CN" w:bidi="ar-SA"/>
    </w:rPr>
  </w:style>
  <w:style w:type="paragraph" w:customStyle="1" w:styleId="2013">
    <w:name w:val="中气附件"/>
    <w:basedOn w:val="3"/>
    <w:link w:val="2012"/>
    <w:qFormat/>
    <w:uiPriority w:val="0"/>
    <w:pPr>
      <w:tabs>
        <w:tab w:val="clear" w:pos="480"/>
      </w:tabs>
      <w:spacing w:before="0" w:after="0"/>
      <w:jc w:val="right"/>
    </w:pPr>
    <w:rPr>
      <w:rFonts w:ascii="Times New Roman" w:eastAsia="黑体"/>
      <w:smallCaps/>
      <w:sz w:val="32"/>
      <w:lang w:val="en-US"/>
    </w:rPr>
  </w:style>
  <w:style w:type="character" w:customStyle="1" w:styleId="2014">
    <w:name w:val="表格内容1 Char"/>
    <w:qFormat/>
    <w:uiPriority w:val="0"/>
    <w:rPr>
      <w:rFonts w:ascii="宋体" w:hAnsi="宋体" w:eastAsia="宋体" w:cs="宋体"/>
      <w:kern w:val="2"/>
      <w:sz w:val="21"/>
      <w:szCs w:val="24"/>
      <w:lang w:val="en-US" w:eastAsia="zh-CN" w:bidi="ar-SA"/>
    </w:rPr>
  </w:style>
  <w:style w:type="character" w:customStyle="1" w:styleId="2015">
    <w:name w:val="表头 Char Char Char"/>
    <w:qFormat/>
    <w:uiPriority w:val="0"/>
    <w:rPr>
      <w:rFonts w:ascii="楷体_GB2312" w:hAnsi="宋体" w:eastAsia="宋体"/>
      <w:b/>
      <w:snapToGrid w:val="0"/>
      <w:sz w:val="24"/>
      <w:szCs w:val="24"/>
      <w:lang w:val="en-US" w:eastAsia="zh-CN" w:bidi="ar-SA"/>
    </w:rPr>
  </w:style>
  <w:style w:type="character" w:customStyle="1" w:styleId="2016">
    <w:name w:val="图名（杨） Char Char"/>
    <w:link w:val="2009"/>
    <w:qFormat/>
    <w:uiPriority w:val="0"/>
    <w:rPr>
      <w:rFonts w:eastAsia="黑体"/>
      <w:kern w:val="2"/>
      <w:sz w:val="24"/>
      <w:szCs w:val="24"/>
      <w:lang w:val="en-US" w:eastAsia="zh-CN" w:bidi="ar-SA"/>
    </w:rPr>
  </w:style>
  <w:style w:type="character" w:customStyle="1" w:styleId="2017">
    <w:name w:val="第3级标题 Char"/>
    <w:link w:val="1877"/>
    <w:qFormat/>
    <w:uiPriority w:val="0"/>
    <w:rPr>
      <w:rFonts w:eastAsia="华文中宋"/>
      <w:b/>
      <w:bCs/>
      <w:kern w:val="2"/>
      <w:sz w:val="30"/>
      <w:szCs w:val="30"/>
      <w:lang w:val="zh-CN"/>
    </w:rPr>
  </w:style>
  <w:style w:type="character" w:customStyle="1" w:styleId="2018">
    <w:name w:val="样式 段落 Char + Char"/>
    <w:qFormat/>
    <w:uiPriority w:val="0"/>
    <w:rPr>
      <w:rFonts w:ascii="宋体" w:hAnsi="宋体" w:eastAsia="宋体" w:cs="宋体"/>
      <w:kern w:val="2"/>
      <w:sz w:val="24"/>
      <w:szCs w:val="24"/>
      <w:lang w:val="en-US" w:eastAsia="zh-CN" w:bidi="ar-SA"/>
    </w:rPr>
  </w:style>
  <w:style w:type="character" w:customStyle="1" w:styleId="2019">
    <w:name w:val="表头（杨） Char"/>
    <w:link w:val="2020"/>
    <w:qFormat/>
    <w:uiPriority w:val="0"/>
    <w:rPr>
      <w:rFonts w:ascii="宋体" w:hAnsi="宋体" w:eastAsia="宋体"/>
      <w:spacing w:val="10"/>
      <w:sz w:val="24"/>
      <w:szCs w:val="24"/>
      <w:lang w:val="en-US" w:eastAsia="zh-CN" w:bidi="ar-SA"/>
    </w:rPr>
  </w:style>
  <w:style w:type="paragraph" w:customStyle="1" w:styleId="2020">
    <w:name w:val="表头（杨）"/>
    <w:basedOn w:val="1"/>
    <w:link w:val="2019"/>
    <w:qFormat/>
    <w:uiPriority w:val="0"/>
    <w:pPr>
      <w:tabs>
        <w:tab w:val="clear" w:pos="480"/>
      </w:tabs>
      <w:spacing w:line="440" w:lineRule="exact"/>
      <w:jc w:val="center"/>
    </w:pPr>
    <w:rPr>
      <w:rFonts w:ascii="宋体" w:hAnsi="宋体"/>
      <w:spacing w:val="10"/>
      <w:kern w:val="0"/>
    </w:rPr>
  </w:style>
  <w:style w:type="character" w:customStyle="1" w:styleId="2021">
    <w:name w:val="段落 Char Char Char"/>
    <w:qFormat/>
    <w:uiPriority w:val="0"/>
    <w:rPr>
      <w:rFonts w:ascii="宋体" w:hAnsi="宋体" w:eastAsia="宋体" w:cs="宋体"/>
      <w:kern w:val="2"/>
      <w:sz w:val="24"/>
      <w:szCs w:val="24"/>
      <w:lang w:val="en-US" w:eastAsia="zh-CN" w:bidi="ar-SA"/>
    </w:rPr>
  </w:style>
  <w:style w:type="character" w:customStyle="1" w:styleId="2022">
    <w:name w:val="文章正文格式 Char"/>
    <w:link w:val="2023"/>
    <w:qFormat/>
    <w:uiPriority w:val="0"/>
    <w:rPr>
      <w:rFonts w:ascii="宋体" w:eastAsia="宋体"/>
      <w:spacing w:val="8"/>
      <w:kern w:val="2"/>
      <w:sz w:val="28"/>
      <w:szCs w:val="28"/>
      <w:lang w:val="en-US" w:eastAsia="zh-CN" w:bidi="ar-SA"/>
    </w:rPr>
  </w:style>
  <w:style w:type="paragraph" w:customStyle="1" w:styleId="2023">
    <w:name w:val="文章正文格式"/>
    <w:basedOn w:val="1"/>
    <w:link w:val="2022"/>
    <w:qFormat/>
    <w:uiPriority w:val="0"/>
    <w:pPr>
      <w:tabs>
        <w:tab w:val="clear" w:pos="480"/>
      </w:tabs>
      <w:snapToGrid w:val="0"/>
      <w:spacing w:line="540" w:lineRule="atLeast"/>
      <w:ind w:firstLine="578"/>
    </w:pPr>
    <w:rPr>
      <w:rFonts w:ascii="宋体"/>
      <w:spacing w:val="8"/>
      <w:sz w:val="28"/>
      <w:szCs w:val="28"/>
    </w:rPr>
  </w:style>
  <w:style w:type="character" w:customStyle="1" w:styleId="2024">
    <w:name w:val="t10l201"/>
    <w:qFormat/>
    <w:uiPriority w:val="0"/>
    <w:rPr>
      <w:rFonts w:ascii="宋体" w:hAnsi="宋体" w:eastAsia="宋体" w:cs="宋体"/>
      <w:kern w:val="2"/>
      <w:sz w:val="21"/>
      <w:szCs w:val="21"/>
      <w:lang w:val="en-US" w:eastAsia="zh-CN" w:bidi="ar-SA"/>
    </w:rPr>
  </w:style>
  <w:style w:type="character" w:customStyle="1" w:styleId="2025">
    <w:name w:val="引用 字符"/>
    <w:link w:val="2026"/>
    <w:qFormat/>
    <w:uiPriority w:val="0"/>
    <w:rPr>
      <w:rFonts w:eastAsia="宋体"/>
      <w:i/>
      <w:iCs/>
      <w:color w:val="000000"/>
      <w:kern w:val="2"/>
      <w:sz w:val="24"/>
      <w:szCs w:val="24"/>
      <w:lang w:val="en-US" w:eastAsia="zh-CN" w:bidi="ar-SA"/>
    </w:rPr>
  </w:style>
  <w:style w:type="paragraph" w:styleId="2026">
    <w:name w:val="Quote"/>
    <w:basedOn w:val="1"/>
    <w:next w:val="1"/>
    <w:link w:val="2025"/>
    <w:qFormat/>
    <w:uiPriority w:val="0"/>
    <w:pPr>
      <w:tabs>
        <w:tab w:val="left" w:pos="1830"/>
        <w:tab w:val="clear" w:pos="480"/>
      </w:tabs>
      <w:ind w:left="1830"/>
    </w:pPr>
    <w:rPr>
      <w:i/>
      <w:iCs/>
      <w:color w:val="000000"/>
    </w:rPr>
  </w:style>
  <w:style w:type="character" w:customStyle="1" w:styleId="2027">
    <w:name w:val="ily663"/>
    <w:qFormat/>
    <w:uiPriority w:val="0"/>
    <w:rPr>
      <w:rFonts w:ascii="宋体" w:hAnsi="宋体" w:eastAsia="宋体" w:cs="宋体"/>
      <w:kern w:val="2"/>
      <w:sz w:val="24"/>
      <w:szCs w:val="24"/>
      <w:lang w:val="en-US" w:eastAsia="zh-CN" w:bidi="ar-SA"/>
    </w:rPr>
  </w:style>
  <w:style w:type="character" w:customStyle="1" w:styleId="2028">
    <w:name w:val="样式 0 + 加粗 Char"/>
    <w:link w:val="2029"/>
    <w:qFormat/>
    <w:uiPriority w:val="0"/>
    <w:rPr>
      <w:rFonts w:eastAsia="宋体"/>
      <w:b/>
      <w:bCs/>
      <w:sz w:val="21"/>
      <w:szCs w:val="21"/>
      <w:lang w:val="en-US" w:eastAsia="zh-CN" w:bidi="ar-SA"/>
    </w:rPr>
  </w:style>
  <w:style w:type="paragraph" w:customStyle="1" w:styleId="2029">
    <w:name w:val="样式 0 + 加粗"/>
    <w:basedOn w:val="1"/>
    <w:link w:val="2028"/>
    <w:qFormat/>
    <w:uiPriority w:val="0"/>
    <w:pPr>
      <w:tabs>
        <w:tab w:val="clear" w:pos="480"/>
      </w:tabs>
      <w:spacing w:line="440" w:lineRule="exact"/>
    </w:pPr>
    <w:rPr>
      <w:b/>
      <w:bCs/>
      <w:kern w:val="0"/>
      <w:sz w:val="21"/>
      <w:szCs w:val="21"/>
    </w:rPr>
  </w:style>
  <w:style w:type="character" w:customStyle="1" w:styleId="2030">
    <w:name w:val="样式 zhang正文 + (中文) 宋体 Char"/>
    <w:qFormat/>
    <w:uiPriority w:val="0"/>
    <w:rPr>
      <w:rFonts w:ascii="宋体" w:hAnsi="宋体" w:eastAsia="宋体" w:cs="宋体"/>
      <w:kern w:val="2"/>
      <w:sz w:val="24"/>
      <w:szCs w:val="24"/>
      <w:lang w:val="en-US" w:eastAsia="zh-CN" w:bidi="ar-SA"/>
    </w:rPr>
  </w:style>
  <w:style w:type="character" w:customStyle="1" w:styleId="2031">
    <w:name w:val="本文标题2 Char"/>
    <w:qFormat/>
    <w:uiPriority w:val="0"/>
    <w:rPr>
      <w:rFonts w:eastAsia="宋体"/>
      <w:b/>
      <w:bCs/>
      <w:smallCaps/>
      <w:kern w:val="2"/>
      <w:sz w:val="32"/>
      <w:szCs w:val="32"/>
      <w:lang w:val="en-US" w:eastAsia="zh-CN" w:bidi="ar-SA"/>
    </w:rPr>
  </w:style>
  <w:style w:type="paragraph" w:customStyle="1" w:styleId="2032">
    <w:name w:val="第1级标题"/>
    <w:basedOn w:val="3"/>
    <w:next w:val="1"/>
    <w:qFormat/>
    <w:uiPriority w:val="0"/>
    <w:pPr>
      <w:tabs>
        <w:tab w:val="clear" w:pos="480"/>
      </w:tabs>
      <w:spacing w:before="100" w:beforeAutospacing="1" w:after="100" w:afterAutospacing="1" w:line="560" w:lineRule="exact"/>
      <w:jc w:val="center"/>
    </w:pPr>
    <w:rPr>
      <w:rFonts w:ascii="Times New Roman" w:eastAsia="华文中宋"/>
      <w:color w:val="FF0000"/>
      <w:szCs w:val="36"/>
    </w:rPr>
  </w:style>
  <w:style w:type="paragraph" w:customStyle="1" w:styleId="2033">
    <w:name w:val="中气附图"/>
    <w:basedOn w:val="84"/>
    <w:qFormat/>
    <w:uiPriority w:val="0"/>
    <w:pPr>
      <w:widowControl w:val="0"/>
      <w:tabs>
        <w:tab w:val="left" w:pos="360"/>
        <w:tab w:val="left" w:pos="1188"/>
      </w:tabs>
      <w:adjustRightInd/>
      <w:snapToGrid/>
      <w:spacing w:before="0" w:after="0"/>
      <w:ind w:left="1188" w:hanging="720" w:firstLineChars="0"/>
    </w:pPr>
    <w:rPr>
      <w:rFonts w:eastAsia="黑体"/>
      <w:color w:val="auto"/>
      <w:sz w:val="32"/>
    </w:rPr>
  </w:style>
  <w:style w:type="paragraph" w:customStyle="1" w:styleId="2034">
    <w:name w:val="条文"/>
    <w:basedOn w:val="21"/>
    <w:qFormat/>
    <w:uiPriority w:val="0"/>
    <w:pPr>
      <w:tabs>
        <w:tab w:val="left" w:pos="1287"/>
        <w:tab w:val="left" w:pos="1472"/>
        <w:tab w:val="clear" w:pos="480"/>
      </w:tabs>
      <w:spacing w:beforeLines="50"/>
      <w:ind w:firstLine="567" w:firstLineChars="0"/>
    </w:pPr>
    <w:rPr>
      <w:sz w:val="28"/>
    </w:rPr>
  </w:style>
  <w:style w:type="paragraph" w:customStyle="1" w:styleId="2035">
    <w:name w:val="样式 [正文格式] + 小四 首行缩进:  2 字符"/>
    <w:basedOn w:val="1"/>
    <w:qFormat/>
    <w:uiPriority w:val="0"/>
    <w:pPr>
      <w:ind w:firstLine="480"/>
    </w:pPr>
  </w:style>
  <w:style w:type="paragraph" w:customStyle="1" w:styleId="2036">
    <w:name w:val="样式 样式 正文格式 + 段前: 0.5 行 + 首行缩进:  2 字符 段前: 0.5 行"/>
    <w:basedOn w:val="1"/>
    <w:qFormat/>
    <w:uiPriority w:val="0"/>
    <w:pPr>
      <w:widowControl/>
      <w:tabs>
        <w:tab w:val="clear" w:pos="480"/>
      </w:tabs>
      <w:spacing w:beforeLines="50" w:line="440" w:lineRule="exact"/>
      <w:ind w:firstLine="560"/>
      <w:jc w:val="left"/>
    </w:pPr>
    <w:rPr>
      <w:rFonts w:eastAsia="仿宋_GB2312" w:cs="宋体"/>
      <w:sz w:val="28"/>
      <w:szCs w:val="20"/>
    </w:rPr>
  </w:style>
  <w:style w:type="paragraph" w:customStyle="1" w:styleId="2037">
    <w:name w:val="样式 标题 1Head 1wsa一、h1标题2标题 1 CharPart'Document1.标题 1标1章..."/>
    <w:basedOn w:val="3"/>
    <w:qFormat/>
    <w:uiPriority w:val="0"/>
    <w:pPr>
      <w:tabs>
        <w:tab w:val="clear" w:pos="480"/>
      </w:tabs>
      <w:adjustRightInd w:val="0"/>
      <w:spacing w:before="156" w:after="156" w:line="440" w:lineRule="exact"/>
      <w:textAlignment w:val="baseline"/>
    </w:pPr>
    <w:rPr>
      <w:rFonts w:ascii="Times New Roman" w:eastAsia="方正大标宋简体" w:cs="宋体"/>
      <w:color w:val="FF0000"/>
      <w:sz w:val="32"/>
      <w:szCs w:val="20"/>
    </w:rPr>
  </w:style>
  <w:style w:type="paragraph" w:customStyle="1" w:styleId="2038">
    <w:name w:val="编制依据"/>
    <w:basedOn w:val="21"/>
    <w:qFormat/>
    <w:uiPriority w:val="0"/>
    <w:pPr>
      <w:tabs>
        <w:tab w:val="left" w:pos="1304"/>
        <w:tab w:val="clear" w:pos="480"/>
      </w:tabs>
      <w:spacing w:line="500" w:lineRule="exact"/>
      <w:ind w:left="1304" w:hanging="850" w:firstLineChars="0"/>
    </w:pPr>
    <w:rPr>
      <w:spacing w:val="-4"/>
      <w:sz w:val="28"/>
    </w:rPr>
  </w:style>
  <w:style w:type="paragraph" w:customStyle="1" w:styleId="2039">
    <w:name w:val="Char Char Char Char Char Char Char Char Char Char Char Char1 Char Char Char Char Char Char Char"/>
    <w:basedOn w:val="1"/>
    <w:qFormat/>
    <w:uiPriority w:val="0"/>
    <w:pPr>
      <w:tabs>
        <w:tab w:val="clear" w:pos="480"/>
      </w:tabs>
      <w:spacing w:line="240" w:lineRule="auto"/>
    </w:pPr>
    <w:rPr>
      <w:sz w:val="21"/>
    </w:rPr>
  </w:style>
  <w:style w:type="paragraph" w:customStyle="1" w:styleId="2040">
    <w:name w:val="标题 23"/>
    <w:basedOn w:val="1"/>
    <w:qFormat/>
    <w:uiPriority w:val="0"/>
    <w:pPr>
      <w:tabs>
        <w:tab w:val="clear" w:pos="480"/>
      </w:tabs>
      <w:spacing w:line="240" w:lineRule="auto"/>
    </w:pPr>
    <w:rPr>
      <w:sz w:val="21"/>
    </w:rPr>
  </w:style>
  <w:style w:type="paragraph" w:customStyle="1" w:styleId="2041">
    <w:name w:val="标题 21"/>
    <w:basedOn w:val="1"/>
    <w:qFormat/>
    <w:uiPriority w:val="0"/>
    <w:pPr>
      <w:tabs>
        <w:tab w:val="clear" w:pos="480"/>
      </w:tabs>
      <w:spacing w:line="240" w:lineRule="auto"/>
    </w:pPr>
    <w:rPr>
      <w:sz w:val="21"/>
    </w:rPr>
  </w:style>
  <w:style w:type="paragraph" w:customStyle="1" w:styleId="2042">
    <w:name w:val="毕二级"/>
    <w:basedOn w:val="1"/>
    <w:qFormat/>
    <w:uiPriority w:val="0"/>
    <w:pPr>
      <w:tabs>
        <w:tab w:val="clear" w:pos="480"/>
      </w:tabs>
      <w:spacing w:beforeLines="50" w:afterLines="50"/>
      <w:jc w:val="left"/>
    </w:pPr>
    <w:rPr>
      <w:rFonts w:eastAsia="黑体"/>
      <w:sz w:val="30"/>
    </w:rPr>
  </w:style>
  <w:style w:type="paragraph" w:customStyle="1" w:styleId="2043">
    <w:name w:val="样式 [正文格式] + 12.5 磅"/>
    <w:basedOn w:val="1"/>
    <w:next w:val="1"/>
    <w:qFormat/>
    <w:uiPriority w:val="0"/>
  </w:style>
  <w:style w:type="paragraph" w:customStyle="1" w:styleId="2044">
    <w:name w:val="【图片格式】"/>
    <w:next w:val="1874"/>
    <w:qFormat/>
    <w:uiPriority w:val="0"/>
    <w:pPr>
      <w:tabs>
        <w:tab w:val="left" w:pos="576"/>
      </w:tabs>
      <w:ind w:left="576" w:hanging="576"/>
      <w:jc w:val="center"/>
    </w:pPr>
    <w:rPr>
      <w:rFonts w:ascii="Times New Roman" w:hAnsi="Times New Roman" w:eastAsia="宋体" w:cs="Times New Roman"/>
      <w:kern w:val="2"/>
      <w:sz w:val="25"/>
      <w:szCs w:val="24"/>
      <w:lang w:val="en-US" w:eastAsia="zh-CN" w:bidi="ar-SA"/>
    </w:rPr>
  </w:style>
  <w:style w:type="paragraph" w:customStyle="1" w:styleId="2045">
    <w:name w:val="样式 0 + 黑体 加粗 紫罗兰"/>
    <w:basedOn w:val="1"/>
    <w:qFormat/>
    <w:uiPriority w:val="0"/>
    <w:pPr>
      <w:tabs>
        <w:tab w:val="clear" w:pos="480"/>
      </w:tabs>
      <w:spacing w:line="440" w:lineRule="exact"/>
    </w:pPr>
    <w:rPr>
      <w:rFonts w:ascii="黑体" w:hAnsi="黑体" w:eastAsia="黑体" w:cs="宋体"/>
      <w:b/>
      <w:bCs/>
      <w:color w:val="800080"/>
      <w:spacing w:val="10"/>
      <w:kern w:val="0"/>
      <w:szCs w:val="20"/>
    </w:rPr>
  </w:style>
  <w:style w:type="paragraph" w:customStyle="1" w:styleId="2046">
    <w:name w:val="第4级标题"/>
    <w:basedOn w:val="6"/>
    <w:next w:val="1"/>
    <w:qFormat/>
    <w:uiPriority w:val="0"/>
    <w:pPr>
      <w:numPr>
        <w:ilvl w:val="0"/>
        <w:numId w:val="0"/>
      </w:numPr>
      <w:tabs>
        <w:tab w:val="left" w:pos="864"/>
        <w:tab w:val="clear" w:pos="480"/>
      </w:tabs>
      <w:spacing w:beforeLines="50" w:beforeAutospacing="1" w:after="100" w:afterAutospacing="1" w:line="460" w:lineRule="exact"/>
      <w:ind w:left="864" w:hanging="864"/>
    </w:pPr>
    <w:rPr>
      <w:rFonts w:ascii="Times New Roman" w:hAnsi="Times New Roman" w:eastAsia="华文中宋"/>
    </w:rPr>
  </w:style>
  <w:style w:type="paragraph" w:customStyle="1" w:styleId="2047">
    <w:name w:val="样式 第2级标题 + (中文) 宋体"/>
    <w:basedOn w:val="1"/>
    <w:qFormat/>
    <w:uiPriority w:val="0"/>
    <w:pPr>
      <w:tabs>
        <w:tab w:val="left" w:pos="1800"/>
        <w:tab w:val="left" w:pos="1984"/>
      </w:tabs>
      <w:spacing w:before="156" w:after="156"/>
      <w:ind w:left="1984" w:hanging="708"/>
    </w:pPr>
    <w:rPr>
      <w:smallCaps/>
    </w:rPr>
  </w:style>
  <w:style w:type="paragraph" w:customStyle="1" w:styleId="2048">
    <w:name w:val="样式 [正文格式] + 首行缩进:  2 字符"/>
    <w:basedOn w:val="1"/>
    <w:qFormat/>
    <w:uiPriority w:val="0"/>
    <w:pPr>
      <w:ind w:firstLine="480"/>
    </w:pPr>
  </w:style>
  <w:style w:type="paragraph" w:customStyle="1" w:styleId="2049">
    <w:name w:val="默认段落字体 Para Char Char Char1 Char Char Char Char"/>
    <w:basedOn w:val="1"/>
    <w:qFormat/>
    <w:uiPriority w:val="0"/>
    <w:pPr>
      <w:tabs>
        <w:tab w:val="clear" w:pos="480"/>
      </w:tabs>
      <w:spacing w:line="240" w:lineRule="auto"/>
    </w:pPr>
  </w:style>
  <w:style w:type="paragraph" w:customStyle="1" w:styleId="2050">
    <w:name w:val="样式 小四 黑色 首行缩进:  0.85 厘米 行距: 固定值 22 磅"/>
    <w:basedOn w:val="1"/>
    <w:qFormat/>
    <w:uiPriority w:val="0"/>
    <w:pPr>
      <w:tabs>
        <w:tab w:val="clear" w:pos="480"/>
      </w:tabs>
      <w:spacing w:line="440" w:lineRule="exact"/>
      <w:ind w:firstLine="482"/>
    </w:pPr>
    <w:rPr>
      <w:rFonts w:cs="宋体"/>
      <w:color w:val="000000"/>
      <w:szCs w:val="20"/>
    </w:rPr>
  </w:style>
  <w:style w:type="paragraph" w:customStyle="1" w:styleId="2051">
    <w:name w:val="标题 11"/>
    <w:basedOn w:val="1"/>
    <w:qFormat/>
    <w:uiPriority w:val="0"/>
    <w:pPr>
      <w:tabs>
        <w:tab w:val="clear" w:pos="480"/>
      </w:tabs>
      <w:spacing w:line="240" w:lineRule="auto"/>
    </w:pPr>
    <w:rPr>
      <w:sz w:val="21"/>
    </w:rPr>
  </w:style>
  <w:style w:type="paragraph" w:customStyle="1" w:styleId="2052">
    <w:name w:val="本文标题1"/>
    <w:basedOn w:val="2037"/>
    <w:qFormat/>
    <w:uiPriority w:val="0"/>
    <w:pPr>
      <w:spacing w:before="0" w:after="0"/>
      <w:jc w:val="center"/>
    </w:pPr>
    <w:rPr>
      <w:rFonts w:ascii="方正大标宋简体" w:cs="Times New Roman"/>
      <w:sz w:val="36"/>
      <w:szCs w:val="36"/>
    </w:rPr>
  </w:style>
  <w:style w:type="paragraph" w:customStyle="1" w:styleId="2053">
    <w:name w:val="样式 标题 2 + 段前: 7.8 磅"/>
    <w:basedOn w:val="4"/>
    <w:qFormat/>
    <w:uiPriority w:val="0"/>
    <w:pPr>
      <w:keepNext w:val="0"/>
      <w:keepLines w:val="0"/>
      <w:tabs>
        <w:tab w:val="left" w:pos="697"/>
        <w:tab w:val="clear" w:pos="480"/>
        <w:tab w:val="clear" w:pos="630"/>
      </w:tabs>
      <w:spacing w:before="0" w:after="0"/>
      <w:ind w:left="360" w:hanging="360"/>
    </w:pPr>
    <w:rPr>
      <w:rFonts w:eastAsia="黑体" w:cs="宋体"/>
      <w:sz w:val="30"/>
      <w:szCs w:val="20"/>
    </w:rPr>
  </w:style>
  <w:style w:type="paragraph" w:customStyle="1" w:styleId="2054">
    <w:name w:val="段落 Char Char"/>
    <w:basedOn w:val="1"/>
    <w:qFormat/>
    <w:uiPriority w:val="0"/>
    <w:pPr>
      <w:tabs>
        <w:tab w:val="clear" w:pos="480"/>
      </w:tabs>
      <w:topLinePunct/>
      <w:snapToGrid w:val="0"/>
    </w:pPr>
  </w:style>
  <w:style w:type="paragraph" w:customStyle="1" w:styleId="2055">
    <w:name w:val="标题 32"/>
    <w:basedOn w:val="1"/>
    <w:qFormat/>
    <w:uiPriority w:val="0"/>
    <w:pPr>
      <w:tabs>
        <w:tab w:val="clear" w:pos="480"/>
      </w:tabs>
      <w:spacing w:line="240" w:lineRule="auto"/>
    </w:pPr>
    <w:rPr>
      <w:sz w:val="21"/>
    </w:rPr>
  </w:style>
  <w:style w:type="paragraph" w:customStyle="1" w:styleId="2056">
    <w:name w:val="样式 首行缩进 Char + 首行缩进:  2.57 字符"/>
    <w:basedOn w:val="1"/>
    <w:qFormat/>
    <w:uiPriority w:val="0"/>
    <w:pPr>
      <w:tabs>
        <w:tab w:val="clear" w:pos="480"/>
      </w:tabs>
      <w:spacing w:beforeLines="50" w:afterLines="50"/>
      <w:ind w:firstLine="480"/>
    </w:pPr>
    <w:rPr>
      <w:color w:val="000000"/>
    </w:rPr>
  </w:style>
  <w:style w:type="paragraph" w:customStyle="1" w:styleId="2057">
    <w:name w:val="本文标题 3"/>
    <w:basedOn w:val="1"/>
    <w:qFormat/>
    <w:uiPriority w:val="0"/>
    <w:pPr>
      <w:tabs>
        <w:tab w:val="left" w:pos="0"/>
        <w:tab w:val="clear" w:pos="480"/>
      </w:tabs>
      <w:spacing w:line="240" w:lineRule="auto"/>
    </w:pPr>
    <w:rPr>
      <w:sz w:val="21"/>
    </w:rPr>
  </w:style>
  <w:style w:type="paragraph" w:customStyle="1" w:styleId="2058">
    <w:name w:val="文本框10号"/>
    <w:basedOn w:val="1"/>
    <w:qFormat/>
    <w:uiPriority w:val="0"/>
    <w:pPr>
      <w:tabs>
        <w:tab w:val="clear" w:pos="480"/>
      </w:tabs>
      <w:spacing w:line="240" w:lineRule="auto"/>
    </w:pPr>
    <w:rPr>
      <w:sz w:val="20"/>
      <w:szCs w:val="20"/>
    </w:rPr>
  </w:style>
  <w:style w:type="paragraph" w:customStyle="1" w:styleId="2059">
    <w:name w:val="图表"/>
    <w:basedOn w:val="1"/>
    <w:qFormat/>
    <w:uiPriority w:val="0"/>
    <w:pPr>
      <w:tabs>
        <w:tab w:val="clear" w:pos="480"/>
      </w:tabs>
      <w:spacing w:afterLines="50" w:line="240" w:lineRule="auto"/>
      <w:jc w:val="center"/>
    </w:pPr>
    <w:rPr>
      <w:bCs/>
    </w:rPr>
  </w:style>
  <w:style w:type="paragraph" w:customStyle="1" w:styleId="2060">
    <w:name w:val="wpsplain"/>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061">
    <w:name w:val="仿宋体"/>
    <w:basedOn w:val="1"/>
    <w:qFormat/>
    <w:uiPriority w:val="0"/>
    <w:pPr>
      <w:widowControl/>
      <w:tabs>
        <w:tab w:val="clear" w:pos="480"/>
      </w:tabs>
      <w:spacing w:line="844" w:lineRule="atLeast"/>
      <w:ind w:firstLine="419"/>
      <w:textAlignment w:val="baseline"/>
    </w:pPr>
    <w:rPr>
      <w:rFonts w:eastAsia="仿宋_GB2312"/>
      <w:color w:val="000000"/>
      <w:kern w:val="0"/>
      <w:sz w:val="31"/>
      <w:szCs w:val="20"/>
      <w:u w:color="000000"/>
    </w:rPr>
  </w:style>
  <w:style w:type="paragraph" w:customStyle="1" w:styleId="2062">
    <w:name w:val="表内小四中"/>
    <w:basedOn w:val="1"/>
    <w:qFormat/>
    <w:uiPriority w:val="0"/>
    <w:pPr>
      <w:tabs>
        <w:tab w:val="clear" w:pos="480"/>
      </w:tabs>
      <w:adjustRightInd w:val="0"/>
      <w:snapToGrid w:val="0"/>
      <w:spacing w:line="240" w:lineRule="auto"/>
      <w:ind w:left="-131" w:right="-132"/>
      <w:jc w:val="center"/>
      <w:textAlignment w:val="baseline"/>
    </w:pPr>
    <w:rPr>
      <w:kern w:val="0"/>
      <w:szCs w:val="20"/>
    </w:rPr>
  </w:style>
  <w:style w:type="paragraph" w:customStyle="1" w:styleId="2063">
    <w:name w:val="正文 + 首行缩进:  2 字符"/>
    <w:basedOn w:val="1"/>
    <w:qFormat/>
    <w:uiPriority w:val="0"/>
    <w:pPr>
      <w:tabs>
        <w:tab w:val="clear" w:pos="480"/>
      </w:tabs>
      <w:spacing w:line="460" w:lineRule="exact"/>
      <w:ind w:firstLine="480"/>
    </w:pPr>
    <w:rPr>
      <w:szCs w:val="20"/>
    </w:rPr>
  </w:style>
  <w:style w:type="paragraph" w:customStyle="1" w:styleId="2064">
    <w:name w:val="样式 毕二级 + 段前: 0.5 行 段后: 0.5 行"/>
    <w:basedOn w:val="1"/>
    <w:qFormat/>
    <w:uiPriority w:val="0"/>
    <w:pPr>
      <w:tabs>
        <w:tab w:val="left" w:pos="900"/>
        <w:tab w:val="clear" w:pos="480"/>
      </w:tabs>
      <w:spacing w:before="120" w:after="120"/>
      <w:ind w:left="480" w:firstLine="567"/>
    </w:pPr>
    <w:rPr>
      <w:rFonts w:cs="宋体"/>
      <w:bCs/>
      <w:szCs w:val="20"/>
    </w:rPr>
  </w:style>
  <w:style w:type="paragraph" w:customStyle="1" w:styleId="2065">
    <w:name w:val="表（杨）"/>
    <w:basedOn w:val="1"/>
    <w:qFormat/>
    <w:uiPriority w:val="0"/>
    <w:pPr>
      <w:tabs>
        <w:tab w:val="clear" w:pos="480"/>
      </w:tabs>
      <w:overflowPunct w:val="0"/>
      <w:autoSpaceDE w:val="0"/>
      <w:autoSpaceDN w:val="0"/>
      <w:spacing w:line="240" w:lineRule="auto"/>
      <w:jc w:val="center"/>
    </w:pPr>
    <w:rPr>
      <w:rFonts w:ascii="宋体" w:hAnsi="宋体"/>
      <w:color w:val="FF0000"/>
      <w:kern w:val="0"/>
      <w:sz w:val="21"/>
    </w:rPr>
  </w:style>
  <w:style w:type="paragraph" w:customStyle="1" w:styleId="2066">
    <w:name w:val="样式 正文缩进正文（首行缩进两字）正文（首行缩进两字） Char Char Char Char Char Char Char..."/>
    <w:basedOn w:val="21"/>
    <w:qFormat/>
    <w:uiPriority w:val="0"/>
    <w:pPr>
      <w:tabs>
        <w:tab w:val="left" w:pos="3360"/>
        <w:tab w:val="clear" w:pos="480"/>
      </w:tabs>
      <w:adjustRightInd w:val="0"/>
      <w:snapToGrid w:val="0"/>
      <w:ind w:firstLine="480"/>
      <w:textAlignment w:val="baseline"/>
    </w:pPr>
    <w:rPr>
      <w:rFonts w:ascii="宋体" w:hAnsi="宋体" w:cs="宋体"/>
      <w:snapToGrid w:val="0"/>
      <w:kern w:val="0"/>
    </w:rPr>
  </w:style>
  <w:style w:type="paragraph" w:customStyle="1" w:styleId="2067">
    <w:name w:val="本文标题 2"/>
    <w:basedOn w:val="1"/>
    <w:qFormat/>
    <w:uiPriority w:val="0"/>
    <w:pPr>
      <w:tabs>
        <w:tab w:val="left" w:pos="0"/>
        <w:tab w:val="clear" w:pos="480"/>
      </w:tabs>
      <w:spacing w:line="240" w:lineRule="auto"/>
    </w:pPr>
    <w:rPr>
      <w:sz w:val="21"/>
    </w:rPr>
  </w:style>
  <w:style w:type="paragraph" w:customStyle="1" w:styleId="2068">
    <w:name w:val="本文标题4"/>
    <w:basedOn w:val="6"/>
    <w:qFormat/>
    <w:uiPriority w:val="0"/>
    <w:pPr>
      <w:numPr>
        <w:ilvl w:val="0"/>
        <w:numId w:val="0"/>
      </w:numPr>
      <w:tabs>
        <w:tab w:val="left" w:pos="0"/>
        <w:tab w:val="clear" w:pos="480"/>
      </w:tabs>
      <w:adjustRightInd w:val="0"/>
      <w:spacing w:beforeLines="50" w:after="0" w:line="440" w:lineRule="exact"/>
      <w:jc w:val="left"/>
      <w:textAlignment w:val="baseline"/>
    </w:pPr>
    <w:rPr>
      <w:rFonts w:ascii="Times New Roman" w:hAnsi="Times New Roman" w:eastAsia="宋体"/>
      <w:b w:val="0"/>
      <w:bCs w:val="0"/>
      <w:kern w:val="0"/>
      <w:sz w:val="24"/>
      <w:szCs w:val="24"/>
    </w:rPr>
  </w:style>
  <w:style w:type="paragraph" w:customStyle="1" w:styleId="2069">
    <w:name w:val="图例"/>
    <w:basedOn w:val="1"/>
    <w:qFormat/>
    <w:uiPriority w:val="0"/>
    <w:pPr>
      <w:tabs>
        <w:tab w:val="clear" w:pos="480"/>
      </w:tabs>
      <w:spacing w:line="240" w:lineRule="auto"/>
      <w:jc w:val="center"/>
    </w:pPr>
    <w:rPr>
      <w:b/>
      <w:sz w:val="21"/>
    </w:rPr>
  </w:style>
  <w:style w:type="paragraph" w:customStyle="1" w:styleId="2070">
    <w:name w:val="标题 22"/>
    <w:basedOn w:val="1"/>
    <w:qFormat/>
    <w:uiPriority w:val="0"/>
    <w:pPr>
      <w:tabs>
        <w:tab w:val="clear" w:pos="480"/>
      </w:tabs>
      <w:spacing w:line="240" w:lineRule="auto"/>
    </w:pPr>
    <w:rPr>
      <w:sz w:val="21"/>
    </w:rPr>
  </w:style>
  <w:style w:type="paragraph" w:customStyle="1" w:styleId="2071">
    <w:name w:val="样式 宋体 小四 行距: 固定值 20 磅"/>
    <w:basedOn w:val="1"/>
    <w:qFormat/>
    <w:uiPriority w:val="0"/>
    <w:pPr>
      <w:tabs>
        <w:tab w:val="clear" w:pos="480"/>
      </w:tabs>
    </w:pPr>
    <w:rPr>
      <w:rFonts w:ascii="宋体" w:hAnsi="宋体" w:cs="宋体"/>
      <w:szCs w:val="20"/>
    </w:rPr>
  </w:style>
  <w:style w:type="paragraph" w:customStyle="1" w:styleId="2072">
    <w:name w:val="样式 (西文) 楷体_GB2312 (中文) 楷体_GB2312 (符号) 宋体 小四 首行缩进:  0.8 厘米 行..."/>
    <w:basedOn w:val="1"/>
    <w:qFormat/>
    <w:uiPriority w:val="0"/>
    <w:pPr>
      <w:tabs>
        <w:tab w:val="clear" w:pos="480"/>
      </w:tabs>
      <w:ind w:firstLine="559" w:firstLineChars="233"/>
    </w:pPr>
    <w:rPr>
      <w:rFonts w:ascii="宋体" w:hAnsi="宋体"/>
    </w:rPr>
  </w:style>
  <w:style w:type="paragraph" w:customStyle="1" w:styleId="2073">
    <w:name w:val="样式 表（杨） + 两端对齐"/>
    <w:basedOn w:val="2065"/>
    <w:qFormat/>
    <w:uiPriority w:val="0"/>
    <w:pPr/>
    <w:rPr>
      <w:rFonts w:cs="宋体"/>
      <w:szCs w:val="20"/>
    </w:rPr>
  </w:style>
  <w:style w:type="paragraph" w:customStyle="1" w:styleId="2074">
    <w:name w:val="样式 五号 左侧:  0.99 厘米"/>
    <w:basedOn w:val="1"/>
    <w:qFormat/>
    <w:uiPriority w:val="0"/>
    <w:pPr>
      <w:tabs>
        <w:tab w:val="left" w:pos="378"/>
        <w:tab w:val="clear" w:pos="480"/>
      </w:tabs>
      <w:adjustRightInd w:val="0"/>
      <w:snapToGrid w:val="0"/>
      <w:spacing w:line="240" w:lineRule="auto"/>
      <w:jc w:val="center"/>
    </w:pPr>
    <w:rPr>
      <w:rFonts w:cs="宋体"/>
      <w:sz w:val="21"/>
      <w:szCs w:val="20"/>
    </w:rPr>
  </w:style>
  <w:style w:type="paragraph" w:customStyle="1" w:styleId="2075">
    <w:name w:val="样式 12.5 磅 行距: 固定值 23 磅"/>
    <w:basedOn w:val="1"/>
    <w:qFormat/>
    <w:uiPriority w:val="0"/>
    <w:pPr>
      <w:tabs>
        <w:tab w:val="clear" w:pos="480"/>
      </w:tabs>
      <w:spacing w:line="460" w:lineRule="exact"/>
      <w:ind w:firstLine="500"/>
    </w:pPr>
    <w:rPr>
      <w:rFonts w:cs="宋体"/>
      <w:sz w:val="25"/>
      <w:szCs w:val="20"/>
    </w:rPr>
  </w:style>
  <w:style w:type="paragraph" w:customStyle="1" w:styleId="2076">
    <w:name w:val="样式 标题 4 + 段前: 1 行"/>
    <w:basedOn w:val="6"/>
    <w:qFormat/>
    <w:uiPriority w:val="0"/>
    <w:pPr>
      <w:keepNext w:val="0"/>
      <w:numPr>
        <w:ilvl w:val="0"/>
        <w:numId w:val="0"/>
      </w:numPr>
      <w:tabs>
        <w:tab w:val="left" w:pos="864"/>
        <w:tab w:val="clear" w:pos="480"/>
      </w:tabs>
      <w:spacing w:beforeLines="100" w:after="0" w:line="500" w:lineRule="atLeast"/>
    </w:pPr>
    <w:rPr>
      <w:rFonts w:ascii="Times New Roman" w:hAnsi="Times New Roman" w:cs="宋体"/>
    </w:rPr>
  </w:style>
  <w:style w:type="paragraph" w:customStyle="1" w:styleId="2077">
    <w:name w:val="样式 表头 + 小四"/>
    <w:basedOn w:val="73"/>
    <w:qFormat/>
    <w:uiPriority w:val="0"/>
    <w:pPr>
      <w:ind w:left="420" w:leftChars="0" w:firstLine="0" w:firstLineChars="0"/>
      <w:jc w:val="center"/>
    </w:pPr>
    <w:rPr>
      <w:b/>
      <w:bCs/>
      <w:sz w:val="24"/>
      <w:szCs w:val="20"/>
    </w:rPr>
  </w:style>
  <w:style w:type="paragraph" w:customStyle="1" w:styleId="2078">
    <w:name w:val="Y表格_正文"/>
    <w:qFormat/>
    <w:uiPriority w:val="0"/>
    <w:pPr>
      <w:widowControl w:val="0"/>
      <w:spacing w:line="0" w:lineRule="atLeast"/>
      <w:jc w:val="center"/>
    </w:pPr>
    <w:rPr>
      <w:rFonts w:ascii="Times New Roman" w:hAnsi="Times New Roman" w:eastAsia="宋体" w:cs="Times New Roman"/>
      <w:kern w:val="2"/>
      <w:sz w:val="21"/>
      <w:szCs w:val="21"/>
      <w:lang w:val="en-US" w:eastAsia="zh-CN" w:bidi="ar-SA"/>
    </w:rPr>
  </w:style>
  <w:style w:type="paragraph" w:customStyle="1" w:styleId="2079">
    <w:name w:val="标题二"/>
    <w:basedOn w:val="1"/>
    <w:next w:val="85"/>
    <w:semiHidden/>
    <w:qFormat/>
    <w:uiPriority w:val="0"/>
    <w:pPr>
      <w:tabs>
        <w:tab w:val="clear" w:pos="480"/>
      </w:tabs>
      <w:spacing w:line="960" w:lineRule="exact"/>
      <w:outlineLvl w:val="1"/>
    </w:pPr>
    <w:rPr>
      <w:rFonts w:ascii="Arial" w:hAnsi="Arial" w:eastAsia="黑体"/>
      <w:sz w:val="32"/>
      <w:szCs w:val="32"/>
    </w:rPr>
  </w:style>
  <w:style w:type="character" w:customStyle="1" w:styleId="2080">
    <w:name w:val="编号 Char"/>
    <w:qFormat/>
    <w:uiPriority w:val="0"/>
    <w:rPr>
      <w:rFonts w:eastAsia="宋体"/>
      <w:kern w:val="2"/>
      <w:sz w:val="24"/>
      <w:szCs w:val="24"/>
      <w:lang w:val="en-US" w:eastAsia="zh-CN" w:bidi="ar-SA"/>
    </w:rPr>
  </w:style>
  <w:style w:type="paragraph" w:customStyle="1" w:styleId="2081">
    <w:name w:val="表格（小）"/>
    <w:basedOn w:val="1"/>
    <w:qFormat/>
    <w:uiPriority w:val="0"/>
    <w:pPr>
      <w:tabs>
        <w:tab w:val="clear" w:pos="480"/>
      </w:tabs>
      <w:adjustRightInd w:val="0"/>
      <w:snapToGrid w:val="0"/>
      <w:spacing w:line="240" w:lineRule="auto"/>
      <w:jc w:val="center"/>
    </w:pPr>
    <w:rPr>
      <w:rFonts w:ascii="宋体" w:hAnsi="宋体"/>
      <w:snapToGrid w:val="0"/>
      <w:spacing w:val="6"/>
      <w:kern w:val="0"/>
      <w:sz w:val="21"/>
      <w:szCs w:val="20"/>
    </w:rPr>
  </w:style>
  <w:style w:type="character" w:customStyle="1" w:styleId="2082">
    <w:name w:val="公式 Char Char"/>
    <w:semiHidden/>
    <w:qFormat/>
    <w:uiPriority w:val="0"/>
    <w:rPr>
      <w:rFonts w:eastAsia="宋体"/>
      <w:kern w:val="2"/>
      <w:sz w:val="24"/>
      <w:szCs w:val="24"/>
      <w:lang w:val="en-US" w:eastAsia="zh-CN" w:bidi="ar-SA"/>
    </w:rPr>
  </w:style>
  <w:style w:type="character" w:customStyle="1" w:styleId="2083">
    <w:name w:val="正文 首行缩进:  2 字符 Char Char"/>
    <w:semiHidden/>
    <w:qFormat/>
    <w:uiPriority w:val="0"/>
    <w:rPr>
      <w:rFonts w:eastAsia="宋体" w:cs="宋体"/>
      <w:kern w:val="44"/>
      <w:sz w:val="24"/>
      <w:lang w:val="en-US" w:eastAsia="zh-CN" w:bidi="ar-SA"/>
    </w:rPr>
  </w:style>
  <w:style w:type="paragraph" w:customStyle="1" w:styleId="2084">
    <w:name w:val="Char Char Char Char Char Char Char Char Char Char Char Char Char Char Char Char"/>
    <w:basedOn w:val="1"/>
    <w:qFormat/>
    <w:uiPriority w:val="0"/>
    <w:pPr>
      <w:tabs>
        <w:tab w:val="clear" w:pos="480"/>
      </w:tabs>
      <w:spacing w:line="240" w:lineRule="auto"/>
    </w:pPr>
    <w:rPr>
      <w:sz w:val="21"/>
    </w:rPr>
  </w:style>
  <w:style w:type="paragraph" w:customStyle="1" w:styleId="2085">
    <w:name w:val="表格项目"/>
    <w:basedOn w:val="1"/>
    <w:semiHidden/>
    <w:qFormat/>
    <w:uiPriority w:val="0"/>
    <w:pPr>
      <w:tabs>
        <w:tab w:val="clear" w:pos="480"/>
      </w:tabs>
      <w:spacing w:beforeLines="30" w:afterLines="30" w:line="240" w:lineRule="auto"/>
    </w:pPr>
  </w:style>
  <w:style w:type="paragraph" w:customStyle="1" w:styleId="2086">
    <w:name w:val="网格"/>
    <w:next w:val="1"/>
    <w:semiHidden/>
    <w:qFormat/>
    <w:uiPriority w:val="0"/>
    <w:pPr>
      <w:pBdr>
        <w:top w:val="single" w:color="auto" w:sz="12" w:space="1"/>
        <w:bottom w:val="single" w:color="auto" w:sz="12" w:space="1"/>
        <w:between w:val="single" w:color="auto" w:sz="4" w:space="1"/>
      </w:pBdr>
      <w:jc w:val="center"/>
    </w:pPr>
    <w:rPr>
      <w:rFonts w:ascii="Times New Roman" w:hAnsi="Times New Roman" w:eastAsia="宋体" w:cs="Times New Roman"/>
      <w:kern w:val="2"/>
      <w:sz w:val="21"/>
      <w:szCs w:val="24"/>
      <w:lang w:val="en-US" w:eastAsia="zh-CN" w:bidi="ar-SA"/>
    </w:rPr>
  </w:style>
  <w:style w:type="paragraph" w:customStyle="1" w:styleId="2087">
    <w:name w:val="Char Char Char Char Char Char Char Char Char Char Char Char Char Char Char Char Char Char Char Char Char Char"/>
    <w:basedOn w:val="1"/>
    <w:qFormat/>
    <w:uiPriority w:val="0"/>
    <w:pPr>
      <w:tabs>
        <w:tab w:val="clear" w:pos="480"/>
      </w:tabs>
      <w:spacing w:line="240" w:lineRule="auto"/>
      <w:ind w:firstLine="468" w:firstLineChars="195"/>
    </w:pPr>
    <w:rPr>
      <w:sz w:val="21"/>
    </w:rPr>
  </w:style>
  <w:style w:type="paragraph" w:customStyle="1" w:styleId="2088">
    <w:name w:val="样式 标题 3 + 黑体 四号 非加粗 行距: 固定值 36 磅"/>
    <w:basedOn w:val="5"/>
    <w:semiHidden/>
    <w:qFormat/>
    <w:uiPriority w:val="0"/>
    <w:pPr>
      <w:tabs>
        <w:tab w:val="clear" w:pos="480"/>
        <w:tab w:val="clear" w:pos="840"/>
      </w:tabs>
      <w:spacing w:before="0" w:after="0" w:line="720" w:lineRule="exact"/>
    </w:pPr>
    <w:rPr>
      <w:rFonts w:ascii="黑体" w:hAnsi="黑体" w:eastAsia="黑体"/>
      <w:b w:val="0"/>
      <w:bCs w:val="0"/>
      <w:kern w:val="0"/>
      <w:sz w:val="28"/>
      <w:szCs w:val="20"/>
    </w:rPr>
  </w:style>
  <w:style w:type="paragraph" w:customStyle="1" w:styleId="2089">
    <w:name w:val="表格内文字 Char"/>
    <w:basedOn w:val="1"/>
    <w:semiHidden/>
    <w:qFormat/>
    <w:uiPriority w:val="0"/>
    <w:pPr>
      <w:tabs>
        <w:tab w:val="clear" w:pos="480"/>
      </w:tabs>
      <w:kinsoku w:val="0"/>
      <w:wordWrap w:val="0"/>
      <w:overflowPunct w:val="0"/>
      <w:spacing w:line="360" w:lineRule="exact"/>
      <w:jc w:val="center"/>
    </w:pPr>
    <w:rPr>
      <w:rFonts w:ascii="宋体" w:hAnsi="宋体" w:cs="Arial"/>
      <w:snapToGrid w:val="0"/>
      <w:kern w:val="44"/>
      <w:szCs w:val="48"/>
    </w:rPr>
  </w:style>
  <w:style w:type="paragraph" w:customStyle="1" w:styleId="2090">
    <w:name w:val="样式 标题 1 + 华文新魏 小一 非加粗 居中 段前: 0 磅 段后: 0 磅 行距: 固定值 60 磅"/>
    <w:basedOn w:val="3"/>
    <w:semiHidden/>
    <w:qFormat/>
    <w:uiPriority w:val="0"/>
    <w:pPr>
      <w:tabs>
        <w:tab w:val="left" w:pos="420"/>
        <w:tab w:val="left" w:pos="1440"/>
        <w:tab w:val="clear" w:pos="480"/>
      </w:tabs>
      <w:adjustRightInd w:val="0"/>
      <w:spacing w:before="180" w:after="120" w:line="1200" w:lineRule="exact"/>
      <w:ind w:left="1440" w:hanging="1440"/>
      <w:jc w:val="center"/>
      <w:textAlignment w:val="baseline"/>
    </w:pPr>
    <w:rPr>
      <w:rFonts w:ascii="华文新魏" w:eastAsia="华文新魏"/>
      <w:b w:val="0"/>
      <w:bCs w:val="0"/>
      <w:sz w:val="48"/>
      <w:szCs w:val="48"/>
    </w:rPr>
  </w:style>
  <w:style w:type="paragraph" w:customStyle="1" w:styleId="2091">
    <w:name w:val="样式 标题 3 Char Char + 黑体 四号 非加粗 段前: 0 磅 段后: 0 磅 行距: 固定值 36 磅"/>
    <w:basedOn w:val="5"/>
    <w:semiHidden/>
    <w:qFormat/>
    <w:uiPriority w:val="0"/>
    <w:pPr>
      <w:tabs>
        <w:tab w:val="clear" w:pos="480"/>
        <w:tab w:val="clear" w:pos="840"/>
      </w:tabs>
      <w:spacing w:before="0" w:after="0" w:line="720" w:lineRule="exact"/>
    </w:pPr>
    <w:rPr>
      <w:rFonts w:ascii="黑体" w:eastAsia="黑体"/>
      <w:b w:val="0"/>
      <w:bCs w:val="0"/>
      <w:sz w:val="28"/>
      <w:szCs w:val="28"/>
    </w:rPr>
  </w:style>
  <w:style w:type="paragraph" w:customStyle="1" w:styleId="2092">
    <w:name w:val="样式 居中"/>
    <w:basedOn w:val="1"/>
    <w:link w:val="4076"/>
    <w:qFormat/>
    <w:uiPriority w:val="0"/>
    <w:pPr>
      <w:tabs>
        <w:tab w:val="clear" w:pos="480"/>
      </w:tabs>
      <w:spacing w:line="520" w:lineRule="exact"/>
      <w:jc w:val="center"/>
    </w:pPr>
    <w:rPr>
      <w:kern w:val="44"/>
      <w:szCs w:val="20"/>
    </w:rPr>
  </w:style>
  <w:style w:type="paragraph" w:customStyle="1" w:styleId="2093">
    <w:name w:val="样式 正文 首行缩进:  2 字符 + 加粗 首行缩进:  2 字符"/>
    <w:basedOn w:val="1835"/>
    <w:semiHidden/>
    <w:qFormat/>
    <w:uiPriority w:val="0"/>
    <w:pPr>
      <w:ind w:firstLine="482"/>
    </w:pPr>
    <w:rPr>
      <w:bCs/>
      <w:szCs w:val="24"/>
    </w:rPr>
  </w:style>
  <w:style w:type="paragraph" w:customStyle="1" w:styleId="2094">
    <w:name w:val="样式 正文 首行缩进:  2 字符 + 加粗 首行缩进:  2 字符1"/>
    <w:basedOn w:val="1835"/>
    <w:semiHidden/>
    <w:qFormat/>
    <w:uiPriority w:val="0"/>
    <w:pPr>
      <w:ind w:firstLine="482"/>
    </w:pPr>
    <w:rPr>
      <w:bCs/>
      <w:szCs w:val="24"/>
    </w:rPr>
  </w:style>
  <w:style w:type="paragraph" w:customStyle="1" w:styleId="2095">
    <w:name w:val="样式 样式 样式 首行缩进:  2 字符 + 首行缩进:  2 字符 + 首行缩进:  2 字符"/>
    <w:basedOn w:val="1"/>
    <w:qFormat/>
    <w:uiPriority w:val="0"/>
    <w:pPr>
      <w:tabs>
        <w:tab w:val="clear" w:pos="480"/>
      </w:tabs>
      <w:spacing w:line="520" w:lineRule="exact"/>
    </w:pPr>
    <w:rPr>
      <w:szCs w:val="20"/>
    </w:rPr>
  </w:style>
  <w:style w:type="paragraph" w:customStyle="1" w:styleId="2096">
    <w:name w:val="样式 五号 居中"/>
    <w:basedOn w:val="1"/>
    <w:semiHidden/>
    <w:qFormat/>
    <w:uiPriority w:val="0"/>
    <w:pPr>
      <w:tabs>
        <w:tab w:val="clear" w:pos="480"/>
      </w:tabs>
      <w:spacing w:line="360" w:lineRule="exact"/>
      <w:jc w:val="center"/>
    </w:pPr>
    <w:rPr>
      <w:kern w:val="44"/>
      <w:szCs w:val="20"/>
    </w:rPr>
  </w:style>
  <w:style w:type="paragraph" w:customStyle="1" w:styleId="2097">
    <w:name w:val="样式 五号 居中 行距: 固定值 18 磅"/>
    <w:basedOn w:val="1"/>
    <w:semiHidden/>
    <w:qFormat/>
    <w:uiPriority w:val="0"/>
    <w:pPr>
      <w:tabs>
        <w:tab w:val="clear" w:pos="480"/>
      </w:tabs>
      <w:spacing w:line="360" w:lineRule="exact"/>
      <w:jc w:val="center"/>
    </w:pPr>
    <w:rPr>
      <w:kern w:val="44"/>
      <w:szCs w:val="20"/>
    </w:rPr>
  </w:style>
  <w:style w:type="paragraph" w:customStyle="1" w:styleId="2098">
    <w:name w:val="样式 五号 行距: 固定值 18 磅"/>
    <w:basedOn w:val="1"/>
    <w:semiHidden/>
    <w:qFormat/>
    <w:uiPriority w:val="0"/>
    <w:pPr>
      <w:tabs>
        <w:tab w:val="clear" w:pos="480"/>
      </w:tabs>
      <w:spacing w:line="360" w:lineRule="exact"/>
    </w:pPr>
    <w:rPr>
      <w:kern w:val="44"/>
      <w:szCs w:val="21"/>
    </w:rPr>
  </w:style>
  <w:style w:type="character" w:customStyle="1" w:styleId="2099">
    <w:name w:val="样式 五号"/>
    <w:semiHidden/>
    <w:qFormat/>
    <w:uiPriority w:val="0"/>
    <w:rPr>
      <w:rFonts w:eastAsia="宋体"/>
      <w:sz w:val="21"/>
    </w:rPr>
  </w:style>
  <w:style w:type="paragraph" w:customStyle="1" w:styleId="2100">
    <w:name w:val="样式 正文 首行缩进:  2 字符 Char + 黑体 首行缩进:  0 字符2"/>
    <w:basedOn w:val="1"/>
    <w:semiHidden/>
    <w:qFormat/>
    <w:uiPriority w:val="0"/>
    <w:pPr>
      <w:tabs>
        <w:tab w:val="clear" w:pos="480"/>
      </w:tabs>
      <w:spacing w:line="520" w:lineRule="exact"/>
    </w:pPr>
    <w:rPr>
      <w:rFonts w:ascii="黑体" w:eastAsia="黑体" w:cs="Arial"/>
      <w:kern w:val="44"/>
      <w:szCs w:val="48"/>
    </w:rPr>
  </w:style>
  <w:style w:type="character" w:customStyle="1" w:styleId="2101">
    <w:name w:val="表格内文字 Char Char"/>
    <w:qFormat/>
    <w:uiPriority w:val="0"/>
    <w:rPr>
      <w:rFonts w:ascii="宋体" w:hAnsi="宋体" w:eastAsia="宋体" w:cs="Arial"/>
      <w:snapToGrid w:val="0"/>
      <w:kern w:val="44"/>
      <w:sz w:val="21"/>
      <w:szCs w:val="48"/>
      <w:lang w:val="en-US" w:eastAsia="zh-CN" w:bidi="ar-SA"/>
    </w:rPr>
  </w:style>
  <w:style w:type="paragraph" w:customStyle="1" w:styleId="2102">
    <w:name w:val="图表文字"/>
    <w:basedOn w:val="1"/>
    <w:qFormat/>
    <w:uiPriority w:val="0"/>
    <w:pPr>
      <w:tabs>
        <w:tab w:val="clear" w:pos="480"/>
      </w:tabs>
      <w:spacing w:line="320" w:lineRule="exact"/>
      <w:jc w:val="center"/>
    </w:pPr>
    <w:rPr>
      <w:bCs/>
    </w:rPr>
  </w:style>
  <w:style w:type="paragraph" w:customStyle="1" w:styleId="2103">
    <w:name w:val="正文 首行缩进:  2 字符"/>
    <w:basedOn w:val="1"/>
    <w:qFormat/>
    <w:uiPriority w:val="0"/>
    <w:pPr>
      <w:tabs>
        <w:tab w:val="clear" w:pos="480"/>
      </w:tabs>
      <w:spacing w:line="520" w:lineRule="exact"/>
      <w:ind w:firstLine="480"/>
    </w:pPr>
    <w:rPr>
      <w:kern w:val="44"/>
      <w:szCs w:val="20"/>
    </w:rPr>
  </w:style>
  <w:style w:type="paragraph" w:customStyle="1" w:styleId="2104">
    <w:name w:val="样式 正文 首行缩进:  2 字符 Char + 黑体 首行缩进:  0 字符"/>
    <w:basedOn w:val="1"/>
    <w:semiHidden/>
    <w:qFormat/>
    <w:uiPriority w:val="0"/>
    <w:pPr>
      <w:tabs>
        <w:tab w:val="clear" w:pos="480"/>
      </w:tabs>
      <w:spacing w:line="520" w:lineRule="exact"/>
    </w:pPr>
    <w:rPr>
      <w:rFonts w:ascii="黑体" w:hAnsi="黑体" w:eastAsia="黑体" w:cs="Arial"/>
      <w:kern w:val="44"/>
      <w:szCs w:val="48"/>
    </w:rPr>
  </w:style>
  <w:style w:type="paragraph" w:customStyle="1" w:styleId="2105">
    <w:name w:val="样式 正文 首行缩进:  2 字符 Char + 黑体 首行缩进:  0 字符1"/>
    <w:basedOn w:val="1"/>
    <w:semiHidden/>
    <w:qFormat/>
    <w:uiPriority w:val="0"/>
    <w:pPr>
      <w:tabs>
        <w:tab w:val="clear" w:pos="480"/>
      </w:tabs>
      <w:spacing w:line="520" w:lineRule="exact"/>
    </w:pPr>
    <w:rPr>
      <w:rFonts w:ascii="黑体" w:hAnsi="黑体" w:eastAsia="黑体" w:cs="Arial"/>
      <w:kern w:val="0"/>
      <w:szCs w:val="48"/>
    </w:rPr>
  </w:style>
  <w:style w:type="paragraph" w:customStyle="1" w:styleId="2106">
    <w:name w:val="样式 正文 首行缩进:  2 字符 Char + (中文) 黑体"/>
    <w:basedOn w:val="1"/>
    <w:semiHidden/>
    <w:qFormat/>
    <w:uiPriority w:val="0"/>
    <w:pPr>
      <w:tabs>
        <w:tab w:val="clear" w:pos="480"/>
      </w:tabs>
      <w:spacing w:line="520" w:lineRule="exact"/>
    </w:pPr>
    <w:rPr>
      <w:rFonts w:eastAsia="黑体" w:cs="Arial"/>
      <w:kern w:val="44"/>
      <w:szCs w:val="48"/>
    </w:rPr>
  </w:style>
  <w:style w:type="character" w:customStyle="1" w:styleId="2107">
    <w:name w:val="样式 正文 首行缩进:  2 字符 Char + (中文) 黑体 Char"/>
    <w:semiHidden/>
    <w:qFormat/>
    <w:uiPriority w:val="0"/>
    <w:rPr>
      <w:rFonts w:eastAsia="黑体" w:cs="Arial"/>
      <w:kern w:val="44"/>
      <w:sz w:val="24"/>
      <w:szCs w:val="48"/>
      <w:lang w:val="en-US" w:eastAsia="zh-CN" w:bidi="ar-SA"/>
    </w:rPr>
  </w:style>
  <w:style w:type="paragraph" w:customStyle="1" w:styleId="2108">
    <w:name w:val="样式 正文 首行缩进:  2 字符 Char + 红色"/>
    <w:basedOn w:val="1"/>
    <w:semiHidden/>
    <w:qFormat/>
    <w:uiPriority w:val="0"/>
    <w:pPr>
      <w:tabs>
        <w:tab w:val="clear" w:pos="480"/>
      </w:tabs>
      <w:spacing w:line="520" w:lineRule="exact"/>
    </w:pPr>
    <w:rPr>
      <w:rFonts w:cs="Arial"/>
      <w:color w:val="FF0000"/>
      <w:szCs w:val="48"/>
    </w:rPr>
  </w:style>
  <w:style w:type="character" w:customStyle="1" w:styleId="2109">
    <w:name w:val="样式 正文 首行缩进:  2 字符 Char + 红色 Char"/>
    <w:semiHidden/>
    <w:qFormat/>
    <w:uiPriority w:val="0"/>
    <w:rPr>
      <w:rFonts w:eastAsia="宋体" w:cs="Arial"/>
      <w:color w:val="FF0000"/>
      <w:kern w:val="2"/>
      <w:sz w:val="24"/>
      <w:szCs w:val="48"/>
      <w:lang w:val="en-US" w:eastAsia="zh-CN" w:bidi="ar-SA"/>
    </w:rPr>
  </w:style>
  <w:style w:type="paragraph" w:customStyle="1" w:styleId="2110">
    <w:name w:val="样式 正文 首行缩进:  2 字符 Char + 黑体"/>
    <w:basedOn w:val="1835"/>
    <w:semiHidden/>
    <w:qFormat/>
    <w:uiPriority w:val="0"/>
    <w:pPr>
      <w:ind w:firstLine="0" w:firstLineChars="0"/>
    </w:pPr>
    <w:rPr>
      <w:rFonts w:ascii="黑体" w:hAnsi="黑体" w:eastAsia="黑体"/>
    </w:rPr>
  </w:style>
  <w:style w:type="paragraph" w:customStyle="1" w:styleId="2111">
    <w:name w:val="样式 黑体"/>
    <w:basedOn w:val="1"/>
    <w:semiHidden/>
    <w:qFormat/>
    <w:uiPriority w:val="0"/>
    <w:pPr>
      <w:tabs>
        <w:tab w:val="clear" w:pos="480"/>
      </w:tabs>
      <w:spacing w:line="520" w:lineRule="exact"/>
    </w:pPr>
    <w:rPr>
      <w:rFonts w:ascii="黑体" w:hAnsi="黑体" w:eastAsia="黑体" w:cs="Arial"/>
      <w:kern w:val="0"/>
      <w:szCs w:val="48"/>
    </w:rPr>
  </w:style>
  <w:style w:type="character" w:customStyle="1" w:styleId="2112">
    <w:name w:val="样式 黑体 Char"/>
    <w:semiHidden/>
    <w:qFormat/>
    <w:uiPriority w:val="0"/>
    <w:rPr>
      <w:rFonts w:ascii="黑体" w:hAnsi="黑体" w:eastAsia="黑体" w:cs="Arial"/>
      <w:sz w:val="24"/>
      <w:szCs w:val="48"/>
      <w:lang w:val="en-US" w:eastAsia="zh-CN" w:bidi="ar-SA"/>
    </w:rPr>
  </w:style>
  <w:style w:type="paragraph" w:customStyle="1" w:styleId="2113">
    <w:name w:val="样式 样式 正文 首行缩进:  2 字符 Char + 黑体 首行缩进:  0 字符2 +"/>
    <w:basedOn w:val="1"/>
    <w:semiHidden/>
    <w:qFormat/>
    <w:uiPriority w:val="0"/>
    <w:pPr>
      <w:tabs>
        <w:tab w:val="clear" w:pos="480"/>
      </w:tabs>
      <w:spacing w:line="520" w:lineRule="exact"/>
    </w:pPr>
    <w:rPr>
      <w:rFonts w:cs="Arial"/>
      <w:kern w:val="0"/>
      <w:szCs w:val="48"/>
    </w:rPr>
  </w:style>
  <w:style w:type="character" w:customStyle="1" w:styleId="2114">
    <w:name w:val="样式 正文 首行缩进:  2 字符 Char + 黑体 首行缩进:  0 字符 Char"/>
    <w:semiHidden/>
    <w:qFormat/>
    <w:uiPriority w:val="0"/>
    <w:rPr>
      <w:rFonts w:ascii="黑体" w:hAnsi="黑体" w:eastAsia="黑体" w:cs="Arial"/>
      <w:kern w:val="44"/>
      <w:sz w:val="24"/>
      <w:szCs w:val="48"/>
      <w:lang w:val="en-US" w:eastAsia="zh-CN" w:bidi="ar-SA"/>
    </w:rPr>
  </w:style>
  <w:style w:type="paragraph" w:customStyle="1" w:styleId="2115">
    <w:name w:val="样式 五号 居中1"/>
    <w:basedOn w:val="1"/>
    <w:semiHidden/>
    <w:qFormat/>
    <w:uiPriority w:val="0"/>
    <w:pPr>
      <w:tabs>
        <w:tab w:val="clear" w:pos="480"/>
      </w:tabs>
      <w:spacing w:line="360" w:lineRule="exact"/>
      <w:jc w:val="center"/>
    </w:pPr>
    <w:rPr>
      <w:kern w:val="0"/>
      <w:szCs w:val="20"/>
    </w:rPr>
  </w:style>
  <w:style w:type="paragraph" w:customStyle="1" w:styleId="2116">
    <w:name w:val="样式 正文 首行缩进:  2 字符 Char + 居中"/>
    <w:basedOn w:val="1835"/>
    <w:semiHidden/>
    <w:qFormat/>
    <w:uiPriority w:val="0"/>
    <w:pPr>
      <w:ind w:firstLine="0" w:firstLineChars="0"/>
      <w:jc w:val="center"/>
    </w:pPr>
  </w:style>
  <w:style w:type="character" w:customStyle="1" w:styleId="2117">
    <w:name w:val="f241"/>
    <w:qFormat/>
    <w:uiPriority w:val="0"/>
    <w:rPr>
      <w:sz w:val="48"/>
      <w:szCs w:val="48"/>
    </w:rPr>
  </w:style>
  <w:style w:type="character" w:customStyle="1" w:styleId="2118">
    <w:name w:val="MTEquationSection"/>
    <w:semiHidden/>
    <w:qFormat/>
    <w:uiPriority w:val="0"/>
    <w:rPr>
      <w:vanish/>
      <w:color w:val="FF0000"/>
    </w:rPr>
  </w:style>
  <w:style w:type="paragraph" w:customStyle="1" w:styleId="2119">
    <w:name w:val="Char Char Char Char Char Char Char Char Char Char Char Char Char Char Char Char Char Char Char Char Char Char Char Char Char Char Char Char Char Char Char Char Char Char"/>
    <w:basedOn w:val="1"/>
    <w:qFormat/>
    <w:uiPriority w:val="0"/>
    <w:pPr>
      <w:tabs>
        <w:tab w:val="clear" w:pos="480"/>
      </w:tabs>
      <w:spacing w:line="240" w:lineRule="auto"/>
    </w:pPr>
    <w:rPr>
      <w:sz w:val="21"/>
    </w:rPr>
  </w:style>
  <w:style w:type="paragraph" w:customStyle="1" w:styleId="2120">
    <w:name w:val="Char Char Char Char Char Char Char Char Char Char Char Char Char Char Char Char Char Char Char Char Char Char Char Char Char Char Char Char Char Char Char"/>
    <w:basedOn w:val="1"/>
    <w:qFormat/>
    <w:uiPriority w:val="0"/>
    <w:pPr>
      <w:tabs>
        <w:tab w:val="clear" w:pos="480"/>
      </w:tabs>
      <w:spacing w:line="240" w:lineRule="auto"/>
    </w:pPr>
    <w:rPr>
      <w:sz w:val="21"/>
    </w:rPr>
  </w:style>
  <w:style w:type="paragraph" w:customStyle="1" w:styleId="2121">
    <w:name w:val="Char Char Char1 Char Char Char Char Char"/>
    <w:basedOn w:val="1"/>
    <w:semiHidden/>
    <w:qFormat/>
    <w:uiPriority w:val="0"/>
    <w:pPr>
      <w:tabs>
        <w:tab w:val="clear" w:pos="480"/>
      </w:tabs>
      <w:spacing w:line="240" w:lineRule="auto"/>
    </w:pPr>
    <w:rPr>
      <w:sz w:val="21"/>
    </w:rPr>
  </w:style>
  <w:style w:type="paragraph" w:customStyle="1" w:styleId="2122">
    <w:name w:val="水专题1"/>
    <w:basedOn w:val="1"/>
    <w:semiHidden/>
    <w:qFormat/>
    <w:uiPriority w:val="0"/>
    <w:pPr>
      <w:tabs>
        <w:tab w:val="clear" w:pos="480"/>
      </w:tabs>
      <w:autoSpaceDE w:val="0"/>
      <w:autoSpaceDN w:val="0"/>
      <w:adjustRightInd w:val="0"/>
      <w:spacing w:line="240" w:lineRule="auto"/>
      <w:textAlignment w:val="baseline"/>
    </w:pPr>
    <w:rPr>
      <w:sz w:val="21"/>
      <w:szCs w:val="20"/>
    </w:rPr>
  </w:style>
  <w:style w:type="paragraph" w:customStyle="1" w:styleId="2123">
    <w:name w:val="样式 正文缩进"/>
    <w:basedOn w:val="21"/>
    <w:qFormat/>
    <w:uiPriority w:val="0"/>
    <w:pPr>
      <w:tabs>
        <w:tab w:val="clear" w:pos="480"/>
      </w:tabs>
      <w:ind w:firstLine="480"/>
      <w:jc w:val="left"/>
    </w:pPr>
    <w:rPr>
      <w:rFonts w:cs="宋体"/>
      <w:kern w:val="0"/>
      <w:szCs w:val="20"/>
    </w:rPr>
  </w:style>
  <w:style w:type="paragraph" w:customStyle="1" w:styleId="2124">
    <w:name w:val="Char Char Char Char Char Char Char Char Char1 Char"/>
    <w:basedOn w:val="1"/>
    <w:qFormat/>
    <w:uiPriority w:val="0"/>
    <w:pPr>
      <w:tabs>
        <w:tab w:val="clear" w:pos="480"/>
      </w:tabs>
      <w:spacing w:line="240" w:lineRule="auto"/>
    </w:pPr>
  </w:style>
  <w:style w:type="character" w:customStyle="1" w:styleId="2125">
    <w:name w:val="样式9 Char"/>
    <w:link w:val="626"/>
    <w:qFormat/>
    <w:uiPriority w:val="0"/>
    <w:rPr>
      <w:rFonts w:ascii="宋体" w:eastAsia="宋体"/>
      <w:snapToGrid w:val="0"/>
      <w:kern w:val="2"/>
      <w:sz w:val="24"/>
      <w:szCs w:val="24"/>
      <w:lang w:val="en-US" w:eastAsia="zh-CN" w:bidi="ar-SA"/>
    </w:rPr>
  </w:style>
  <w:style w:type="paragraph" w:customStyle="1" w:styleId="2126">
    <w:name w:val="Char Char Char Char Char Char Char Char Char Char Char Char Char Char Char Char Char 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character" w:customStyle="1" w:styleId="2127">
    <w:name w:val="fontstyle01"/>
    <w:qFormat/>
    <w:uiPriority w:val="0"/>
    <w:rPr>
      <w:rFonts w:hint="eastAsia" w:ascii="宋体" w:hAnsi="宋体" w:eastAsia="宋体"/>
      <w:color w:val="000000"/>
      <w:sz w:val="24"/>
      <w:szCs w:val="24"/>
    </w:rPr>
  </w:style>
  <w:style w:type="paragraph" w:customStyle="1" w:styleId="2128">
    <w:name w:val="公式段落 Char"/>
    <w:basedOn w:val="1"/>
    <w:semiHidden/>
    <w:qFormat/>
    <w:uiPriority w:val="0"/>
    <w:pPr>
      <w:tabs>
        <w:tab w:val="clear" w:pos="480"/>
      </w:tabs>
      <w:adjustRightInd w:val="0"/>
      <w:snapToGrid w:val="0"/>
      <w:spacing w:beforeLines="50"/>
      <w:ind w:firstLine="480"/>
      <w:textAlignment w:val="baseline"/>
    </w:pPr>
    <w:rPr>
      <w:snapToGrid w:val="0"/>
      <w:color w:val="000000"/>
      <w:kern w:val="0"/>
      <w:szCs w:val="21"/>
    </w:rPr>
  </w:style>
  <w:style w:type="paragraph" w:customStyle="1" w:styleId="2129">
    <w:name w:val="样式 公式段落 Char + 段前: 0.5 行1"/>
    <w:basedOn w:val="2128"/>
    <w:semiHidden/>
    <w:qFormat/>
    <w:uiPriority w:val="0"/>
    <w:pPr>
      <w:spacing w:beforeLines="0" w:line="520" w:lineRule="exact"/>
      <w:textAlignment w:val="center"/>
    </w:pPr>
    <w:rPr>
      <w:rFonts w:ascii="宋体" w:hAnsi="宋体"/>
      <w:bCs/>
      <w:szCs w:val="24"/>
    </w:rPr>
  </w:style>
  <w:style w:type="character" w:customStyle="1" w:styleId="2130">
    <w:name w:val="纯文本 字符"/>
    <w:link w:val="45"/>
    <w:qFormat/>
    <w:uiPriority w:val="0"/>
    <w:rPr>
      <w:rFonts w:ascii="宋体" w:hAnsi="Courier New" w:eastAsia="宋体"/>
      <w:kern w:val="2"/>
      <w:sz w:val="21"/>
      <w:lang w:val="en-US" w:eastAsia="zh-CN" w:bidi="ar-SA"/>
    </w:rPr>
  </w:style>
  <w:style w:type="paragraph" w:customStyle="1" w:styleId="2131">
    <w:name w:val="要点2"/>
    <w:basedOn w:val="1"/>
    <w:qFormat/>
    <w:uiPriority w:val="0"/>
    <w:pPr>
      <w:tabs>
        <w:tab w:val="clear" w:pos="480"/>
      </w:tabs>
      <w:adjustRightInd w:val="0"/>
      <w:snapToGrid w:val="0"/>
      <w:spacing w:beforeLines="20" w:line="360" w:lineRule="exact"/>
      <w:ind w:right="567" w:rightChars="270"/>
    </w:pPr>
    <w:rPr>
      <w:sz w:val="21"/>
      <w:szCs w:val="20"/>
    </w:rPr>
  </w:style>
  <w:style w:type="character" w:customStyle="1" w:styleId="2132">
    <w:name w:val="fontstyle21"/>
    <w:qFormat/>
    <w:uiPriority w:val="0"/>
    <w:rPr>
      <w:rFonts w:hint="default" w:ascii="TimesNewRomanPS-BoldMT" w:hAnsi="TimesNewRomanPS-BoldMT"/>
      <w:b/>
      <w:bCs/>
      <w:color w:val="000000"/>
      <w:sz w:val="28"/>
      <w:szCs w:val="28"/>
    </w:rPr>
  </w:style>
  <w:style w:type="paragraph" w:customStyle="1" w:styleId="2133">
    <w:name w:val="TTT3"/>
    <w:basedOn w:val="5"/>
    <w:qFormat/>
    <w:uiPriority w:val="0"/>
    <w:pPr>
      <w:spacing w:before="60" w:after="60" w:line="360" w:lineRule="auto"/>
    </w:pPr>
    <w:rPr>
      <w:rFonts w:ascii="宋体" w:hAnsi="宋体" w:eastAsia="宋体" w:cs="宋体"/>
      <w:szCs w:val="20"/>
    </w:rPr>
  </w:style>
  <w:style w:type="paragraph" w:customStyle="1" w:styleId="2134">
    <w:name w:val="样式 标题 2SeHead wsa2标题 1.1节H21Chapter TitleChapter节标题 1.1...1"/>
    <w:basedOn w:val="4"/>
    <w:qFormat/>
    <w:uiPriority w:val="0"/>
    <w:pPr>
      <w:tabs>
        <w:tab w:val="left" w:pos="711"/>
        <w:tab w:val="left" w:pos="855"/>
        <w:tab w:val="clear" w:pos="480"/>
        <w:tab w:val="clear" w:pos="630"/>
      </w:tabs>
      <w:adjustRightInd w:val="0"/>
      <w:spacing w:before="120"/>
      <w:ind w:left="711" w:hanging="432"/>
      <w:textAlignment w:val="baseline"/>
    </w:pPr>
    <w:rPr>
      <w:rFonts w:ascii="Arial" w:eastAsia="仿宋_GB2312" w:cs="Arial"/>
      <w:sz w:val="30"/>
      <w:szCs w:val="30"/>
    </w:rPr>
  </w:style>
  <w:style w:type="paragraph" w:customStyle="1" w:styleId="2135">
    <w:name w:val="样式 宋体 小四 行距: 固定值 26 磅"/>
    <w:basedOn w:val="1"/>
    <w:link w:val="2136"/>
    <w:qFormat/>
    <w:uiPriority w:val="0"/>
    <w:pPr>
      <w:tabs>
        <w:tab w:val="clear" w:pos="480"/>
      </w:tabs>
      <w:spacing w:line="520" w:lineRule="exact"/>
      <w:ind w:firstLine="480"/>
    </w:pPr>
    <w:rPr>
      <w:rFonts w:cs="宋体"/>
    </w:rPr>
  </w:style>
  <w:style w:type="character" w:customStyle="1" w:styleId="2136">
    <w:name w:val="样式 宋体 小四 行距: 固定值 26 磅 Char"/>
    <w:link w:val="2135"/>
    <w:qFormat/>
    <w:uiPriority w:val="0"/>
    <w:rPr>
      <w:rFonts w:eastAsia="宋体" w:cs="宋体"/>
      <w:kern w:val="2"/>
      <w:sz w:val="24"/>
      <w:szCs w:val="24"/>
      <w:lang w:val="en-US" w:eastAsia="zh-CN" w:bidi="ar-SA"/>
    </w:rPr>
  </w:style>
  <w:style w:type="character" w:customStyle="1" w:styleId="2137">
    <w:name w:val="fontstyle11"/>
    <w:qFormat/>
    <w:uiPriority w:val="0"/>
    <w:rPr>
      <w:rFonts w:hint="default" w:ascii="TimesNewRomanPSMT" w:hAnsi="TimesNewRomanPSMT"/>
      <w:color w:val="000000"/>
      <w:sz w:val="24"/>
      <w:szCs w:val="24"/>
    </w:rPr>
  </w:style>
  <w:style w:type="paragraph" w:customStyle="1" w:styleId="2138">
    <w:name w:val="样式 标题 44级标题 + 段前: 0 磅 段后: 0 磅 行距: 固定值 26 磅"/>
    <w:basedOn w:val="6"/>
    <w:qFormat/>
    <w:uiPriority w:val="0"/>
    <w:pPr>
      <w:numPr>
        <w:ilvl w:val="0"/>
        <w:numId w:val="0"/>
      </w:numPr>
      <w:tabs>
        <w:tab w:val="clear" w:pos="480"/>
      </w:tabs>
      <w:spacing w:before="0" w:after="0" w:line="520" w:lineRule="exact"/>
    </w:pPr>
    <w:rPr>
      <w:rFonts w:ascii="Arial" w:hAnsi="Arial" w:eastAsia="黑体" w:cs="宋体"/>
      <w:sz w:val="24"/>
      <w:szCs w:val="20"/>
    </w:rPr>
  </w:style>
  <w:style w:type="paragraph" w:customStyle="1" w:styleId="2139">
    <w:name w:val="样式 标题 5 + 首行缩进:  0.85 厘米"/>
    <w:basedOn w:val="7"/>
    <w:semiHidden/>
    <w:qFormat/>
    <w:uiPriority w:val="0"/>
    <w:pPr>
      <w:numPr>
        <w:ilvl w:val="0"/>
        <w:numId w:val="0"/>
      </w:numPr>
      <w:tabs>
        <w:tab w:val="clear" w:pos="480"/>
      </w:tabs>
      <w:adjustRightInd w:val="0"/>
      <w:snapToGrid w:val="0"/>
      <w:spacing w:beforeLines="50" w:after="0"/>
      <w:ind w:firstLine="482"/>
    </w:pPr>
    <w:rPr>
      <w:rFonts w:ascii="黑体" w:hAnsi="Times New Roman" w:eastAsia="黑体"/>
      <w:b w:val="0"/>
      <w:bCs/>
      <w:sz w:val="30"/>
    </w:rPr>
  </w:style>
  <w:style w:type="paragraph" w:customStyle="1" w:styleId="2140">
    <w:name w:val="样式 样式 样式 样式 标题 3 + 右侧:  1 字符 + 左侧:  1 字符 + 左  0 字符 + 左侧:  1 字符 ..."/>
    <w:basedOn w:val="6"/>
    <w:qFormat/>
    <w:uiPriority w:val="0"/>
    <w:pPr>
      <w:numPr>
        <w:ilvl w:val="0"/>
        <w:numId w:val="0"/>
      </w:numPr>
      <w:tabs>
        <w:tab w:val="left" w:pos="1680"/>
        <w:tab w:val="clear" w:pos="480"/>
      </w:tabs>
      <w:spacing w:before="0" w:after="0" w:line="240" w:lineRule="auto"/>
      <w:ind w:left="1680" w:right="100" w:rightChars="100" w:hanging="420"/>
      <w:jc w:val="left"/>
    </w:pPr>
    <w:rPr>
      <w:rFonts w:ascii="Arial" w:hAnsi="Arial" w:eastAsia="黑体"/>
      <w:bCs w:val="0"/>
      <w:sz w:val="21"/>
      <w:szCs w:val="20"/>
    </w:rPr>
  </w:style>
  <w:style w:type="paragraph" w:customStyle="1" w:styleId="2141">
    <w:name w:val="正文LA"/>
    <w:qFormat/>
    <w:uiPriority w:val="0"/>
    <w:pPr>
      <w:tabs>
        <w:tab w:val="left" w:pos="0"/>
      </w:tabs>
      <w:adjustRightInd w:val="0"/>
      <w:spacing w:beforeLines="50" w:line="360" w:lineRule="auto"/>
      <w:ind w:firstLine="225" w:firstLineChars="225"/>
      <w:jc w:val="both"/>
    </w:pPr>
    <w:rPr>
      <w:rFonts w:ascii="宋体" w:hAnsi="宋体" w:eastAsia="宋体" w:cs="Times New Roman"/>
      <w:snapToGrid w:val="0"/>
      <w:kern w:val="2"/>
      <w:sz w:val="24"/>
      <w:szCs w:val="24"/>
      <w:lang w:val="en-US" w:eastAsia="zh-CN" w:bidi="ar-SA"/>
    </w:rPr>
  </w:style>
  <w:style w:type="character" w:customStyle="1" w:styleId="2142">
    <w:name w:val="h5 Char"/>
    <w:qFormat/>
    <w:uiPriority w:val="0"/>
    <w:rPr>
      <w:rFonts w:eastAsia="宋体"/>
      <w:b/>
      <w:bCs/>
      <w:kern w:val="2"/>
      <w:sz w:val="28"/>
      <w:szCs w:val="28"/>
      <w:lang w:val="en-US" w:eastAsia="zh-CN" w:bidi="ar-SA"/>
    </w:rPr>
  </w:style>
  <w:style w:type="paragraph" w:customStyle="1" w:styleId="2143">
    <w:name w:val="Char Char Char Char Char Char Char Char Char Char Char Char Char Char Char Char2"/>
    <w:basedOn w:val="1"/>
    <w:semiHidden/>
    <w:qFormat/>
    <w:uiPriority w:val="0"/>
    <w:pPr>
      <w:tabs>
        <w:tab w:val="clear" w:pos="480"/>
      </w:tabs>
      <w:spacing w:line="240" w:lineRule="auto"/>
    </w:pPr>
    <w:rPr>
      <w:sz w:val="21"/>
    </w:rPr>
  </w:style>
  <w:style w:type="paragraph" w:customStyle="1" w:styleId="2144">
    <w:name w:val="Char Char Char Char Char Char Char Char Char Char Char Char Char Char Char Char Char Char Char Char Char Char3"/>
    <w:basedOn w:val="1"/>
    <w:semiHidden/>
    <w:qFormat/>
    <w:uiPriority w:val="0"/>
    <w:pPr>
      <w:tabs>
        <w:tab w:val="clear" w:pos="480"/>
      </w:tabs>
      <w:spacing w:line="240" w:lineRule="auto"/>
      <w:ind w:firstLine="468" w:firstLineChars="195"/>
    </w:pPr>
    <w:rPr>
      <w:sz w:val="21"/>
    </w:rPr>
  </w:style>
  <w:style w:type="paragraph" w:customStyle="1" w:styleId="2145">
    <w:name w:val="Char Char Char Char Char Char Char Char Char Char Char Char Char Char Char Char Char Char Char Char Char Char Char Char Char Char Char Char Char Char Char Char Char Char3"/>
    <w:basedOn w:val="1"/>
    <w:qFormat/>
    <w:uiPriority w:val="0"/>
    <w:pPr>
      <w:tabs>
        <w:tab w:val="clear" w:pos="480"/>
      </w:tabs>
      <w:spacing w:line="240" w:lineRule="auto"/>
    </w:pPr>
    <w:rPr>
      <w:sz w:val="21"/>
    </w:rPr>
  </w:style>
  <w:style w:type="paragraph" w:customStyle="1" w:styleId="2146">
    <w:name w:val="Char Char Char Char Char Char Char Char Char Char Char Char Char Char Char Char Char Char Char Char Char Char Char Char Char Char Char Char Char Char Char3"/>
    <w:basedOn w:val="1"/>
    <w:semiHidden/>
    <w:qFormat/>
    <w:uiPriority w:val="0"/>
    <w:pPr>
      <w:tabs>
        <w:tab w:val="clear" w:pos="480"/>
      </w:tabs>
      <w:spacing w:line="240" w:lineRule="auto"/>
    </w:pPr>
    <w:rPr>
      <w:sz w:val="21"/>
    </w:rPr>
  </w:style>
  <w:style w:type="paragraph" w:customStyle="1" w:styleId="2147">
    <w:name w:val="Char Char Char1 Char Char Char Char Char2"/>
    <w:basedOn w:val="1"/>
    <w:semiHidden/>
    <w:qFormat/>
    <w:uiPriority w:val="0"/>
    <w:pPr>
      <w:tabs>
        <w:tab w:val="clear" w:pos="480"/>
      </w:tabs>
      <w:spacing w:line="240" w:lineRule="auto"/>
    </w:pPr>
    <w:rPr>
      <w:sz w:val="21"/>
    </w:rPr>
  </w:style>
  <w:style w:type="paragraph" w:customStyle="1" w:styleId="2148">
    <w:name w:val="Char Char Char Char Char Char Char Char Char Char Char Char Char Char Char Char Char Char Char3"/>
    <w:basedOn w:val="1"/>
    <w:semiHidden/>
    <w:qFormat/>
    <w:uiPriority w:val="0"/>
    <w:pPr>
      <w:tabs>
        <w:tab w:val="clear" w:pos="480"/>
      </w:tabs>
      <w:adjustRightInd w:val="0"/>
      <w:spacing w:line="360" w:lineRule="atLeast"/>
      <w:textAlignment w:val="baseline"/>
    </w:pPr>
  </w:style>
  <w:style w:type="paragraph" w:customStyle="1" w:styleId="2149">
    <w:name w:val="Char Char Char Char Char Char Char Char Char1 Char2"/>
    <w:basedOn w:val="1"/>
    <w:semiHidden/>
    <w:qFormat/>
    <w:uiPriority w:val="0"/>
    <w:pPr>
      <w:tabs>
        <w:tab w:val="clear" w:pos="480"/>
      </w:tabs>
      <w:spacing w:line="240" w:lineRule="auto"/>
    </w:pPr>
  </w:style>
  <w:style w:type="paragraph" w:customStyle="1" w:styleId="2150">
    <w:name w:val="Char Char Char Char Char Char Char Char Char Char Char Char Char Char Char Char Char Char Char Char Char Char Char Char Char Char Char Char Char Char Char Char Char Char Char Char Char Char Char Char Char Char Char Char Char Char Char Char2"/>
    <w:basedOn w:val="1"/>
    <w:semiHidden/>
    <w:qFormat/>
    <w:uiPriority w:val="0"/>
    <w:pPr>
      <w:tabs>
        <w:tab w:val="clear" w:pos="480"/>
      </w:tabs>
      <w:spacing w:line="240" w:lineRule="auto"/>
    </w:pPr>
    <w:rPr>
      <w:sz w:val="21"/>
    </w:rPr>
  </w:style>
  <w:style w:type="paragraph" w:customStyle="1" w:styleId="2151">
    <w:name w:val="Char1 Char Char Char1 Char Char Char2"/>
    <w:basedOn w:val="1"/>
    <w:qFormat/>
    <w:uiPriority w:val="0"/>
    <w:pPr>
      <w:tabs>
        <w:tab w:val="clear" w:pos="480"/>
      </w:tabs>
    </w:pPr>
    <w:rPr>
      <w:rFonts w:ascii="宋体" w:hAnsi="宋体" w:cs="宋体"/>
    </w:rPr>
  </w:style>
  <w:style w:type="character" w:customStyle="1" w:styleId="2152">
    <w:name w:val="表头 Char Char"/>
    <w:qFormat/>
    <w:uiPriority w:val="0"/>
    <w:rPr>
      <w:rFonts w:ascii="黑体" w:hAnsi="宋体" w:eastAsia="黑体"/>
      <w:kern w:val="2"/>
      <w:sz w:val="24"/>
      <w:lang w:val="en-US" w:eastAsia="zh-CN"/>
    </w:rPr>
  </w:style>
  <w:style w:type="character" w:customStyle="1" w:styleId="2153">
    <w:name w:val="表格内文字 Char Char Char"/>
    <w:qFormat/>
    <w:uiPriority w:val="0"/>
    <w:rPr>
      <w:rFonts w:ascii="宋体" w:hAnsi="宋体" w:eastAsia="宋体"/>
      <w:snapToGrid w:val="0"/>
      <w:kern w:val="44"/>
    </w:rPr>
  </w:style>
  <w:style w:type="character" w:customStyle="1" w:styleId="2154">
    <w:name w:val="表格标题 Char Char"/>
    <w:link w:val="2155"/>
    <w:qFormat/>
    <w:uiPriority w:val="0"/>
    <w:rPr>
      <w:rFonts w:ascii="幼圆" w:hAnsi="宋体" w:eastAsia="黑体"/>
      <w:sz w:val="24"/>
      <w:lang w:bidi="ar-SA"/>
    </w:rPr>
  </w:style>
  <w:style w:type="paragraph" w:customStyle="1" w:styleId="2155">
    <w:name w:val="表格标题 Char"/>
    <w:basedOn w:val="1"/>
    <w:link w:val="2154"/>
    <w:qFormat/>
    <w:uiPriority w:val="0"/>
    <w:pPr>
      <w:tabs>
        <w:tab w:val="clear" w:pos="480"/>
      </w:tabs>
      <w:spacing w:after="60" w:line="520" w:lineRule="exact"/>
      <w:ind w:left="482"/>
      <w:jc w:val="center"/>
    </w:pPr>
    <w:rPr>
      <w:rFonts w:ascii="幼圆" w:hAnsi="宋体" w:eastAsia="黑体"/>
      <w:kern w:val="0"/>
      <w:szCs w:val="20"/>
      <w:lang w:val="zh-CN"/>
    </w:rPr>
  </w:style>
  <w:style w:type="character" w:customStyle="1" w:styleId="2156">
    <w:name w:val="表格样式 Char"/>
    <w:link w:val="274"/>
    <w:qFormat/>
    <w:uiPriority w:val="0"/>
    <w:rPr>
      <w:rFonts w:ascii="宋体" w:eastAsia="宋体"/>
      <w:bCs/>
      <w:snapToGrid w:val="0"/>
      <w:kern w:val="2"/>
      <w:sz w:val="21"/>
      <w:szCs w:val="24"/>
      <w:lang w:val="en-US" w:eastAsia="zh-CN" w:bidi="ar-SA"/>
    </w:rPr>
  </w:style>
  <w:style w:type="paragraph" w:customStyle="1" w:styleId="2157">
    <w:name w:val="正文一"/>
    <w:basedOn w:val="45"/>
    <w:qFormat/>
    <w:uiPriority w:val="0"/>
    <w:pPr>
      <w:ind w:firstLine="425"/>
    </w:pPr>
    <w:rPr>
      <w:sz w:val="24"/>
    </w:rPr>
  </w:style>
  <w:style w:type="paragraph" w:customStyle="1" w:styleId="2158">
    <w:name w:val="Char Char Char1 Char Char Char Char1"/>
    <w:basedOn w:val="1"/>
    <w:qFormat/>
    <w:uiPriority w:val="0"/>
    <w:pPr>
      <w:tabs>
        <w:tab w:val="clear" w:pos="480"/>
      </w:tabs>
      <w:spacing w:line="240" w:lineRule="auto"/>
    </w:pPr>
    <w:rPr>
      <w:sz w:val="21"/>
      <w:szCs w:val="20"/>
    </w:rPr>
  </w:style>
  <w:style w:type="character" w:customStyle="1" w:styleId="2159">
    <w:name w:val="样式11 Char"/>
    <w:link w:val="629"/>
    <w:qFormat/>
    <w:uiPriority w:val="0"/>
    <w:rPr>
      <w:rFonts w:ascii="宋体" w:eastAsia="宋体"/>
      <w:bCs/>
      <w:snapToGrid w:val="0"/>
      <w:kern w:val="2"/>
      <w:sz w:val="21"/>
      <w:szCs w:val="24"/>
      <w:lang w:val="en-US" w:eastAsia="zh-CN" w:bidi="ar-SA"/>
    </w:rPr>
  </w:style>
  <w:style w:type="character" w:customStyle="1" w:styleId="2160">
    <w:name w:val="图表头 Char"/>
    <w:link w:val="2161"/>
    <w:qFormat/>
    <w:uiPriority w:val="0"/>
    <w:rPr>
      <w:rFonts w:ascii="黑体" w:eastAsia="黑体"/>
      <w:spacing w:val="5"/>
      <w:sz w:val="21"/>
      <w:szCs w:val="24"/>
    </w:rPr>
  </w:style>
  <w:style w:type="paragraph" w:customStyle="1" w:styleId="2161">
    <w:name w:val="图表头"/>
    <w:basedOn w:val="1"/>
    <w:link w:val="2160"/>
    <w:qFormat/>
    <w:uiPriority w:val="0"/>
    <w:pPr>
      <w:tabs>
        <w:tab w:val="clear" w:pos="480"/>
      </w:tabs>
      <w:adjustRightInd w:val="0"/>
      <w:jc w:val="center"/>
      <w:textAlignment w:val="baseline"/>
    </w:pPr>
    <w:rPr>
      <w:rFonts w:ascii="黑体" w:eastAsia="黑体"/>
      <w:spacing w:val="5"/>
      <w:kern w:val="0"/>
      <w:sz w:val="21"/>
      <w:lang w:val="zh-CN"/>
    </w:rPr>
  </w:style>
  <w:style w:type="paragraph" w:customStyle="1" w:styleId="2162">
    <w:name w:val="Char Char Char Char Char Char Char Char Char Char Char Char Char Char Char Char Char Char Char Char Char Char Char Char Char Char Char Char Char Char Char2"/>
    <w:basedOn w:val="1"/>
    <w:qFormat/>
    <w:uiPriority w:val="0"/>
    <w:pPr>
      <w:tabs>
        <w:tab w:val="clear" w:pos="480"/>
      </w:tabs>
      <w:spacing w:line="240" w:lineRule="auto"/>
    </w:pPr>
    <w:rPr>
      <w:sz w:val="21"/>
      <w:szCs w:val="20"/>
    </w:rPr>
  </w:style>
  <w:style w:type="paragraph" w:customStyle="1" w:styleId="2163">
    <w:name w:val="Char Char Char Char Char Char Char Char Char Char Char Char Char Char Char Char Char Char Char Char Char Char Char Char Char Char Char Char Char Char Char Char Char Char2"/>
    <w:basedOn w:val="1"/>
    <w:qFormat/>
    <w:uiPriority w:val="0"/>
    <w:pPr>
      <w:tabs>
        <w:tab w:val="clear" w:pos="480"/>
      </w:tabs>
      <w:spacing w:line="240" w:lineRule="auto"/>
    </w:pPr>
    <w:rPr>
      <w:sz w:val="21"/>
      <w:szCs w:val="20"/>
    </w:rPr>
  </w:style>
  <w:style w:type="paragraph" w:customStyle="1" w:styleId="2164">
    <w:name w:val="Char Char Char Char Char Char Char Char Char Char Char Char Char Char Char Char Char Char Char Char Char Char2"/>
    <w:basedOn w:val="1"/>
    <w:qFormat/>
    <w:uiPriority w:val="0"/>
    <w:pPr>
      <w:tabs>
        <w:tab w:val="clear" w:pos="480"/>
      </w:tabs>
      <w:spacing w:line="240" w:lineRule="auto"/>
      <w:ind w:firstLine="468" w:firstLineChars="195"/>
    </w:pPr>
    <w:rPr>
      <w:sz w:val="21"/>
      <w:szCs w:val="20"/>
    </w:rPr>
  </w:style>
  <w:style w:type="paragraph" w:customStyle="1" w:styleId="2165">
    <w:name w:val="Char22"/>
    <w:basedOn w:val="1"/>
    <w:qFormat/>
    <w:uiPriority w:val="0"/>
    <w:pPr>
      <w:tabs>
        <w:tab w:val="clear" w:pos="480"/>
      </w:tabs>
    </w:pPr>
    <w:rPr>
      <w:rFonts w:ascii="宋体" w:hAnsi="宋体" w:cs="宋体"/>
    </w:rPr>
  </w:style>
  <w:style w:type="character" w:customStyle="1" w:styleId="2166">
    <w:name w:val="Char Char11"/>
    <w:qFormat/>
    <w:uiPriority w:val="0"/>
    <w:rPr>
      <w:sz w:val="18"/>
      <w:szCs w:val="18"/>
    </w:rPr>
  </w:style>
  <w:style w:type="paragraph" w:customStyle="1" w:styleId="2167">
    <w:name w:val="Char Char Char Char Char Char Char Char Char Char Char Char Char1"/>
    <w:basedOn w:val="1"/>
    <w:qFormat/>
    <w:uiPriority w:val="0"/>
    <w:pPr>
      <w:tabs>
        <w:tab w:val="clear" w:pos="480"/>
      </w:tabs>
      <w:spacing w:line="240" w:lineRule="auto"/>
    </w:pPr>
  </w:style>
  <w:style w:type="paragraph" w:customStyle="1" w:styleId="2168">
    <w:name w:val="Char Char Char Char Char Char Char Char Char Char Char Char Char Char Char Char1"/>
    <w:basedOn w:val="1"/>
    <w:qFormat/>
    <w:uiPriority w:val="0"/>
    <w:pPr>
      <w:tabs>
        <w:tab w:val="clear" w:pos="480"/>
      </w:tabs>
      <w:spacing w:line="240" w:lineRule="auto"/>
    </w:pPr>
    <w:rPr>
      <w:sz w:val="21"/>
    </w:rPr>
  </w:style>
  <w:style w:type="paragraph" w:customStyle="1" w:styleId="2169">
    <w:name w:val="Char Char Char Char Char Char Char Char Char Char Char Char Char Char Char Char Char Char Char Char Char Char1"/>
    <w:basedOn w:val="1"/>
    <w:qFormat/>
    <w:uiPriority w:val="0"/>
    <w:pPr>
      <w:tabs>
        <w:tab w:val="clear" w:pos="480"/>
      </w:tabs>
      <w:spacing w:line="240" w:lineRule="auto"/>
      <w:ind w:firstLine="468" w:firstLineChars="195"/>
    </w:pPr>
    <w:rPr>
      <w:sz w:val="21"/>
    </w:rPr>
  </w:style>
  <w:style w:type="paragraph" w:customStyle="1" w:styleId="2170">
    <w:name w:val="Char Char Char Char Char Char Char Char Char Char Char Char Char Char Char Char Char Char Char Char Char Char Char Char Char Char Char Char Char Char Char Char Char Char1"/>
    <w:basedOn w:val="1"/>
    <w:qFormat/>
    <w:uiPriority w:val="0"/>
    <w:pPr>
      <w:tabs>
        <w:tab w:val="clear" w:pos="480"/>
      </w:tabs>
      <w:spacing w:line="240" w:lineRule="auto"/>
    </w:pPr>
    <w:rPr>
      <w:sz w:val="21"/>
    </w:rPr>
  </w:style>
  <w:style w:type="paragraph" w:customStyle="1" w:styleId="2171">
    <w:name w:val="Char Char Char Char Char Char Char Char Char Char Char Char Char Char Char Char Char Char Char Char Char Char Char Char Char Char Char Char Char Char Char1"/>
    <w:basedOn w:val="1"/>
    <w:qFormat/>
    <w:uiPriority w:val="0"/>
    <w:pPr>
      <w:tabs>
        <w:tab w:val="clear" w:pos="480"/>
      </w:tabs>
      <w:spacing w:line="240" w:lineRule="auto"/>
    </w:pPr>
    <w:rPr>
      <w:sz w:val="21"/>
    </w:rPr>
  </w:style>
  <w:style w:type="paragraph" w:customStyle="1" w:styleId="2172">
    <w:name w:val="Char Char Char1 Char Char Char Char Char1"/>
    <w:basedOn w:val="1"/>
    <w:semiHidden/>
    <w:qFormat/>
    <w:uiPriority w:val="0"/>
    <w:pPr>
      <w:tabs>
        <w:tab w:val="clear" w:pos="480"/>
      </w:tabs>
      <w:spacing w:line="240" w:lineRule="auto"/>
    </w:pPr>
    <w:rPr>
      <w:sz w:val="21"/>
    </w:rPr>
  </w:style>
  <w:style w:type="paragraph" w:customStyle="1" w:styleId="2173">
    <w:name w:val="Char Char Char Char Char Char Char Char Char Char Char Char Char Char Char Char Char Char Char1"/>
    <w:basedOn w:val="1"/>
    <w:semiHidden/>
    <w:qFormat/>
    <w:uiPriority w:val="0"/>
    <w:pPr>
      <w:tabs>
        <w:tab w:val="clear" w:pos="480"/>
      </w:tabs>
      <w:adjustRightInd w:val="0"/>
      <w:spacing w:line="360" w:lineRule="atLeast"/>
      <w:textAlignment w:val="baseline"/>
    </w:pPr>
  </w:style>
  <w:style w:type="paragraph" w:customStyle="1" w:styleId="2174">
    <w:name w:val="Char Char Char Char Char Char Char Char Char1 Char1"/>
    <w:basedOn w:val="1"/>
    <w:semiHidden/>
    <w:qFormat/>
    <w:uiPriority w:val="0"/>
    <w:pPr>
      <w:tabs>
        <w:tab w:val="clear" w:pos="480"/>
      </w:tabs>
      <w:spacing w:line="240" w:lineRule="auto"/>
    </w:pPr>
  </w:style>
  <w:style w:type="paragraph" w:customStyle="1" w:styleId="2175">
    <w:name w:val="Char Char Char Char Char Char Char Char Char Char Char Char Char Char Char Char Char 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6">
    <w:name w:val="Char1 Char Char Char1 Char Char Char1"/>
    <w:basedOn w:val="1"/>
    <w:qFormat/>
    <w:uiPriority w:val="0"/>
    <w:pPr>
      <w:tabs>
        <w:tab w:val="clear" w:pos="480"/>
      </w:tabs>
    </w:pPr>
    <w:rPr>
      <w:rFonts w:ascii="宋体" w:hAnsi="宋体" w:cs="宋体"/>
    </w:rPr>
  </w:style>
  <w:style w:type="paragraph" w:customStyle="1" w:styleId="2177">
    <w:name w:val="修订1"/>
    <w:hidden/>
    <w:qFormat/>
    <w:uiPriority w:val="99"/>
    <w:pPr>
      <w:jc w:val="center"/>
    </w:pPr>
    <w:rPr>
      <w:rFonts w:ascii="Times New Roman" w:hAnsi="Times New Roman" w:eastAsia="宋体" w:cs="Times New Roman"/>
      <w:kern w:val="2"/>
      <w:sz w:val="21"/>
      <w:szCs w:val="24"/>
      <w:lang w:val="en-US" w:eastAsia="zh-CN" w:bidi="ar-SA"/>
    </w:rPr>
  </w:style>
  <w:style w:type="character" w:customStyle="1" w:styleId="2178">
    <w:name w:val="样式 楷体_GB2312 黑色"/>
    <w:qFormat/>
    <w:uiPriority w:val="0"/>
    <w:rPr>
      <w:rFonts w:ascii="楷体_GB2312" w:hAnsi="宋体" w:eastAsia="楷体_GB2312"/>
      <w:b/>
      <w:color w:val="000000"/>
      <w:sz w:val="24"/>
      <w:lang w:val="en-US" w:eastAsia="zh-CN"/>
    </w:rPr>
  </w:style>
  <w:style w:type="paragraph" w:customStyle="1" w:styleId="2179">
    <w:name w:val="Char Char Char Char Char Char1 Char Char Char Char"/>
    <w:basedOn w:val="1"/>
    <w:qFormat/>
    <w:uiPriority w:val="0"/>
    <w:pPr>
      <w:tabs>
        <w:tab w:val="clear" w:pos="480"/>
      </w:tabs>
      <w:spacing w:line="240" w:lineRule="auto"/>
    </w:pPr>
    <w:rPr>
      <w:sz w:val="21"/>
    </w:rPr>
  </w:style>
  <w:style w:type="paragraph" w:customStyle="1" w:styleId="2180">
    <w:name w:val="表格，内容"/>
    <w:basedOn w:val="1"/>
    <w:qFormat/>
    <w:uiPriority w:val="0"/>
    <w:pPr>
      <w:tabs>
        <w:tab w:val="clear" w:pos="480"/>
      </w:tabs>
      <w:spacing w:line="240" w:lineRule="auto"/>
      <w:jc w:val="center"/>
    </w:pPr>
    <w:rPr>
      <w:spacing w:val="10"/>
      <w:kern w:val="44"/>
      <w:sz w:val="21"/>
    </w:rPr>
  </w:style>
  <w:style w:type="paragraph" w:customStyle="1" w:styleId="2181">
    <w:name w:val="样式 标题 33级标题小节名小节Char Char标题 33标题 13条标题1.1.1(F4)标题 3 Cha...1"/>
    <w:basedOn w:val="5"/>
    <w:qFormat/>
    <w:uiPriority w:val="0"/>
    <w:pPr>
      <w:tabs>
        <w:tab w:val="left" w:pos="720"/>
        <w:tab w:val="clear" w:pos="480"/>
        <w:tab w:val="clear" w:pos="840"/>
      </w:tabs>
      <w:spacing w:before="0" w:after="0" w:line="720" w:lineRule="exact"/>
      <w:ind w:left="720" w:hanging="720"/>
    </w:pPr>
    <w:rPr>
      <w:rFonts w:ascii="Times New Roman" w:eastAsia="黑体"/>
      <w:b w:val="0"/>
      <w:bCs w:val="0"/>
      <w:snapToGrid w:val="0"/>
      <w:color w:val="0000FF"/>
      <w:kern w:val="0"/>
      <w:sz w:val="28"/>
      <w:szCs w:val="28"/>
    </w:rPr>
  </w:style>
  <w:style w:type="paragraph" w:customStyle="1" w:styleId="2182">
    <w:name w:val="样式 标题 1章标题-*+！标题 1章 + (中文) 宋体 (符号) 宋体 蓝色"/>
    <w:basedOn w:val="3"/>
    <w:qFormat/>
    <w:uiPriority w:val="0"/>
    <w:pPr>
      <w:tabs>
        <w:tab w:val="left" w:pos="1200"/>
        <w:tab w:val="clear" w:pos="480"/>
      </w:tabs>
      <w:adjustRightInd w:val="0"/>
      <w:spacing w:before="0" w:after="0" w:line="1200" w:lineRule="exact"/>
      <w:jc w:val="center"/>
    </w:pPr>
    <w:rPr>
      <w:rFonts w:ascii="Times New Roman" w:eastAsia="黑体"/>
      <w:b w:val="0"/>
      <w:bCs w:val="0"/>
      <w:color w:val="0000FF"/>
      <w:sz w:val="48"/>
      <w:szCs w:val="36"/>
    </w:rPr>
  </w:style>
  <w:style w:type="paragraph" w:customStyle="1" w:styleId="2183">
    <w:name w:val="样式 标题 22级标题节标题 1.1H2（一）Underrubrik1prop2Heading 2 Hidden..."/>
    <w:basedOn w:val="4"/>
    <w:qFormat/>
    <w:uiPriority w:val="0"/>
    <w:pPr>
      <w:tabs>
        <w:tab w:val="clear" w:pos="480"/>
        <w:tab w:val="clear" w:pos="630"/>
      </w:tabs>
      <w:spacing w:before="0" w:after="0" w:line="960" w:lineRule="exact"/>
    </w:pPr>
    <w:rPr>
      <w:rFonts w:eastAsia="黑体"/>
      <w:b w:val="0"/>
      <w:bCs w:val="0"/>
      <w:color w:val="0000FF"/>
    </w:rPr>
  </w:style>
  <w:style w:type="paragraph" w:customStyle="1" w:styleId="2184">
    <w:name w:val="样式 标题 33级标题小节名小节Char Char标题 33标题 13条标题1.1.1(F4)标题 3 Cha..."/>
    <w:basedOn w:val="5"/>
    <w:qFormat/>
    <w:uiPriority w:val="0"/>
    <w:pPr>
      <w:tabs>
        <w:tab w:val="left" w:pos="720"/>
        <w:tab w:val="clear" w:pos="480"/>
        <w:tab w:val="clear" w:pos="840"/>
      </w:tabs>
      <w:spacing w:before="0" w:after="0" w:line="720" w:lineRule="exact"/>
      <w:ind w:left="720" w:hanging="720"/>
    </w:pPr>
    <w:rPr>
      <w:rFonts w:ascii="Times New Roman" w:eastAsia="黑体"/>
      <w:b w:val="0"/>
      <w:bCs w:val="0"/>
      <w:snapToGrid w:val="0"/>
      <w:color w:val="0000FF"/>
      <w:kern w:val="0"/>
      <w:sz w:val="28"/>
      <w:szCs w:val="28"/>
    </w:rPr>
  </w:style>
  <w:style w:type="paragraph" w:customStyle="1" w:styleId="2185">
    <w:name w:val="样式 标题 4四style4标题 4 Char款标题1.1.1.1h4H4Fab-4T5PIM 4Ref H..."/>
    <w:basedOn w:val="6"/>
    <w:qFormat/>
    <w:uiPriority w:val="0"/>
    <w:pPr>
      <w:tabs>
        <w:tab w:val="left" w:pos="1177"/>
        <w:tab w:val="clear" w:pos="480"/>
      </w:tabs>
      <w:adjustRightInd w:val="0"/>
      <w:spacing w:before="0" w:after="0" w:line="520" w:lineRule="exact"/>
      <w:ind w:left="1177" w:hanging="862"/>
    </w:pPr>
    <w:rPr>
      <w:rFonts w:ascii="Times New Roman" w:hAnsi="Times New Roman" w:eastAsia="黑体"/>
      <w:b w:val="0"/>
      <w:bCs w:val="0"/>
      <w:color w:val="0000FF"/>
      <w:sz w:val="24"/>
      <w:szCs w:val="24"/>
    </w:rPr>
  </w:style>
  <w:style w:type="paragraph" w:customStyle="1" w:styleId="2186">
    <w:name w:val="顺德 图题注 + 居中"/>
    <w:basedOn w:val="23"/>
    <w:qFormat/>
    <w:uiPriority w:val="0"/>
    <w:pPr>
      <w:widowControl w:val="0"/>
      <w:tabs>
        <w:tab w:val="left" w:pos="5660"/>
      </w:tabs>
      <w:adjustRightInd/>
      <w:snapToGrid/>
      <w:spacing w:line="240" w:lineRule="auto"/>
      <w:ind w:firstLine="0" w:firstLineChars="0"/>
    </w:pPr>
    <w:rPr>
      <w:rFonts w:ascii="宋体" w:hAnsi="宋体"/>
      <w:sz w:val="21"/>
      <w:szCs w:val="21"/>
    </w:rPr>
  </w:style>
  <w:style w:type="character" w:customStyle="1" w:styleId="2187">
    <w:name w:val="文字缩进 Char Char"/>
    <w:qFormat/>
    <w:uiPriority w:val="0"/>
    <w:rPr>
      <w:rFonts w:ascii="宋体" w:hAnsi="Courier New" w:eastAsia="宋体"/>
      <w:kern w:val="2"/>
      <w:sz w:val="28"/>
      <w:lang w:val="en-US" w:eastAsia="zh-CN" w:bidi="ar-SA"/>
    </w:rPr>
  </w:style>
  <w:style w:type="paragraph" w:customStyle="1" w:styleId="2188">
    <w:name w:val="文字主体 Char"/>
    <w:link w:val="2189"/>
    <w:qFormat/>
    <w:uiPriority w:val="0"/>
    <w:pPr>
      <w:spacing w:line="432"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189">
    <w:name w:val="文字主体 Char Char"/>
    <w:link w:val="2188"/>
    <w:qFormat/>
    <w:uiPriority w:val="0"/>
    <w:rPr>
      <w:sz w:val="24"/>
      <w:szCs w:val="24"/>
      <w:lang w:val="en-US" w:eastAsia="zh-CN" w:bidi="ar-SA"/>
    </w:rPr>
  </w:style>
  <w:style w:type="paragraph" w:customStyle="1" w:styleId="2190">
    <w:name w:val="Char Char Char1 Char Char Char Char Char Char Char Char Char Char Char Char Char Char Char Char Char Char Char1"/>
    <w:basedOn w:val="1"/>
    <w:qFormat/>
    <w:uiPriority w:val="0"/>
    <w:pPr>
      <w:tabs>
        <w:tab w:val="clear" w:pos="480"/>
      </w:tabs>
      <w:spacing w:line="240" w:lineRule="auto"/>
    </w:pPr>
  </w:style>
  <w:style w:type="character" w:customStyle="1" w:styleId="2191">
    <w:name w:val="表头1 Char"/>
    <w:link w:val="913"/>
    <w:qFormat/>
    <w:uiPriority w:val="0"/>
    <w:rPr>
      <w:rFonts w:ascii="黑体" w:eastAsia="黑体"/>
      <w:sz w:val="24"/>
      <w:lang w:val="en-US" w:eastAsia="zh-CN" w:bidi="ar-SA"/>
    </w:rPr>
  </w:style>
  <w:style w:type="paragraph" w:customStyle="1" w:styleId="2192">
    <w:name w:val="正文新 Char"/>
    <w:basedOn w:val="1"/>
    <w:qFormat/>
    <w:uiPriority w:val="0"/>
    <w:pPr>
      <w:tabs>
        <w:tab w:val="clear" w:pos="480"/>
      </w:tabs>
    </w:pPr>
    <w:rPr>
      <w:szCs w:val="20"/>
    </w:rPr>
  </w:style>
  <w:style w:type="paragraph" w:customStyle="1" w:styleId="2193">
    <w:name w:val="表序号"/>
    <w:basedOn w:val="3"/>
    <w:next w:val="1"/>
    <w:qFormat/>
    <w:uiPriority w:val="0"/>
    <w:pPr>
      <w:tabs>
        <w:tab w:val="left" w:pos="360"/>
        <w:tab w:val="clear" w:pos="480"/>
      </w:tabs>
      <w:spacing w:before="0" w:after="0"/>
      <w:ind w:left="1134" w:hanging="1134"/>
      <w:jc w:val="center"/>
    </w:pPr>
    <w:rPr>
      <w:rFonts w:hAnsi="宋体"/>
      <w:b w:val="0"/>
      <w:bCs w:val="0"/>
      <w:sz w:val="28"/>
      <w:szCs w:val="24"/>
    </w:rPr>
  </w:style>
  <w:style w:type="paragraph" w:customStyle="1" w:styleId="2194">
    <w:name w:val="小四表文左齐"/>
    <w:basedOn w:val="1"/>
    <w:qFormat/>
    <w:uiPriority w:val="0"/>
    <w:pPr>
      <w:tabs>
        <w:tab w:val="clear" w:pos="480"/>
      </w:tabs>
      <w:spacing w:line="240" w:lineRule="auto"/>
      <w:jc w:val="center"/>
    </w:pPr>
    <w:rPr>
      <w:rFonts w:ascii="仿宋_GB2312" w:eastAsia="仿宋_GB2312"/>
      <w:sz w:val="21"/>
    </w:rPr>
  </w:style>
  <w:style w:type="paragraph" w:customStyle="1" w:styleId="2195">
    <w:name w:val="公式样式1"/>
    <w:basedOn w:val="1"/>
    <w:qFormat/>
    <w:uiPriority w:val="0"/>
    <w:pPr>
      <w:tabs>
        <w:tab w:val="clear" w:pos="480"/>
      </w:tabs>
      <w:ind w:firstLine="235" w:firstLineChars="100"/>
    </w:pPr>
    <w:rPr>
      <w:rFonts w:ascii="宋体" w:hAnsi="Arial Black"/>
      <w:szCs w:val="20"/>
    </w:rPr>
  </w:style>
  <w:style w:type="paragraph" w:customStyle="1" w:styleId="2196">
    <w:name w:val="hc 正文"/>
    <w:basedOn w:val="1"/>
    <w:link w:val="2197"/>
    <w:qFormat/>
    <w:uiPriority w:val="0"/>
    <w:pPr>
      <w:tabs>
        <w:tab w:val="clear" w:pos="480"/>
      </w:tabs>
      <w:spacing w:before="156"/>
      <w:ind w:firstLine="560"/>
    </w:pPr>
    <w:rPr>
      <w:rFonts w:ascii="宋体" w:cs="宋体"/>
      <w:sz w:val="28"/>
      <w:szCs w:val="20"/>
    </w:rPr>
  </w:style>
  <w:style w:type="character" w:customStyle="1" w:styleId="2197">
    <w:name w:val="hc 正文 Char"/>
    <w:link w:val="2196"/>
    <w:qFormat/>
    <w:uiPriority w:val="0"/>
    <w:rPr>
      <w:rFonts w:ascii="宋体" w:eastAsia="宋体" w:cs="宋体"/>
      <w:kern w:val="2"/>
      <w:sz w:val="28"/>
      <w:lang w:val="en-US" w:eastAsia="zh-CN" w:bidi="ar-SA"/>
    </w:rPr>
  </w:style>
  <w:style w:type="paragraph" w:customStyle="1" w:styleId="2198">
    <w:name w:val="样式 样式 正文首行缩进 + 首行缩进:  2 字符 + 首行缩进:  2 字符"/>
    <w:basedOn w:val="1"/>
    <w:qFormat/>
    <w:uiPriority w:val="0"/>
    <w:pPr>
      <w:tabs>
        <w:tab w:val="clear" w:pos="480"/>
      </w:tabs>
      <w:topLinePunct/>
      <w:adjustRightInd w:val="0"/>
      <w:snapToGrid w:val="0"/>
      <w:ind w:firstLine="480"/>
      <w:textAlignment w:val="baseline"/>
    </w:pPr>
    <w:rPr>
      <w:rFonts w:hAnsi="宋体" w:eastAsia="Times New Roman"/>
      <w:kern w:val="0"/>
      <w:szCs w:val="20"/>
    </w:rPr>
  </w:style>
  <w:style w:type="paragraph" w:customStyle="1" w:styleId="2199">
    <w:name w:val="表头（铸造）3"/>
    <w:basedOn w:val="1"/>
    <w:qFormat/>
    <w:uiPriority w:val="0"/>
    <w:pPr>
      <w:tabs>
        <w:tab w:val="clear" w:pos="480"/>
      </w:tabs>
      <w:jc w:val="center"/>
    </w:pPr>
    <w:rPr>
      <w:rFonts w:eastAsia="方正宋黑简体"/>
      <w:b/>
    </w:rPr>
  </w:style>
  <w:style w:type="paragraph" w:customStyle="1" w:styleId="2200">
    <w:name w:val="样式 正文新 Char + 首行缩进:  2 字符"/>
    <w:basedOn w:val="1"/>
    <w:qFormat/>
    <w:uiPriority w:val="0"/>
    <w:pPr>
      <w:tabs>
        <w:tab w:val="clear" w:pos="480"/>
      </w:tabs>
      <w:ind w:firstLine="480"/>
    </w:pPr>
    <w:rPr>
      <w:szCs w:val="20"/>
    </w:rPr>
  </w:style>
  <w:style w:type="paragraph" w:customStyle="1" w:styleId="2201">
    <w:name w:val="样式 标题 2节 + (符号) Arial Black 小四"/>
    <w:basedOn w:val="5"/>
    <w:qFormat/>
    <w:uiPriority w:val="0"/>
    <w:pPr>
      <w:tabs>
        <w:tab w:val="clear" w:pos="480"/>
        <w:tab w:val="clear" w:pos="840"/>
      </w:tabs>
      <w:spacing w:beforeLines="50" w:after="0" w:line="360" w:lineRule="auto"/>
      <w:ind w:left="142"/>
    </w:pPr>
    <w:rPr>
      <w:rFonts w:ascii="黑体" w:hAnsi="Arial Black" w:eastAsia="黑体"/>
      <w:bCs w:val="0"/>
      <w:kern w:val="21"/>
      <w:sz w:val="24"/>
      <w:szCs w:val="20"/>
    </w:rPr>
  </w:style>
  <w:style w:type="paragraph" w:customStyle="1" w:styleId="2202">
    <w:name w:val="小五表文"/>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2203">
    <w:name w:val="图框文"/>
    <w:basedOn w:val="1"/>
    <w:qFormat/>
    <w:uiPriority w:val="0"/>
    <w:pPr>
      <w:tabs>
        <w:tab w:val="clear" w:pos="480"/>
      </w:tabs>
      <w:kinsoku w:val="0"/>
      <w:wordWrap w:val="0"/>
      <w:overflowPunct w:val="0"/>
      <w:autoSpaceDE w:val="0"/>
      <w:autoSpaceDN w:val="0"/>
      <w:spacing w:line="0" w:lineRule="atLeast"/>
      <w:jc w:val="center"/>
    </w:pPr>
    <w:rPr>
      <w:rFonts w:ascii="仿宋_GB2312"/>
      <w:szCs w:val="20"/>
    </w:rPr>
  </w:style>
  <w:style w:type="paragraph" w:customStyle="1" w:styleId="2204">
    <w:name w:val="普通(Web)"/>
    <w:basedOn w:val="1"/>
    <w:qFormat/>
    <w:uiPriority w:val="0"/>
    <w:pPr>
      <w:widowControl/>
      <w:tabs>
        <w:tab w:val="clear" w:pos="480"/>
      </w:tabs>
      <w:spacing w:before="100" w:beforeAutospacing="1" w:after="100" w:afterAutospacing="1" w:line="240" w:lineRule="auto"/>
      <w:jc w:val="left"/>
    </w:pPr>
    <w:rPr>
      <w:rFonts w:ascii="宋体" w:hAnsi="宋体" w:cs="Century"/>
      <w:kern w:val="0"/>
    </w:rPr>
  </w:style>
  <w:style w:type="character" w:customStyle="1" w:styleId="2205">
    <w:name w:val="unnamed11"/>
    <w:qFormat/>
    <w:uiPriority w:val="0"/>
    <w:rPr>
      <w:sz w:val="18"/>
      <w:szCs w:val="18"/>
    </w:rPr>
  </w:style>
  <w:style w:type="paragraph" w:customStyle="1" w:styleId="2206">
    <w:name w:val="小四宋居中1.0"/>
    <w:basedOn w:val="1"/>
    <w:next w:val="1"/>
    <w:qFormat/>
    <w:uiPriority w:val="0"/>
    <w:pPr>
      <w:tabs>
        <w:tab w:val="clear" w:pos="480"/>
      </w:tabs>
      <w:adjustRightInd w:val="0"/>
      <w:ind w:firstLine="425"/>
      <w:jc w:val="center"/>
      <w:textAlignment w:val="baseline"/>
    </w:pPr>
    <w:rPr>
      <w:rFonts w:ascii="宋体" w:hAnsi="Arial Black"/>
      <w:szCs w:val="20"/>
    </w:rPr>
  </w:style>
  <w:style w:type="paragraph" w:customStyle="1" w:styleId="2207">
    <w:name w:val="正文2002"/>
    <w:basedOn w:val="1"/>
    <w:qFormat/>
    <w:uiPriority w:val="0"/>
    <w:pPr>
      <w:tabs>
        <w:tab w:val="clear" w:pos="480"/>
      </w:tabs>
      <w:spacing w:line="240" w:lineRule="auto"/>
    </w:pPr>
    <w:rPr>
      <w:sz w:val="21"/>
    </w:rPr>
  </w:style>
  <w:style w:type="paragraph" w:customStyle="1" w:styleId="2208">
    <w:name w:val="正文宋体小四"/>
    <w:basedOn w:val="1"/>
    <w:qFormat/>
    <w:uiPriority w:val="0"/>
    <w:pPr>
      <w:tabs>
        <w:tab w:val="clear" w:pos="480"/>
      </w:tabs>
      <w:ind w:firstLine="480"/>
    </w:pPr>
  </w:style>
  <w:style w:type="paragraph" w:customStyle="1" w:styleId="2209">
    <w:name w:val="正文新 Char Char1"/>
    <w:basedOn w:val="1"/>
    <w:qFormat/>
    <w:uiPriority w:val="0"/>
    <w:pPr>
      <w:tabs>
        <w:tab w:val="clear" w:pos="480"/>
      </w:tabs>
      <w:ind w:firstLine="480"/>
    </w:pPr>
    <w:rPr>
      <w:szCs w:val="20"/>
    </w:rPr>
  </w:style>
  <w:style w:type="character" w:customStyle="1" w:styleId="2210">
    <w:name w:val="标题 6 Char Char"/>
    <w:qFormat/>
    <w:uiPriority w:val="0"/>
    <w:rPr>
      <w:rFonts w:eastAsia="楷体_GB2312"/>
      <w:sz w:val="24"/>
      <w:lang w:val="en-US" w:eastAsia="zh-CN" w:bidi="ar-SA"/>
    </w:rPr>
  </w:style>
  <w:style w:type="character" w:customStyle="1" w:styleId="2211">
    <w:name w:val="正文新 Char Char"/>
    <w:qFormat/>
    <w:uiPriority w:val="0"/>
    <w:rPr>
      <w:rFonts w:eastAsia="宋体" w:cs="宋体"/>
      <w:kern w:val="2"/>
      <w:sz w:val="24"/>
      <w:lang w:val="en-US" w:eastAsia="zh-CN" w:bidi="ar-SA"/>
    </w:rPr>
  </w:style>
  <w:style w:type="character" w:customStyle="1" w:styleId="2212">
    <w:name w:val="样式 正文（首行缩进两字） + (符号) 宋体 Char"/>
    <w:qFormat/>
    <w:uiPriority w:val="0"/>
    <w:rPr>
      <w:rFonts w:ascii="宋体" w:eastAsia="宋体"/>
      <w:kern w:val="2"/>
      <w:sz w:val="24"/>
      <w:szCs w:val="24"/>
      <w:lang w:val="en-US" w:eastAsia="zh-CN" w:bidi="ar-SA"/>
    </w:rPr>
  </w:style>
  <w:style w:type="paragraph" w:customStyle="1" w:styleId="2213">
    <w:name w:val="Table Title Char1 Char"/>
    <w:basedOn w:val="1"/>
    <w:qFormat/>
    <w:uiPriority w:val="0"/>
    <w:pPr>
      <w:widowControl/>
      <w:tabs>
        <w:tab w:val="clear" w:pos="480"/>
      </w:tabs>
      <w:snapToGrid w:val="0"/>
      <w:spacing w:beforeLines="50" w:afterLines="50" w:line="400" w:lineRule="exact"/>
      <w:jc w:val="center"/>
    </w:pPr>
    <w:rPr>
      <w:rFonts w:eastAsia="Times New Roman"/>
      <w:lang w:eastAsia="en-US"/>
    </w:rPr>
  </w:style>
  <w:style w:type="character" w:customStyle="1" w:styleId="2214">
    <w:name w:val="Table Title Char1 Char Char"/>
    <w:qFormat/>
    <w:uiPriority w:val="0"/>
    <w:rPr>
      <w:rFonts w:eastAsia="宋体"/>
      <w:kern w:val="2"/>
      <w:sz w:val="24"/>
      <w:szCs w:val="24"/>
      <w:lang w:val="en-US" w:eastAsia="en-US" w:bidi="ar-SA"/>
    </w:rPr>
  </w:style>
  <w:style w:type="character" w:customStyle="1" w:styleId="2215">
    <w:name w:val="Table Title Char3"/>
    <w:qFormat/>
    <w:uiPriority w:val="0"/>
    <w:rPr>
      <w:rFonts w:eastAsia="宋体"/>
      <w:kern w:val="2"/>
      <w:sz w:val="24"/>
      <w:szCs w:val="24"/>
      <w:lang w:val="en-US" w:eastAsia="en-US" w:bidi="ar-SA"/>
    </w:rPr>
  </w:style>
  <w:style w:type="paragraph" w:customStyle="1" w:styleId="2216">
    <w:name w:val="Table Title Char1 Char1"/>
    <w:basedOn w:val="1"/>
    <w:qFormat/>
    <w:uiPriority w:val="0"/>
    <w:pPr>
      <w:widowControl/>
      <w:tabs>
        <w:tab w:val="clear" w:pos="480"/>
      </w:tabs>
      <w:snapToGrid w:val="0"/>
      <w:spacing w:beforeLines="50" w:afterLines="50" w:line="400" w:lineRule="exact"/>
      <w:jc w:val="center"/>
    </w:pPr>
    <w:rPr>
      <w:lang w:eastAsia="en-US"/>
    </w:rPr>
  </w:style>
  <w:style w:type="paragraph" w:customStyle="1" w:styleId="2217">
    <w:name w:val="Table Title"/>
    <w:basedOn w:val="1"/>
    <w:qFormat/>
    <w:uiPriority w:val="0"/>
    <w:pPr>
      <w:widowControl/>
      <w:tabs>
        <w:tab w:val="clear" w:pos="480"/>
      </w:tabs>
      <w:snapToGrid w:val="0"/>
      <w:spacing w:beforeLines="50" w:afterLines="50" w:line="400" w:lineRule="exact"/>
      <w:jc w:val="center"/>
    </w:pPr>
  </w:style>
  <w:style w:type="character" w:customStyle="1" w:styleId="2218">
    <w:name w:val="Table Title Char6"/>
    <w:qFormat/>
    <w:uiPriority w:val="0"/>
    <w:rPr>
      <w:rFonts w:eastAsia="宋体"/>
      <w:kern w:val="2"/>
      <w:sz w:val="24"/>
      <w:szCs w:val="24"/>
      <w:lang w:val="en-US" w:eastAsia="zh-CN" w:bidi="ar-SA"/>
    </w:rPr>
  </w:style>
  <w:style w:type="paragraph" w:customStyle="1" w:styleId="2219">
    <w:name w:val="样式 标题 3 + 段前: 0 磅 段后: 0 磅 行距: 单倍行距"/>
    <w:basedOn w:val="5"/>
    <w:qFormat/>
    <w:uiPriority w:val="0"/>
    <w:pPr>
      <w:tabs>
        <w:tab w:val="clear" w:pos="480"/>
        <w:tab w:val="clear" w:pos="840"/>
      </w:tabs>
      <w:spacing w:beforeLines="50" w:after="0" w:line="240" w:lineRule="auto"/>
    </w:pPr>
    <w:rPr>
      <w:rFonts w:ascii="Times New Roman" w:eastAsia="黑体"/>
      <w:b w:val="0"/>
      <w:sz w:val="32"/>
      <w:szCs w:val="20"/>
    </w:rPr>
  </w:style>
  <w:style w:type="paragraph" w:customStyle="1" w:styleId="2220">
    <w:name w:val="括号标题"/>
    <w:basedOn w:val="3"/>
    <w:qFormat/>
    <w:uiPriority w:val="0"/>
    <w:pPr>
      <w:tabs>
        <w:tab w:val="clear" w:pos="480"/>
      </w:tabs>
      <w:spacing w:beforeLines="50" w:afterLines="50"/>
      <w:ind w:firstLine="200" w:firstLineChars="200"/>
    </w:pPr>
    <w:rPr>
      <w:rFonts w:ascii="Times New Roman" w:eastAsia="黑体"/>
      <w:sz w:val="24"/>
    </w:rPr>
  </w:style>
  <w:style w:type="paragraph" w:customStyle="1" w:styleId="2221">
    <w:name w:val="样式 标题 2节H2Heading 2 HiddenHeading 2 CCBSheading 2h2 + 段前: ..."/>
    <w:basedOn w:val="4"/>
    <w:qFormat/>
    <w:uiPriority w:val="0"/>
    <w:pPr>
      <w:tabs>
        <w:tab w:val="clear" w:pos="480"/>
        <w:tab w:val="clear" w:pos="630"/>
      </w:tabs>
      <w:spacing w:beforeLines="50" w:after="0"/>
    </w:pPr>
    <w:rPr>
      <w:rFonts w:eastAsia="黑体"/>
      <w:sz w:val="28"/>
      <w:szCs w:val="20"/>
    </w:rPr>
  </w:style>
  <w:style w:type="paragraph" w:customStyle="1" w:styleId="2222">
    <w:name w:val="正文新"/>
    <w:basedOn w:val="1"/>
    <w:qFormat/>
    <w:uiPriority w:val="0"/>
    <w:pPr>
      <w:tabs>
        <w:tab w:val="clear" w:pos="480"/>
      </w:tabs>
      <w:ind w:firstLine="480"/>
    </w:pPr>
    <w:rPr>
      <w:szCs w:val="20"/>
    </w:rPr>
  </w:style>
  <w:style w:type="paragraph" w:customStyle="1" w:styleId="2223">
    <w:name w:val="正文新 Char Char Char"/>
    <w:basedOn w:val="1"/>
    <w:qFormat/>
    <w:uiPriority w:val="0"/>
    <w:pPr>
      <w:tabs>
        <w:tab w:val="clear" w:pos="480"/>
      </w:tabs>
      <w:ind w:firstLine="480"/>
    </w:pPr>
  </w:style>
  <w:style w:type="character" w:customStyle="1" w:styleId="2224">
    <w:name w:val="Table Title Char2"/>
    <w:qFormat/>
    <w:uiPriority w:val="0"/>
    <w:rPr>
      <w:rFonts w:eastAsia="宋体"/>
      <w:kern w:val="2"/>
      <w:sz w:val="24"/>
      <w:szCs w:val="24"/>
      <w:lang w:val="en-US" w:eastAsia="zh-CN" w:bidi="ar-SA"/>
    </w:rPr>
  </w:style>
  <w:style w:type="paragraph" w:customStyle="1" w:styleId="2225">
    <w:name w:val="样式 标题 2节H2Heading 2 HiddenHeading 2 CCBSheading 2h2节标题 + ..."/>
    <w:basedOn w:val="4"/>
    <w:qFormat/>
    <w:uiPriority w:val="0"/>
    <w:pPr>
      <w:tabs>
        <w:tab w:val="clear" w:pos="480"/>
        <w:tab w:val="clear" w:pos="630"/>
      </w:tabs>
      <w:spacing w:beforeLines="50" w:after="0"/>
    </w:pPr>
    <w:rPr>
      <w:rFonts w:eastAsia="黑体"/>
      <w:sz w:val="28"/>
      <w:szCs w:val="20"/>
    </w:rPr>
  </w:style>
  <w:style w:type="paragraph" w:customStyle="1" w:styleId="2226">
    <w:name w:val="样式 标题 3小标题 + (中文) 楷体_GB2312 四号 段前: 0 磅 段后: 0 磅 行距: 1.5 倍行距"/>
    <w:basedOn w:val="5"/>
    <w:qFormat/>
    <w:uiPriority w:val="0"/>
    <w:pPr>
      <w:tabs>
        <w:tab w:val="clear" w:pos="480"/>
        <w:tab w:val="clear" w:pos="840"/>
      </w:tabs>
      <w:spacing w:beforeLines="50" w:after="0" w:line="360" w:lineRule="auto"/>
    </w:pPr>
    <w:rPr>
      <w:rFonts w:ascii="Times New Roman" w:eastAsia="黑体"/>
      <w:sz w:val="24"/>
      <w:szCs w:val="20"/>
    </w:rPr>
  </w:style>
  <w:style w:type="paragraph" w:customStyle="1" w:styleId="2227">
    <w:name w:val="样式 标题 4 + (西文) Times New Roman (中文) 宋体 小四 非加粗 段前: 7.8 磅 段后:..."/>
    <w:basedOn w:val="6"/>
    <w:qFormat/>
    <w:uiPriority w:val="0"/>
    <w:pPr>
      <w:numPr>
        <w:ilvl w:val="0"/>
        <w:numId w:val="0"/>
      </w:numPr>
      <w:tabs>
        <w:tab w:val="clear" w:pos="480"/>
      </w:tabs>
      <w:spacing w:before="0" w:after="0"/>
    </w:pPr>
    <w:rPr>
      <w:rFonts w:ascii="Times New Roman" w:hAnsi="Times New Roman" w:eastAsia="宋体"/>
      <w:bCs w:val="0"/>
      <w:sz w:val="24"/>
      <w:szCs w:val="20"/>
    </w:rPr>
  </w:style>
  <w:style w:type="paragraph" w:customStyle="1" w:styleId="2228">
    <w:name w:val="Main Para no Chapter #"/>
    <w:basedOn w:val="1"/>
    <w:qFormat/>
    <w:uiPriority w:val="0"/>
    <w:pPr>
      <w:widowControl/>
      <w:tabs>
        <w:tab w:val="clear" w:pos="480"/>
      </w:tabs>
      <w:spacing w:after="240" w:line="240" w:lineRule="auto"/>
      <w:jc w:val="left"/>
      <w:outlineLvl w:val="1"/>
    </w:pPr>
    <w:rPr>
      <w:rFonts w:eastAsia="Times New Roman"/>
      <w:kern w:val="0"/>
      <w:szCs w:val="20"/>
    </w:rPr>
  </w:style>
  <w:style w:type="character" w:customStyle="1" w:styleId="2229">
    <w:name w:val="正文新 Char Char Char Char"/>
    <w:qFormat/>
    <w:uiPriority w:val="0"/>
    <w:rPr>
      <w:rFonts w:eastAsia="宋体" w:cs="宋体"/>
      <w:kern w:val="2"/>
      <w:sz w:val="24"/>
      <w:szCs w:val="24"/>
      <w:lang w:val="en-US" w:eastAsia="zh-CN" w:bidi="ar-SA"/>
    </w:rPr>
  </w:style>
  <w:style w:type="character" w:customStyle="1" w:styleId="2230">
    <w:name w:val="正文新 Char Char Char1"/>
    <w:qFormat/>
    <w:uiPriority w:val="0"/>
    <w:rPr>
      <w:rFonts w:eastAsia="宋体" w:cs="宋体"/>
      <w:kern w:val="2"/>
      <w:sz w:val="24"/>
      <w:lang w:val="en-US" w:eastAsia="zh-CN" w:bidi="ar-SA"/>
    </w:rPr>
  </w:style>
  <w:style w:type="paragraph" w:customStyle="1" w:styleId="2231">
    <w:name w:val="图表内容"/>
    <w:basedOn w:val="1"/>
    <w:qFormat/>
    <w:uiPriority w:val="0"/>
    <w:pPr>
      <w:tabs>
        <w:tab w:val="left" w:pos="7200"/>
        <w:tab w:val="clear" w:pos="480"/>
      </w:tabs>
      <w:spacing w:line="240" w:lineRule="auto"/>
      <w:jc w:val="center"/>
    </w:pPr>
    <w:rPr>
      <w:color w:val="000000"/>
      <w:kern w:val="0"/>
      <w:sz w:val="21"/>
    </w:rPr>
  </w:style>
  <w:style w:type="paragraph" w:customStyle="1" w:styleId="2232">
    <w:name w:val="样式 标题 4 + 首行缩进:  2 字符"/>
    <w:basedOn w:val="6"/>
    <w:qFormat/>
    <w:uiPriority w:val="0"/>
    <w:pPr>
      <w:numPr>
        <w:ilvl w:val="0"/>
        <w:numId w:val="0"/>
      </w:numPr>
      <w:tabs>
        <w:tab w:val="clear" w:pos="480"/>
      </w:tabs>
      <w:spacing w:before="0" w:after="0"/>
    </w:pPr>
    <w:rPr>
      <w:rFonts w:ascii="Times New Roman" w:hAnsi="Times New Roman" w:eastAsia="宋体"/>
      <w:bCs w:val="0"/>
      <w:sz w:val="24"/>
      <w:szCs w:val="20"/>
    </w:rPr>
  </w:style>
  <w:style w:type="paragraph" w:customStyle="1" w:styleId="2233">
    <w:name w:val="小4黑居中行1"/>
    <w:qFormat/>
    <w:uiPriority w:val="0"/>
    <w:pPr>
      <w:spacing w:line="360" w:lineRule="auto"/>
      <w:jc w:val="center"/>
    </w:pPr>
    <w:rPr>
      <w:rFonts w:ascii="Times New Roman" w:hAnsi="Times New Roman" w:eastAsia="宋体" w:cs="Times New Roman"/>
      <w:kern w:val="2"/>
      <w:sz w:val="21"/>
      <w:szCs w:val="24"/>
      <w:lang w:val="en-US" w:eastAsia="zh-CN" w:bidi="ar-SA"/>
    </w:rPr>
  </w:style>
  <w:style w:type="paragraph" w:customStyle="1" w:styleId="2234">
    <w:name w:val="大纲封面"/>
    <w:basedOn w:val="1"/>
    <w:qFormat/>
    <w:uiPriority w:val="0"/>
    <w:pPr>
      <w:tabs>
        <w:tab w:val="clear" w:pos="480"/>
      </w:tabs>
      <w:jc w:val="center"/>
    </w:pPr>
    <w:rPr>
      <w:rFonts w:ascii="宋体" w:eastAsia="楷体_GB2312"/>
      <w:b/>
      <w:spacing w:val="100"/>
      <w:sz w:val="72"/>
      <w:szCs w:val="20"/>
    </w:rPr>
  </w:style>
  <w:style w:type="paragraph" w:customStyle="1" w:styleId="2235">
    <w:name w:val="封面单位"/>
    <w:basedOn w:val="1"/>
    <w:qFormat/>
    <w:uiPriority w:val="0"/>
    <w:pPr>
      <w:tabs>
        <w:tab w:val="right" w:leader="middleDot" w:pos="8222"/>
        <w:tab w:val="clear" w:pos="480"/>
      </w:tabs>
      <w:jc w:val="center"/>
    </w:pPr>
    <w:rPr>
      <w:rFonts w:ascii="楷体_GB2312" w:eastAsia="楷体_GB2312"/>
      <w:b/>
      <w:sz w:val="36"/>
      <w:szCs w:val="20"/>
    </w:rPr>
  </w:style>
  <w:style w:type="paragraph" w:customStyle="1" w:styleId="2236">
    <w:name w:val="我的样式（正文） Char"/>
    <w:basedOn w:val="1"/>
    <w:qFormat/>
    <w:uiPriority w:val="0"/>
    <w:pPr>
      <w:tabs>
        <w:tab w:val="clear" w:pos="480"/>
      </w:tabs>
      <w:spacing w:line="440" w:lineRule="exact"/>
    </w:pPr>
    <w:rPr>
      <w:rFonts w:ascii="宋体" w:hAnsi="华文楷体"/>
      <w:sz w:val="28"/>
      <w:szCs w:val="20"/>
    </w:rPr>
  </w:style>
  <w:style w:type="character" w:customStyle="1" w:styleId="2237">
    <w:name w:val="我的样式（正文） Char Char"/>
    <w:qFormat/>
    <w:uiPriority w:val="0"/>
    <w:rPr>
      <w:rFonts w:ascii="宋体" w:hAnsi="华文楷体" w:eastAsia="宋体"/>
      <w:kern w:val="2"/>
      <w:sz w:val="24"/>
      <w:szCs w:val="24"/>
      <w:lang w:val="en-US" w:eastAsia="zh-CN"/>
    </w:rPr>
  </w:style>
  <w:style w:type="paragraph" w:customStyle="1" w:styleId="2238">
    <w:name w:val="样式 首行缩进:  2 字符 Char Char"/>
    <w:basedOn w:val="1"/>
    <w:qFormat/>
    <w:uiPriority w:val="0"/>
    <w:pPr>
      <w:tabs>
        <w:tab w:val="clear" w:pos="480"/>
      </w:tabs>
      <w:spacing w:line="480" w:lineRule="exact"/>
      <w:ind w:firstLine="560"/>
    </w:pPr>
    <w:rPr>
      <w:kern w:val="28"/>
      <w:sz w:val="28"/>
    </w:rPr>
  </w:style>
  <w:style w:type="paragraph" w:customStyle="1" w:styleId="2239">
    <w:name w:val="dir"/>
    <w:basedOn w:val="1"/>
    <w:qFormat/>
    <w:uiPriority w:val="0"/>
    <w:pPr>
      <w:widowControl/>
      <w:tabs>
        <w:tab w:val="clear" w:pos="480"/>
      </w:tabs>
      <w:spacing w:before="100" w:beforeAutospacing="1" w:after="100" w:afterAutospacing="1" w:line="240" w:lineRule="auto"/>
      <w:jc w:val="left"/>
    </w:pPr>
    <w:rPr>
      <w:rFonts w:hint="eastAsia" w:ascii="宋体" w:hAnsi="宋体"/>
      <w:b/>
      <w:bCs/>
      <w:kern w:val="0"/>
      <w:sz w:val="22"/>
      <w:szCs w:val="22"/>
    </w:rPr>
  </w:style>
  <w:style w:type="paragraph" w:customStyle="1" w:styleId="2240">
    <w:name w:val="标题 3 + 首行缩进:  2 字符"/>
    <w:basedOn w:val="5"/>
    <w:qFormat/>
    <w:uiPriority w:val="0"/>
    <w:pPr>
      <w:tabs>
        <w:tab w:val="clear" w:pos="480"/>
        <w:tab w:val="clear" w:pos="840"/>
      </w:tabs>
      <w:snapToGrid w:val="0"/>
      <w:spacing w:after="120" w:line="420" w:lineRule="atLeast"/>
    </w:pPr>
    <w:rPr>
      <w:rFonts w:ascii="Times New Roman" w:eastAsia="楷体_GB2312"/>
      <w:spacing w:val="4"/>
      <w:sz w:val="24"/>
      <w:szCs w:val="20"/>
    </w:rPr>
  </w:style>
  <w:style w:type="paragraph" w:customStyle="1" w:styleId="2241">
    <w:name w:val="样式 标题 2 + (西文) 黑体"/>
    <w:basedOn w:val="4"/>
    <w:qFormat/>
    <w:uiPriority w:val="0"/>
    <w:pPr>
      <w:tabs>
        <w:tab w:val="left" w:pos="567"/>
        <w:tab w:val="left" w:pos="840"/>
        <w:tab w:val="left" w:pos="1380"/>
        <w:tab w:val="clear" w:pos="480"/>
        <w:tab w:val="clear" w:pos="630"/>
      </w:tabs>
      <w:snapToGrid w:val="0"/>
      <w:spacing w:before="240" w:line="360" w:lineRule="atLeast"/>
      <w:ind w:left="840" w:hanging="420"/>
      <w:jc w:val="left"/>
    </w:pPr>
    <w:rPr>
      <w:rFonts w:eastAsia="黑体"/>
      <w:spacing w:val="4"/>
      <w:sz w:val="28"/>
      <w:szCs w:val="20"/>
    </w:rPr>
  </w:style>
  <w:style w:type="paragraph" w:customStyle="1" w:styleId="2242">
    <w:name w:val="条题"/>
    <w:basedOn w:val="1"/>
    <w:qFormat/>
    <w:uiPriority w:val="0"/>
    <w:pPr>
      <w:tabs>
        <w:tab w:val="clear" w:pos="480"/>
      </w:tabs>
      <w:spacing w:line="420" w:lineRule="exact"/>
      <w:ind w:firstLine="480"/>
    </w:pPr>
    <w:rPr>
      <w:bCs/>
    </w:rPr>
  </w:style>
  <w:style w:type="paragraph" w:customStyle="1" w:styleId="2243">
    <w:name w:val="表格001"/>
    <w:basedOn w:val="1"/>
    <w:qFormat/>
    <w:uiPriority w:val="0"/>
    <w:pPr>
      <w:tabs>
        <w:tab w:val="clear" w:pos="480"/>
      </w:tabs>
      <w:spacing w:line="240" w:lineRule="auto"/>
      <w:jc w:val="center"/>
    </w:pPr>
    <w:rPr>
      <w:sz w:val="21"/>
      <w:szCs w:val="20"/>
    </w:rPr>
  </w:style>
  <w:style w:type="character" w:customStyle="1" w:styleId="2244">
    <w:name w:val="p141"/>
    <w:qFormat/>
    <w:uiPriority w:val="0"/>
    <w:rPr>
      <w:color w:val="1B1B1B"/>
      <w:sz w:val="21"/>
      <w:szCs w:val="21"/>
    </w:rPr>
  </w:style>
  <w:style w:type="paragraph" w:customStyle="1" w:styleId="2245">
    <w:name w:val="Char Char Char Char Char Char Char Char Char Char Char Char Char Char Char Char Char Char Char Char Char Char Char Char Char Char Char Char1"/>
    <w:basedOn w:val="1"/>
    <w:qFormat/>
    <w:uiPriority w:val="0"/>
    <w:pPr>
      <w:tabs>
        <w:tab w:val="clear" w:pos="480"/>
      </w:tabs>
      <w:spacing w:line="240" w:lineRule="auto"/>
    </w:pPr>
    <w:rPr>
      <w:rFonts w:ascii="Plotter" w:hAnsi="Plotter"/>
      <w:sz w:val="21"/>
      <w:szCs w:val="20"/>
    </w:rPr>
  </w:style>
  <w:style w:type="paragraph" w:customStyle="1" w:styleId="2246">
    <w:name w:val="默认段落字体 Para Char Char Char1 Char Char Char Char Char Char Char Char Char Char"/>
    <w:basedOn w:val="1"/>
    <w:qFormat/>
    <w:uiPriority w:val="0"/>
    <w:pPr>
      <w:tabs>
        <w:tab w:val="clear" w:pos="480"/>
      </w:tabs>
      <w:spacing w:line="240" w:lineRule="auto"/>
    </w:pPr>
  </w:style>
  <w:style w:type="paragraph" w:customStyle="1" w:styleId="2247">
    <w:name w:val="表格内字体"/>
    <w:basedOn w:val="1"/>
    <w:qFormat/>
    <w:uiPriority w:val="0"/>
    <w:pPr>
      <w:tabs>
        <w:tab w:val="clear" w:pos="480"/>
      </w:tabs>
      <w:spacing w:line="240" w:lineRule="exact"/>
      <w:jc w:val="center"/>
    </w:pPr>
    <w:rPr>
      <w:rFonts w:ascii="宋体" w:hAnsi="宋体"/>
      <w:color w:val="000000"/>
      <w:kern w:val="0"/>
      <w:sz w:val="21"/>
      <w:szCs w:val="20"/>
    </w:rPr>
  </w:style>
  <w:style w:type="character" w:customStyle="1" w:styleId="2248">
    <w:name w:val="new_content"/>
    <w:basedOn w:val="133"/>
    <w:qFormat/>
    <w:uiPriority w:val="0"/>
  </w:style>
  <w:style w:type="paragraph" w:customStyle="1" w:styleId="2249">
    <w:name w:val="样式 黑体 居中"/>
    <w:basedOn w:val="1"/>
    <w:qFormat/>
    <w:uiPriority w:val="0"/>
    <w:pPr>
      <w:tabs>
        <w:tab w:val="clear" w:pos="480"/>
      </w:tabs>
      <w:spacing w:line="520" w:lineRule="exact"/>
      <w:jc w:val="center"/>
      <w:textAlignment w:val="center"/>
    </w:pPr>
    <w:rPr>
      <w:rFonts w:ascii="黑体" w:eastAsia="黑体"/>
      <w:snapToGrid w:val="0"/>
      <w:szCs w:val="20"/>
    </w:rPr>
  </w:style>
  <w:style w:type="character" w:customStyle="1" w:styleId="2250">
    <w:name w:val="奇数页眉 Char"/>
    <w:qFormat/>
    <w:uiPriority w:val="0"/>
    <w:rPr>
      <w:rFonts w:ascii="幼圆" w:eastAsia="幼圆"/>
      <w:kern w:val="2"/>
      <w:sz w:val="18"/>
      <w:szCs w:val="18"/>
      <w:lang w:val="en-US" w:eastAsia="zh-CN" w:bidi="ar-SA"/>
    </w:rPr>
  </w:style>
  <w:style w:type="paragraph" w:customStyle="1" w:styleId="2251">
    <w:name w:val="Char Char Char Char Char Char Char Char Char Char Char Char Char Char Char Char Char Char Char Char Char Char Char Char Char Char Char Char Char Char Char Char Char Char Char Char"/>
    <w:basedOn w:val="1"/>
    <w:qFormat/>
    <w:uiPriority w:val="0"/>
    <w:pPr>
      <w:tabs>
        <w:tab w:val="clear" w:pos="480"/>
      </w:tabs>
      <w:spacing w:line="240" w:lineRule="auto"/>
    </w:pPr>
    <w:rPr>
      <w:sz w:val="21"/>
    </w:rPr>
  </w:style>
  <w:style w:type="paragraph" w:customStyle="1" w:styleId="2252">
    <w:name w:val="Char Char1 Char1"/>
    <w:basedOn w:val="1"/>
    <w:qFormat/>
    <w:uiPriority w:val="0"/>
    <w:pPr>
      <w:tabs>
        <w:tab w:val="clear" w:pos="480"/>
      </w:tabs>
      <w:spacing w:before="100" w:beforeAutospacing="1" w:after="100" w:afterAutospacing="1"/>
      <w:ind w:firstLine="480"/>
      <w:jc w:val="left"/>
    </w:pPr>
    <w:rPr>
      <w:rFonts w:ascii="Arial" w:hAnsi="Arial"/>
      <w:kern w:val="0"/>
      <w:lang w:eastAsia="en-US"/>
    </w:rPr>
  </w:style>
  <w:style w:type="paragraph" w:customStyle="1" w:styleId="2253">
    <w:name w:val="Char Char1 Char Char1 Char"/>
    <w:basedOn w:val="1"/>
    <w:qFormat/>
    <w:uiPriority w:val="0"/>
    <w:pPr>
      <w:tabs>
        <w:tab w:val="clear" w:pos="480"/>
      </w:tabs>
      <w:spacing w:line="240" w:lineRule="auto"/>
    </w:pPr>
    <w:rPr>
      <w:sz w:val="21"/>
      <w:szCs w:val="21"/>
    </w:rPr>
  </w:style>
  <w:style w:type="paragraph" w:customStyle="1" w:styleId="2254">
    <w:name w:val="样式 正文缩进图表标题identication图表表正文正文非缩进特点ALT+Z标题4段1正文（首行缩进两字..."/>
    <w:basedOn w:val="21"/>
    <w:link w:val="2255"/>
    <w:qFormat/>
    <w:uiPriority w:val="0"/>
    <w:pPr>
      <w:tabs>
        <w:tab w:val="clear" w:pos="480"/>
      </w:tabs>
      <w:ind w:firstLine="200"/>
    </w:pPr>
    <w:rPr>
      <w:rFonts w:cs="宋体"/>
      <w:szCs w:val="20"/>
      <w:u w:color="000000"/>
    </w:rPr>
  </w:style>
  <w:style w:type="character" w:customStyle="1" w:styleId="2255">
    <w:name w:val="样式 正文缩进图表标题identication图表表正文正文非缩进特点ALT+Z标题4段1正文（首行缩进两字... Char"/>
    <w:link w:val="2254"/>
    <w:qFormat/>
    <w:uiPriority w:val="0"/>
    <w:rPr>
      <w:rFonts w:eastAsia="宋体" w:cs="宋体"/>
      <w:kern w:val="2"/>
      <w:sz w:val="24"/>
      <w:u w:color="000000"/>
      <w:lang w:val="en-US" w:eastAsia="zh-CN" w:bidi="ar-SA"/>
    </w:rPr>
  </w:style>
  <w:style w:type="paragraph" w:customStyle="1" w:styleId="2256">
    <w:name w:val="样式 标题 33级标题小节名小节Char Char标题 33标题 13条标题1.1.1(F4)标题 3 Cha...2"/>
    <w:basedOn w:val="5"/>
    <w:qFormat/>
    <w:uiPriority w:val="0"/>
    <w:pPr>
      <w:tabs>
        <w:tab w:val="left" w:pos="720"/>
        <w:tab w:val="clear" w:pos="480"/>
        <w:tab w:val="clear" w:pos="840"/>
      </w:tabs>
      <w:spacing w:before="180" w:after="120" w:line="240" w:lineRule="auto"/>
      <w:ind w:left="720" w:hanging="720"/>
    </w:pPr>
    <w:rPr>
      <w:rFonts w:ascii="Times New Roman" w:hAnsi="宋体" w:eastAsia="黑体" w:cs="宋体"/>
      <w:b w:val="0"/>
      <w:bCs w:val="0"/>
      <w:snapToGrid w:val="0"/>
      <w:color w:val="0000FF"/>
      <w:kern w:val="0"/>
      <w:sz w:val="28"/>
      <w:szCs w:val="20"/>
    </w:rPr>
  </w:style>
  <w:style w:type="character" w:customStyle="1" w:styleId="2257">
    <w:name w:val="html_txt1"/>
    <w:qFormat/>
    <w:uiPriority w:val="0"/>
    <w:rPr>
      <w:color w:val="000000"/>
    </w:rPr>
  </w:style>
  <w:style w:type="character" w:customStyle="1" w:styleId="2258">
    <w:name w:val="html_cha1"/>
    <w:qFormat/>
    <w:uiPriority w:val="0"/>
    <w:rPr>
      <w:color w:val="FF0000"/>
    </w:rPr>
  </w:style>
  <w:style w:type="character" w:customStyle="1" w:styleId="2259">
    <w:name w:val="html_tag1"/>
    <w:qFormat/>
    <w:uiPriority w:val="0"/>
    <w:rPr>
      <w:color w:val="0000FF"/>
    </w:rPr>
  </w:style>
  <w:style w:type="character" w:customStyle="1" w:styleId="2260">
    <w:name w:val="html_elm1"/>
    <w:qFormat/>
    <w:uiPriority w:val="0"/>
    <w:rPr>
      <w:color w:val="800000"/>
    </w:rPr>
  </w:style>
  <w:style w:type="paragraph" w:customStyle="1" w:styleId="2261">
    <w:name w:val="表格，表号"/>
    <w:basedOn w:val="1"/>
    <w:qFormat/>
    <w:uiPriority w:val="0"/>
    <w:pPr>
      <w:tabs>
        <w:tab w:val="clear" w:pos="480"/>
      </w:tabs>
      <w:spacing w:line="240" w:lineRule="auto"/>
      <w:jc w:val="left"/>
    </w:pPr>
    <w:rPr>
      <w:rFonts w:ascii="宋体" w:hAnsi="宋体"/>
      <w:snapToGrid w:val="0"/>
      <w:spacing w:val="6"/>
      <w:kern w:val="0"/>
      <w:sz w:val="21"/>
    </w:rPr>
  </w:style>
  <w:style w:type="paragraph" w:customStyle="1" w:styleId="2262">
    <w:name w:val="正文（有空格）"/>
    <w:qFormat/>
    <w:uiPriority w:val="0"/>
    <w:pPr>
      <w:widowControl w:val="0"/>
      <w:adjustRightInd w:val="0"/>
      <w:snapToGrid w:val="0"/>
      <w:spacing w:line="360" w:lineRule="auto"/>
      <w:ind w:firstLine="200" w:firstLineChars="200"/>
      <w:jc w:val="center"/>
    </w:pPr>
    <w:rPr>
      <w:rFonts w:ascii="Times New Roman" w:hAnsi="Times New Roman" w:eastAsia="宋体" w:cs="Times New Roman"/>
      <w:kern w:val="2"/>
      <w:sz w:val="28"/>
      <w:szCs w:val="28"/>
      <w:lang w:val="en-US" w:eastAsia="zh-CN" w:bidi="ar-SA"/>
    </w:rPr>
  </w:style>
  <w:style w:type="paragraph" w:customStyle="1" w:styleId="2263">
    <w:name w:val="图表标题"/>
    <w:basedOn w:val="1"/>
    <w:qFormat/>
    <w:uiPriority w:val="0"/>
    <w:pPr>
      <w:tabs>
        <w:tab w:val="clear" w:pos="480"/>
      </w:tabs>
      <w:ind w:firstLine="480"/>
      <w:jc w:val="center"/>
    </w:pPr>
  </w:style>
  <w:style w:type="paragraph" w:customStyle="1" w:styleId="2264">
    <w:name w:val="南联小四宋体"/>
    <w:link w:val="2265"/>
    <w:qFormat/>
    <w:uiPriority w:val="0"/>
    <w:pPr>
      <w:widowControl w:val="0"/>
      <w:spacing w:line="360" w:lineRule="auto"/>
      <w:jc w:val="both"/>
    </w:pPr>
    <w:rPr>
      <w:rFonts w:ascii="Times New Roman" w:hAnsi="Times New Roman" w:eastAsia="宋体" w:cs="Times New Roman"/>
      <w:kern w:val="2"/>
      <w:sz w:val="24"/>
      <w:szCs w:val="30"/>
      <w:lang w:val="en-US" w:eastAsia="zh-CN" w:bidi="ar-SA"/>
    </w:rPr>
  </w:style>
  <w:style w:type="character" w:customStyle="1" w:styleId="2265">
    <w:name w:val="南联小四宋体 Char"/>
    <w:link w:val="2264"/>
    <w:qFormat/>
    <w:uiPriority w:val="0"/>
    <w:rPr>
      <w:sz w:val="24"/>
      <w:szCs w:val="30"/>
      <w:lang w:val="en-US" w:eastAsia="zh-CN" w:bidi="ar-SA"/>
    </w:rPr>
  </w:style>
  <w:style w:type="paragraph" w:customStyle="1" w:styleId="2266">
    <w:name w:val="cc四级标题"/>
    <w:basedOn w:val="1"/>
    <w:qFormat/>
    <w:uiPriority w:val="0"/>
    <w:pPr>
      <w:keepNext/>
      <w:keepLines/>
      <w:tabs>
        <w:tab w:val="left" w:pos="1680"/>
        <w:tab w:val="clear" w:pos="480"/>
      </w:tabs>
      <w:ind w:left="1680" w:hanging="420"/>
      <w:outlineLvl w:val="3"/>
    </w:pPr>
    <w:rPr>
      <w:rFonts w:hAnsi="宋体"/>
      <w:b/>
      <w:bCs/>
      <w:color w:val="0000FF"/>
    </w:rPr>
  </w:style>
  <w:style w:type="paragraph" w:customStyle="1" w:styleId="2267">
    <w:name w:val="z-catalog-i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68">
    <w:name w:val="表格1 Char"/>
    <w:qFormat/>
    <w:uiPriority w:val="0"/>
    <w:rPr>
      <w:rFonts w:ascii="宋体" w:hAnsi="宋体" w:eastAsia="宋体"/>
      <w:snapToGrid w:val="0"/>
      <w:sz w:val="21"/>
      <w:szCs w:val="24"/>
      <w:lang w:val="en-US" w:eastAsia="zh-CN" w:bidi="ar-SA"/>
    </w:rPr>
  </w:style>
  <w:style w:type="character" w:customStyle="1" w:styleId="2269">
    <w:name w:val="catalog-item-index1"/>
    <w:basedOn w:val="133"/>
    <w:qFormat/>
    <w:uiPriority w:val="0"/>
  </w:style>
  <w:style w:type="character" w:customStyle="1" w:styleId="2270">
    <w:name w:val="第2级标题 Char"/>
    <w:link w:val="1876"/>
    <w:qFormat/>
    <w:uiPriority w:val="0"/>
    <w:rPr>
      <w:rFonts w:eastAsia="华文中宋"/>
      <w:b/>
      <w:bCs/>
      <w:smallCaps/>
      <w:kern w:val="2"/>
      <w:sz w:val="32"/>
      <w:szCs w:val="32"/>
      <w:lang w:val="en-US" w:eastAsia="zh-CN" w:bidi="ar-SA"/>
    </w:rPr>
  </w:style>
  <w:style w:type="paragraph" w:customStyle="1" w:styleId="2271">
    <w:name w:val="本文标题31"/>
    <w:basedOn w:val="1"/>
    <w:qFormat/>
    <w:uiPriority w:val="0"/>
    <w:pPr>
      <w:tabs>
        <w:tab w:val="clear" w:pos="480"/>
      </w:tabs>
      <w:spacing w:line="240" w:lineRule="auto"/>
    </w:pPr>
    <w:rPr>
      <w:sz w:val="21"/>
    </w:rPr>
  </w:style>
  <w:style w:type="character" w:customStyle="1" w:styleId="2272">
    <w:name w:val="正文01 Char2"/>
    <w:link w:val="544"/>
    <w:qFormat/>
    <w:uiPriority w:val="0"/>
    <w:rPr>
      <w:rFonts w:eastAsia="宋体"/>
      <w:kern w:val="2"/>
      <w:sz w:val="27"/>
      <w:lang w:val="en-US" w:eastAsia="zh-CN" w:bidi="ar-SA"/>
    </w:rPr>
  </w:style>
  <w:style w:type="paragraph" w:customStyle="1" w:styleId="2273">
    <w:name w:val="样式 标题2 + 小三"/>
    <w:basedOn w:val="1"/>
    <w:qFormat/>
    <w:uiPriority w:val="0"/>
    <w:pPr>
      <w:keepNext/>
      <w:keepLines/>
      <w:widowControl/>
      <w:numPr>
        <w:ilvl w:val="0"/>
        <w:numId w:val="29"/>
      </w:numPr>
      <w:tabs>
        <w:tab w:val="clear" w:pos="480"/>
      </w:tabs>
      <w:overflowPunct w:val="0"/>
      <w:autoSpaceDE w:val="0"/>
      <w:autoSpaceDN w:val="0"/>
      <w:adjustRightInd w:val="0"/>
      <w:spacing w:line="200" w:lineRule="atLeast"/>
      <w:textAlignment w:val="baseline"/>
      <w:outlineLvl w:val="1"/>
    </w:pPr>
    <w:rPr>
      <w:rFonts w:ascii="宋体" w:hAnsi="宋体"/>
      <w:b/>
      <w:color w:val="0000FF"/>
      <w:spacing w:val="-10"/>
      <w:kern w:val="0"/>
      <w:sz w:val="30"/>
      <w:szCs w:val="32"/>
    </w:rPr>
  </w:style>
  <w:style w:type="paragraph" w:customStyle="1" w:styleId="2274">
    <w:name w:val="whs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75">
    <w:name w:val="d11"/>
    <w:qFormat/>
    <w:uiPriority w:val="0"/>
    <w:rPr>
      <w:spacing w:val="440"/>
      <w:sz w:val="24"/>
      <w:szCs w:val="24"/>
    </w:rPr>
  </w:style>
  <w:style w:type="paragraph" w:customStyle="1" w:styleId="2276">
    <w:name w:val="6'"/>
    <w:basedOn w:val="1"/>
    <w:qFormat/>
    <w:uiPriority w:val="0"/>
    <w:pPr>
      <w:tabs>
        <w:tab w:val="clear" w:pos="480"/>
      </w:tabs>
      <w:autoSpaceDE w:val="0"/>
      <w:autoSpaceDN w:val="0"/>
      <w:adjustRightInd w:val="0"/>
      <w:snapToGrid w:val="0"/>
      <w:spacing w:line="320" w:lineRule="exact"/>
      <w:jc w:val="center"/>
      <w:textAlignment w:val="baseline"/>
    </w:pPr>
    <w:rPr>
      <w:spacing w:val="20"/>
      <w:kern w:val="28"/>
      <w:sz w:val="21"/>
      <w:szCs w:val="20"/>
    </w:rPr>
  </w:style>
  <w:style w:type="paragraph" w:customStyle="1" w:styleId="2277">
    <w:name w:val="标注"/>
    <w:basedOn w:val="1"/>
    <w:qFormat/>
    <w:uiPriority w:val="0"/>
    <w:pPr>
      <w:tabs>
        <w:tab w:val="clear" w:pos="480"/>
      </w:tabs>
      <w:spacing w:line="320" w:lineRule="exact"/>
    </w:pPr>
    <w:rPr>
      <w:color w:val="008080"/>
      <w:sz w:val="21"/>
      <w:szCs w:val="20"/>
    </w:rPr>
  </w:style>
  <w:style w:type="paragraph" w:customStyle="1" w:styleId="2278">
    <w:name w:val="表格11"/>
    <w:basedOn w:val="1"/>
    <w:link w:val="2279"/>
    <w:qFormat/>
    <w:uiPriority w:val="0"/>
    <w:pPr>
      <w:tabs>
        <w:tab w:val="clear" w:pos="480"/>
      </w:tabs>
      <w:snapToGrid w:val="0"/>
      <w:spacing w:line="240" w:lineRule="auto"/>
      <w:jc w:val="center"/>
    </w:pPr>
    <w:rPr>
      <w:kern w:val="0"/>
      <w:sz w:val="21"/>
    </w:rPr>
  </w:style>
  <w:style w:type="character" w:customStyle="1" w:styleId="2279">
    <w:name w:val="表格11 Char"/>
    <w:link w:val="2278"/>
    <w:qFormat/>
    <w:uiPriority w:val="0"/>
    <w:rPr>
      <w:rFonts w:eastAsia="宋体"/>
      <w:sz w:val="21"/>
      <w:szCs w:val="24"/>
      <w:lang w:val="en-US" w:eastAsia="zh-CN" w:bidi="ar-SA"/>
    </w:rPr>
  </w:style>
  <w:style w:type="paragraph" w:customStyle="1" w:styleId="2280">
    <w:name w:val="小四"/>
    <w:basedOn w:val="1"/>
    <w:link w:val="2281"/>
    <w:qFormat/>
    <w:uiPriority w:val="0"/>
    <w:pPr>
      <w:widowControl/>
      <w:tabs>
        <w:tab w:val="clear" w:pos="480"/>
      </w:tabs>
      <w:jc w:val="left"/>
    </w:pPr>
    <w:rPr>
      <w:rFonts w:cs="宋体"/>
      <w:szCs w:val="20"/>
    </w:rPr>
  </w:style>
  <w:style w:type="character" w:customStyle="1" w:styleId="2281">
    <w:name w:val="小四 Char"/>
    <w:link w:val="2280"/>
    <w:qFormat/>
    <w:uiPriority w:val="0"/>
    <w:rPr>
      <w:rFonts w:eastAsia="宋体" w:cs="宋体"/>
      <w:kern w:val="2"/>
      <w:sz w:val="24"/>
      <w:lang w:val="en-US" w:eastAsia="zh-CN" w:bidi="ar-SA"/>
    </w:rPr>
  </w:style>
  <w:style w:type="character" w:customStyle="1" w:styleId="2282">
    <w:name w:val="正文文字 Char Char Char Char Char Char Char Char1"/>
    <w:qFormat/>
    <w:uiPriority w:val="0"/>
    <w:rPr>
      <w:rFonts w:ascii="宋体" w:hAnsi="宋体" w:eastAsia="宋体"/>
      <w:kern w:val="2"/>
      <w:sz w:val="21"/>
      <w:lang w:val="en-US" w:eastAsia="zh-CN" w:bidi="ar-SA"/>
    </w:rPr>
  </w:style>
  <w:style w:type="character" w:customStyle="1" w:styleId="2283">
    <w:name w:val="T3标题 Char Char1"/>
    <w:qFormat/>
    <w:uiPriority w:val="0"/>
    <w:rPr>
      <w:rFonts w:hAnsi="宋体" w:eastAsia="宋体"/>
      <w:b/>
      <w:bCs/>
      <w:kern w:val="18"/>
      <w:sz w:val="30"/>
      <w:szCs w:val="30"/>
      <w:lang w:val="en-US" w:eastAsia="zh-CN" w:bidi="ar-SA"/>
    </w:rPr>
  </w:style>
  <w:style w:type="character" w:customStyle="1" w:styleId="2284">
    <w:name w:val="实德题注 Char1"/>
    <w:qFormat/>
    <w:uiPriority w:val="0"/>
    <w:rPr>
      <w:rFonts w:ascii="Arial" w:hAnsi="Arial" w:eastAsia="宋体" w:cs="Arial"/>
      <w:color w:val="000000"/>
      <w:kern w:val="2"/>
      <w:sz w:val="24"/>
      <w:lang w:val="en-US" w:eastAsia="zh-CN" w:bidi="ar-SA"/>
    </w:rPr>
  </w:style>
  <w:style w:type="paragraph" w:customStyle="1" w:styleId="2285">
    <w:name w:val="表格标题TTTT"/>
    <w:basedOn w:val="207"/>
    <w:link w:val="2286"/>
    <w:qFormat/>
    <w:uiPriority w:val="0"/>
    <w:pPr>
      <w:spacing w:line="240" w:lineRule="auto"/>
      <w:ind w:firstLine="0"/>
      <w:jc w:val="center"/>
    </w:pPr>
    <w:rPr>
      <w:rFonts w:cs="宋体"/>
      <w:b/>
      <w:bCs/>
      <w:kern w:val="2"/>
    </w:rPr>
  </w:style>
  <w:style w:type="character" w:customStyle="1" w:styleId="2286">
    <w:name w:val="表格标题TTTT Char"/>
    <w:link w:val="2285"/>
    <w:qFormat/>
    <w:uiPriority w:val="0"/>
    <w:rPr>
      <w:rFonts w:eastAsia="宋体" w:cs="宋体"/>
      <w:b/>
      <w:bCs/>
      <w:kern w:val="2"/>
      <w:sz w:val="24"/>
      <w:lang w:val="en-US" w:eastAsia="zh-CN" w:bidi="ar-SA"/>
    </w:rPr>
  </w:style>
  <w:style w:type="paragraph" w:customStyle="1" w:styleId="2287">
    <w:name w:val="ZX 2 表标题"/>
    <w:basedOn w:val="1"/>
    <w:qFormat/>
    <w:uiPriority w:val="0"/>
    <w:pPr>
      <w:numPr>
        <w:ilvl w:val="0"/>
        <w:numId w:val="30"/>
      </w:numPr>
      <w:spacing w:line="240" w:lineRule="auto"/>
      <w:ind w:firstLine="0" w:firstLineChars="0"/>
      <w:jc w:val="center"/>
    </w:pPr>
    <w:rPr>
      <w:rFonts w:cs="宋体"/>
      <w:b/>
      <w:sz w:val="21"/>
      <w:szCs w:val="20"/>
    </w:rPr>
  </w:style>
  <w:style w:type="paragraph" w:customStyle="1" w:styleId="2288">
    <w:name w:val="表前文字"/>
    <w:basedOn w:val="1"/>
    <w:semiHidden/>
    <w:qFormat/>
    <w:uiPriority w:val="0"/>
    <w:pPr>
      <w:tabs>
        <w:tab w:val="clear" w:pos="480"/>
      </w:tabs>
      <w:adjustRightInd w:val="0"/>
      <w:snapToGrid w:val="0"/>
      <w:spacing w:line="300" w:lineRule="auto"/>
      <w:jc w:val="center"/>
    </w:pPr>
    <w:rPr>
      <w:rFonts w:ascii="宋体" w:hAnsi="宋体"/>
      <w:snapToGrid w:val="0"/>
      <w:color w:val="000000"/>
      <w:kern w:val="0"/>
      <w:sz w:val="21"/>
      <w:szCs w:val="21"/>
    </w:rPr>
  </w:style>
  <w:style w:type="character" w:customStyle="1" w:styleId="2289">
    <w:name w:val="正文无缩进 Char Char"/>
    <w:qFormat/>
    <w:uiPriority w:val="0"/>
    <w:rPr>
      <w:rFonts w:ascii="宋体" w:hAnsi="宋体" w:eastAsia="宋体"/>
      <w:snapToGrid w:val="0"/>
      <w:color w:val="000000"/>
      <w:sz w:val="21"/>
      <w:szCs w:val="24"/>
      <w:lang w:val="en-US" w:eastAsia="zh-CN" w:bidi="ar-SA"/>
    </w:rPr>
  </w:style>
  <w:style w:type="character" w:customStyle="1" w:styleId="2290">
    <w:name w:val="正文小四 Char"/>
    <w:link w:val="1301"/>
    <w:qFormat/>
    <w:uiPriority w:val="0"/>
    <w:rPr>
      <w:rFonts w:ascii="宋体" w:hAnsi="宋体" w:eastAsia="宋体"/>
      <w:kern w:val="2"/>
      <w:sz w:val="24"/>
      <w:szCs w:val="28"/>
      <w:lang w:val="en-US" w:eastAsia="zh-CN" w:bidi="ar-SA"/>
    </w:rPr>
  </w:style>
  <w:style w:type="character" w:customStyle="1" w:styleId="2291">
    <w:name w:val="T3标题 Char Char"/>
    <w:qFormat/>
    <w:uiPriority w:val="0"/>
    <w:rPr>
      <w:rFonts w:eastAsia="宋体"/>
      <w:b/>
      <w:bCs/>
      <w:kern w:val="18"/>
      <w:sz w:val="30"/>
      <w:szCs w:val="24"/>
      <w:lang w:val="en-US" w:eastAsia="zh-CN" w:bidi="ar-SA"/>
    </w:rPr>
  </w:style>
  <w:style w:type="character" w:customStyle="1" w:styleId="2292">
    <w:name w:val="表格题注 Char Char"/>
    <w:qFormat/>
    <w:uiPriority w:val="0"/>
    <w:rPr>
      <w:rFonts w:eastAsia="宋体" w:cs="仿宋_GB2312"/>
      <w:b/>
      <w:bCs/>
      <w:kern w:val="2"/>
      <w:sz w:val="24"/>
      <w:szCs w:val="21"/>
      <w:lang w:val="en-US" w:eastAsia="zh-CN" w:bidi="ar-SA"/>
    </w:rPr>
  </w:style>
  <w:style w:type="paragraph" w:customStyle="1" w:styleId="2293">
    <w:name w:val="reader-word-layer reader-word-s1-3"/>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294">
    <w:name w:val="reader-word-layer reader-word-s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95">
    <w:name w:val="标题 7 表 Char1"/>
    <w:qFormat/>
    <w:uiPriority w:val="0"/>
    <w:rPr>
      <w:rFonts w:ascii="宋体" w:hAnsi="Impact" w:eastAsia="楷体_GB2312" w:cs="宋体"/>
      <w:b/>
      <w:kern w:val="24"/>
      <w:sz w:val="24"/>
      <w:lang w:val="en-US" w:eastAsia="zh-CN" w:bidi="ar-SA"/>
    </w:rPr>
  </w:style>
  <w:style w:type="character" w:customStyle="1" w:styleId="2296">
    <w:name w:val="无节款 Char1"/>
    <w:qFormat/>
    <w:uiPriority w:val="0"/>
    <w:rPr>
      <w:rFonts w:ascii="Arial" w:hAnsi="Arial" w:eastAsia="黑体" w:cs="宋体"/>
      <w:kern w:val="24"/>
      <w:sz w:val="24"/>
      <w:lang w:val="en-US" w:eastAsia="zh-CN" w:bidi="ar-SA"/>
    </w:rPr>
  </w:style>
  <w:style w:type="character" w:customStyle="1" w:styleId="2297">
    <w:name w:val="干标题(a) Char2"/>
    <w:qFormat/>
    <w:uiPriority w:val="0"/>
    <w:rPr>
      <w:rFonts w:ascii="Arial" w:hAnsi="Arial" w:eastAsia="黑体" w:cs="宋体"/>
      <w:kern w:val="24"/>
      <w:sz w:val="28"/>
      <w:lang w:val="en-US" w:eastAsia="zh-CN" w:bidi="ar-SA"/>
    </w:rPr>
  </w:style>
  <w:style w:type="character" w:customStyle="1" w:styleId="2298">
    <w:name w:val="正文文字缩进 3 Char3"/>
    <w:qFormat/>
    <w:uiPriority w:val="0"/>
    <w:rPr>
      <w:rFonts w:eastAsia="宋体"/>
      <w:kern w:val="2"/>
      <w:sz w:val="24"/>
      <w:szCs w:val="24"/>
      <w:lang w:val="en-US" w:eastAsia="zh-CN" w:bidi="ar-SA"/>
    </w:rPr>
  </w:style>
  <w:style w:type="character" w:customStyle="1" w:styleId="2299">
    <w:name w:val="落款 Char1"/>
    <w:qFormat/>
    <w:uiPriority w:val="0"/>
    <w:rPr>
      <w:rFonts w:eastAsia="宋体"/>
      <w:kern w:val="2"/>
      <w:sz w:val="21"/>
      <w:szCs w:val="24"/>
      <w:lang w:val="en-US" w:eastAsia="zh-CN" w:bidi="ar-SA"/>
    </w:rPr>
  </w:style>
  <w:style w:type="character" w:customStyle="1" w:styleId="2300">
    <w:name w:val="bt Char1"/>
    <w:qFormat/>
    <w:uiPriority w:val="0"/>
    <w:rPr>
      <w:rFonts w:eastAsia="宋体"/>
      <w:spacing w:val="-18"/>
      <w:kern w:val="11"/>
      <w:sz w:val="30"/>
      <w:szCs w:val="24"/>
      <w:lang w:val="en-US" w:eastAsia="zh-CN" w:bidi="ar-SA"/>
    </w:rPr>
  </w:style>
  <w:style w:type="character" w:customStyle="1" w:styleId="2301">
    <w:name w:val="正文文字 2 Char4"/>
    <w:qFormat/>
    <w:uiPriority w:val="0"/>
    <w:rPr>
      <w:rFonts w:eastAsia="宋体"/>
      <w:color w:val="000000"/>
      <w:kern w:val="2"/>
      <w:sz w:val="24"/>
      <w:lang w:val="en-US" w:eastAsia="zh-CN" w:bidi="ar-SA"/>
    </w:rPr>
  </w:style>
  <w:style w:type="paragraph" w:customStyle="1" w:styleId="2302">
    <w:name w:val="标题1级章标题"/>
    <w:semiHidden/>
    <w:qFormat/>
    <w:uiPriority w:val="0"/>
    <w:pPr>
      <w:spacing w:before="300" w:after="300" w:line="360" w:lineRule="auto"/>
      <w:jc w:val="center"/>
      <w:outlineLvl w:val="0"/>
    </w:pPr>
    <w:rPr>
      <w:rFonts w:ascii="Times New Roman" w:hAnsi="Times New Roman" w:eastAsia="宋体" w:cs="宋体"/>
      <w:b/>
      <w:bCs/>
      <w:kern w:val="44"/>
      <w:sz w:val="36"/>
      <w:szCs w:val="24"/>
      <w:lang w:val="en-US" w:eastAsia="zh-CN" w:bidi="ar-SA"/>
    </w:rPr>
  </w:style>
  <w:style w:type="paragraph" w:customStyle="1" w:styleId="2303">
    <w:name w:val="标题2—张"/>
    <w:semiHidden/>
    <w:qFormat/>
    <w:uiPriority w:val="0"/>
    <w:pPr>
      <w:spacing w:beforeLines="50" w:afterLines="50" w:line="360" w:lineRule="auto"/>
      <w:jc w:val="center"/>
      <w:outlineLvl w:val="1"/>
    </w:pPr>
    <w:rPr>
      <w:rFonts w:ascii="宋体" w:hAnsi="Arial" w:eastAsia="宋体" w:cs="宋体"/>
      <w:bCs/>
      <w:kern w:val="2"/>
      <w:sz w:val="30"/>
      <w:szCs w:val="24"/>
      <w:lang w:val="en-US" w:eastAsia="zh-CN" w:bidi="ar-SA"/>
    </w:rPr>
  </w:style>
  <w:style w:type="paragraph" w:customStyle="1" w:styleId="2304">
    <w:name w:val="标题3-张"/>
    <w:semiHidden/>
    <w:qFormat/>
    <w:uiPriority w:val="0"/>
    <w:pPr>
      <w:spacing w:beforeLines="50" w:afterLines="50" w:line="360" w:lineRule="auto"/>
      <w:jc w:val="both"/>
    </w:pPr>
    <w:rPr>
      <w:rFonts w:ascii="Times New Roman" w:hAnsi="Times New Roman" w:eastAsia="宋体" w:cs="宋体"/>
      <w:b/>
      <w:bCs/>
      <w:kern w:val="2"/>
      <w:sz w:val="24"/>
      <w:szCs w:val="24"/>
      <w:lang w:val="en-US" w:eastAsia="zh-CN" w:bidi="ar-SA"/>
    </w:rPr>
  </w:style>
  <w:style w:type="paragraph" w:customStyle="1" w:styleId="2305">
    <w:name w:val="标题4-张"/>
    <w:semiHidden/>
    <w:qFormat/>
    <w:uiPriority w:val="0"/>
    <w:pPr>
      <w:spacing w:line="360" w:lineRule="auto"/>
      <w:jc w:val="center"/>
      <w:outlineLvl w:val="3"/>
    </w:pPr>
    <w:rPr>
      <w:rFonts w:ascii="Times New Roman" w:hAnsi="Times New Roman" w:eastAsia="宋体" w:cs="宋体"/>
      <w:kern w:val="2"/>
      <w:sz w:val="24"/>
      <w:szCs w:val="24"/>
      <w:lang w:val="en-US" w:eastAsia="zh-CN" w:bidi="ar-SA"/>
    </w:rPr>
  </w:style>
  <w:style w:type="paragraph" w:customStyle="1" w:styleId="2306">
    <w:name w:val="标题1-张"/>
    <w:next w:val="2303"/>
    <w:semiHidden/>
    <w:qFormat/>
    <w:uiPriority w:val="0"/>
    <w:pPr>
      <w:spacing w:before="300" w:after="300" w:line="360" w:lineRule="auto"/>
      <w:jc w:val="center"/>
      <w:outlineLvl w:val="0"/>
    </w:pPr>
    <w:rPr>
      <w:rFonts w:ascii="宋体" w:hAnsi="Arial" w:eastAsia="宋体" w:cs="宋体"/>
      <w:bCs/>
      <w:kern w:val="2"/>
      <w:sz w:val="30"/>
      <w:szCs w:val="24"/>
      <w:lang w:val="en-US" w:eastAsia="zh-CN" w:bidi="ar-SA"/>
    </w:rPr>
  </w:style>
  <w:style w:type="paragraph" w:customStyle="1" w:styleId="2307">
    <w:name w:val="样式 题注题注 Char实德题注 + 两端对齐"/>
    <w:basedOn w:val="23"/>
    <w:semiHidden/>
    <w:qFormat/>
    <w:uiPriority w:val="0"/>
    <w:pPr>
      <w:widowControl w:val="0"/>
      <w:tabs>
        <w:tab w:val="left" w:pos="480"/>
      </w:tabs>
      <w:adjustRightInd/>
      <w:snapToGrid/>
      <w:spacing w:before="0" w:after="0"/>
      <w:ind w:firstLine="0" w:firstLineChars="0"/>
    </w:pPr>
    <w:rPr>
      <w:rFonts w:cs="宋体"/>
      <w:bCs/>
      <w:color w:val="auto"/>
      <w:sz w:val="21"/>
      <w:szCs w:val="24"/>
    </w:rPr>
  </w:style>
  <w:style w:type="paragraph" w:customStyle="1" w:styleId="2308">
    <w:name w:val="样式 题注题注 Char实德题注Char Char Char + 两端对齐1"/>
    <w:basedOn w:val="23"/>
    <w:semiHidden/>
    <w:qFormat/>
    <w:uiPriority w:val="0"/>
    <w:pPr>
      <w:keepNext/>
      <w:widowControl w:val="0"/>
      <w:tabs>
        <w:tab w:val="left" w:pos="480"/>
      </w:tabs>
      <w:adjustRightInd/>
      <w:snapToGrid/>
      <w:spacing w:before="0" w:after="0"/>
      <w:ind w:firstLine="0" w:firstLineChars="0"/>
    </w:pPr>
    <w:rPr>
      <w:rFonts w:ascii="Times New Roman" w:hAnsi="Times New Roman" w:cs="宋体"/>
      <w:bCs/>
      <w:color w:val="auto"/>
      <w:sz w:val="21"/>
      <w:szCs w:val="24"/>
    </w:rPr>
  </w:style>
  <w:style w:type="paragraph" w:customStyle="1" w:styleId="2309">
    <w:name w:val="样式 题注表头z图表注实德题注 + (符号) 宋体 左"/>
    <w:basedOn w:val="23"/>
    <w:semiHidden/>
    <w:qFormat/>
    <w:uiPriority w:val="0"/>
    <w:pPr>
      <w:widowControl w:val="0"/>
      <w:tabs>
        <w:tab w:val="left" w:pos="480"/>
      </w:tabs>
      <w:adjustRightInd/>
      <w:snapToGrid/>
      <w:spacing w:before="0" w:after="0"/>
      <w:ind w:firstLine="0" w:firstLineChars="0"/>
    </w:pPr>
    <w:rPr>
      <w:rFonts w:hAnsi="宋体" w:cs="宋体"/>
      <w:bCs/>
      <w:color w:val="auto"/>
      <w:szCs w:val="24"/>
    </w:rPr>
  </w:style>
  <w:style w:type="paragraph" w:customStyle="1" w:styleId="2310">
    <w:name w:val="样式 题注表头z题注 Char实德题注Char Char Char + (符号) 宋体 两端对齐"/>
    <w:basedOn w:val="23"/>
    <w:semiHidden/>
    <w:qFormat/>
    <w:uiPriority w:val="0"/>
    <w:pPr>
      <w:widowControl w:val="0"/>
      <w:tabs>
        <w:tab w:val="left" w:pos="480"/>
      </w:tabs>
      <w:adjustRightInd/>
      <w:snapToGrid/>
      <w:spacing w:before="0" w:after="0"/>
      <w:ind w:firstLine="0" w:firstLineChars="0"/>
    </w:pPr>
    <w:rPr>
      <w:rFonts w:hAnsi="宋体" w:cs="宋体"/>
      <w:b/>
      <w:color w:val="auto"/>
      <w:sz w:val="21"/>
      <w:szCs w:val="24"/>
    </w:rPr>
  </w:style>
  <w:style w:type="paragraph" w:customStyle="1" w:styleId="2311">
    <w:name w:val="样式 题注表头z图表注实德题注 + 左"/>
    <w:basedOn w:val="23"/>
    <w:semiHidden/>
    <w:qFormat/>
    <w:uiPriority w:val="0"/>
    <w:pPr>
      <w:widowControl w:val="0"/>
      <w:tabs>
        <w:tab w:val="left" w:pos="480"/>
      </w:tabs>
      <w:adjustRightInd/>
      <w:snapToGrid/>
      <w:spacing w:before="0" w:after="0"/>
      <w:ind w:firstLine="0" w:firstLineChars="0"/>
    </w:pPr>
    <w:rPr>
      <w:rFonts w:cs="宋体"/>
      <w:bCs/>
      <w:color w:val="auto"/>
      <w:szCs w:val="24"/>
    </w:rPr>
  </w:style>
  <w:style w:type="character" w:customStyle="1" w:styleId="2312">
    <w:name w:val="表头z Char1"/>
    <w:semiHidden/>
    <w:qFormat/>
    <w:uiPriority w:val="0"/>
    <w:rPr>
      <w:rFonts w:ascii="Arial" w:hAnsi="Arial" w:eastAsia="宋体" w:cs="Arial"/>
      <w:b/>
      <w:kern w:val="2"/>
      <w:sz w:val="21"/>
      <w:szCs w:val="24"/>
      <w:lang w:val="en-US" w:eastAsia="zh-CN" w:bidi="ar-SA"/>
    </w:rPr>
  </w:style>
  <w:style w:type="character" w:customStyle="1" w:styleId="2313">
    <w:name w:val="Se Char1"/>
    <w:qFormat/>
    <w:uiPriority w:val="0"/>
    <w:rPr>
      <w:rFonts w:eastAsia="宋体"/>
      <w:b/>
      <w:bCs/>
      <w:kern w:val="2"/>
      <w:sz w:val="32"/>
      <w:szCs w:val="32"/>
      <w:lang w:val="en-US" w:eastAsia="zh-CN" w:bidi="ar-SA"/>
    </w:rPr>
  </w:style>
  <w:style w:type="character" w:customStyle="1" w:styleId="2314">
    <w:name w:val="Char Char21"/>
    <w:qFormat/>
    <w:uiPriority w:val="0"/>
    <w:rPr>
      <w:rFonts w:ascii="Times New Roman" w:hAnsi="Times New Roman" w:eastAsia="宋体" w:cs="Times New Roman"/>
      <w:szCs w:val="24"/>
      <w:shd w:val="clear" w:color="auto" w:fill="000080"/>
    </w:rPr>
  </w:style>
  <w:style w:type="character" w:customStyle="1" w:styleId="2315">
    <w:name w:val="脚注文本 字符"/>
    <w:link w:val="67"/>
    <w:qFormat/>
    <w:uiPriority w:val="0"/>
    <w:rPr>
      <w:rFonts w:eastAsia="宋体"/>
      <w:kern w:val="2"/>
      <w:sz w:val="18"/>
      <w:szCs w:val="18"/>
      <w:lang w:val="en-US" w:eastAsia="zh-CN" w:bidi="ar-SA"/>
    </w:rPr>
  </w:style>
  <w:style w:type="character" w:customStyle="1" w:styleId="2316">
    <w:name w:val="注释标题 字符"/>
    <w:link w:val="16"/>
    <w:qFormat/>
    <w:uiPriority w:val="0"/>
    <w:rPr>
      <w:rFonts w:ascii="黑体" w:hAnsi="宋体" w:eastAsia="黑体"/>
      <w:kern w:val="2"/>
      <w:sz w:val="21"/>
      <w:lang w:val="en-US" w:eastAsia="zh-CN" w:bidi="ar-SA"/>
    </w:rPr>
  </w:style>
  <w:style w:type="paragraph" w:customStyle="1" w:styleId="2317">
    <w:name w:val="表格文字（M）"/>
    <w:basedOn w:val="1"/>
    <w:semiHidden/>
    <w:qFormat/>
    <w:uiPriority w:val="0"/>
    <w:pPr>
      <w:tabs>
        <w:tab w:val="clear" w:pos="480"/>
      </w:tabs>
      <w:autoSpaceDE w:val="0"/>
      <w:autoSpaceDN w:val="0"/>
      <w:adjustRightInd w:val="0"/>
      <w:spacing w:line="240" w:lineRule="auto"/>
      <w:jc w:val="center"/>
      <w:textAlignment w:val="baseline"/>
    </w:pPr>
    <w:rPr>
      <w:bCs/>
      <w:kern w:val="0"/>
      <w:sz w:val="21"/>
      <w:szCs w:val="21"/>
    </w:rPr>
  </w:style>
  <w:style w:type="paragraph" w:customStyle="1" w:styleId="2318">
    <w:name w:val="CM135"/>
    <w:basedOn w:val="151"/>
    <w:next w:val="151"/>
    <w:semiHidden/>
    <w:qFormat/>
    <w:uiPriority w:val="0"/>
    <w:pPr>
      <w:spacing w:after="815"/>
    </w:pPr>
    <w:rPr>
      <w:rFonts w:ascii="黑体" w:eastAsia="黑体" w:cs="Times New Roman"/>
      <w:color w:val="auto"/>
    </w:rPr>
  </w:style>
  <w:style w:type="paragraph" w:customStyle="1" w:styleId="2319">
    <w:name w:val="CM136"/>
    <w:basedOn w:val="151"/>
    <w:next w:val="151"/>
    <w:semiHidden/>
    <w:qFormat/>
    <w:uiPriority w:val="0"/>
    <w:pPr>
      <w:spacing w:after="393"/>
    </w:pPr>
    <w:rPr>
      <w:rFonts w:ascii="黑体" w:eastAsia="黑体" w:cs="Times New Roman"/>
      <w:color w:val="auto"/>
    </w:rPr>
  </w:style>
  <w:style w:type="paragraph" w:customStyle="1" w:styleId="2320">
    <w:name w:val="CM137"/>
    <w:basedOn w:val="151"/>
    <w:next w:val="151"/>
    <w:semiHidden/>
    <w:qFormat/>
    <w:uiPriority w:val="0"/>
    <w:pPr>
      <w:spacing w:after="190"/>
    </w:pPr>
    <w:rPr>
      <w:rFonts w:ascii="黑体" w:eastAsia="黑体" w:cs="Times New Roman"/>
      <w:color w:val="auto"/>
    </w:rPr>
  </w:style>
  <w:style w:type="paragraph" w:customStyle="1" w:styleId="2321">
    <w:name w:val="CM140"/>
    <w:basedOn w:val="151"/>
    <w:next w:val="151"/>
    <w:semiHidden/>
    <w:qFormat/>
    <w:uiPriority w:val="0"/>
    <w:pPr>
      <w:spacing w:after="720"/>
    </w:pPr>
    <w:rPr>
      <w:rFonts w:ascii="黑体" w:eastAsia="黑体" w:cs="Times New Roman"/>
      <w:color w:val="auto"/>
    </w:rPr>
  </w:style>
  <w:style w:type="paragraph" w:customStyle="1" w:styleId="2322">
    <w:name w:val="CM2"/>
    <w:basedOn w:val="151"/>
    <w:next w:val="151"/>
    <w:semiHidden/>
    <w:qFormat/>
    <w:uiPriority w:val="0"/>
    <w:pPr>
      <w:spacing w:line="478" w:lineRule="atLeast"/>
    </w:pPr>
    <w:rPr>
      <w:rFonts w:ascii="黑体" w:eastAsia="黑体" w:cs="Times New Roman"/>
      <w:color w:val="auto"/>
    </w:rPr>
  </w:style>
  <w:style w:type="paragraph" w:customStyle="1" w:styleId="2323">
    <w:name w:val="CM162"/>
    <w:basedOn w:val="151"/>
    <w:next w:val="151"/>
    <w:semiHidden/>
    <w:qFormat/>
    <w:uiPriority w:val="0"/>
    <w:pPr>
      <w:spacing w:after="893"/>
    </w:pPr>
    <w:rPr>
      <w:rFonts w:ascii="黑体" w:eastAsia="黑体" w:cs="Times New Roman"/>
      <w:color w:val="auto"/>
    </w:rPr>
  </w:style>
  <w:style w:type="paragraph" w:customStyle="1" w:styleId="2324">
    <w:name w:val="CM142"/>
    <w:basedOn w:val="151"/>
    <w:next w:val="151"/>
    <w:semiHidden/>
    <w:qFormat/>
    <w:uiPriority w:val="0"/>
    <w:pPr>
      <w:spacing w:after="497"/>
    </w:pPr>
    <w:rPr>
      <w:rFonts w:ascii="黑体" w:eastAsia="黑体" w:cs="Times New Roman"/>
      <w:color w:val="auto"/>
    </w:rPr>
  </w:style>
  <w:style w:type="paragraph" w:customStyle="1" w:styleId="2325">
    <w:name w:val="CM141"/>
    <w:basedOn w:val="151"/>
    <w:next w:val="151"/>
    <w:semiHidden/>
    <w:qFormat/>
    <w:uiPriority w:val="0"/>
    <w:pPr>
      <w:spacing w:after="270"/>
    </w:pPr>
    <w:rPr>
      <w:rFonts w:ascii="黑体" w:eastAsia="黑体" w:cs="Times New Roman"/>
      <w:color w:val="auto"/>
    </w:rPr>
  </w:style>
  <w:style w:type="paragraph" w:customStyle="1" w:styleId="2326">
    <w:name w:val="CM144"/>
    <w:basedOn w:val="151"/>
    <w:next w:val="151"/>
    <w:semiHidden/>
    <w:qFormat/>
    <w:uiPriority w:val="0"/>
    <w:pPr>
      <w:spacing w:after="78"/>
    </w:pPr>
    <w:rPr>
      <w:rFonts w:ascii="黑体" w:eastAsia="黑体" w:cs="Times New Roman"/>
      <w:color w:val="auto"/>
    </w:rPr>
  </w:style>
  <w:style w:type="paragraph" w:customStyle="1" w:styleId="2327">
    <w:name w:val="CM15"/>
    <w:basedOn w:val="151"/>
    <w:next w:val="151"/>
    <w:semiHidden/>
    <w:qFormat/>
    <w:uiPriority w:val="0"/>
    <w:pPr>
      <w:spacing w:line="468" w:lineRule="atLeast"/>
    </w:pPr>
    <w:rPr>
      <w:rFonts w:ascii="黑体" w:eastAsia="黑体" w:cs="Times New Roman"/>
      <w:color w:val="auto"/>
    </w:rPr>
  </w:style>
  <w:style w:type="paragraph" w:customStyle="1" w:styleId="2328">
    <w:name w:val="CM11"/>
    <w:basedOn w:val="151"/>
    <w:next w:val="151"/>
    <w:qFormat/>
    <w:uiPriority w:val="0"/>
    <w:pPr>
      <w:spacing w:line="468" w:lineRule="atLeast"/>
    </w:pPr>
    <w:rPr>
      <w:rFonts w:ascii="黑体" w:eastAsia="黑体" w:cs="Times New Roman"/>
      <w:color w:val="auto"/>
    </w:rPr>
  </w:style>
  <w:style w:type="paragraph" w:customStyle="1" w:styleId="2329">
    <w:name w:val="CM18"/>
    <w:basedOn w:val="151"/>
    <w:next w:val="151"/>
    <w:semiHidden/>
    <w:qFormat/>
    <w:uiPriority w:val="0"/>
    <w:pPr>
      <w:spacing w:line="468" w:lineRule="atLeast"/>
    </w:pPr>
    <w:rPr>
      <w:rFonts w:ascii="黑体" w:eastAsia="黑体" w:cs="Times New Roman"/>
      <w:color w:val="auto"/>
    </w:rPr>
  </w:style>
  <w:style w:type="paragraph" w:customStyle="1" w:styleId="2330">
    <w:name w:val="CM145"/>
    <w:basedOn w:val="151"/>
    <w:next w:val="151"/>
    <w:semiHidden/>
    <w:qFormat/>
    <w:uiPriority w:val="0"/>
    <w:pPr>
      <w:spacing w:after="638"/>
    </w:pPr>
    <w:rPr>
      <w:rFonts w:ascii="黑体" w:eastAsia="黑体" w:cs="Times New Roman"/>
      <w:color w:val="auto"/>
    </w:rPr>
  </w:style>
  <w:style w:type="paragraph" w:customStyle="1" w:styleId="2331">
    <w:name w:val="CM146"/>
    <w:basedOn w:val="151"/>
    <w:next w:val="151"/>
    <w:semiHidden/>
    <w:qFormat/>
    <w:uiPriority w:val="0"/>
    <w:pPr>
      <w:spacing w:after="473"/>
    </w:pPr>
    <w:rPr>
      <w:rFonts w:ascii="黑体" w:eastAsia="黑体" w:cs="Times New Roman"/>
      <w:color w:val="auto"/>
    </w:rPr>
  </w:style>
  <w:style w:type="paragraph" w:customStyle="1" w:styleId="2332">
    <w:name w:val="CM20"/>
    <w:basedOn w:val="151"/>
    <w:next w:val="151"/>
    <w:semiHidden/>
    <w:qFormat/>
    <w:uiPriority w:val="0"/>
    <w:pPr>
      <w:spacing w:line="466" w:lineRule="atLeast"/>
    </w:pPr>
    <w:rPr>
      <w:rFonts w:ascii="黑体" w:eastAsia="黑体" w:cs="Times New Roman"/>
      <w:color w:val="auto"/>
    </w:rPr>
  </w:style>
  <w:style w:type="paragraph" w:customStyle="1" w:styleId="2333">
    <w:name w:val="CM27"/>
    <w:basedOn w:val="151"/>
    <w:next w:val="151"/>
    <w:semiHidden/>
    <w:qFormat/>
    <w:uiPriority w:val="0"/>
    <w:pPr>
      <w:spacing w:line="468" w:lineRule="atLeast"/>
    </w:pPr>
    <w:rPr>
      <w:rFonts w:ascii="黑体" w:eastAsia="黑体" w:cs="Times New Roman"/>
      <w:color w:val="auto"/>
    </w:rPr>
  </w:style>
  <w:style w:type="paragraph" w:customStyle="1" w:styleId="2334">
    <w:name w:val="CM28"/>
    <w:basedOn w:val="151"/>
    <w:next w:val="151"/>
    <w:qFormat/>
    <w:uiPriority w:val="0"/>
    <w:pPr>
      <w:spacing w:line="468" w:lineRule="atLeast"/>
    </w:pPr>
    <w:rPr>
      <w:rFonts w:ascii="黑体" w:eastAsia="黑体" w:cs="Times New Roman"/>
      <w:color w:val="auto"/>
    </w:rPr>
  </w:style>
  <w:style w:type="paragraph" w:customStyle="1" w:styleId="2335">
    <w:name w:val="CM29"/>
    <w:basedOn w:val="151"/>
    <w:next w:val="151"/>
    <w:qFormat/>
    <w:uiPriority w:val="0"/>
    <w:pPr>
      <w:spacing w:line="468" w:lineRule="atLeast"/>
    </w:pPr>
    <w:rPr>
      <w:rFonts w:ascii="黑体" w:eastAsia="黑体" w:cs="Times New Roman"/>
      <w:color w:val="auto"/>
    </w:rPr>
  </w:style>
  <w:style w:type="paragraph" w:customStyle="1" w:styleId="2336">
    <w:name w:val="CM31"/>
    <w:basedOn w:val="151"/>
    <w:next w:val="151"/>
    <w:semiHidden/>
    <w:qFormat/>
    <w:uiPriority w:val="0"/>
    <w:pPr>
      <w:spacing w:line="533" w:lineRule="atLeast"/>
    </w:pPr>
    <w:rPr>
      <w:rFonts w:ascii="黑体" w:eastAsia="黑体" w:cs="Times New Roman"/>
      <w:color w:val="auto"/>
    </w:rPr>
  </w:style>
  <w:style w:type="paragraph" w:customStyle="1" w:styleId="2337">
    <w:name w:val="CM32"/>
    <w:basedOn w:val="151"/>
    <w:next w:val="151"/>
    <w:qFormat/>
    <w:uiPriority w:val="99"/>
    <w:pPr>
      <w:spacing w:line="456" w:lineRule="atLeast"/>
    </w:pPr>
    <w:rPr>
      <w:rFonts w:ascii="黑体" w:eastAsia="黑体" w:cs="Times New Roman"/>
      <w:color w:val="auto"/>
    </w:rPr>
  </w:style>
  <w:style w:type="paragraph" w:customStyle="1" w:styleId="2338">
    <w:name w:val="CM147"/>
    <w:basedOn w:val="151"/>
    <w:next w:val="151"/>
    <w:semiHidden/>
    <w:qFormat/>
    <w:uiPriority w:val="0"/>
    <w:pPr>
      <w:spacing w:after="1515"/>
    </w:pPr>
    <w:rPr>
      <w:rFonts w:ascii="黑体" w:eastAsia="黑体" w:cs="Times New Roman"/>
      <w:color w:val="auto"/>
    </w:rPr>
  </w:style>
  <w:style w:type="paragraph" w:customStyle="1" w:styleId="2339">
    <w:name w:val="CM143"/>
    <w:basedOn w:val="151"/>
    <w:next w:val="151"/>
    <w:semiHidden/>
    <w:qFormat/>
    <w:uiPriority w:val="0"/>
    <w:pPr>
      <w:spacing w:after="1043"/>
    </w:pPr>
    <w:rPr>
      <w:rFonts w:ascii="黑体" w:eastAsia="黑体" w:cs="Times New Roman"/>
      <w:color w:val="auto"/>
    </w:rPr>
  </w:style>
  <w:style w:type="paragraph" w:customStyle="1" w:styleId="2340">
    <w:name w:val="CM148"/>
    <w:basedOn w:val="151"/>
    <w:next w:val="151"/>
    <w:semiHidden/>
    <w:qFormat/>
    <w:uiPriority w:val="0"/>
    <w:pPr>
      <w:spacing w:after="140"/>
    </w:pPr>
    <w:rPr>
      <w:rFonts w:ascii="黑体" w:eastAsia="黑体" w:cs="Times New Roman"/>
      <w:color w:val="auto"/>
    </w:rPr>
  </w:style>
  <w:style w:type="paragraph" w:customStyle="1" w:styleId="2341">
    <w:name w:val="CM138"/>
    <w:basedOn w:val="151"/>
    <w:next w:val="151"/>
    <w:semiHidden/>
    <w:qFormat/>
    <w:uiPriority w:val="0"/>
    <w:pPr>
      <w:spacing w:after="553"/>
    </w:pPr>
    <w:rPr>
      <w:rFonts w:ascii="黑体" w:eastAsia="黑体" w:cs="Times New Roman"/>
      <w:color w:val="auto"/>
    </w:rPr>
  </w:style>
  <w:style w:type="paragraph" w:customStyle="1" w:styleId="2342">
    <w:name w:val="CM149"/>
    <w:basedOn w:val="151"/>
    <w:next w:val="151"/>
    <w:semiHidden/>
    <w:qFormat/>
    <w:uiPriority w:val="0"/>
    <w:pPr>
      <w:spacing w:after="5838"/>
    </w:pPr>
    <w:rPr>
      <w:rFonts w:ascii="黑体" w:eastAsia="黑体" w:cs="Times New Roman"/>
      <w:color w:val="auto"/>
    </w:rPr>
  </w:style>
  <w:style w:type="paragraph" w:customStyle="1" w:styleId="2343">
    <w:name w:val="CM33"/>
    <w:basedOn w:val="151"/>
    <w:next w:val="151"/>
    <w:semiHidden/>
    <w:qFormat/>
    <w:uiPriority w:val="0"/>
    <w:rPr>
      <w:rFonts w:ascii="黑体" w:eastAsia="黑体" w:cs="Times New Roman"/>
      <w:color w:val="auto"/>
    </w:rPr>
  </w:style>
  <w:style w:type="paragraph" w:customStyle="1" w:styleId="2344">
    <w:name w:val="CM34"/>
    <w:basedOn w:val="151"/>
    <w:next w:val="151"/>
    <w:semiHidden/>
    <w:qFormat/>
    <w:uiPriority w:val="0"/>
    <w:rPr>
      <w:rFonts w:ascii="黑体" w:eastAsia="黑体" w:cs="Times New Roman"/>
      <w:color w:val="auto"/>
    </w:rPr>
  </w:style>
  <w:style w:type="paragraph" w:customStyle="1" w:styleId="2345">
    <w:name w:val="CM35"/>
    <w:basedOn w:val="151"/>
    <w:next w:val="151"/>
    <w:semiHidden/>
    <w:qFormat/>
    <w:uiPriority w:val="0"/>
    <w:pPr>
      <w:spacing w:line="288" w:lineRule="atLeast"/>
    </w:pPr>
    <w:rPr>
      <w:rFonts w:ascii="黑体" w:eastAsia="黑体" w:cs="Times New Roman"/>
      <w:color w:val="auto"/>
    </w:rPr>
  </w:style>
  <w:style w:type="paragraph" w:customStyle="1" w:styleId="2346">
    <w:name w:val="CM150"/>
    <w:basedOn w:val="151"/>
    <w:next w:val="151"/>
    <w:semiHidden/>
    <w:qFormat/>
    <w:uiPriority w:val="0"/>
    <w:pPr>
      <w:spacing w:after="2050"/>
    </w:pPr>
    <w:rPr>
      <w:rFonts w:ascii="黑体" w:eastAsia="黑体" w:cs="Times New Roman"/>
      <w:color w:val="auto"/>
    </w:rPr>
  </w:style>
  <w:style w:type="paragraph" w:customStyle="1" w:styleId="2347">
    <w:name w:val="CM36"/>
    <w:basedOn w:val="151"/>
    <w:next w:val="151"/>
    <w:semiHidden/>
    <w:qFormat/>
    <w:uiPriority w:val="0"/>
    <w:pPr>
      <w:spacing w:line="468" w:lineRule="atLeast"/>
    </w:pPr>
    <w:rPr>
      <w:rFonts w:ascii="黑体" w:eastAsia="黑体" w:cs="Times New Roman"/>
      <w:color w:val="auto"/>
    </w:rPr>
  </w:style>
  <w:style w:type="paragraph" w:customStyle="1" w:styleId="2348">
    <w:name w:val="CM37"/>
    <w:basedOn w:val="151"/>
    <w:next w:val="151"/>
    <w:semiHidden/>
    <w:qFormat/>
    <w:uiPriority w:val="0"/>
    <w:pPr>
      <w:spacing w:line="478" w:lineRule="atLeast"/>
    </w:pPr>
    <w:rPr>
      <w:rFonts w:ascii="黑体" w:eastAsia="黑体" w:cs="Times New Roman"/>
      <w:color w:val="auto"/>
    </w:rPr>
  </w:style>
  <w:style w:type="paragraph" w:customStyle="1" w:styleId="2349">
    <w:name w:val="CM39"/>
    <w:basedOn w:val="151"/>
    <w:next w:val="151"/>
    <w:semiHidden/>
    <w:qFormat/>
    <w:uiPriority w:val="0"/>
    <w:pPr>
      <w:spacing w:line="468" w:lineRule="atLeast"/>
    </w:pPr>
    <w:rPr>
      <w:rFonts w:ascii="黑体" w:eastAsia="黑体" w:cs="Times New Roman"/>
      <w:color w:val="auto"/>
    </w:rPr>
  </w:style>
  <w:style w:type="paragraph" w:customStyle="1" w:styleId="2350">
    <w:name w:val="CM40"/>
    <w:basedOn w:val="151"/>
    <w:next w:val="151"/>
    <w:semiHidden/>
    <w:qFormat/>
    <w:uiPriority w:val="0"/>
    <w:rPr>
      <w:rFonts w:ascii="黑体" w:eastAsia="黑体" w:cs="Times New Roman"/>
      <w:color w:val="auto"/>
    </w:rPr>
  </w:style>
  <w:style w:type="paragraph" w:customStyle="1" w:styleId="2351">
    <w:name w:val="CM139"/>
    <w:basedOn w:val="151"/>
    <w:next w:val="151"/>
    <w:semiHidden/>
    <w:qFormat/>
    <w:uiPriority w:val="0"/>
    <w:pPr>
      <w:spacing w:after="953"/>
    </w:pPr>
    <w:rPr>
      <w:rFonts w:ascii="黑体" w:eastAsia="黑体" w:cs="Times New Roman"/>
      <w:color w:val="auto"/>
    </w:rPr>
  </w:style>
  <w:style w:type="paragraph" w:customStyle="1" w:styleId="2352">
    <w:name w:val="CM41"/>
    <w:basedOn w:val="151"/>
    <w:next w:val="151"/>
    <w:semiHidden/>
    <w:qFormat/>
    <w:uiPriority w:val="0"/>
    <w:pPr>
      <w:spacing w:line="480" w:lineRule="atLeast"/>
    </w:pPr>
    <w:rPr>
      <w:rFonts w:ascii="黑体" w:eastAsia="黑体" w:cs="Times New Roman"/>
      <w:color w:val="auto"/>
    </w:rPr>
  </w:style>
  <w:style w:type="paragraph" w:customStyle="1" w:styleId="2353">
    <w:name w:val="CM151"/>
    <w:basedOn w:val="151"/>
    <w:next w:val="151"/>
    <w:semiHidden/>
    <w:qFormat/>
    <w:uiPriority w:val="0"/>
    <w:pPr>
      <w:spacing w:after="1288"/>
    </w:pPr>
    <w:rPr>
      <w:rFonts w:ascii="黑体" w:eastAsia="黑体" w:cs="Times New Roman"/>
      <w:color w:val="auto"/>
    </w:rPr>
  </w:style>
  <w:style w:type="paragraph" w:customStyle="1" w:styleId="2354">
    <w:name w:val="CM42"/>
    <w:basedOn w:val="151"/>
    <w:next w:val="151"/>
    <w:semiHidden/>
    <w:qFormat/>
    <w:uiPriority w:val="0"/>
    <w:pPr>
      <w:spacing w:line="480" w:lineRule="atLeast"/>
    </w:pPr>
    <w:rPr>
      <w:rFonts w:ascii="黑体" w:eastAsia="黑体" w:cs="Times New Roman"/>
      <w:color w:val="auto"/>
    </w:rPr>
  </w:style>
  <w:style w:type="paragraph" w:customStyle="1" w:styleId="2355">
    <w:name w:val="CM43"/>
    <w:basedOn w:val="151"/>
    <w:next w:val="151"/>
    <w:semiHidden/>
    <w:qFormat/>
    <w:uiPriority w:val="0"/>
    <w:pPr>
      <w:spacing w:line="496" w:lineRule="atLeast"/>
    </w:pPr>
    <w:rPr>
      <w:rFonts w:ascii="黑体" w:eastAsia="黑体" w:cs="Times New Roman"/>
      <w:color w:val="auto"/>
    </w:rPr>
  </w:style>
  <w:style w:type="paragraph" w:customStyle="1" w:styleId="2356">
    <w:name w:val="CM44"/>
    <w:basedOn w:val="151"/>
    <w:next w:val="151"/>
    <w:qFormat/>
    <w:uiPriority w:val="0"/>
    <w:pPr>
      <w:spacing w:line="468" w:lineRule="atLeast"/>
    </w:pPr>
    <w:rPr>
      <w:rFonts w:ascii="黑体" w:eastAsia="黑体" w:cs="Times New Roman"/>
      <w:color w:val="auto"/>
    </w:rPr>
  </w:style>
  <w:style w:type="paragraph" w:customStyle="1" w:styleId="2357">
    <w:name w:val="CM47"/>
    <w:basedOn w:val="151"/>
    <w:next w:val="151"/>
    <w:semiHidden/>
    <w:qFormat/>
    <w:uiPriority w:val="0"/>
    <w:pPr>
      <w:spacing w:line="468" w:lineRule="atLeast"/>
    </w:pPr>
    <w:rPr>
      <w:rFonts w:ascii="黑体" w:eastAsia="黑体" w:cs="Times New Roman"/>
      <w:color w:val="auto"/>
    </w:rPr>
  </w:style>
  <w:style w:type="paragraph" w:customStyle="1" w:styleId="2358">
    <w:name w:val="CM48"/>
    <w:basedOn w:val="151"/>
    <w:next w:val="151"/>
    <w:semiHidden/>
    <w:qFormat/>
    <w:uiPriority w:val="0"/>
    <w:rPr>
      <w:rFonts w:ascii="黑体" w:eastAsia="黑体" w:cs="Times New Roman"/>
      <w:color w:val="auto"/>
    </w:rPr>
  </w:style>
  <w:style w:type="paragraph" w:customStyle="1" w:styleId="2359">
    <w:name w:val="CM152"/>
    <w:basedOn w:val="151"/>
    <w:next w:val="151"/>
    <w:semiHidden/>
    <w:qFormat/>
    <w:uiPriority w:val="0"/>
    <w:pPr>
      <w:spacing w:after="125"/>
    </w:pPr>
    <w:rPr>
      <w:rFonts w:ascii="黑体" w:eastAsia="黑体" w:cs="Times New Roman"/>
      <w:color w:val="auto"/>
    </w:rPr>
  </w:style>
  <w:style w:type="paragraph" w:customStyle="1" w:styleId="2360">
    <w:name w:val="CM49"/>
    <w:basedOn w:val="151"/>
    <w:next w:val="151"/>
    <w:semiHidden/>
    <w:qFormat/>
    <w:uiPriority w:val="0"/>
    <w:pPr>
      <w:spacing w:line="486" w:lineRule="atLeast"/>
    </w:pPr>
    <w:rPr>
      <w:rFonts w:ascii="黑体" w:eastAsia="黑体" w:cs="Times New Roman"/>
      <w:color w:val="auto"/>
    </w:rPr>
  </w:style>
  <w:style w:type="paragraph" w:customStyle="1" w:styleId="2361">
    <w:name w:val="CM50"/>
    <w:basedOn w:val="151"/>
    <w:next w:val="151"/>
    <w:qFormat/>
    <w:uiPriority w:val="0"/>
    <w:rPr>
      <w:rFonts w:ascii="黑体" w:eastAsia="黑体" w:cs="Times New Roman"/>
      <w:color w:val="auto"/>
    </w:rPr>
  </w:style>
  <w:style w:type="paragraph" w:customStyle="1" w:styleId="2362">
    <w:name w:val="CM51"/>
    <w:basedOn w:val="151"/>
    <w:next w:val="151"/>
    <w:semiHidden/>
    <w:qFormat/>
    <w:uiPriority w:val="0"/>
    <w:pPr>
      <w:spacing w:line="463" w:lineRule="atLeast"/>
    </w:pPr>
    <w:rPr>
      <w:rFonts w:ascii="黑体" w:eastAsia="黑体" w:cs="Times New Roman"/>
      <w:color w:val="auto"/>
    </w:rPr>
  </w:style>
  <w:style w:type="paragraph" w:customStyle="1" w:styleId="2363">
    <w:name w:val="CM52"/>
    <w:basedOn w:val="151"/>
    <w:next w:val="151"/>
    <w:semiHidden/>
    <w:qFormat/>
    <w:uiPriority w:val="0"/>
    <w:rPr>
      <w:rFonts w:ascii="黑体" w:eastAsia="黑体" w:cs="Times New Roman"/>
      <w:color w:val="auto"/>
    </w:rPr>
  </w:style>
  <w:style w:type="paragraph" w:customStyle="1" w:styleId="2364">
    <w:name w:val="CM53"/>
    <w:basedOn w:val="151"/>
    <w:next w:val="151"/>
    <w:qFormat/>
    <w:uiPriority w:val="0"/>
    <w:rPr>
      <w:rFonts w:ascii="黑体" w:eastAsia="黑体" w:cs="Times New Roman"/>
      <w:color w:val="auto"/>
    </w:rPr>
  </w:style>
  <w:style w:type="paragraph" w:customStyle="1" w:styleId="2365">
    <w:name w:val="CM54"/>
    <w:basedOn w:val="151"/>
    <w:next w:val="151"/>
    <w:semiHidden/>
    <w:qFormat/>
    <w:uiPriority w:val="0"/>
    <w:rPr>
      <w:rFonts w:ascii="黑体" w:eastAsia="黑体" w:cs="Times New Roman"/>
      <w:color w:val="auto"/>
    </w:rPr>
  </w:style>
  <w:style w:type="paragraph" w:customStyle="1" w:styleId="2366">
    <w:name w:val="CM56"/>
    <w:basedOn w:val="151"/>
    <w:next w:val="151"/>
    <w:semiHidden/>
    <w:qFormat/>
    <w:uiPriority w:val="0"/>
    <w:pPr>
      <w:spacing w:line="466" w:lineRule="atLeast"/>
    </w:pPr>
    <w:rPr>
      <w:rFonts w:ascii="黑体" w:eastAsia="黑体" w:cs="Times New Roman"/>
      <w:color w:val="auto"/>
    </w:rPr>
  </w:style>
  <w:style w:type="paragraph" w:customStyle="1" w:styleId="2367">
    <w:name w:val="CM57"/>
    <w:basedOn w:val="151"/>
    <w:next w:val="151"/>
    <w:semiHidden/>
    <w:qFormat/>
    <w:uiPriority w:val="0"/>
    <w:rPr>
      <w:rFonts w:ascii="黑体" w:eastAsia="黑体" w:cs="Times New Roman"/>
      <w:color w:val="auto"/>
    </w:rPr>
  </w:style>
  <w:style w:type="paragraph" w:customStyle="1" w:styleId="2368">
    <w:name w:val="CM154"/>
    <w:basedOn w:val="151"/>
    <w:next w:val="151"/>
    <w:semiHidden/>
    <w:qFormat/>
    <w:uiPriority w:val="0"/>
    <w:pPr>
      <w:spacing w:after="70"/>
    </w:pPr>
    <w:rPr>
      <w:rFonts w:ascii="黑体" w:eastAsia="黑体" w:cs="Times New Roman"/>
      <w:color w:val="auto"/>
    </w:rPr>
  </w:style>
  <w:style w:type="paragraph" w:customStyle="1" w:styleId="2369">
    <w:name w:val="CM155"/>
    <w:basedOn w:val="151"/>
    <w:next w:val="151"/>
    <w:semiHidden/>
    <w:qFormat/>
    <w:uiPriority w:val="0"/>
    <w:pPr>
      <w:spacing w:after="1173"/>
    </w:pPr>
    <w:rPr>
      <w:rFonts w:ascii="黑体" w:eastAsia="黑体" w:cs="Times New Roman"/>
      <w:color w:val="auto"/>
    </w:rPr>
  </w:style>
  <w:style w:type="paragraph" w:customStyle="1" w:styleId="2370">
    <w:name w:val="CM59"/>
    <w:basedOn w:val="151"/>
    <w:next w:val="151"/>
    <w:semiHidden/>
    <w:qFormat/>
    <w:uiPriority w:val="0"/>
    <w:pPr>
      <w:spacing w:line="468" w:lineRule="atLeast"/>
    </w:pPr>
    <w:rPr>
      <w:rFonts w:ascii="黑体" w:eastAsia="黑体" w:cs="Times New Roman"/>
      <w:color w:val="auto"/>
    </w:rPr>
  </w:style>
  <w:style w:type="paragraph" w:customStyle="1" w:styleId="2371">
    <w:name w:val="CM60"/>
    <w:basedOn w:val="151"/>
    <w:next w:val="151"/>
    <w:semiHidden/>
    <w:qFormat/>
    <w:uiPriority w:val="0"/>
    <w:pPr>
      <w:spacing w:line="468" w:lineRule="atLeast"/>
    </w:pPr>
    <w:rPr>
      <w:rFonts w:ascii="黑体" w:eastAsia="黑体" w:cs="Times New Roman"/>
      <w:color w:val="auto"/>
    </w:rPr>
  </w:style>
  <w:style w:type="paragraph" w:customStyle="1" w:styleId="2372">
    <w:name w:val="CM61"/>
    <w:basedOn w:val="151"/>
    <w:next w:val="151"/>
    <w:semiHidden/>
    <w:qFormat/>
    <w:uiPriority w:val="0"/>
    <w:pPr>
      <w:spacing w:line="463" w:lineRule="atLeast"/>
    </w:pPr>
    <w:rPr>
      <w:rFonts w:ascii="黑体" w:eastAsia="黑体" w:cs="Times New Roman"/>
      <w:color w:val="auto"/>
    </w:rPr>
  </w:style>
  <w:style w:type="paragraph" w:customStyle="1" w:styleId="2373">
    <w:name w:val="CM62"/>
    <w:basedOn w:val="151"/>
    <w:next w:val="151"/>
    <w:semiHidden/>
    <w:qFormat/>
    <w:uiPriority w:val="0"/>
    <w:rPr>
      <w:rFonts w:ascii="黑体" w:eastAsia="黑体" w:cs="Times New Roman"/>
      <w:color w:val="auto"/>
    </w:rPr>
  </w:style>
  <w:style w:type="paragraph" w:customStyle="1" w:styleId="2374">
    <w:name w:val="CM156"/>
    <w:basedOn w:val="151"/>
    <w:next w:val="151"/>
    <w:semiHidden/>
    <w:qFormat/>
    <w:uiPriority w:val="0"/>
    <w:pPr>
      <w:spacing w:after="315"/>
    </w:pPr>
    <w:rPr>
      <w:rFonts w:ascii="黑体" w:eastAsia="黑体" w:cs="Times New Roman"/>
      <w:color w:val="auto"/>
    </w:rPr>
  </w:style>
  <w:style w:type="paragraph" w:customStyle="1" w:styleId="2375">
    <w:name w:val="CM157"/>
    <w:basedOn w:val="151"/>
    <w:next w:val="151"/>
    <w:semiHidden/>
    <w:qFormat/>
    <w:uiPriority w:val="0"/>
    <w:pPr>
      <w:spacing w:after="420"/>
    </w:pPr>
    <w:rPr>
      <w:rFonts w:ascii="黑体" w:eastAsia="黑体" w:cs="Times New Roman"/>
      <w:color w:val="auto"/>
    </w:rPr>
  </w:style>
  <w:style w:type="paragraph" w:customStyle="1" w:styleId="2376">
    <w:name w:val="CM153"/>
    <w:basedOn w:val="151"/>
    <w:next w:val="151"/>
    <w:semiHidden/>
    <w:qFormat/>
    <w:uiPriority w:val="0"/>
    <w:pPr>
      <w:spacing w:after="338"/>
    </w:pPr>
    <w:rPr>
      <w:rFonts w:ascii="黑体" w:eastAsia="黑体" w:cs="Times New Roman"/>
      <w:color w:val="auto"/>
    </w:rPr>
  </w:style>
  <w:style w:type="paragraph" w:customStyle="1" w:styleId="2377">
    <w:name w:val="CM158"/>
    <w:basedOn w:val="151"/>
    <w:next w:val="151"/>
    <w:semiHidden/>
    <w:qFormat/>
    <w:uiPriority w:val="0"/>
    <w:pPr>
      <w:spacing w:after="1813"/>
    </w:pPr>
    <w:rPr>
      <w:rFonts w:ascii="黑体" w:eastAsia="黑体" w:cs="Times New Roman"/>
      <w:color w:val="auto"/>
    </w:rPr>
  </w:style>
  <w:style w:type="paragraph" w:customStyle="1" w:styleId="2378">
    <w:name w:val="CM65"/>
    <w:basedOn w:val="151"/>
    <w:next w:val="151"/>
    <w:semiHidden/>
    <w:qFormat/>
    <w:uiPriority w:val="0"/>
    <w:rPr>
      <w:rFonts w:ascii="黑体" w:eastAsia="黑体" w:cs="Times New Roman"/>
      <w:color w:val="auto"/>
    </w:rPr>
  </w:style>
  <w:style w:type="paragraph" w:customStyle="1" w:styleId="2379">
    <w:name w:val="CM159"/>
    <w:basedOn w:val="151"/>
    <w:next w:val="151"/>
    <w:semiHidden/>
    <w:qFormat/>
    <w:uiPriority w:val="0"/>
    <w:pPr>
      <w:spacing w:after="1338"/>
    </w:pPr>
    <w:rPr>
      <w:rFonts w:ascii="黑体" w:eastAsia="黑体" w:cs="Times New Roman"/>
      <w:color w:val="auto"/>
    </w:rPr>
  </w:style>
  <w:style w:type="paragraph" w:customStyle="1" w:styleId="2380">
    <w:name w:val="CM66"/>
    <w:basedOn w:val="151"/>
    <w:next w:val="151"/>
    <w:semiHidden/>
    <w:qFormat/>
    <w:uiPriority w:val="0"/>
    <w:pPr>
      <w:spacing w:line="463" w:lineRule="atLeast"/>
    </w:pPr>
    <w:rPr>
      <w:rFonts w:ascii="黑体" w:eastAsia="黑体" w:cs="Times New Roman"/>
      <w:color w:val="auto"/>
    </w:rPr>
  </w:style>
  <w:style w:type="paragraph" w:customStyle="1" w:styleId="2381">
    <w:name w:val="CM67"/>
    <w:basedOn w:val="151"/>
    <w:next w:val="151"/>
    <w:semiHidden/>
    <w:qFormat/>
    <w:uiPriority w:val="0"/>
    <w:pPr>
      <w:spacing w:line="466" w:lineRule="atLeast"/>
    </w:pPr>
    <w:rPr>
      <w:rFonts w:ascii="黑体" w:eastAsia="黑体" w:cs="Times New Roman"/>
      <w:color w:val="auto"/>
    </w:rPr>
  </w:style>
  <w:style w:type="paragraph" w:customStyle="1" w:styleId="2382">
    <w:name w:val="CM70"/>
    <w:basedOn w:val="151"/>
    <w:next w:val="151"/>
    <w:semiHidden/>
    <w:qFormat/>
    <w:uiPriority w:val="0"/>
    <w:rPr>
      <w:rFonts w:ascii="黑体" w:eastAsia="黑体" w:cs="Times New Roman"/>
      <w:color w:val="auto"/>
    </w:rPr>
  </w:style>
  <w:style w:type="paragraph" w:customStyle="1" w:styleId="2383">
    <w:name w:val="CM75"/>
    <w:basedOn w:val="151"/>
    <w:next w:val="151"/>
    <w:semiHidden/>
    <w:qFormat/>
    <w:uiPriority w:val="0"/>
    <w:pPr>
      <w:spacing w:line="456" w:lineRule="atLeast"/>
    </w:pPr>
    <w:rPr>
      <w:rFonts w:ascii="黑体" w:eastAsia="黑体" w:cs="Times New Roman"/>
      <w:color w:val="auto"/>
    </w:rPr>
  </w:style>
  <w:style w:type="paragraph" w:customStyle="1" w:styleId="2384">
    <w:name w:val="CM76"/>
    <w:basedOn w:val="151"/>
    <w:next w:val="151"/>
    <w:semiHidden/>
    <w:qFormat/>
    <w:uiPriority w:val="0"/>
    <w:pPr>
      <w:spacing w:line="483" w:lineRule="atLeast"/>
    </w:pPr>
    <w:rPr>
      <w:rFonts w:ascii="黑体" w:eastAsia="黑体" w:cs="Times New Roman"/>
      <w:color w:val="auto"/>
    </w:rPr>
  </w:style>
  <w:style w:type="paragraph" w:customStyle="1" w:styleId="2385">
    <w:name w:val="CM77"/>
    <w:basedOn w:val="151"/>
    <w:next w:val="151"/>
    <w:semiHidden/>
    <w:qFormat/>
    <w:uiPriority w:val="0"/>
    <w:pPr>
      <w:spacing w:line="468" w:lineRule="atLeast"/>
    </w:pPr>
    <w:rPr>
      <w:rFonts w:ascii="黑体" w:eastAsia="黑体" w:cs="Times New Roman"/>
      <w:color w:val="auto"/>
    </w:rPr>
  </w:style>
  <w:style w:type="paragraph" w:customStyle="1" w:styleId="2386">
    <w:name w:val="CM78"/>
    <w:basedOn w:val="151"/>
    <w:next w:val="151"/>
    <w:semiHidden/>
    <w:qFormat/>
    <w:uiPriority w:val="0"/>
    <w:rPr>
      <w:rFonts w:ascii="黑体" w:eastAsia="黑体" w:cs="Times New Roman"/>
      <w:color w:val="auto"/>
    </w:rPr>
  </w:style>
  <w:style w:type="paragraph" w:customStyle="1" w:styleId="2387">
    <w:name w:val="CM79"/>
    <w:basedOn w:val="151"/>
    <w:next w:val="151"/>
    <w:semiHidden/>
    <w:qFormat/>
    <w:uiPriority w:val="0"/>
    <w:rPr>
      <w:rFonts w:ascii="黑体" w:eastAsia="黑体" w:cs="Times New Roman"/>
      <w:color w:val="auto"/>
    </w:rPr>
  </w:style>
  <w:style w:type="paragraph" w:customStyle="1" w:styleId="2388">
    <w:name w:val="CM80"/>
    <w:basedOn w:val="151"/>
    <w:next w:val="151"/>
    <w:semiHidden/>
    <w:qFormat/>
    <w:uiPriority w:val="0"/>
    <w:rPr>
      <w:rFonts w:ascii="黑体" w:eastAsia="黑体" w:cs="Times New Roman"/>
      <w:color w:val="auto"/>
    </w:rPr>
  </w:style>
  <w:style w:type="paragraph" w:customStyle="1" w:styleId="2389">
    <w:name w:val="CM81"/>
    <w:basedOn w:val="151"/>
    <w:next w:val="151"/>
    <w:semiHidden/>
    <w:qFormat/>
    <w:uiPriority w:val="0"/>
    <w:rPr>
      <w:rFonts w:ascii="黑体" w:eastAsia="黑体" w:cs="Times New Roman"/>
      <w:color w:val="auto"/>
    </w:rPr>
  </w:style>
  <w:style w:type="paragraph" w:customStyle="1" w:styleId="2390">
    <w:name w:val="CM82"/>
    <w:basedOn w:val="151"/>
    <w:next w:val="151"/>
    <w:semiHidden/>
    <w:qFormat/>
    <w:uiPriority w:val="0"/>
    <w:rPr>
      <w:rFonts w:ascii="黑体" w:eastAsia="黑体" w:cs="Times New Roman"/>
      <w:color w:val="auto"/>
    </w:rPr>
  </w:style>
  <w:style w:type="paragraph" w:customStyle="1" w:styleId="2391">
    <w:name w:val="CM83"/>
    <w:basedOn w:val="151"/>
    <w:next w:val="151"/>
    <w:semiHidden/>
    <w:qFormat/>
    <w:uiPriority w:val="0"/>
    <w:rPr>
      <w:rFonts w:ascii="黑体" w:eastAsia="黑体" w:cs="Times New Roman"/>
      <w:color w:val="auto"/>
    </w:rPr>
  </w:style>
  <w:style w:type="paragraph" w:customStyle="1" w:styleId="2392">
    <w:name w:val="CM84"/>
    <w:basedOn w:val="151"/>
    <w:next w:val="151"/>
    <w:semiHidden/>
    <w:qFormat/>
    <w:uiPriority w:val="0"/>
    <w:rPr>
      <w:rFonts w:ascii="黑体" w:eastAsia="黑体" w:cs="Times New Roman"/>
      <w:color w:val="auto"/>
    </w:rPr>
  </w:style>
  <w:style w:type="paragraph" w:customStyle="1" w:styleId="2393">
    <w:name w:val="CM85"/>
    <w:basedOn w:val="151"/>
    <w:next w:val="151"/>
    <w:semiHidden/>
    <w:qFormat/>
    <w:uiPriority w:val="0"/>
    <w:rPr>
      <w:rFonts w:ascii="黑体" w:eastAsia="黑体" w:cs="Times New Roman"/>
      <w:color w:val="auto"/>
    </w:rPr>
  </w:style>
  <w:style w:type="paragraph" w:customStyle="1" w:styleId="2394">
    <w:name w:val="CM86"/>
    <w:basedOn w:val="151"/>
    <w:next w:val="151"/>
    <w:semiHidden/>
    <w:qFormat/>
    <w:uiPriority w:val="0"/>
    <w:rPr>
      <w:rFonts w:ascii="黑体" w:eastAsia="黑体" w:cs="Times New Roman"/>
      <w:color w:val="auto"/>
    </w:rPr>
  </w:style>
  <w:style w:type="paragraph" w:customStyle="1" w:styleId="2395">
    <w:name w:val="CM88"/>
    <w:basedOn w:val="151"/>
    <w:next w:val="151"/>
    <w:semiHidden/>
    <w:qFormat/>
    <w:uiPriority w:val="0"/>
    <w:rPr>
      <w:rFonts w:ascii="黑体" w:eastAsia="黑体" w:cs="Times New Roman"/>
      <w:color w:val="auto"/>
    </w:rPr>
  </w:style>
  <w:style w:type="paragraph" w:customStyle="1" w:styleId="2396">
    <w:name w:val="CM89"/>
    <w:basedOn w:val="151"/>
    <w:next w:val="151"/>
    <w:semiHidden/>
    <w:qFormat/>
    <w:uiPriority w:val="0"/>
    <w:rPr>
      <w:rFonts w:ascii="黑体" w:eastAsia="黑体" w:cs="Times New Roman"/>
      <w:color w:val="auto"/>
    </w:rPr>
  </w:style>
  <w:style w:type="paragraph" w:customStyle="1" w:styleId="2397">
    <w:name w:val="CM90"/>
    <w:basedOn w:val="151"/>
    <w:next w:val="151"/>
    <w:semiHidden/>
    <w:qFormat/>
    <w:uiPriority w:val="0"/>
    <w:rPr>
      <w:rFonts w:ascii="黑体" w:eastAsia="黑体" w:cs="Times New Roman"/>
      <w:color w:val="auto"/>
    </w:rPr>
  </w:style>
  <w:style w:type="paragraph" w:customStyle="1" w:styleId="2398">
    <w:name w:val="CM91"/>
    <w:basedOn w:val="151"/>
    <w:next w:val="151"/>
    <w:semiHidden/>
    <w:qFormat/>
    <w:uiPriority w:val="0"/>
    <w:rPr>
      <w:rFonts w:ascii="黑体" w:eastAsia="黑体" w:cs="Times New Roman"/>
      <w:color w:val="auto"/>
    </w:rPr>
  </w:style>
  <w:style w:type="paragraph" w:customStyle="1" w:styleId="2399">
    <w:name w:val="CM92"/>
    <w:basedOn w:val="151"/>
    <w:next w:val="151"/>
    <w:semiHidden/>
    <w:qFormat/>
    <w:uiPriority w:val="0"/>
    <w:rPr>
      <w:rFonts w:ascii="黑体" w:eastAsia="黑体" w:cs="Times New Roman"/>
      <w:color w:val="auto"/>
    </w:rPr>
  </w:style>
  <w:style w:type="paragraph" w:customStyle="1" w:styleId="2400">
    <w:name w:val="CM160"/>
    <w:basedOn w:val="151"/>
    <w:next w:val="151"/>
    <w:semiHidden/>
    <w:qFormat/>
    <w:uiPriority w:val="0"/>
    <w:pPr>
      <w:spacing w:after="210"/>
    </w:pPr>
    <w:rPr>
      <w:rFonts w:ascii="黑体" w:eastAsia="黑体" w:cs="Times New Roman"/>
      <w:color w:val="auto"/>
    </w:rPr>
  </w:style>
  <w:style w:type="paragraph" w:customStyle="1" w:styleId="2401">
    <w:name w:val="CM161"/>
    <w:basedOn w:val="151"/>
    <w:next w:val="151"/>
    <w:semiHidden/>
    <w:qFormat/>
    <w:uiPriority w:val="0"/>
    <w:pPr>
      <w:spacing w:after="1650"/>
    </w:pPr>
    <w:rPr>
      <w:rFonts w:ascii="黑体" w:eastAsia="黑体" w:cs="Times New Roman"/>
      <w:color w:val="auto"/>
    </w:rPr>
  </w:style>
  <w:style w:type="paragraph" w:customStyle="1" w:styleId="2402">
    <w:name w:val="CM93"/>
    <w:basedOn w:val="151"/>
    <w:next w:val="151"/>
    <w:semiHidden/>
    <w:qFormat/>
    <w:uiPriority w:val="0"/>
    <w:rPr>
      <w:rFonts w:ascii="黑体" w:eastAsia="黑体" w:cs="Times New Roman"/>
      <w:color w:val="auto"/>
    </w:rPr>
  </w:style>
  <w:style w:type="paragraph" w:customStyle="1" w:styleId="2403">
    <w:name w:val="CM94"/>
    <w:basedOn w:val="151"/>
    <w:next w:val="151"/>
    <w:semiHidden/>
    <w:qFormat/>
    <w:uiPriority w:val="0"/>
    <w:rPr>
      <w:rFonts w:ascii="黑体" w:eastAsia="黑体" w:cs="Times New Roman"/>
      <w:color w:val="auto"/>
    </w:rPr>
  </w:style>
  <w:style w:type="paragraph" w:customStyle="1" w:styleId="2404">
    <w:name w:val="CM95"/>
    <w:basedOn w:val="151"/>
    <w:next w:val="151"/>
    <w:semiHidden/>
    <w:qFormat/>
    <w:uiPriority w:val="0"/>
    <w:pPr>
      <w:spacing w:line="313" w:lineRule="atLeast"/>
    </w:pPr>
    <w:rPr>
      <w:rFonts w:ascii="黑体" w:eastAsia="黑体" w:cs="Times New Roman"/>
      <w:color w:val="auto"/>
    </w:rPr>
  </w:style>
  <w:style w:type="paragraph" w:customStyle="1" w:styleId="2405">
    <w:name w:val="CM96"/>
    <w:basedOn w:val="151"/>
    <w:next w:val="151"/>
    <w:semiHidden/>
    <w:qFormat/>
    <w:uiPriority w:val="0"/>
    <w:rPr>
      <w:rFonts w:ascii="黑体" w:eastAsia="黑体" w:cs="Times New Roman"/>
      <w:color w:val="auto"/>
    </w:rPr>
  </w:style>
  <w:style w:type="paragraph" w:customStyle="1" w:styleId="2406">
    <w:name w:val="CM97"/>
    <w:basedOn w:val="151"/>
    <w:next w:val="151"/>
    <w:semiHidden/>
    <w:qFormat/>
    <w:uiPriority w:val="0"/>
    <w:pPr>
      <w:spacing w:line="456" w:lineRule="atLeast"/>
    </w:pPr>
    <w:rPr>
      <w:rFonts w:ascii="黑体" w:eastAsia="黑体" w:cs="Times New Roman"/>
      <w:color w:val="auto"/>
    </w:rPr>
  </w:style>
  <w:style w:type="paragraph" w:customStyle="1" w:styleId="2407">
    <w:name w:val="CM98"/>
    <w:basedOn w:val="151"/>
    <w:next w:val="151"/>
    <w:semiHidden/>
    <w:qFormat/>
    <w:uiPriority w:val="0"/>
    <w:pPr>
      <w:spacing w:line="151" w:lineRule="atLeast"/>
    </w:pPr>
    <w:rPr>
      <w:rFonts w:ascii="黑体" w:eastAsia="黑体" w:cs="Times New Roman"/>
      <w:color w:val="auto"/>
    </w:rPr>
  </w:style>
  <w:style w:type="paragraph" w:customStyle="1" w:styleId="2408">
    <w:name w:val="CM99"/>
    <w:basedOn w:val="151"/>
    <w:next w:val="151"/>
    <w:semiHidden/>
    <w:qFormat/>
    <w:uiPriority w:val="0"/>
    <w:pPr>
      <w:spacing w:line="506" w:lineRule="atLeast"/>
    </w:pPr>
    <w:rPr>
      <w:rFonts w:ascii="黑体" w:eastAsia="黑体" w:cs="Times New Roman"/>
      <w:color w:val="auto"/>
    </w:rPr>
  </w:style>
  <w:style w:type="paragraph" w:customStyle="1" w:styleId="2409">
    <w:name w:val="CM102"/>
    <w:basedOn w:val="151"/>
    <w:next w:val="151"/>
    <w:semiHidden/>
    <w:qFormat/>
    <w:uiPriority w:val="0"/>
    <w:pPr>
      <w:spacing w:line="506" w:lineRule="atLeast"/>
    </w:pPr>
    <w:rPr>
      <w:rFonts w:ascii="黑体" w:eastAsia="黑体" w:cs="Times New Roman"/>
      <w:color w:val="auto"/>
    </w:rPr>
  </w:style>
  <w:style w:type="paragraph" w:customStyle="1" w:styleId="2410">
    <w:name w:val="CM103"/>
    <w:basedOn w:val="151"/>
    <w:next w:val="151"/>
    <w:semiHidden/>
    <w:qFormat/>
    <w:uiPriority w:val="0"/>
    <w:pPr>
      <w:spacing w:line="508" w:lineRule="atLeast"/>
    </w:pPr>
    <w:rPr>
      <w:rFonts w:ascii="黑体" w:eastAsia="黑体" w:cs="Times New Roman"/>
      <w:color w:val="auto"/>
    </w:rPr>
  </w:style>
  <w:style w:type="paragraph" w:customStyle="1" w:styleId="2411">
    <w:name w:val="CM163"/>
    <w:basedOn w:val="151"/>
    <w:next w:val="151"/>
    <w:semiHidden/>
    <w:qFormat/>
    <w:uiPriority w:val="0"/>
    <w:pPr>
      <w:spacing w:after="2548"/>
    </w:pPr>
    <w:rPr>
      <w:rFonts w:ascii="黑体" w:eastAsia="黑体" w:cs="Times New Roman"/>
      <w:color w:val="auto"/>
    </w:rPr>
  </w:style>
  <w:style w:type="paragraph" w:customStyle="1" w:styleId="2412">
    <w:name w:val="CM164"/>
    <w:basedOn w:val="151"/>
    <w:next w:val="151"/>
    <w:semiHidden/>
    <w:qFormat/>
    <w:uiPriority w:val="0"/>
    <w:pPr>
      <w:spacing w:after="1108"/>
    </w:pPr>
    <w:rPr>
      <w:rFonts w:ascii="黑体" w:eastAsia="黑体" w:cs="Times New Roman"/>
      <w:color w:val="auto"/>
    </w:rPr>
  </w:style>
  <w:style w:type="paragraph" w:customStyle="1" w:styleId="2413">
    <w:name w:val="CM104"/>
    <w:basedOn w:val="151"/>
    <w:next w:val="151"/>
    <w:semiHidden/>
    <w:qFormat/>
    <w:uiPriority w:val="0"/>
    <w:pPr>
      <w:spacing w:line="506" w:lineRule="atLeast"/>
    </w:pPr>
    <w:rPr>
      <w:rFonts w:ascii="黑体" w:eastAsia="黑体" w:cs="Times New Roman"/>
      <w:color w:val="auto"/>
    </w:rPr>
  </w:style>
  <w:style w:type="paragraph" w:customStyle="1" w:styleId="2414">
    <w:name w:val="CM165"/>
    <w:basedOn w:val="151"/>
    <w:next w:val="151"/>
    <w:semiHidden/>
    <w:qFormat/>
    <w:uiPriority w:val="0"/>
    <w:pPr>
      <w:spacing w:after="2625"/>
    </w:pPr>
    <w:rPr>
      <w:rFonts w:ascii="黑体" w:eastAsia="黑体" w:cs="Times New Roman"/>
      <w:color w:val="auto"/>
    </w:rPr>
  </w:style>
  <w:style w:type="paragraph" w:customStyle="1" w:styleId="2415">
    <w:name w:val="CM105"/>
    <w:basedOn w:val="151"/>
    <w:next w:val="151"/>
    <w:semiHidden/>
    <w:qFormat/>
    <w:uiPriority w:val="0"/>
    <w:pPr>
      <w:spacing w:line="233" w:lineRule="atLeast"/>
    </w:pPr>
    <w:rPr>
      <w:rFonts w:ascii="黑体" w:eastAsia="黑体" w:cs="Times New Roman"/>
      <w:color w:val="auto"/>
    </w:rPr>
  </w:style>
  <w:style w:type="paragraph" w:customStyle="1" w:styleId="2416">
    <w:name w:val="CM106"/>
    <w:basedOn w:val="151"/>
    <w:next w:val="151"/>
    <w:semiHidden/>
    <w:qFormat/>
    <w:uiPriority w:val="0"/>
    <w:rPr>
      <w:rFonts w:ascii="黑体" w:eastAsia="黑体" w:cs="Times New Roman"/>
      <w:color w:val="auto"/>
    </w:rPr>
  </w:style>
  <w:style w:type="paragraph" w:customStyle="1" w:styleId="2417">
    <w:name w:val="CM108"/>
    <w:basedOn w:val="151"/>
    <w:next w:val="151"/>
    <w:semiHidden/>
    <w:qFormat/>
    <w:uiPriority w:val="0"/>
    <w:pPr>
      <w:spacing w:line="468" w:lineRule="atLeast"/>
    </w:pPr>
    <w:rPr>
      <w:rFonts w:ascii="黑体" w:eastAsia="黑体" w:cs="Times New Roman"/>
      <w:color w:val="auto"/>
    </w:rPr>
  </w:style>
  <w:style w:type="paragraph" w:customStyle="1" w:styleId="2418">
    <w:name w:val="CM109"/>
    <w:basedOn w:val="151"/>
    <w:next w:val="151"/>
    <w:semiHidden/>
    <w:qFormat/>
    <w:uiPriority w:val="0"/>
    <w:pPr>
      <w:spacing w:line="488" w:lineRule="atLeast"/>
    </w:pPr>
    <w:rPr>
      <w:rFonts w:ascii="黑体" w:eastAsia="黑体" w:cs="Times New Roman"/>
      <w:color w:val="auto"/>
    </w:rPr>
  </w:style>
  <w:style w:type="paragraph" w:customStyle="1" w:styleId="2419">
    <w:name w:val="CM110"/>
    <w:basedOn w:val="151"/>
    <w:next w:val="151"/>
    <w:semiHidden/>
    <w:qFormat/>
    <w:uiPriority w:val="0"/>
    <w:pPr>
      <w:spacing w:line="468" w:lineRule="atLeast"/>
    </w:pPr>
    <w:rPr>
      <w:rFonts w:ascii="黑体" w:eastAsia="黑体" w:cs="Times New Roman"/>
      <w:color w:val="auto"/>
    </w:rPr>
  </w:style>
  <w:style w:type="paragraph" w:customStyle="1" w:styleId="2420">
    <w:name w:val="CM113"/>
    <w:basedOn w:val="151"/>
    <w:next w:val="151"/>
    <w:semiHidden/>
    <w:qFormat/>
    <w:uiPriority w:val="0"/>
    <w:rPr>
      <w:rFonts w:ascii="黑体" w:eastAsia="黑体" w:cs="Times New Roman"/>
      <w:color w:val="auto"/>
    </w:rPr>
  </w:style>
  <w:style w:type="paragraph" w:customStyle="1" w:styleId="2421">
    <w:name w:val="CM114"/>
    <w:basedOn w:val="151"/>
    <w:next w:val="151"/>
    <w:semiHidden/>
    <w:qFormat/>
    <w:uiPriority w:val="0"/>
    <w:pPr>
      <w:spacing w:line="468" w:lineRule="atLeast"/>
    </w:pPr>
    <w:rPr>
      <w:rFonts w:ascii="黑体" w:eastAsia="黑体" w:cs="Times New Roman"/>
      <w:color w:val="auto"/>
    </w:rPr>
  </w:style>
  <w:style w:type="paragraph" w:customStyle="1" w:styleId="2422">
    <w:name w:val="CM122"/>
    <w:basedOn w:val="151"/>
    <w:next w:val="151"/>
    <w:semiHidden/>
    <w:qFormat/>
    <w:uiPriority w:val="0"/>
    <w:pPr>
      <w:spacing w:line="478" w:lineRule="atLeast"/>
    </w:pPr>
    <w:rPr>
      <w:rFonts w:ascii="黑体" w:eastAsia="黑体" w:cs="Times New Roman"/>
      <w:color w:val="auto"/>
    </w:rPr>
  </w:style>
  <w:style w:type="paragraph" w:customStyle="1" w:styleId="2423">
    <w:name w:val="CM124"/>
    <w:basedOn w:val="151"/>
    <w:next w:val="151"/>
    <w:semiHidden/>
    <w:qFormat/>
    <w:uiPriority w:val="0"/>
    <w:rPr>
      <w:rFonts w:ascii="黑体" w:eastAsia="黑体" w:cs="Times New Roman"/>
      <w:color w:val="auto"/>
    </w:rPr>
  </w:style>
  <w:style w:type="paragraph" w:customStyle="1" w:styleId="2424">
    <w:name w:val="CM72"/>
    <w:basedOn w:val="151"/>
    <w:next w:val="151"/>
    <w:semiHidden/>
    <w:qFormat/>
    <w:uiPriority w:val="0"/>
    <w:pPr>
      <w:spacing w:line="468" w:lineRule="atLeast"/>
    </w:pPr>
    <w:rPr>
      <w:rFonts w:ascii="黑体" w:eastAsia="黑体" w:cs="Times New Roman"/>
      <w:color w:val="auto"/>
    </w:rPr>
  </w:style>
  <w:style w:type="paragraph" w:customStyle="1" w:styleId="2425">
    <w:name w:val="CM166"/>
    <w:basedOn w:val="151"/>
    <w:next w:val="151"/>
    <w:semiHidden/>
    <w:qFormat/>
    <w:uiPriority w:val="0"/>
    <w:pPr>
      <w:spacing w:after="10073"/>
    </w:pPr>
    <w:rPr>
      <w:rFonts w:ascii="黑体" w:eastAsia="黑体" w:cs="Times New Roman"/>
      <w:color w:val="auto"/>
    </w:rPr>
  </w:style>
  <w:style w:type="paragraph" w:customStyle="1" w:styleId="2426">
    <w:name w:val="正文lly"/>
    <w:next w:val="1"/>
    <w:link w:val="2461"/>
    <w:semiHidden/>
    <w:qFormat/>
    <w:uiPriority w:val="0"/>
    <w:pPr>
      <w:jc w:val="center"/>
    </w:pPr>
    <w:rPr>
      <w:rFonts w:ascii="Times New Roman" w:hAnsi="Times New Roman" w:eastAsia="宋体" w:cs="Times New Roman"/>
      <w:bCs/>
      <w:kern w:val="2"/>
      <w:sz w:val="24"/>
      <w:szCs w:val="21"/>
      <w:lang w:val="en-US" w:eastAsia="zh-CN" w:bidi="ar-SA"/>
    </w:rPr>
  </w:style>
  <w:style w:type="character" w:customStyle="1" w:styleId="2427">
    <w:name w:val="search_content1"/>
    <w:qFormat/>
    <w:uiPriority w:val="0"/>
    <w:rPr>
      <w:sz w:val="20"/>
      <w:szCs w:val="20"/>
    </w:rPr>
  </w:style>
  <w:style w:type="character" w:customStyle="1" w:styleId="2428">
    <w:name w:val="style25"/>
    <w:basedOn w:val="133"/>
    <w:qFormat/>
    <w:uiPriority w:val="0"/>
  </w:style>
  <w:style w:type="paragraph" w:customStyle="1" w:styleId="2429">
    <w:name w:val="样式 标题 2节标题节second classSeH2H21标题 2XW标题 2 Char标题 2 Char ..."/>
    <w:basedOn w:val="4"/>
    <w:next w:val="4"/>
    <w:semiHidden/>
    <w:qFormat/>
    <w:uiPriority w:val="0"/>
    <w:pPr>
      <w:tabs>
        <w:tab w:val="clear" w:pos="480"/>
        <w:tab w:val="clear" w:pos="630"/>
      </w:tabs>
      <w:spacing w:before="120" w:line="600" w:lineRule="exact"/>
    </w:pPr>
    <w:rPr>
      <w:bCs w:val="0"/>
      <w:spacing w:val="4"/>
      <w:sz w:val="30"/>
      <w:szCs w:val="20"/>
    </w:rPr>
  </w:style>
  <w:style w:type="paragraph" w:customStyle="1" w:styleId="2430">
    <w:name w:val="表格标题TTT"/>
    <w:basedOn w:val="207"/>
    <w:semiHidden/>
    <w:qFormat/>
    <w:uiPriority w:val="0"/>
    <w:pPr>
      <w:spacing w:line="240" w:lineRule="auto"/>
      <w:ind w:firstLine="0"/>
      <w:jc w:val="center"/>
    </w:pPr>
    <w:rPr>
      <w:rFonts w:cs="宋体"/>
      <w:b/>
      <w:bCs/>
      <w:color w:val="000000"/>
    </w:rPr>
  </w:style>
  <w:style w:type="paragraph" w:customStyle="1" w:styleId="2431">
    <w:name w:val="正文111111111"/>
    <w:basedOn w:val="1"/>
    <w:link w:val="2458"/>
    <w:semiHidden/>
    <w:qFormat/>
    <w:uiPriority w:val="0"/>
    <w:rPr>
      <w:rFonts w:cs="宋体"/>
      <w:szCs w:val="20"/>
    </w:rPr>
  </w:style>
  <w:style w:type="paragraph" w:customStyle="1" w:styleId="2432">
    <w:name w:val="样式 标题 1章标题 1h11st levelSection Headl1-*+标题 1 Char + 宋体 四..."/>
    <w:basedOn w:val="3"/>
    <w:semiHidden/>
    <w:qFormat/>
    <w:uiPriority w:val="0"/>
    <w:pPr>
      <w:widowControl/>
      <w:numPr>
        <w:ilvl w:val="0"/>
        <w:numId w:val="31"/>
      </w:numPr>
      <w:tabs>
        <w:tab w:val="clear" w:pos="480"/>
      </w:tabs>
      <w:spacing w:before="0" w:after="0" w:line="480" w:lineRule="exact"/>
    </w:pPr>
    <w:rPr>
      <w:rFonts w:ascii="宋体" w:hAnsi="宋体" w:eastAsia="宋体" w:cs="宋体"/>
      <w:b w:val="0"/>
      <w:bCs w:val="0"/>
      <w:kern w:val="0"/>
      <w:sz w:val="28"/>
      <w:szCs w:val="20"/>
    </w:rPr>
  </w:style>
  <w:style w:type="character" w:customStyle="1" w:styleId="2433">
    <w:name w:val="8 Char Char"/>
    <w:link w:val="682"/>
    <w:qFormat/>
    <w:uiPriority w:val="0"/>
    <w:rPr>
      <w:rFonts w:ascii="Tahoma" w:hAnsi="Tahoma" w:eastAsia="宋体"/>
      <w:kern w:val="2"/>
      <w:sz w:val="24"/>
      <w:lang w:val="en-US" w:eastAsia="zh-CN" w:bidi="ar-SA"/>
    </w:rPr>
  </w:style>
  <w:style w:type="paragraph" w:customStyle="1" w:styleId="2434">
    <w:name w:val="环正文"/>
    <w:basedOn w:val="1"/>
    <w:qFormat/>
    <w:uiPriority w:val="0"/>
    <w:pPr>
      <w:widowControl/>
      <w:tabs>
        <w:tab w:val="clear" w:pos="480"/>
      </w:tabs>
      <w:suppressAutoHyphens/>
      <w:adjustRightInd w:val="0"/>
      <w:snapToGrid w:val="0"/>
      <w:ind w:firstLine="550"/>
      <w:textAlignment w:val="baseline"/>
    </w:pPr>
    <w:rPr>
      <w:rFonts w:ascii="宋体" w:hAnsi="宋体"/>
      <w:bCs/>
      <w:kern w:val="0"/>
    </w:rPr>
  </w:style>
  <w:style w:type="character" w:customStyle="1" w:styleId="2435">
    <w:name w:val="8 Char1 Char Char"/>
    <w:link w:val="2436"/>
    <w:qFormat/>
    <w:locked/>
    <w:uiPriority w:val="0"/>
    <w:rPr>
      <w:rFonts w:ascii="宋体" w:hAnsi="宋体" w:eastAsia="宋体"/>
      <w:kern w:val="10"/>
      <w:sz w:val="24"/>
      <w:szCs w:val="24"/>
      <w:lang w:val="en-US" w:eastAsia="zh-CN" w:bidi="ar-SA"/>
    </w:rPr>
  </w:style>
  <w:style w:type="paragraph" w:customStyle="1" w:styleId="2436">
    <w:name w:val="8 Char1 Char"/>
    <w:basedOn w:val="1"/>
    <w:link w:val="2435"/>
    <w:semiHidden/>
    <w:qFormat/>
    <w:uiPriority w:val="0"/>
    <w:pPr>
      <w:tabs>
        <w:tab w:val="clear" w:pos="480"/>
      </w:tabs>
      <w:ind w:firstLine="480"/>
    </w:pPr>
    <w:rPr>
      <w:rFonts w:ascii="宋体" w:hAnsi="宋体"/>
      <w:kern w:val="10"/>
    </w:rPr>
  </w:style>
  <w:style w:type="character" w:customStyle="1" w:styleId="2437">
    <w:name w:val="8 Char1"/>
    <w:link w:val="517"/>
    <w:qFormat/>
    <w:uiPriority w:val="0"/>
    <w:rPr>
      <w:rFonts w:eastAsia="宋体"/>
      <w:kern w:val="2"/>
      <w:sz w:val="24"/>
      <w:lang w:val="en-US" w:eastAsia="zh-CN" w:bidi="ar-SA"/>
    </w:rPr>
  </w:style>
  <w:style w:type="paragraph" w:customStyle="1" w:styleId="2438">
    <w:name w:val="封面标准号1"/>
    <w:semiHidden/>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kern w:val="2"/>
      <w:sz w:val="28"/>
      <w:szCs w:val="24"/>
      <w:lang w:val="en-US" w:eastAsia="zh-CN" w:bidi="ar-SA"/>
    </w:rPr>
  </w:style>
  <w:style w:type="character" w:customStyle="1" w:styleId="2439">
    <w:name w:val="样式5 Char"/>
    <w:link w:val="163"/>
    <w:qFormat/>
    <w:uiPriority w:val="0"/>
    <w:rPr>
      <w:rFonts w:eastAsia="宋体"/>
      <w:kern w:val="2"/>
      <w:sz w:val="21"/>
      <w:szCs w:val="24"/>
      <w:lang w:val="en-US" w:eastAsia="zh-CN" w:bidi="ar-SA"/>
    </w:rPr>
  </w:style>
  <w:style w:type="paragraph" w:customStyle="1" w:styleId="2440">
    <w:name w:val="Char Char Char Char11"/>
    <w:basedOn w:val="1"/>
    <w:qFormat/>
    <w:uiPriority w:val="0"/>
    <w:pPr>
      <w:tabs>
        <w:tab w:val="clear" w:pos="480"/>
      </w:tabs>
      <w:spacing w:line="240" w:lineRule="auto"/>
    </w:pPr>
  </w:style>
  <w:style w:type="paragraph" w:customStyle="1" w:styleId="2441">
    <w:name w:val="湛江生物质发电正文"/>
    <w:basedOn w:val="1"/>
    <w:link w:val="2442"/>
    <w:semiHidden/>
    <w:qFormat/>
    <w:uiPriority w:val="0"/>
    <w:pPr>
      <w:tabs>
        <w:tab w:val="clear" w:pos="480"/>
      </w:tabs>
      <w:spacing w:line="324" w:lineRule="auto"/>
      <w:ind w:firstLine="480"/>
    </w:pPr>
    <w:rPr>
      <w:rFonts w:ascii="宋体" w:hAnsi="宋体" w:cs="宋体"/>
      <w:szCs w:val="20"/>
    </w:rPr>
  </w:style>
  <w:style w:type="character" w:customStyle="1" w:styleId="2442">
    <w:name w:val="湛江生物质发电正文 Char Char"/>
    <w:link w:val="2441"/>
    <w:qFormat/>
    <w:uiPriority w:val="0"/>
    <w:rPr>
      <w:rFonts w:ascii="宋体" w:hAnsi="宋体" w:eastAsia="宋体" w:cs="宋体"/>
      <w:kern w:val="2"/>
      <w:sz w:val="24"/>
      <w:lang w:val="en-US" w:eastAsia="zh-CN" w:bidi="ar-SA"/>
    </w:rPr>
  </w:style>
  <w:style w:type="paragraph" w:customStyle="1" w:styleId="2443">
    <w:name w:val="样式 题注 +"/>
    <w:basedOn w:val="23"/>
    <w:link w:val="2444"/>
    <w:semiHidden/>
    <w:qFormat/>
    <w:uiPriority w:val="0"/>
    <w:pPr>
      <w:keepNext/>
      <w:widowControl w:val="0"/>
      <w:spacing w:before="0" w:after="0"/>
      <w:ind w:firstLine="0" w:firstLineChars="0"/>
    </w:pPr>
    <w:rPr>
      <w:rFonts w:ascii="宋体" w:hAnsi="宋体" w:cs="Times New Roman"/>
      <w:b/>
      <w:color w:val="auto"/>
      <w:kern w:val="0"/>
      <w:szCs w:val="24"/>
      <w:u w:color="000000"/>
    </w:rPr>
  </w:style>
  <w:style w:type="character" w:customStyle="1" w:styleId="2444">
    <w:name w:val="样式 题注 + Char"/>
    <w:link w:val="2443"/>
    <w:qFormat/>
    <w:uiPriority w:val="0"/>
    <w:rPr>
      <w:rFonts w:ascii="宋体" w:hAnsi="宋体" w:eastAsia="宋体"/>
      <w:b/>
      <w:sz w:val="24"/>
      <w:szCs w:val="24"/>
      <w:u w:color="000000"/>
      <w:lang w:val="en-US" w:eastAsia="zh-CN" w:bidi="ar-SA"/>
    </w:rPr>
  </w:style>
  <w:style w:type="paragraph" w:customStyle="1" w:styleId="2445">
    <w:name w:val="标准标题 1..."/>
    <w:basedOn w:val="3"/>
    <w:semiHidden/>
    <w:qFormat/>
    <w:uiPriority w:val="0"/>
    <w:pPr>
      <w:tabs>
        <w:tab w:val="clear" w:pos="480"/>
      </w:tabs>
      <w:adjustRightInd w:val="0"/>
      <w:snapToGrid w:val="0"/>
      <w:spacing w:before="300" w:after="300"/>
      <w:jc w:val="center"/>
    </w:pPr>
    <w:rPr>
      <w:rFonts w:ascii="Times New Roman" w:hAnsi="宋体" w:eastAsia="宋体"/>
      <w:kern w:val="2"/>
      <w:szCs w:val="30"/>
    </w:rPr>
  </w:style>
  <w:style w:type="paragraph" w:customStyle="1" w:styleId="2446">
    <w:name w:val="标准标题2"/>
    <w:basedOn w:val="4"/>
    <w:semiHidden/>
    <w:qFormat/>
    <w:uiPriority w:val="0"/>
    <w:pPr>
      <w:tabs>
        <w:tab w:val="clear" w:pos="480"/>
        <w:tab w:val="clear" w:pos="630"/>
      </w:tabs>
      <w:adjustRightInd w:val="0"/>
      <w:snapToGrid w:val="0"/>
      <w:spacing w:beforeLines="50" w:afterLines="50"/>
      <w:jc w:val="left"/>
    </w:pPr>
    <w:rPr>
      <w:rFonts w:cs="Arial"/>
      <w:sz w:val="30"/>
      <w:szCs w:val="30"/>
    </w:rPr>
  </w:style>
  <w:style w:type="paragraph" w:customStyle="1" w:styleId="2447">
    <w:name w:val="我的正文 Char Char Char"/>
    <w:basedOn w:val="1"/>
    <w:next w:val="1"/>
    <w:semiHidden/>
    <w:qFormat/>
    <w:uiPriority w:val="0"/>
    <w:pPr>
      <w:tabs>
        <w:tab w:val="clear" w:pos="480"/>
      </w:tabs>
      <w:spacing w:line="520" w:lineRule="exact"/>
      <w:ind w:firstLine="540" w:firstLineChars="225"/>
    </w:pPr>
  </w:style>
  <w:style w:type="paragraph" w:customStyle="1" w:styleId="2448">
    <w:name w:val="样式 首行缩进:  2 字符4"/>
    <w:basedOn w:val="1"/>
    <w:link w:val="2889"/>
    <w:semiHidden/>
    <w:qFormat/>
    <w:uiPriority w:val="0"/>
    <w:pPr>
      <w:tabs>
        <w:tab w:val="clear" w:pos="480"/>
      </w:tabs>
      <w:spacing w:line="500" w:lineRule="exact"/>
      <w:ind w:firstLine="560"/>
    </w:pPr>
    <w:rPr>
      <w:rFonts w:ascii="宋体" w:hAnsi="宋体"/>
    </w:rPr>
  </w:style>
  <w:style w:type="paragraph" w:customStyle="1" w:styleId="2449">
    <w:name w:val="样式 题注 + 两端对齐"/>
    <w:basedOn w:val="23"/>
    <w:semiHidden/>
    <w:qFormat/>
    <w:uiPriority w:val="0"/>
    <w:pPr>
      <w:keepNext/>
      <w:widowControl w:val="0"/>
      <w:adjustRightInd/>
      <w:snapToGrid/>
      <w:ind w:left="482" w:leftChars="172" w:firstLine="0" w:firstLineChars="0"/>
      <w:jc w:val="both"/>
    </w:pPr>
    <w:rPr>
      <w:rFonts w:ascii="宋体" w:hAnsi="宋体" w:cs="Times New Roman"/>
      <w:b/>
      <w:color w:val="auto"/>
      <w:szCs w:val="24"/>
    </w:rPr>
  </w:style>
  <w:style w:type="character" w:customStyle="1" w:styleId="2450">
    <w:name w:val="css-text3"/>
    <w:basedOn w:val="133"/>
    <w:semiHidden/>
    <w:qFormat/>
    <w:uiPriority w:val="0"/>
  </w:style>
  <w:style w:type="character" w:customStyle="1" w:styleId="2451">
    <w:name w:val="p181"/>
    <w:semiHidden/>
    <w:qFormat/>
    <w:uiPriority w:val="0"/>
    <w:rPr>
      <w:b/>
      <w:bCs/>
      <w:color w:val="000066"/>
      <w:spacing w:val="31680"/>
      <w:sz w:val="34"/>
      <w:szCs w:val="34"/>
    </w:rPr>
  </w:style>
  <w:style w:type="character" w:customStyle="1" w:styleId="2452">
    <w:name w:val="p4"/>
    <w:basedOn w:val="133"/>
    <w:semiHidden/>
    <w:qFormat/>
    <w:uiPriority w:val="0"/>
  </w:style>
  <w:style w:type="paragraph" w:customStyle="1" w:styleId="2453">
    <w:name w:val="样式 标题 3 + 自动设置"/>
    <w:basedOn w:val="5"/>
    <w:link w:val="2454"/>
    <w:semiHidden/>
    <w:qFormat/>
    <w:uiPriority w:val="0"/>
    <w:pPr>
      <w:tabs>
        <w:tab w:val="left" w:pos="720"/>
        <w:tab w:val="clear" w:pos="480"/>
        <w:tab w:val="clear" w:pos="840"/>
      </w:tabs>
      <w:spacing w:before="0" w:after="0" w:line="360" w:lineRule="auto"/>
      <w:jc w:val="left"/>
    </w:pPr>
    <w:rPr>
      <w:rFonts w:ascii="Times New Roman" w:eastAsia="宋体"/>
      <w:sz w:val="24"/>
      <w:szCs w:val="24"/>
      <w:lang w:val="en-US"/>
    </w:rPr>
  </w:style>
  <w:style w:type="character" w:customStyle="1" w:styleId="2454">
    <w:name w:val="样式 标题 3 + 自动设置 Char"/>
    <w:link w:val="2453"/>
    <w:qFormat/>
    <w:uiPriority w:val="0"/>
    <w:rPr>
      <w:rFonts w:eastAsia="宋体"/>
      <w:b/>
      <w:bCs/>
      <w:kern w:val="2"/>
      <w:sz w:val="24"/>
      <w:szCs w:val="24"/>
      <w:lang w:val="en-US" w:eastAsia="zh-CN" w:bidi="ar-SA"/>
    </w:rPr>
  </w:style>
  <w:style w:type="paragraph" w:customStyle="1" w:styleId="2455">
    <w:name w:val="样式 标题 3 + 自动设置1"/>
    <w:basedOn w:val="5"/>
    <w:link w:val="2456"/>
    <w:semiHidden/>
    <w:qFormat/>
    <w:uiPriority w:val="0"/>
    <w:pPr>
      <w:tabs>
        <w:tab w:val="left" w:pos="720"/>
        <w:tab w:val="clear" w:pos="480"/>
        <w:tab w:val="clear" w:pos="840"/>
      </w:tabs>
      <w:spacing w:before="0" w:after="0" w:line="360" w:lineRule="auto"/>
      <w:ind w:left="720" w:hanging="720"/>
      <w:jc w:val="left"/>
    </w:pPr>
    <w:rPr>
      <w:rFonts w:ascii="Times New Roman" w:eastAsia="宋体"/>
      <w:kern w:val="0"/>
      <w:sz w:val="24"/>
      <w:szCs w:val="24"/>
      <w:lang w:val="en-US"/>
    </w:rPr>
  </w:style>
  <w:style w:type="character" w:customStyle="1" w:styleId="2456">
    <w:name w:val="样式 标题 3 + 自动设置1 Char"/>
    <w:link w:val="2455"/>
    <w:qFormat/>
    <w:uiPriority w:val="0"/>
    <w:rPr>
      <w:rFonts w:eastAsia="宋体"/>
      <w:b/>
      <w:bCs/>
      <w:sz w:val="24"/>
      <w:szCs w:val="24"/>
      <w:lang w:val="en-US" w:eastAsia="zh-CN" w:bidi="ar-SA"/>
    </w:rPr>
  </w:style>
  <w:style w:type="character" w:customStyle="1" w:styleId="2457">
    <w:name w:val="中气正文 Char"/>
    <w:link w:val="479"/>
    <w:qFormat/>
    <w:uiPriority w:val="0"/>
    <w:rPr>
      <w:rFonts w:eastAsia="宋体"/>
      <w:kern w:val="2"/>
      <w:sz w:val="24"/>
      <w:szCs w:val="24"/>
      <w:lang w:val="en-US" w:eastAsia="zh-CN" w:bidi="ar-SA"/>
    </w:rPr>
  </w:style>
  <w:style w:type="character" w:customStyle="1" w:styleId="2458">
    <w:name w:val="正文111111111 Char"/>
    <w:link w:val="2431"/>
    <w:qFormat/>
    <w:uiPriority w:val="0"/>
    <w:rPr>
      <w:rFonts w:eastAsia="宋体" w:cs="宋体"/>
      <w:kern w:val="2"/>
      <w:sz w:val="24"/>
      <w:lang w:val="en-US" w:eastAsia="zh-CN" w:bidi="ar-SA"/>
    </w:rPr>
  </w:style>
  <w:style w:type="character" w:customStyle="1" w:styleId="2459">
    <w:name w:val="正文11 Char Char"/>
    <w:link w:val="2460"/>
    <w:qFormat/>
    <w:uiPriority w:val="0"/>
    <w:rPr>
      <w:rFonts w:eastAsia="宋体"/>
      <w:sz w:val="24"/>
      <w:lang w:bidi="ar-SA"/>
    </w:rPr>
  </w:style>
  <w:style w:type="paragraph" w:customStyle="1" w:styleId="2460">
    <w:name w:val="正文11"/>
    <w:basedOn w:val="1"/>
    <w:link w:val="2459"/>
    <w:qFormat/>
    <w:uiPriority w:val="0"/>
    <w:pPr>
      <w:tabs>
        <w:tab w:val="clear" w:pos="480"/>
      </w:tabs>
    </w:pPr>
    <w:rPr>
      <w:kern w:val="0"/>
      <w:szCs w:val="20"/>
      <w:lang w:val="zh-CN"/>
    </w:rPr>
  </w:style>
  <w:style w:type="character" w:customStyle="1" w:styleId="2461">
    <w:name w:val="正文lly Char Char"/>
    <w:link w:val="2426"/>
    <w:semiHidden/>
    <w:qFormat/>
    <w:uiPriority w:val="0"/>
    <w:rPr>
      <w:bCs/>
      <w:kern w:val="2"/>
      <w:sz w:val="24"/>
      <w:szCs w:val="21"/>
      <w:lang w:val="en-US" w:eastAsia="zh-CN" w:bidi="ar-SA"/>
    </w:rPr>
  </w:style>
  <w:style w:type="paragraph" w:customStyle="1" w:styleId="2462">
    <w:name w:val="C 4级标题"/>
    <w:basedOn w:val="6"/>
    <w:semiHidden/>
    <w:qFormat/>
    <w:uiPriority w:val="0"/>
    <w:pPr>
      <w:keepNext w:val="0"/>
      <w:keepLines w:val="0"/>
      <w:numPr>
        <w:ilvl w:val="0"/>
        <w:numId w:val="0"/>
      </w:numPr>
      <w:tabs>
        <w:tab w:val="left" w:pos="720"/>
        <w:tab w:val="clear" w:pos="480"/>
      </w:tabs>
      <w:spacing w:before="0" w:after="0"/>
    </w:pPr>
    <w:rPr>
      <w:rFonts w:ascii="Times New Roman" w:eastAsia="宋体"/>
    </w:rPr>
  </w:style>
  <w:style w:type="paragraph" w:customStyle="1" w:styleId="2463">
    <w:name w:val="款项"/>
    <w:basedOn w:val="1"/>
    <w:semiHidden/>
    <w:qFormat/>
    <w:uiPriority w:val="0"/>
    <w:pPr>
      <w:tabs>
        <w:tab w:val="clear" w:pos="480"/>
      </w:tabs>
      <w:spacing w:beforeLines="50" w:afterLines="50" w:line="240" w:lineRule="auto"/>
    </w:pPr>
    <w:rPr>
      <w:rFonts w:ascii="黑体" w:eastAsia="黑体"/>
    </w:rPr>
  </w:style>
  <w:style w:type="character" w:customStyle="1" w:styleId="2464">
    <w:name w:val="正文文本 311"/>
    <w:semiHidden/>
    <w:qFormat/>
    <w:uiPriority w:val="0"/>
    <w:rPr>
      <w:rFonts w:eastAsia="宋体"/>
      <w:sz w:val="18"/>
      <w:lang w:val="en-US" w:eastAsia="zh-CN" w:bidi="ar-SA"/>
    </w:rPr>
  </w:style>
  <w:style w:type="paragraph" w:customStyle="1" w:styleId="2465">
    <w:name w:val="表题 1"/>
    <w:semiHidden/>
    <w:qFormat/>
    <w:uiPriority w:val="0"/>
    <w:pPr>
      <w:widowControl w:val="0"/>
      <w:adjustRightInd w:val="0"/>
      <w:spacing w:before="120" w:after="120"/>
      <w:jc w:val="center"/>
      <w:textAlignment w:val="baseline"/>
    </w:pPr>
    <w:rPr>
      <w:rFonts w:ascii="Times New Roman" w:hAnsi="Times New Roman" w:eastAsia="宋体" w:cs="Times New Roman"/>
      <w:kern w:val="2"/>
      <w:sz w:val="30"/>
      <w:szCs w:val="24"/>
      <w:lang w:val="en-US" w:eastAsia="zh-CN" w:bidi="ar-SA"/>
    </w:rPr>
  </w:style>
  <w:style w:type="paragraph" w:customStyle="1" w:styleId="2466">
    <w:name w:val="表格 21"/>
    <w:semiHidden/>
    <w:qFormat/>
    <w:uiPriority w:val="0"/>
    <w:pPr>
      <w:widowControl w:val="0"/>
      <w:autoSpaceDE w:val="0"/>
      <w:autoSpaceDN w:val="0"/>
      <w:adjustRightInd w:val="0"/>
      <w:jc w:val="center"/>
      <w:textAlignment w:val="baseline"/>
    </w:pPr>
    <w:rPr>
      <w:rFonts w:ascii="Times New Roman" w:hAnsi="Times New Roman" w:eastAsia="仿宋体" w:cs="Times New Roman"/>
      <w:kern w:val="2"/>
      <w:sz w:val="28"/>
      <w:szCs w:val="24"/>
      <w:lang w:val="en-US" w:eastAsia="zh-CN" w:bidi="ar-SA"/>
    </w:rPr>
  </w:style>
  <w:style w:type="paragraph" w:customStyle="1" w:styleId="2467">
    <w:name w:val="表题 12"/>
    <w:basedOn w:val="1"/>
    <w:semiHidden/>
    <w:qFormat/>
    <w:uiPriority w:val="0"/>
    <w:pPr>
      <w:tabs>
        <w:tab w:val="clear" w:pos="480"/>
      </w:tabs>
      <w:adjustRightInd w:val="0"/>
      <w:snapToGrid w:val="0"/>
      <w:spacing w:before="120" w:after="120" w:line="240" w:lineRule="auto"/>
      <w:jc w:val="center"/>
      <w:textAlignment w:val="baseline"/>
    </w:pPr>
    <w:rPr>
      <w:kern w:val="0"/>
      <w:szCs w:val="20"/>
    </w:rPr>
  </w:style>
  <w:style w:type="paragraph" w:customStyle="1" w:styleId="2468">
    <w:name w:val="正文 32"/>
    <w:basedOn w:val="1"/>
    <w:link w:val="2732"/>
    <w:semiHidden/>
    <w:qFormat/>
    <w:uiPriority w:val="0"/>
    <w:pPr>
      <w:tabs>
        <w:tab w:val="clear" w:pos="480"/>
      </w:tabs>
      <w:autoSpaceDE w:val="0"/>
      <w:autoSpaceDN w:val="0"/>
      <w:adjustRightInd w:val="0"/>
      <w:snapToGrid w:val="0"/>
      <w:ind w:firstLine="567"/>
      <w:jc w:val="left"/>
      <w:textAlignment w:val="baseline"/>
    </w:pPr>
    <w:rPr>
      <w:rFonts w:eastAsia="楷体"/>
      <w:kern w:val="0"/>
      <w:szCs w:val="20"/>
    </w:rPr>
  </w:style>
  <w:style w:type="character" w:customStyle="1" w:styleId="2469">
    <w:name w:val="f31"/>
    <w:semiHidden/>
    <w:qFormat/>
    <w:uiPriority w:val="0"/>
    <w:rPr>
      <w:spacing w:val="360"/>
      <w:sz w:val="28"/>
      <w:szCs w:val="28"/>
    </w:rPr>
  </w:style>
  <w:style w:type="paragraph" w:customStyle="1" w:styleId="2470">
    <w:name w:val="表格 1"/>
    <w:basedOn w:val="161"/>
    <w:semiHidden/>
    <w:qFormat/>
    <w:uiPriority w:val="0"/>
    <w:pPr>
      <w:autoSpaceDE w:val="0"/>
      <w:autoSpaceDN w:val="0"/>
      <w:spacing w:line="240" w:lineRule="auto"/>
      <w:jc w:val="center"/>
      <w:textAlignment w:val="auto"/>
    </w:pPr>
    <w:rPr>
      <w:kern w:val="0"/>
      <w:sz w:val="28"/>
    </w:rPr>
  </w:style>
  <w:style w:type="paragraph" w:customStyle="1" w:styleId="2471">
    <w:name w:val="页面"/>
    <w:semiHidden/>
    <w:qFormat/>
    <w:uiPriority w:val="0"/>
    <w:pPr>
      <w:widowControl w:val="0"/>
      <w:adjustRightInd w:val="0"/>
      <w:jc w:val="center"/>
    </w:pPr>
    <w:rPr>
      <w:rFonts w:ascii="Times New Roman" w:hAnsi="Times New Roman" w:eastAsia="宋体" w:cs="Times New Roman"/>
      <w:kern w:val="2"/>
      <w:sz w:val="28"/>
      <w:szCs w:val="24"/>
      <w:lang w:val="en-US" w:eastAsia="zh-CN" w:bidi="ar-SA"/>
    </w:rPr>
  </w:style>
  <w:style w:type="paragraph" w:customStyle="1" w:styleId="2472">
    <w:name w:val="页面 2"/>
    <w:basedOn w:val="2471"/>
    <w:semiHidden/>
    <w:qFormat/>
    <w:uiPriority w:val="0"/>
    <w:rPr>
      <w:sz w:val="72"/>
    </w:rPr>
  </w:style>
  <w:style w:type="paragraph" w:customStyle="1" w:styleId="2473">
    <w:name w:val="页面 7"/>
    <w:basedOn w:val="1"/>
    <w:semiHidden/>
    <w:qFormat/>
    <w:uiPriority w:val="0"/>
    <w:pPr>
      <w:tabs>
        <w:tab w:val="clear" w:pos="480"/>
      </w:tabs>
      <w:autoSpaceDE w:val="0"/>
      <w:autoSpaceDN w:val="0"/>
      <w:adjustRightInd w:val="0"/>
      <w:spacing w:before="120" w:after="120"/>
      <w:ind w:firstLine="425"/>
      <w:jc w:val="center"/>
      <w:textAlignment w:val="baseline"/>
    </w:pPr>
    <w:rPr>
      <w:rFonts w:eastAsia="楷体_GB2312"/>
      <w:kern w:val="0"/>
      <w:sz w:val="32"/>
      <w:szCs w:val="20"/>
    </w:rPr>
  </w:style>
  <w:style w:type="paragraph" w:customStyle="1" w:styleId="2474">
    <w:name w:val="正文 1"/>
    <w:qFormat/>
    <w:uiPriority w:val="0"/>
    <w:pPr>
      <w:keepNext/>
      <w:widowControl w:val="0"/>
      <w:topLinePunct/>
      <w:autoSpaceDE w:val="0"/>
      <w:autoSpaceDN w:val="0"/>
      <w:adjustRightInd w:val="0"/>
      <w:ind w:firstLine="454"/>
      <w:jc w:val="center"/>
      <w:textAlignment w:val="baseline"/>
    </w:pPr>
    <w:rPr>
      <w:rFonts w:ascii="Times New Roman" w:hAnsi="Times New Roman" w:eastAsia="宋体" w:cs="Times New Roman"/>
      <w:kern w:val="2"/>
      <w:sz w:val="24"/>
      <w:szCs w:val="24"/>
      <w:lang w:val="en-US" w:eastAsia="zh-CN" w:bidi="ar-SA"/>
    </w:rPr>
  </w:style>
  <w:style w:type="paragraph" w:customStyle="1" w:styleId="2475">
    <w:name w:val="正文 2"/>
    <w:basedOn w:val="1"/>
    <w:semiHidden/>
    <w:qFormat/>
    <w:uiPriority w:val="0"/>
    <w:pPr>
      <w:tabs>
        <w:tab w:val="clear" w:pos="480"/>
      </w:tabs>
      <w:autoSpaceDE w:val="0"/>
      <w:autoSpaceDN w:val="0"/>
      <w:adjustRightInd w:val="0"/>
      <w:spacing w:line="300" w:lineRule="auto"/>
      <w:ind w:firstLine="510"/>
      <w:textAlignment w:val="baseline"/>
    </w:pPr>
    <w:rPr>
      <w:rFonts w:eastAsia="楷体_GB2312"/>
      <w:kern w:val="0"/>
      <w:szCs w:val="20"/>
    </w:rPr>
  </w:style>
  <w:style w:type="paragraph" w:customStyle="1" w:styleId="2476">
    <w:name w:val="页面 3"/>
    <w:basedOn w:val="1"/>
    <w:semiHidden/>
    <w:qFormat/>
    <w:uiPriority w:val="0"/>
    <w:pPr>
      <w:tabs>
        <w:tab w:val="clear" w:pos="480"/>
      </w:tabs>
      <w:adjustRightInd w:val="0"/>
      <w:spacing w:line="240" w:lineRule="auto"/>
      <w:jc w:val="center"/>
    </w:pPr>
    <w:rPr>
      <w:rFonts w:eastAsia="隶书"/>
      <w:kern w:val="0"/>
      <w:sz w:val="52"/>
      <w:szCs w:val="20"/>
    </w:rPr>
  </w:style>
  <w:style w:type="paragraph" w:customStyle="1" w:styleId="2477">
    <w:name w:val="表格 22"/>
    <w:basedOn w:val="2466"/>
    <w:semiHidden/>
    <w:qFormat/>
    <w:uiPriority w:val="0"/>
    <w:rPr>
      <w:sz w:val="24"/>
    </w:rPr>
  </w:style>
  <w:style w:type="paragraph" w:customStyle="1" w:styleId="2478">
    <w:name w:val="ident"/>
    <w:basedOn w:val="1"/>
    <w:semiHidden/>
    <w:qFormat/>
    <w:uiPriority w:val="0"/>
    <w:pPr>
      <w:widowControl/>
      <w:tabs>
        <w:tab w:val="clear" w:pos="480"/>
      </w:tabs>
      <w:spacing w:after="100" w:afterAutospacing="1" w:line="280" w:lineRule="atLeast"/>
      <w:ind w:left="150"/>
      <w:jc w:val="left"/>
    </w:pPr>
    <w:rPr>
      <w:rFonts w:ascii="宋体" w:hAnsi="宋体"/>
      <w:kern w:val="0"/>
    </w:rPr>
  </w:style>
  <w:style w:type="paragraph" w:customStyle="1" w:styleId="2479">
    <w:name w:val="正文1111"/>
    <w:basedOn w:val="1"/>
    <w:link w:val="2533"/>
    <w:qFormat/>
    <w:uiPriority w:val="0"/>
    <w:pPr>
      <w:tabs>
        <w:tab w:val="clear" w:pos="480"/>
      </w:tabs>
      <w:ind w:firstLine="482"/>
    </w:pPr>
    <w:rPr>
      <w:b/>
    </w:rPr>
  </w:style>
  <w:style w:type="paragraph" w:customStyle="1" w:styleId="2480">
    <w:name w:val="xl179"/>
    <w:basedOn w:val="1"/>
    <w:qFormat/>
    <w:uiPriority w:val="0"/>
    <w:pPr>
      <w:widowControl/>
      <w:pBdr>
        <w:top w:val="single" w:color="auto" w:sz="4" w:space="0"/>
        <w:left w:val="single" w:color="auto" w:sz="4" w:space="0"/>
        <w:bottom w:val="single" w:color="auto" w:sz="4" w:space="0"/>
        <w:right w:val="single" w:color="auto" w:sz="4" w:space="0"/>
      </w:pBdr>
      <w:shd w:val="clear" w:color="auto" w:fill="FFFF99"/>
      <w:tabs>
        <w:tab w:val="clear" w:pos="480"/>
      </w:tabs>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2481">
    <w:name w:val="xl180"/>
    <w:basedOn w:val="1"/>
    <w:qFormat/>
    <w:uiPriority w:val="0"/>
    <w:pPr>
      <w:widowControl/>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2">
    <w:name w:val="xl181"/>
    <w:basedOn w:val="1"/>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3">
    <w:name w:val="xl182"/>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4">
    <w:name w:val="xl183"/>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5">
    <w:name w:val="xl184"/>
    <w:basedOn w:val="1"/>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6">
    <w:name w:val="xl185"/>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7">
    <w:name w:val="xl186"/>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8">
    <w:name w:val="xl187"/>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9">
    <w:name w:val="xl188"/>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0">
    <w:name w:val="xl189"/>
    <w:basedOn w:val="1"/>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1">
    <w:name w:val="xl190"/>
    <w:basedOn w:val="1"/>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2">
    <w:name w:val="xl191"/>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3">
    <w:name w:val="xl192"/>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4">
    <w:name w:val="xl193"/>
    <w:basedOn w:val="1"/>
    <w:qFormat/>
    <w:uiPriority w:val="0"/>
    <w:pPr>
      <w:widowControl/>
      <w:pBdr>
        <w:top w:val="single" w:color="auto" w:sz="4" w:space="0"/>
        <w:left w:val="single" w:color="auto" w:sz="4" w:space="0"/>
        <w:bottom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5">
    <w:name w:val="xl194"/>
    <w:basedOn w:val="1"/>
    <w:qFormat/>
    <w:uiPriority w:val="0"/>
    <w:pPr>
      <w:widowControl/>
      <w:pBdr>
        <w:top w:val="single" w:color="auto" w:sz="4" w:space="0"/>
        <w:bottom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6">
    <w:name w:val="xl195"/>
    <w:basedOn w:val="1"/>
    <w:qFormat/>
    <w:uiPriority w:val="0"/>
    <w:pPr>
      <w:widowControl/>
      <w:pBdr>
        <w:top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7">
    <w:name w:val="xl196"/>
    <w:basedOn w:val="1"/>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98">
    <w:name w:val="xl197"/>
    <w:basedOn w:val="1"/>
    <w:qFormat/>
    <w:uiPriority w:val="0"/>
    <w:pPr>
      <w:widowControl/>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9">
    <w:name w:val="xl198"/>
    <w:basedOn w:val="1"/>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0">
    <w:name w:val="xl199"/>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1">
    <w:name w:val="xl200"/>
    <w:basedOn w:val="1"/>
    <w:qFormat/>
    <w:uiPriority w:val="0"/>
    <w:pPr>
      <w:widowControl/>
      <w:pBdr>
        <w:top w:val="single" w:color="auto" w:sz="4" w:space="0"/>
        <w:lef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2">
    <w:name w:val="xl201"/>
    <w:basedOn w:val="1"/>
    <w:qFormat/>
    <w:uiPriority w:val="0"/>
    <w:pPr>
      <w:widowControl/>
      <w:pBdr>
        <w:lef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3">
    <w:name w:val="xl202"/>
    <w:basedOn w:val="1"/>
    <w:qFormat/>
    <w:uiPriority w:val="0"/>
    <w:pPr>
      <w:widowControl/>
      <w:pBdr>
        <w:left w:val="single" w:color="auto" w:sz="4" w:space="0"/>
        <w:bottom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4">
    <w:name w:val="xl203"/>
    <w:basedOn w:val="1"/>
    <w:qFormat/>
    <w:uiPriority w:val="0"/>
    <w:pPr>
      <w:widowControl/>
      <w:pBdr>
        <w:left w:val="single" w:color="auto" w:sz="4" w:space="0"/>
        <w:right w:val="single" w:color="auto" w:sz="4" w:space="0"/>
      </w:pBdr>
      <w:shd w:val="clear" w:color="auto" w:fill="FFFF99"/>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505">
    <w:name w:val="xl204"/>
    <w:basedOn w:val="1"/>
    <w:qFormat/>
    <w:uiPriority w:val="0"/>
    <w:pPr>
      <w:widowControl/>
      <w:pBdr>
        <w:top w:val="single" w:color="auto" w:sz="4" w:space="0"/>
        <w:left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6">
    <w:name w:val="xl205"/>
    <w:basedOn w:val="1"/>
    <w:qFormat/>
    <w:uiPriority w:val="0"/>
    <w:pPr>
      <w:widowControl/>
      <w:pBdr>
        <w:left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7">
    <w:name w:val="xl206"/>
    <w:basedOn w:val="1"/>
    <w:qFormat/>
    <w:uiPriority w:val="0"/>
    <w:pPr>
      <w:widowControl/>
      <w:pBdr>
        <w:left w:val="single" w:color="auto" w:sz="4" w:space="0"/>
        <w:bottom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8">
    <w:name w:val="xl207"/>
    <w:basedOn w:val="1"/>
    <w:qFormat/>
    <w:uiPriority w:val="0"/>
    <w:pPr>
      <w:widowControl/>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09">
    <w:name w:val="xl208"/>
    <w:basedOn w:val="1"/>
    <w:qFormat/>
    <w:uiPriority w:val="0"/>
    <w:pPr>
      <w:widowControl/>
      <w:pBdr>
        <w:top w:val="single" w:color="auto" w:sz="4" w:space="0"/>
        <w:left w:val="single" w:color="auto" w:sz="4" w:space="0"/>
        <w:right w:val="single" w:color="auto" w:sz="4" w:space="0"/>
      </w:pBdr>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10">
    <w:name w:val="xl209"/>
    <w:basedOn w:val="1"/>
    <w:qFormat/>
    <w:uiPriority w:val="0"/>
    <w:pPr>
      <w:widowControl/>
      <w:pBdr>
        <w:left w:val="single" w:color="auto" w:sz="4" w:space="0"/>
        <w:right w:val="single" w:color="auto" w:sz="4" w:space="0"/>
      </w:pBdr>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11">
    <w:name w:val="9bold"/>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2512">
    <w:name w:val="hei12"/>
    <w:basedOn w:val="1"/>
    <w:semiHidden/>
    <w:qFormat/>
    <w:uiPriority w:val="0"/>
    <w:pPr>
      <w:widowControl/>
      <w:tabs>
        <w:tab w:val="clear" w:pos="480"/>
      </w:tabs>
      <w:spacing w:before="100" w:beforeAutospacing="1" w:after="100" w:afterAutospacing="1" w:line="240" w:lineRule="auto"/>
      <w:jc w:val="left"/>
    </w:pPr>
    <w:rPr>
      <w:rFonts w:hint="eastAsia" w:ascii="黑体" w:hAnsi="Arial Unicode MS" w:eastAsia="黑体" w:cs="Arial Unicode MS"/>
      <w:color w:val="666666"/>
      <w:kern w:val="0"/>
    </w:rPr>
  </w:style>
  <w:style w:type="paragraph" w:customStyle="1" w:styleId="2513">
    <w:name w:val="黑点"/>
    <w:basedOn w:val="1"/>
    <w:semiHidden/>
    <w:qFormat/>
    <w:uiPriority w:val="0"/>
    <w:pPr>
      <w:tabs>
        <w:tab w:val="left" w:pos="600"/>
        <w:tab w:val="left" w:pos="2100"/>
        <w:tab w:val="clear" w:pos="480"/>
      </w:tabs>
      <w:adjustRightInd w:val="0"/>
      <w:ind w:left="2100" w:hanging="420"/>
      <w:jc w:val="left"/>
      <w:textAlignment w:val="baseline"/>
    </w:pPr>
    <w:rPr>
      <w:rFonts w:ascii="宋体" w:hAnsi="宋体"/>
      <w:color w:val="000000"/>
      <w:kern w:val="0"/>
      <w:szCs w:val="20"/>
    </w:rPr>
  </w:style>
  <w:style w:type="paragraph" w:customStyle="1" w:styleId="2514">
    <w:name w:val="样式38"/>
    <w:basedOn w:val="1"/>
    <w:qFormat/>
    <w:uiPriority w:val="0"/>
    <w:pPr>
      <w:widowControl/>
      <w:tabs>
        <w:tab w:val="clear" w:pos="480"/>
      </w:tabs>
      <w:spacing w:before="100" w:after="100" w:line="320" w:lineRule="atLeast"/>
      <w:jc w:val="left"/>
    </w:pPr>
    <w:rPr>
      <w:rFonts w:ascii="宋体" w:hAnsi="宋体"/>
      <w:color w:val="800080"/>
      <w:kern w:val="0"/>
      <w:sz w:val="21"/>
    </w:rPr>
  </w:style>
  <w:style w:type="character" w:customStyle="1" w:styleId="2515">
    <w:name w:val="lineheight 样式37 样式47"/>
    <w:basedOn w:val="133"/>
    <w:semiHidden/>
    <w:qFormat/>
    <w:uiPriority w:val="0"/>
  </w:style>
  <w:style w:type="character" w:customStyle="1" w:styleId="2516">
    <w:name w:val="样式211"/>
    <w:semiHidden/>
    <w:qFormat/>
    <w:uiPriority w:val="0"/>
    <w:rPr>
      <w:sz w:val="21"/>
      <w:szCs w:val="21"/>
    </w:rPr>
  </w:style>
  <w:style w:type="character" w:customStyle="1" w:styleId="2517">
    <w:name w:val="hanggao1"/>
    <w:semiHidden/>
    <w:qFormat/>
    <w:uiPriority w:val="0"/>
    <w:rPr>
      <w:spacing w:val="300"/>
      <w:sz w:val="18"/>
      <w:szCs w:val="18"/>
    </w:rPr>
  </w:style>
  <w:style w:type="paragraph" w:customStyle="1" w:styleId="2518">
    <w:name w:val="奇页页眉样式"/>
    <w:basedOn w:val="1"/>
    <w:semiHidden/>
    <w:qFormat/>
    <w:uiPriority w:val="0"/>
    <w:pPr>
      <w:tabs>
        <w:tab w:val="clear" w:pos="480"/>
      </w:tabs>
      <w:snapToGrid w:val="0"/>
      <w:spacing w:line="288" w:lineRule="auto"/>
      <w:jc w:val="center"/>
    </w:pPr>
    <w:rPr>
      <w:color w:val="0000FF"/>
      <w:sz w:val="21"/>
    </w:rPr>
  </w:style>
  <w:style w:type="character" w:customStyle="1" w:styleId="2519">
    <w:name w:val="正文文字 3 Char Char Char Char"/>
    <w:semiHidden/>
    <w:qFormat/>
    <w:uiPriority w:val="0"/>
    <w:rPr>
      <w:rFonts w:eastAsia="宋体"/>
      <w:sz w:val="18"/>
      <w:lang w:val="en-US" w:eastAsia="zh-CN" w:bidi="ar-SA"/>
    </w:rPr>
  </w:style>
  <w:style w:type="paragraph" w:customStyle="1" w:styleId="2520">
    <w:name w:val="样式 样式1 Char + 首行缩进:  1 字符"/>
    <w:basedOn w:val="1"/>
    <w:semiHidden/>
    <w:qFormat/>
    <w:uiPriority w:val="0"/>
    <w:pPr>
      <w:tabs>
        <w:tab w:val="left" w:pos="6321"/>
        <w:tab w:val="clear" w:pos="480"/>
      </w:tabs>
      <w:spacing w:line="498" w:lineRule="atLeast"/>
      <w:ind w:firstLine="100" w:firstLineChars="100"/>
    </w:pPr>
    <w:rPr>
      <w:rFonts w:ascii="楷体_GB2312" w:eastAsia="楷体_GB2312" w:cs="宋体"/>
      <w:sz w:val="28"/>
      <w:szCs w:val="20"/>
    </w:rPr>
  </w:style>
  <w:style w:type="paragraph" w:customStyle="1" w:styleId="2521">
    <w:name w:val="gao"/>
    <w:basedOn w:val="1"/>
    <w:semiHidden/>
    <w:qFormat/>
    <w:uiPriority w:val="0"/>
    <w:pPr>
      <w:tabs>
        <w:tab w:val="clear" w:pos="480"/>
      </w:tabs>
      <w:autoSpaceDE w:val="0"/>
      <w:autoSpaceDN w:val="0"/>
      <w:adjustRightInd w:val="0"/>
    </w:pPr>
    <w:rPr>
      <w:rFonts w:ascii="宋体"/>
      <w:kern w:val="0"/>
      <w:sz w:val="28"/>
      <w:szCs w:val="20"/>
    </w:rPr>
  </w:style>
  <w:style w:type="paragraph" w:customStyle="1" w:styleId="2522">
    <w:name w:val="Char Char1 Char Char Char Char Char Char Char Char Char Char Char Char Char Char Char Char Char Char Char Char1 Char"/>
    <w:basedOn w:val="1"/>
    <w:qFormat/>
    <w:uiPriority w:val="0"/>
    <w:pPr>
      <w:tabs>
        <w:tab w:val="clear" w:pos="480"/>
      </w:tabs>
    </w:pPr>
    <w:rPr>
      <w:rFonts w:ascii="宋体" w:hAnsi="宋体" w:cs="宋体"/>
    </w:rPr>
  </w:style>
  <w:style w:type="paragraph" w:customStyle="1" w:styleId="2523">
    <w:name w:val="表格2 Char"/>
    <w:basedOn w:val="1"/>
    <w:semiHidden/>
    <w:qFormat/>
    <w:uiPriority w:val="0"/>
    <w:pPr>
      <w:tabs>
        <w:tab w:val="clear" w:pos="480"/>
      </w:tabs>
      <w:spacing w:line="280" w:lineRule="exact"/>
      <w:jc w:val="center"/>
    </w:pPr>
    <w:rPr>
      <w:rFonts w:ascii="宋体" w:hAnsi="宋体"/>
      <w:bCs/>
      <w:color w:val="000000"/>
      <w:sz w:val="21"/>
      <w:szCs w:val="20"/>
    </w:rPr>
  </w:style>
  <w:style w:type="character" w:customStyle="1" w:styleId="2524">
    <w:name w:val="正文文本缩进 2 Char"/>
    <w:qFormat/>
    <w:uiPriority w:val="99"/>
    <w:rPr>
      <w:rFonts w:ascii="楷体_GB2312" w:hAnsi="宋体" w:eastAsia="宋体"/>
      <w:b/>
      <w:color w:val="000000"/>
      <w:kern w:val="2"/>
      <w:sz w:val="24"/>
      <w:szCs w:val="28"/>
      <w:lang w:val="en-US" w:eastAsia="zh-CN" w:bidi="ar-SA"/>
    </w:rPr>
  </w:style>
  <w:style w:type="character" w:customStyle="1" w:styleId="2525">
    <w:name w:val="表标题  Char1"/>
    <w:semiHidden/>
    <w:qFormat/>
    <w:uiPriority w:val="0"/>
    <w:rPr>
      <w:rFonts w:ascii="楷体_GB2312" w:hAnsi="宋体" w:eastAsia="宋体"/>
      <w:b/>
      <w:color w:val="000000"/>
      <w:kern w:val="24"/>
      <w:sz w:val="24"/>
      <w:szCs w:val="28"/>
      <w:lang w:val="en-US" w:eastAsia="zh-CN" w:bidi="ar-SA"/>
    </w:rPr>
  </w:style>
  <w:style w:type="paragraph" w:customStyle="1" w:styleId="2526">
    <w:name w:val="样式 正文缩进正文（首行缩进两字）表正文正文非缩进正文（首行缩进两字） Char Char Char Char正文（首..."/>
    <w:basedOn w:val="21"/>
    <w:semiHidden/>
    <w:qFormat/>
    <w:uiPriority w:val="0"/>
    <w:pPr>
      <w:tabs>
        <w:tab w:val="clear" w:pos="480"/>
      </w:tabs>
      <w:adjustRightInd w:val="0"/>
      <w:snapToGrid w:val="0"/>
      <w:spacing w:beforeLines="100" w:afterLines="50" w:line="312" w:lineRule="auto"/>
      <w:ind w:left="-119" w:firstLine="600" w:firstLineChars="250"/>
    </w:pPr>
    <w:rPr>
      <w:szCs w:val="20"/>
    </w:rPr>
  </w:style>
  <w:style w:type="character" w:customStyle="1" w:styleId="2527">
    <w:name w:val="样式 表格2 + (符号) 宋体 Char Char"/>
    <w:semiHidden/>
    <w:qFormat/>
    <w:uiPriority w:val="0"/>
    <w:rPr>
      <w:rFonts w:ascii="宋体" w:hAnsi="宋体" w:eastAsia="宋体"/>
      <w:b/>
      <w:bCs/>
      <w:color w:val="000000"/>
      <w:kern w:val="2"/>
      <w:sz w:val="21"/>
      <w:szCs w:val="28"/>
      <w:lang w:val="en-US" w:eastAsia="zh-CN" w:bidi="ar-SA"/>
    </w:rPr>
  </w:style>
  <w:style w:type="paragraph" w:customStyle="1" w:styleId="2528">
    <w:name w:val="表头文字（五号）"/>
    <w:basedOn w:val="1"/>
    <w:semiHidden/>
    <w:qFormat/>
    <w:uiPriority w:val="0"/>
    <w:pPr>
      <w:widowControl/>
      <w:tabs>
        <w:tab w:val="clear" w:pos="480"/>
      </w:tabs>
      <w:adjustRightInd w:val="0"/>
      <w:jc w:val="center"/>
      <w:textAlignment w:val="baseline"/>
    </w:pPr>
    <w:rPr>
      <w:b/>
      <w:kern w:val="0"/>
      <w:sz w:val="21"/>
      <w:szCs w:val="21"/>
    </w:rPr>
  </w:style>
  <w:style w:type="paragraph" w:customStyle="1" w:styleId="2529">
    <w:name w:val="表格-五号"/>
    <w:basedOn w:val="1"/>
    <w:semiHidden/>
    <w:qFormat/>
    <w:uiPriority w:val="0"/>
    <w:pPr>
      <w:tabs>
        <w:tab w:val="clear" w:pos="480"/>
      </w:tabs>
      <w:adjustRightInd w:val="0"/>
      <w:spacing w:before="100" w:beforeAutospacing="1" w:after="100" w:afterAutospacing="1" w:line="312" w:lineRule="auto"/>
      <w:jc w:val="center"/>
      <w:textAlignment w:val="baseline"/>
    </w:pPr>
    <w:rPr>
      <w:rFonts w:ascii="宋体"/>
      <w:kern w:val="0"/>
      <w:sz w:val="21"/>
    </w:rPr>
  </w:style>
  <w:style w:type="paragraph" w:customStyle="1" w:styleId="2530">
    <w:name w:val="宗兴正文"/>
    <w:basedOn w:val="1"/>
    <w:link w:val="2531"/>
    <w:semiHidden/>
    <w:qFormat/>
    <w:uiPriority w:val="0"/>
    <w:pPr>
      <w:tabs>
        <w:tab w:val="clear" w:pos="480"/>
      </w:tabs>
      <w:spacing w:before="93" w:after="93"/>
      <w:ind w:firstLine="480"/>
    </w:pPr>
    <w:rPr>
      <w:snapToGrid w:val="0"/>
    </w:rPr>
  </w:style>
  <w:style w:type="character" w:customStyle="1" w:styleId="2531">
    <w:name w:val="宗兴正文 Char"/>
    <w:link w:val="2530"/>
    <w:qFormat/>
    <w:uiPriority w:val="0"/>
    <w:rPr>
      <w:rFonts w:eastAsia="宋体"/>
      <w:snapToGrid w:val="0"/>
      <w:kern w:val="2"/>
      <w:sz w:val="24"/>
      <w:szCs w:val="24"/>
      <w:lang w:val="en-US" w:eastAsia="zh-CN" w:bidi="ar-SA"/>
    </w:rPr>
  </w:style>
  <w:style w:type="paragraph" w:customStyle="1" w:styleId="2532">
    <w:name w:val="Char Char Char Char Char1"/>
    <w:basedOn w:val="1"/>
    <w:semiHidden/>
    <w:qFormat/>
    <w:uiPriority w:val="0"/>
    <w:pPr>
      <w:widowControl/>
      <w:tabs>
        <w:tab w:val="clear" w:pos="480"/>
      </w:tabs>
      <w:spacing w:after="160" w:line="240" w:lineRule="exact"/>
      <w:jc w:val="left"/>
    </w:pPr>
    <w:rPr>
      <w:rFonts w:ascii="Verdana" w:hAnsi="Verdana"/>
      <w:kern w:val="0"/>
      <w:sz w:val="21"/>
      <w:szCs w:val="20"/>
      <w:lang w:eastAsia="en-US"/>
    </w:rPr>
  </w:style>
  <w:style w:type="character" w:customStyle="1" w:styleId="2533">
    <w:name w:val="正文1111 Char"/>
    <w:link w:val="2479"/>
    <w:qFormat/>
    <w:uiPriority w:val="0"/>
    <w:rPr>
      <w:rFonts w:eastAsia="宋体"/>
      <w:b/>
      <w:kern w:val="2"/>
      <w:sz w:val="24"/>
      <w:szCs w:val="24"/>
      <w:lang w:val="en-US" w:eastAsia="zh-CN" w:bidi="ar-SA"/>
    </w:rPr>
  </w:style>
  <w:style w:type="character" w:customStyle="1" w:styleId="2534">
    <w:name w:val="yiyuan21"/>
    <w:semiHidden/>
    <w:qFormat/>
    <w:uiPriority w:val="0"/>
    <w:rPr>
      <w:rFonts w:hint="default" w:ascii="Hei" w:hAnsi="Hei"/>
      <w:sz w:val="21"/>
    </w:rPr>
  </w:style>
  <w:style w:type="paragraph" w:customStyle="1" w:styleId="2535">
    <w:name w:val="列表(L)"/>
    <w:basedOn w:val="66"/>
    <w:link w:val="2536"/>
    <w:semiHidden/>
    <w:qFormat/>
    <w:uiPriority w:val="0"/>
    <w:pPr>
      <w:snapToGrid w:val="0"/>
      <w:ind w:left="0" w:firstLine="0" w:firstLineChars="0"/>
    </w:pPr>
    <w:rPr>
      <w:rFonts w:cs="宋体"/>
      <w:szCs w:val="20"/>
    </w:rPr>
  </w:style>
  <w:style w:type="character" w:customStyle="1" w:styleId="2536">
    <w:name w:val="列表(L) Char"/>
    <w:link w:val="2535"/>
    <w:qFormat/>
    <w:uiPriority w:val="0"/>
    <w:rPr>
      <w:rFonts w:eastAsia="宋体" w:cs="宋体"/>
      <w:kern w:val="2"/>
      <w:sz w:val="21"/>
      <w:lang w:val="en-US" w:eastAsia="zh-CN" w:bidi="ar-SA"/>
    </w:rPr>
  </w:style>
  <w:style w:type="paragraph" w:customStyle="1" w:styleId="2537">
    <w:name w:val="Char Char Char Char Char Char Char Char Char Char Char Char1 Char Char Char Char Char Char Char Char Char Char"/>
    <w:basedOn w:val="1"/>
    <w:semiHidden/>
    <w:qFormat/>
    <w:uiPriority w:val="0"/>
    <w:pPr>
      <w:tabs>
        <w:tab w:val="clear" w:pos="480"/>
      </w:tabs>
    </w:pPr>
    <w:rPr>
      <w:rFonts w:ascii="宋体" w:hAnsi="宋体"/>
      <w:szCs w:val="20"/>
    </w:rPr>
  </w:style>
  <w:style w:type="character" w:customStyle="1" w:styleId="2538">
    <w:name w:val="font141"/>
    <w:semiHidden/>
    <w:qFormat/>
    <w:uiPriority w:val="0"/>
    <w:rPr>
      <w:rFonts w:hint="default" w:ascii="Arial" w:hAnsi="Arial" w:cs="Arial"/>
      <w:color w:val="000000"/>
      <w:sz w:val="23"/>
      <w:szCs w:val="23"/>
    </w:rPr>
  </w:style>
  <w:style w:type="character" w:customStyle="1" w:styleId="2539">
    <w:name w:val="style121"/>
    <w:semiHidden/>
    <w:qFormat/>
    <w:uiPriority w:val="0"/>
    <w:rPr>
      <w:sz w:val="20"/>
      <w:szCs w:val="20"/>
    </w:rPr>
  </w:style>
  <w:style w:type="character" w:customStyle="1" w:styleId="2540">
    <w:name w:val="列表项目符号 Char"/>
    <w:semiHidden/>
    <w:qFormat/>
    <w:uiPriority w:val="0"/>
    <w:rPr>
      <w:rFonts w:eastAsia="宋体"/>
      <w:kern w:val="2"/>
      <w:sz w:val="21"/>
      <w:szCs w:val="24"/>
      <w:lang w:val="en-US" w:eastAsia="zh-CN" w:bidi="ar-SA"/>
    </w:rPr>
  </w:style>
  <w:style w:type="character" w:customStyle="1" w:styleId="2541">
    <w:name w:val="gary101"/>
    <w:semiHidden/>
    <w:qFormat/>
    <w:uiPriority w:val="0"/>
    <w:rPr>
      <w:color w:val="000000"/>
      <w:sz w:val="21"/>
      <w:szCs w:val="21"/>
      <w:u w:val="none"/>
    </w:rPr>
  </w:style>
  <w:style w:type="paragraph" w:customStyle="1" w:styleId="2542">
    <w:name w:val="Date1"/>
    <w:basedOn w:val="1"/>
    <w:next w:val="1"/>
    <w:qFormat/>
    <w:uiPriority w:val="0"/>
    <w:pPr>
      <w:tabs>
        <w:tab w:val="clear" w:pos="480"/>
      </w:tabs>
      <w:adjustRightInd w:val="0"/>
      <w:spacing w:line="240" w:lineRule="auto"/>
      <w:textAlignment w:val="baseline"/>
    </w:pPr>
    <w:rPr>
      <w:sz w:val="21"/>
      <w:szCs w:val="20"/>
    </w:rPr>
  </w:style>
  <w:style w:type="character" w:customStyle="1" w:styleId="2543">
    <w:name w:val="main_tdbg_760"/>
    <w:basedOn w:val="133"/>
    <w:semiHidden/>
    <w:qFormat/>
    <w:uiPriority w:val="0"/>
  </w:style>
  <w:style w:type="character" w:customStyle="1" w:styleId="2544">
    <w:name w:val="zhou11"/>
    <w:basedOn w:val="133"/>
    <w:semiHidden/>
    <w:qFormat/>
    <w:uiPriority w:val="0"/>
  </w:style>
  <w:style w:type="paragraph" w:customStyle="1" w:styleId="2545">
    <w:name w:val="K4"/>
    <w:basedOn w:val="6"/>
    <w:qFormat/>
    <w:uiPriority w:val="0"/>
    <w:pPr>
      <w:tabs>
        <w:tab w:val="left" w:pos="720"/>
        <w:tab w:val="clear" w:pos="480"/>
      </w:tabs>
      <w:spacing w:before="0" w:after="0"/>
    </w:pPr>
    <w:rPr>
      <w:rFonts w:ascii="Times New Roman" w:hAnsi="Times New Roman" w:eastAsia="宋体"/>
      <w:kern w:val="0"/>
      <w:szCs w:val="24"/>
    </w:rPr>
  </w:style>
  <w:style w:type="character" w:customStyle="1" w:styleId="2546">
    <w:name w:val="TT表格标题 Char Char"/>
    <w:qFormat/>
    <w:uiPriority w:val="0"/>
    <w:rPr>
      <w:rFonts w:eastAsia="宋体"/>
      <w:b/>
      <w:sz w:val="24"/>
      <w:lang w:val="en-US" w:eastAsia="zh-CN" w:bidi="ar-SA"/>
    </w:rPr>
  </w:style>
  <w:style w:type="paragraph" w:customStyle="1" w:styleId="2547">
    <w:name w:val="表格文字KK"/>
    <w:basedOn w:val="1"/>
    <w:qFormat/>
    <w:uiPriority w:val="0"/>
    <w:pPr>
      <w:tabs>
        <w:tab w:val="clear" w:pos="480"/>
      </w:tabs>
      <w:spacing w:line="240" w:lineRule="auto"/>
      <w:jc w:val="center"/>
    </w:pPr>
    <w:rPr>
      <w:sz w:val="21"/>
      <w:szCs w:val="22"/>
    </w:rPr>
  </w:style>
  <w:style w:type="character" w:customStyle="1" w:styleId="2548">
    <w:name w:val="样式 正文"/>
    <w:semiHidden/>
    <w:qFormat/>
    <w:uiPriority w:val="0"/>
    <w:rPr>
      <w:rFonts w:ascii="Times New Roman" w:hAnsi="Times New Roman" w:eastAsia="宋体"/>
      <w:snapToGrid/>
      <w:spacing w:val="0"/>
      <w:w w:val="100"/>
      <w:kern w:val="2"/>
      <w:position w:val="0"/>
      <w:sz w:val="24"/>
    </w:rPr>
  </w:style>
  <w:style w:type="paragraph" w:customStyle="1" w:styleId="2549">
    <w:name w:val="表头+times new roma"/>
    <w:basedOn w:val="1"/>
    <w:qFormat/>
    <w:uiPriority w:val="0"/>
    <w:pPr>
      <w:tabs>
        <w:tab w:val="clear" w:pos="480"/>
      </w:tabs>
    </w:pPr>
    <w:rPr>
      <w:rFonts w:cs="宋体"/>
    </w:rPr>
  </w:style>
  <w:style w:type="character" w:customStyle="1" w:styleId="2550">
    <w:name w:val="正文文字缩进 2 Char Char2"/>
    <w:qFormat/>
    <w:uiPriority w:val="0"/>
    <w:rPr>
      <w:rFonts w:ascii="宋体"/>
      <w:sz w:val="24"/>
    </w:rPr>
  </w:style>
  <w:style w:type="character" w:customStyle="1" w:styleId="2551">
    <w:name w:val="图文 Char2"/>
    <w:qFormat/>
    <w:uiPriority w:val="0"/>
    <w:rPr>
      <w:kern w:val="2"/>
      <w:sz w:val="21"/>
      <w:szCs w:val="24"/>
    </w:rPr>
  </w:style>
  <w:style w:type="character" w:customStyle="1" w:styleId="2552">
    <w:name w:val="落款 Char Char2"/>
    <w:qFormat/>
    <w:uiPriority w:val="0"/>
    <w:rPr>
      <w:kern w:val="2"/>
      <w:sz w:val="28"/>
      <w:szCs w:val="24"/>
    </w:rPr>
  </w:style>
  <w:style w:type="paragraph" w:customStyle="1" w:styleId="2553">
    <w:name w:val="批注框文本11"/>
    <w:basedOn w:val="1"/>
    <w:qFormat/>
    <w:uiPriority w:val="0"/>
    <w:pPr>
      <w:tabs>
        <w:tab w:val="clear" w:pos="480"/>
      </w:tabs>
    </w:pPr>
    <w:rPr>
      <w:sz w:val="18"/>
      <w:szCs w:val="18"/>
    </w:rPr>
  </w:style>
  <w:style w:type="paragraph" w:customStyle="1" w:styleId="2554">
    <w:name w:val="日期12"/>
    <w:basedOn w:val="1"/>
    <w:next w:val="1"/>
    <w:qFormat/>
    <w:uiPriority w:val="0"/>
    <w:pPr>
      <w:tabs>
        <w:tab w:val="clear" w:pos="480"/>
      </w:tabs>
      <w:adjustRightInd w:val="0"/>
      <w:textAlignment w:val="baseline"/>
    </w:pPr>
    <w:rPr>
      <w:szCs w:val="20"/>
    </w:rPr>
  </w:style>
  <w:style w:type="paragraph" w:customStyle="1" w:styleId="2555">
    <w:name w:val="批注框文本2"/>
    <w:basedOn w:val="1"/>
    <w:qFormat/>
    <w:uiPriority w:val="0"/>
    <w:pPr>
      <w:tabs>
        <w:tab w:val="clear" w:pos="480"/>
      </w:tabs>
    </w:pPr>
    <w:rPr>
      <w:sz w:val="18"/>
      <w:szCs w:val="18"/>
    </w:rPr>
  </w:style>
  <w:style w:type="paragraph" w:customStyle="1" w:styleId="2556">
    <w:name w:val="日期2"/>
    <w:basedOn w:val="1"/>
    <w:next w:val="1"/>
    <w:qFormat/>
    <w:uiPriority w:val="0"/>
    <w:pPr>
      <w:tabs>
        <w:tab w:val="clear" w:pos="480"/>
      </w:tabs>
      <w:adjustRightInd w:val="0"/>
      <w:textAlignment w:val="baseline"/>
    </w:pPr>
    <w:rPr>
      <w:szCs w:val="20"/>
    </w:rPr>
  </w:style>
  <w:style w:type="paragraph" w:customStyle="1" w:styleId="2557">
    <w:name w:val="纯文本2"/>
    <w:basedOn w:val="1"/>
    <w:qFormat/>
    <w:uiPriority w:val="0"/>
    <w:pPr>
      <w:tabs>
        <w:tab w:val="clear" w:pos="480"/>
      </w:tabs>
      <w:adjustRightInd w:val="0"/>
    </w:pPr>
    <w:rPr>
      <w:rFonts w:ascii="宋体" w:hAnsi="Courier New"/>
      <w:szCs w:val="20"/>
    </w:rPr>
  </w:style>
  <w:style w:type="paragraph" w:customStyle="1" w:styleId="2558">
    <w:name w:val="Char Char Char Char Char Char2"/>
    <w:basedOn w:val="1"/>
    <w:qFormat/>
    <w:uiPriority w:val="0"/>
    <w:pPr>
      <w:tabs>
        <w:tab w:val="clear" w:pos="480"/>
      </w:tabs>
    </w:pPr>
    <w:rPr>
      <w:szCs w:val="22"/>
    </w:rPr>
  </w:style>
  <w:style w:type="paragraph" w:customStyle="1" w:styleId="2559">
    <w:name w:val="Char Char Char Char Char Char Char Char Char Char2"/>
    <w:basedOn w:val="1"/>
    <w:qFormat/>
    <w:uiPriority w:val="0"/>
    <w:pPr>
      <w:tabs>
        <w:tab w:val="clear" w:pos="480"/>
      </w:tabs>
      <w:adjustRightInd w:val="0"/>
    </w:pPr>
    <w:rPr>
      <w:kern w:val="0"/>
      <w:szCs w:val="20"/>
    </w:rPr>
  </w:style>
  <w:style w:type="character" w:customStyle="1" w:styleId="2560">
    <w:name w:val="head31"/>
    <w:qFormat/>
    <w:uiPriority w:val="0"/>
    <w:rPr>
      <w:b/>
      <w:bCs/>
      <w:sz w:val="24"/>
      <w:szCs w:val="24"/>
      <w:u w:val="none"/>
    </w:rPr>
  </w:style>
  <w:style w:type="paragraph" w:customStyle="1" w:styleId="2561">
    <w:name w:val="Char Char Char Char Char Char Char Char Char Char Char1 Char1"/>
    <w:basedOn w:val="1"/>
    <w:qFormat/>
    <w:uiPriority w:val="0"/>
    <w:pPr>
      <w:tabs>
        <w:tab w:val="clear" w:pos="480"/>
      </w:tabs>
      <w:spacing w:line="240" w:lineRule="auto"/>
    </w:pPr>
  </w:style>
  <w:style w:type="paragraph" w:customStyle="1" w:styleId="2562">
    <w:name w:val="Char Char1 Char Char Char Char Char Char Char1"/>
    <w:basedOn w:val="1"/>
    <w:qFormat/>
    <w:uiPriority w:val="0"/>
    <w:pPr>
      <w:tabs>
        <w:tab w:val="clear" w:pos="480"/>
      </w:tabs>
      <w:spacing w:line="240" w:lineRule="auto"/>
    </w:pPr>
    <w:rPr>
      <w:sz w:val="21"/>
    </w:rPr>
  </w:style>
  <w:style w:type="paragraph" w:customStyle="1" w:styleId="2563">
    <w:name w:val="列出段落1"/>
    <w:basedOn w:val="1"/>
    <w:qFormat/>
    <w:uiPriority w:val="34"/>
    <w:pPr>
      <w:tabs>
        <w:tab w:val="clear" w:pos="480"/>
      </w:tabs>
      <w:spacing w:line="240" w:lineRule="auto"/>
      <w:ind w:left="720"/>
    </w:pPr>
    <w:rPr>
      <w:sz w:val="21"/>
    </w:rPr>
  </w:style>
  <w:style w:type="paragraph" w:customStyle="1" w:styleId="2564">
    <w:name w:val="批注框文本3"/>
    <w:basedOn w:val="1"/>
    <w:qFormat/>
    <w:uiPriority w:val="0"/>
    <w:pPr>
      <w:tabs>
        <w:tab w:val="clear" w:pos="480"/>
      </w:tabs>
      <w:spacing w:line="240" w:lineRule="auto"/>
    </w:pPr>
    <w:rPr>
      <w:sz w:val="18"/>
      <w:szCs w:val="18"/>
    </w:rPr>
  </w:style>
  <w:style w:type="paragraph" w:customStyle="1" w:styleId="2565">
    <w:name w:val="日期3"/>
    <w:basedOn w:val="1"/>
    <w:next w:val="1"/>
    <w:qFormat/>
    <w:uiPriority w:val="0"/>
    <w:pPr>
      <w:tabs>
        <w:tab w:val="clear" w:pos="480"/>
      </w:tabs>
      <w:adjustRightInd w:val="0"/>
      <w:spacing w:line="240" w:lineRule="auto"/>
      <w:textAlignment w:val="baseline"/>
    </w:pPr>
    <w:rPr>
      <w:szCs w:val="20"/>
    </w:rPr>
  </w:style>
  <w:style w:type="paragraph" w:customStyle="1" w:styleId="2566">
    <w:name w:val="纯文本3"/>
    <w:basedOn w:val="1"/>
    <w:qFormat/>
    <w:uiPriority w:val="0"/>
    <w:pPr>
      <w:tabs>
        <w:tab w:val="clear" w:pos="480"/>
      </w:tabs>
      <w:adjustRightInd w:val="0"/>
      <w:spacing w:line="240" w:lineRule="auto"/>
    </w:pPr>
    <w:rPr>
      <w:rFonts w:ascii="宋体" w:hAnsi="Courier New"/>
      <w:sz w:val="21"/>
      <w:szCs w:val="20"/>
    </w:rPr>
  </w:style>
  <w:style w:type="character" w:customStyle="1" w:styleId="2567">
    <w:name w:val="txt11"/>
    <w:qFormat/>
    <w:uiPriority w:val="0"/>
    <w:rPr>
      <w:rFonts w:hint="eastAsia" w:ascii="宋体" w:hAnsi="宋体" w:eastAsia="宋体"/>
      <w:b/>
      <w:bCs/>
      <w:color w:val="FF3300"/>
      <w:sz w:val="27"/>
      <w:szCs w:val="27"/>
      <w:u w:val="none"/>
    </w:rPr>
  </w:style>
  <w:style w:type="character" w:customStyle="1" w:styleId="2568">
    <w:name w:val="apple-converted-space"/>
    <w:basedOn w:val="133"/>
    <w:qFormat/>
    <w:uiPriority w:val="0"/>
  </w:style>
  <w:style w:type="character" w:customStyle="1" w:styleId="2569">
    <w:name w:val="落款 Char Char"/>
    <w:semiHidden/>
    <w:qFormat/>
    <w:uiPriority w:val="0"/>
    <w:rPr>
      <w:rFonts w:ascii="Times New Roman" w:hAnsi="Times New Roman" w:eastAsia="宋体" w:cs="Times New Roman"/>
      <w:color w:val="FF0000"/>
      <w:kern w:val="2"/>
      <w:sz w:val="21"/>
      <w:szCs w:val="22"/>
    </w:rPr>
  </w:style>
  <w:style w:type="table" w:customStyle="1" w:styleId="2570">
    <w:name w:val="中等深浅底纹 1 - 强调文字颜色 31"/>
    <w:basedOn w:val="88"/>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571">
    <w:name w:val="中等深浅网格 3 - 强调文字颜色 31"/>
    <w:basedOn w:val="88"/>
    <w:qFormat/>
    <w:uiPriority w:val="0"/>
    <w:rPr>
      <w:rFonts w:ascii="Calibri" w:hAnsi="Calibri"/>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cPr>
        <w:tcBorders>
          <w:top w:val="single" w:color="FFFFFF" w:sz="8" w:space="0"/>
          <w:left w:val="single" w:color="FFFFFF" w:sz="8" w:space="0"/>
          <w:bottom w:val="single" w:color="FFFFFF" w:sz="24" w:space="0"/>
          <w:right w:val="single" w:color="FFFFFF" w:sz="8" w:space="0"/>
          <w:insideH w:val="nil"/>
          <w:insideV w:val="single" w:sz="8" w:space="0"/>
        </w:tcBorders>
        <w:shd w:val="clear" w:color="auto" w:fill="9BBB59"/>
      </w:tcPr>
    </w:tblStylePr>
    <w:tblStylePr w:type="lastRow">
      <w:rPr>
        <w:b/>
        <w:bCs/>
        <w:i w:val="0"/>
        <w:iCs w:val="0"/>
        <w:color w:val="FFFFFF"/>
      </w:r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cPr>
        <w:tcBorders>
          <w:left w:val="single" w:color="FFFFFF" w:sz="8" w:space="0"/>
          <w:right w:val="single" w:color="FFFFFF" w:sz="24" w:space="0"/>
          <w:insideH w:val="nil"/>
          <w:insideV w:val="nil"/>
        </w:tcBorders>
        <w:shd w:val="clear" w:color="auto" w:fill="9BBB59"/>
      </w:tcPr>
    </w:tblStylePr>
    <w:tblStylePr w:type="lastCol">
      <w:rPr>
        <w:b/>
        <w:bCs/>
        <w:i w:val="0"/>
        <w:iCs w:val="0"/>
        <w:color w:val="FFFFFF"/>
      </w:rPr>
      <w:tcPr>
        <w:tcBorders>
          <w:top w:val="nil"/>
          <w:left w:val="single" w:color="FFFFFF" w:sz="24" w:space="0"/>
          <w:bottom w:val="nil"/>
          <w:right w:val="nil"/>
          <w:insideH w:val="nil"/>
          <w:insideV w:val="nil"/>
        </w:tcBorders>
        <w:shd w:val="clear" w:color="auto" w:fill="9BBB59"/>
      </w:tcPr>
    </w:tblStylePr>
    <w:tblStylePr w:type="band1Vert">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paragraph" w:customStyle="1" w:styleId="2572">
    <w:name w:val="样式 列表 Char + 居中"/>
    <w:basedOn w:val="66"/>
    <w:qFormat/>
    <w:uiPriority w:val="0"/>
    <w:pPr>
      <w:snapToGrid w:val="0"/>
      <w:ind w:left="0" w:firstLine="0" w:firstLineChars="0"/>
    </w:pPr>
    <w:rPr>
      <w:rFonts w:cs="宋体"/>
      <w:szCs w:val="20"/>
    </w:rPr>
  </w:style>
  <w:style w:type="paragraph" w:customStyle="1" w:styleId="2573">
    <w:name w:val="正文(a)"/>
    <w:basedOn w:val="2"/>
    <w:qFormat/>
    <w:uiPriority w:val="0"/>
    <w:pPr>
      <w:widowControl/>
      <w:tabs>
        <w:tab w:val="left" w:pos="1139"/>
        <w:tab w:val="left" w:pos="1332"/>
      </w:tabs>
      <w:spacing w:line="351" w:lineRule="atLeast"/>
      <w:ind w:left="-141" w:firstLine="566"/>
      <w:textAlignment w:val="baseline"/>
    </w:pPr>
    <w:rPr>
      <w:rFonts w:hAnsi="Times New Roman"/>
      <w:color w:val="000000"/>
      <w:spacing w:val="5"/>
      <w:szCs w:val="24"/>
      <w:u w:color="000000"/>
    </w:rPr>
  </w:style>
  <w:style w:type="paragraph" w:customStyle="1" w:styleId="2574">
    <w:name w:val="样式 正文编号（1） +"/>
    <w:basedOn w:val="1"/>
    <w:qFormat/>
    <w:uiPriority w:val="0"/>
    <w:pPr>
      <w:tabs>
        <w:tab w:val="left" w:pos="360"/>
        <w:tab w:val="left" w:pos="572"/>
        <w:tab w:val="clear" w:pos="480"/>
      </w:tabs>
      <w:spacing w:line="520" w:lineRule="exact"/>
      <w:ind w:left="360" w:hanging="360"/>
    </w:pPr>
    <w:rPr>
      <w:kern w:val="0"/>
      <w:sz w:val="28"/>
    </w:rPr>
  </w:style>
  <w:style w:type="paragraph" w:customStyle="1" w:styleId="2575">
    <w:name w:val="样式 列表 + 黑色 左侧:  0 厘米 悬挂缩进: 2 字符 段前: 0.5 行"/>
    <w:basedOn w:val="66"/>
    <w:qFormat/>
    <w:uiPriority w:val="0"/>
    <w:pPr>
      <w:spacing w:beforeLines="50"/>
    </w:pPr>
    <w:rPr>
      <w:rFonts w:eastAsia="仿宋_GB2312"/>
      <w:color w:val="000000"/>
      <w:sz w:val="24"/>
      <w:szCs w:val="20"/>
    </w:rPr>
  </w:style>
  <w:style w:type="paragraph" w:customStyle="1" w:styleId="2576">
    <w:name w:val="调查表正文"/>
    <w:qFormat/>
    <w:uiPriority w:val="0"/>
    <w:pPr>
      <w:ind w:firstLine="200" w:firstLineChars="200"/>
      <w:jc w:val="center"/>
    </w:pPr>
    <w:rPr>
      <w:rFonts w:ascii="Times New Roman" w:hAnsi="Times New Roman" w:eastAsia="宋体" w:cs="Times New Roman"/>
      <w:color w:val="000000"/>
      <w:kern w:val="2"/>
      <w:sz w:val="24"/>
      <w:szCs w:val="24"/>
      <w:lang w:val="en-US" w:eastAsia="zh-CN" w:bidi="ar-SA"/>
    </w:rPr>
  </w:style>
  <w:style w:type="paragraph" w:customStyle="1" w:styleId="2577">
    <w:name w:val="流程文字"/>
    <w:qFormat/>
    <w:uiPriority w:val="0"/>
    <w:pPr>
      <w:spacing w:line="440" w:lineRule="exact"/>
      <w:jc w:val="center"/>
    </w:pPr>
    <w:rPr>
      <w:rFonts w:ascii="楷体_GB2312" w:hAnsi="Times New Roman" w:eastAsia="楷体_GB2312" w:cs="Times New Roman"/>
      <w:kern w:val="2"/>
      <w:sz w:val="28"/>
      <w:szCs w:val="24"/>
      <w:lang w:val="en-US" w:eastAsia="zh-CN" w:bidi="ar-SA"/>
    </w:rPr>
  </w:style>
  <w:style w:type="character" w:customStyle="1" w:styleId="2578">
    <w:name w:val="批注文字 Char"/>
    <w:qFormat/>
    <w:uiPriority w:val="99"/>
    <w:rPr>
      <w:kern w:val="2"/>
      <w:sz w:val="21"/>
      <w:szCs w:val="24"/>
    </w:rPr>
  </w:style>
  <w:style w:type="paragraph" w:customStyle="1" w:styleId="2579">
    <w:name w:val="第一标题"/>
    <w:basedOn w:val="3"/>
    <w:qFormat/>
    <w:uiPriority w:val="0"/>
    <w:pPr>
      <w:tabs>
        <w:tab w:val="clear" w:pos="480"/>
      </w:tabs>
      <w:snapToGrid w:val="0"/>
      <w:spacing w:beforeAutospacing="1" w:afterAutospacing="1"/>
      <w:jc w:val="center"/>
    </w:pPr>
    <w:rPr>
      <w:rFonts w:ascii="Times New Roman" w:eastAsia="宋体" w:cs="宋体"/>
      <w:sz w:val="44"/>
    </w:rPr>
  </w:style>
  <w:style w:type="paragraph" w:customStyle="1" w:styleId="2580">
    <w:name w:val="第四层标题"/>
    <w:basedOn w:val="1"/>
    <w:qFormat/>
    <w:uiPriority w:val="0"/>
    <w:pPr>
      <w:tabs>
        <w:tab w:val="clear" w:pos="480"/>
      </w:tabs>
      <w:outlineLvl w:val="3"/>
    </w:pPr>
    <w:rPr>
      <w:rFonts w:ascii="Arial" w:hAnsi="Arial"/>
      <w:b/>
      <w:szCs w:val="28"/>
    </w:rPr>
  </w:style>
  <w:style w:type="paragraph" w:customStyle="1" w:styleId="2581">
    <w:name w:val="样式 四号 加粗 黑色"/>
    <w:basedOn w:val="1"/>
    <w:next w:val="63"/>
    <w:qFormat/>
    <w:uiPriority w:val="0"/>
    <w:pPr>
      <w:tabs>
        <w:tab w:val="clear" w:pos="480"/>
      </w:tabs>
    </w:pPr>
    <w:rPr>
      <w:rFonts w:cs="宋体"/>
      <w:b/>
      <w:bCs/>
      <w:color w:val="000000"/>
      <w:sz w:val="32"/>
      <w:szCs w:val="20"/>
    </w:rPr>
  </w:style>
  <w:style w:type="paragraph" w:customStyle="1" w:styleId="2582">
    <w:name w:val="样式 小四 加粗"/>
    <w:basedOn w:val="1"/>
    <w:qFormat/>
    <w:uiPriority w:val="0"/>
    <w:pPr>
      <w:tabs>
        <w:tab w:val="clear" w:pos="480"/>
      </w:tabs>
    </w:pPr>
    <w:rPr>
      <w:rFonts w:cs="宋体"/>
      <w:b/>
      <w:bCs/>
      <w:szCs w:val="20"/>
    </w:rPr>
  </w:style>
  <w:style w:type="paragraph" w:customStyle="1" w:styleId="2583">
    <w:name w:val="第四层次"/>
    <w:basedOn w:val="4"/>
    <w:qFormat/>
    <w:uiPriority w:val="0"/>
    <w:pPr>
      <w:tabs>
        <w:tab w:val="clear" w:pos="480"/>
        <w:tab w:val="clear" w:pos="630"/>
      </w:tabs>
      <w:spacing w:before="120" w:after="260"/>
    </w:pPr>
    <w:rPr>
      <w:rFonts w:ascii="Arial" w:hAnsi="Arial"/>
      <w:sz w:val="24"/>
      <w:szCs w:val="30"/>
    </w:rPr>
  </w:style>
  <w:style w:type="paragraph" w:customStyle="1" w:styleId="2584">
    <w:name w:val="第二标题"/>
    <w:basedOn w:val="4"/>
    <w:next w:val="4"/>
    <w:qFormat/>
    <w:uiPriority w:val="0"/>
    <w:pPr>
      <w:tabs>
        <w:tab w:val="clear" w:pos="480"/>
        <w:tab w:val="clear" w:pos="630"/>
      </w:tabs>
      <w:snapToGrid w:val="0"/>
      <w:spacing w:after="260"/>
    </w:pPr>
    <w:rPr>
      <w:rFonts w:ascii="Arial" w:hAnsi="Arial" w:eastAsia="黑体"/>
      <w:bCs w:val="0"/>
      <w:sz w:val="36"/>
      <w:szCs w:val="36"/>
    </w:rPr>
  </w:style>
  <w:style w:type="character" w:customStyle="1" w:styleId="2585">
    <w:name w:val="第二标题 Char"/>
    <w:qFormat/>
    <w:uiPriority w:val="0"/>
    <w:rPr>
      <w:rFonts w:ascii="Arial" w:hAnsi="Arial" w:eastAsia="黑体"/>
      <w:b/>
      <w:bCs/>
      <w:kern w:val="2"/>
      <w:sz w:val="36"/>
      <w:szCs w:val="36"/>
    </w:rPr>
  </w:style>
  <w:style w:type="paragraph" w:customStyle="1" w:styleId="2586">
    <w:name w:val="第三标题"/>
    <w:basedOn w:val="5"/>
    <w:qFormat/>
    <w:uiPriority w:val="0"/>
    <w:pPr>
      <w:tabs>
        <w:tab w:val="clear" w:pos="480"/>
        <w:tab w:val="clear" w:pos="840"/>
      </w:tabs>
      <w:adjustRightInd w:val="0"/>
      <w:spacing w:beforeLines="50" w:afterLines="50" w:line="240" w:lineRule="atLeast"/>
    </w:pPr>
    <w:rPr>
      <w:rFonts w:ascii="Arial" w:hAnsi="Arial" w:eastAsia="宋体"/>
      <w:sz w:val="32"/>
    </w:rPr>
  </w:style>
  <w:style w:type="character" w:customStyle="1" w:styleId="2587">
    <w:name w:val="第三标题 Char"/>
    <w:qFormat/>
    <w:uiPriority w:val="0"/>
    <w:rPr>
      <w:rFonts w:ascii="Arial" w:hAnsi="Arial"/>
      <w:b/>
      <w:bCs/>
      <w:color w:val="000000"/>
      <w:kern w:val="2"/>
      <w:sz w:val="32"/>
      <w:szCs w:val="32"/>
    </w:rPr>
  </w:style>
  <w:style w:type="paragraph" w:customStyle="1" w:styleId="2588">
    <w:name w:val="样式 第三标题 + 宋体"/>
    <w:basedOn w:val="2586"/>
    <w:qFormat/>
    <w:uiPriority w:val="0"/>
    <w:pPr>
      <w:spacing w:line="360" w:lineRule="auto"/>
    </w:pPr>
    <w:rPr>
      <w:rFonts w:ascii="宋体" w:hAnsi="宋体"/>
    </w:rPr>
  </w:style>
  <w:style w:type="character" w:customStyle="1" w:styleId="2589">
    <w:name w:val="样式 第三标题 + 宋体 Char"/>
    <w:qFormat/>
    <w:uiPriority w:val="0"/>
    <w:rPr>
      <w:rFonts w:ascii="宋体" w:hAnsi="宋体"/>
      <w:b/>
      <w:bCs/>
      <w:color w:val="000000"/>
      <w:kern w:val="2"/>
      <w:sz w:val="32"/>
      <w:szCs w:val="32"/>
    </w:rPr>
  </w:style>
  <w:style w:type="paragraph" w:customStyle="1" w:styleId="2590">
    <w:name w:val="样式 表 + 蓝色"/>
    <w:basedOn w:val="543"/>
    <w:qFormat/>
    <w:uiPriority w:val="0"/>
    <w:pPr>
      <w:snapToGrid/>
      <w:spacing w:line="360" w:lineRule="auto"/>
    </w:pPr>
    <w:rPr>
      <w:rFonts w:ascii="宋体" w:hAnsi="宋体"/>
      <w:b/>
      <w:color w:val="0000FF"/>
      <w:spacing w:val="0"/>
      <w:sz w:val="24"/>
      <w:szCs w:val="24"/>
    </w:rPr>
  </w:style>
  <w:style w:type="paragraph" w:customStyle="1" w:styleId="2591">
    <w:name w:val="退格正文"/>
    <w:basedOn w:val="1"/>
    <w:semiHidden/>
    <w:qFormat/>
    <w:uiPriority w:val="0"/>
    <w:pPr>
      <w:tabs>
        <w:tab w:val="clear" w:pos="480"/>
      </w:tabs>
      <w:ind w:firstLine="538" w:firstLineChars="192"/>
    </w:pPr>
    <w:rPr>
      <w:sz w:val="28"/>
    </w:rPr>
  </w:style>
  <w:style w:type="character" w:customStyle="1" w:styleId="2592">
    <w:name w:val="unnamed3"/>
    <w:basedOn w:val="133"/>
    <w:qFormat/>
    <w:uiPriority w:val="0"/>
  </w:style>
  <w:style w:type="character" w:customStyle="1" w:styleId="2593">
    <w:name w:val="标题 Char"/>
    <w:qFormat/>
    <w:uiPriority w:val="0"/>
    <w:rPr>
      <w:rFonts w:ascii="Arial" w:hAnsi="Arial" w:cs="Arial"/>
      <w:b/>
      <w:bCs/>
      <w:kern w:val="2"/>
      <w:sz w:val="32"/>
      <w:szCs w:val="32"/>
    </w:rPr>
  </w:style>
  <w:style w:type="character" w:customStyle="1" w:styleId="2594">
    <w:name w:val="正文文本 2 Char"/>
    <w:qFormat/>
    <w:uiPriority w:val="99"/>
    <w:rPr>
      <w:rFonts w:hAnsi="宋体"/>
      <w:spacing w:val="-20"/>
      <w:kern w:val="2"/>
      <w:sz w:val="22"/>
    </w:rPr>
  </w:style>
  <w:style w:type="character" w:customStyle="1" w:styleId="2595">
    <w:name w:val="批注主题 Char"/>
    <w:qFormat/>
    <w:uiPriority w:val="0"/>
    <w:rPr>
      <w:b/>
      <w:bCs/>
      <w:kern w:val="2"/>
      <w:sz w:val="21"/>
      <w:szCs w:val="24"/>
    </w:rPr>
  </w:style>
  <w:style w:type="character" w:customStyle="1" w:styleId="2596">
    <w:name w:val="批注框文本 Char"/>
    <w:qFormat/>
    <w:uiPriority w:val="0"/>
    <w:rPr>
      <w:kern w:val="2"/>
      <w:sz w:val="18"/>
      <w:szCs w:val="18"/>
    </w:rPr>
  </w:style>
  <w:style w:type="character" w:customStyle="1" w:styleId="2597">
    <w:name w:val="日期 Char"/>
    <w:qFormat/>
    <w:uiPriority w:val="0"/>
    <w:rPr>
      <w:kern w:val="2"/>
      <w:sz w:val="24"/>
    </w:rPr>
  </w:style>
  <w:style w:type="character" w:customStyle="1" w:styleId="2598">
    <w:name w:val="注释标题 Char"/>
    <w:qFormat/>
    <w:uiPriority w:val="99"/>
    <w:rPr>
      <w:rFonts w:ascii="宋体" w:hAnsi="宋体" w:eastAsia="黑体"/>
      <w:snapToGrid w:val="0"/>
      <w:sz w:val="28"/>
      <w:szCs w:val="24"/>
    </w:rPr>
  </w:style>
  <w:style w:type="paragraph" w:customStyle="1" w:styleId="2599">
    <w:name w:val="正文仿宋"/>
    <w:basedOn w:val="1"/>
    <w:qFormat/>
    <w:uiPriority w:val="0"/>
    <w:pPr>
      <w:tabs>
        <w:tab w:val="clear" w:pos="480"/>
      </w:tabs>
      <w:adjustRightInd w:val="0"/>
      <w:snapToGrid w:val="0"/>
      <w:ind w:firstLine="567"/>
    </w:pPr>
    <w:rPr>
      <w:rFonts w:eastAsia="仿宋_GB2312"/>
      <w:snapToGrid w:val="0"/>
      <w:kern w:val="0"/>
      <w:szCs w:val="20"/>
    </w:rPr>
  </w:style>
  <w:style w:type="paragraph" w:customStyle="1" w:styleId="2600">
    <w:name w:val="正文图小四"/>
    <w:basedOn w:val="1"/>
    <w:qFormat/>
    <w:uiPriority w:val="0"/>
    <w:pPr>
      <w:tabs>
        <w:tab w:val="clear" w:pos="480"/>
      </w:tabs>
      <w:adjustRightInd w:val="0"/>
      <w:snapToGrid w:val="0"/>
      <w:spacing w:line="240" w:lineRule="auto"/>
      <w:jc w:val="center"/>
      <w:textAlignment w:val="baseline"/>
    </w:pPr>
    <w:rPr>
      <w:rFonts w:ascii="宋体"/>
      <w:kern w:val="0"/>
      <w:szCs w:val="20"/>
    </w:rPr>
  </w:style>
  <w:style w:type="paragraph" w:customStyle="1" w:styleId="2601">
    <w:name w:val="编号4号"/>
    <w:basedOn w:val="1"/>
    <w:qFormat/>
    <w:uiPriority w:val="0"/>
    <w:pPr>
      <w:widowControl/>
      <w:tabs>
        <w:tab w:val="clear" w:pos="480"/>
      </w:tabs>
      <w:snapToGrid w:val="0"/>
      <w:spacing w:line="312" w:lineRule="auto"/>
    </w:pPr>
    <w:rPr>
      <w:rFonts w:ascii="Arial" w:hAnsi="Arial" w:cs="Arial"/>
      <w:sz w:val="21"/>
    </w:rPr>
  </w:style>
  <w:style w:type="paragraph" w:customStyle="1" w:styleId="2602">
    <w:name w:val="正文仿宋小四"/>
    <w:basedOn w:val="1"/>
    <w:qFormat/>
    <w:uiPriority w:val="0"/>
    <w:pPr>
      <w:tabs>
        <w:tab w:val="clear" w:pos="480"/>
      </w:tabs>
      <w:adjustRightInd w:val="0"/>
      <w:snapToGrid w:val="0"/>
      <w:ind w:firstLine="480"/>
    </w:pPr>
    <w:rPr>
      <w:rFonts w:eastAsia="仿宋_GB2312"/>
    </w:rPr>
  </w:style>
  <w:style w:type="character" w:customStyle="1" w:styleId="2603">
    <w:name w:val="正文文本 3 Char"/>
    <w:qFormat/>
    <w:uiPriority w:val="99"/>
    <w:rPr>
      <w:kern w:val="2"/>
      <w:sz w:val="21"/>
      <w:szCs w:val="24"/>
    </w:rPr>
  </w:style>
  <w:style w:type="paragraph" w:customStyle="1" w:styleId="2604">
    <w:name w:val="样式 标题 2H2标题1.1节SeHead wsa2标题 1.1节标题 1.11.1标题2b2标题2 + 首..."/>
    <w:basedOn w:val="4"/>
    <w:qFormat/>
    <w:uiPriority w:val="0"/>
    <w:pPr>
      <w:tabs>
        <w:tab w:val="clear" w:pos="480"/>
        <w:tab w:val="clear" w:pos="630"/>
      </w:tabs>
      <w:spacing w:before="100" w:after="100" w:line="415" w:lineRule="auto"/>
    </w:pPr>
    <w:rPr>
      <w:rFonts w:ascii="Arial" w:hAnsi="Arial" w:eastAsia="黑体" w:cs="宋体"/>
      <w:b w:val="0"/>
      <w:sz w:val="30"/>
      <w:szCs w:val="20"/>
    </w:rPr>
  </w:style>
  <w:style w:type="paragraph" w:customStyle="1" w:styleId="2605">
    <w:name w:val="表注文"/>
    <w:basedOn w:val="1"/>
    <w:qFormat/>
    <w:uiPriority w:val="0"/>
    <w:pPr>
      <w:tabs>
        <w:tab w:val="clear" w:pos="480"/>
      </w:tabs>
      <w:adjustRightInd w:val="0"/>
      <w:spacing w:after="100" w:line="314" w:lineRule="atLeast"/>
      <w:ind w:left="180" w:hanging="180"/>
      <w:jc w:val="left"/>
      <w:textAlignment w:val="baseline"/>
    </w:pPr>
    <w:rPr>
      <w:kern w:val="0"/>
      <w:sz w:val="18"/>
      <w:szCs w:val="20"/>
    </w:rPr>
  </w:style>
  <w:style w:type="paragraph" w:customStyle="1" w:styleId="2606">
    <w:name w:val="标题02"/>
    <w:basedOn w:val="1"/>
    <w:qFormat/>
    <w:uiPriority w:val="0"/>
    <w:pPr>
      <w:tabs>
        <w:tab w:val="clear" w:pos="480"/>
      </w:tabs>
      <w:outlineLvl w:val="1"/>
    </w:pPr>
    <w:rPr>
      <w:b/>
      <w:sz w:val="28"/>
      <w:szCs w:val="20"/>
    </w:rPr>
  </w:style>
  <w:style w:type="character" w:customStyle="1" w:styleId="2607">
    <w:name w:val="第二节"/>
    <w:qFormat/>
    <w:uiPriority w:val="0"/>
    <w:rPr>
      <w:rFonts w:ascii="黑体" w:eastAsia="黑体"/>
      <w:sz w:val="36"/>
    </w:rPr>
  </w:style>
  <w:style w:type="character" w:customStyle="1" w:styleId="2608">
    <w:name w:val="right-content3"/>
    <w:qFormat/>
    <w:uiPriority w:val="0"/>
    <w:rPr>
      <w:rFonts w:hint="default" w:ascii="Tahoma" w:hAnsi="Tahoma" w:cs="Tahoma"/>
      <w:sz w:val="18"/>
      <w:szCs w:val="18"/>
    </w:rPr>
  </w:style>
  <w:style w:type="character" w:customStyle="1" w:styleId="2609">
    <w:name w:val="正文首行缩进 2 Char"/>
    <w:qFormat/>
    <w:uiPriority w:val="0"/>
    <w:rPr>
      <w:kern w:val="2"/>
      <w:sz w:val="21"/>
      <w:szCs w:val="24"/>
    </w:rPr>
  </w:style>
  <w:style w:type="paragraph" w:customStyle="1" w:styleId="2610">
    <w:name w:val="Char82"/>
    <w:basedOn w:val="1"/>
    <w:qFormat/>
    <w:uiPriority w:val="0"/>
    <w:pPr>
      <w:tabs>
        <w:tab w:val="clear" w:pos="480"/>
      </w:tabs>
      <w:spacing w:line="240" w:lineRule="auto"/>
    </w:pPr>
    <w:rPr>
      <w:rFonts w:ascii="Tahoma" w:hAnsi="Tahoma"/>
      <w:szCs w:val="20"/>
    </w:rPr>
  </w:style>
  <w:style w:type="paragraph" w:customStyle="1" w:styleId="2611">
    <w:name w:val="TOC 标题1"/>
    <w:basedOn w:val="3"/>
    <w:next w:val="1"/>
    <w:qFormat/>
    <w:uiPriority w:val="0"/>
    <w:pPr>
      <w:widowControl/>
      <w:tabs>
        <w:tab w:val="clear" w:pos="480"/>
      </w:tabs>
      <w:spacing w:before="480" w:after="0" w:line="276" w:lineRule="auto"/>
      <w:jc w:val="left"/>
      <w:outlineLvl w:val="9"/>
    </w:pPr>
    <w:rPr>
      <w:rFonts w:ascii="Cambria" w:hAnsi="Cambria" w:eastAsia="宋体"/>
      <w:color w:val="365F91"/>
      <w:kern w:val="0"/>
      <w:sz w:val="28"/>
      <w:szCs w:val="28"/>
    </w:rPr>
  </w:style>
  <w:style w:type="paragraph" w:customStyle="1" w:styleId="2612">
    <w:name w:val="Char Char Char Char Char Char Char Char Char Char3"/>
    <w:basedOn w:val="1"/>
    <w:qFormat/>
    <w:uiPriority w:val="0"/>
    <w:pPr>
      <w:tabs>
        <w:tab w:val="clear" w:pos="480"/>
      </w:tabs>
      <w:spacing w:line="240" w:lineRule="auto"/>
    </w:pPr>
    <w:rPr>
      <w:sz w:val="21"/>
      <w:szCs w:val="21"/>
    </w:rPr>
  </w:style>
  <w:style w:type="paragraph" w:customStyle="1" w:styleId="2613">
    <w:name w:val="Char Char Char11"/>
    <w:basedOn w:val="1"/>
    <w:qFormat/>
    <w:uiPriority w:val="0"/>
    <w:pPr>
      <w:keepNext/>
      <w:widowControl/>
      <w:tabs>
        <w:tab w:val="left" w:pos="425"/>
        <w:tab w:val="clear" w:pos="480"/>
      </w:tabs>
      <w:autoSpaceDE w:val="0"/>
      <w:autoSpaceDN w:val="0"/>
      <w:adjustRightInd w:val="0"/>
      <w:spacing w:before="80" w:after="80" w:line="240" w:lineRule="auto"/>
      <w:ind w:hanging="425"/>
    </w:pPr>
    <w:rPr>
      <w:rFonts w:ascii="Arial" w:hAnsi="Arial" w:cs="Arial"/>
      <w:sz w:val="20"/>
      <w:szCs w:val="20"/>
    </w:rPr>
  </w:style>
  <w:style w:type="paragraph" w:customStyle="1" w:styleId="2614">
    <w:name w:val="纯文本11"/>
    <w:basedOn w:val="1"/>
    <w:qFormat/>
    <w:uiPriority w:val="0"/>
    <w:pPr>
      <w:tabs>
        <w:tab w:val="clear" w:pos="480"/>
      </w:tabs>
      <w:adjustRightInd w:val="0"/>
      <w:spacing w:line="240" w:lineRule="auto"/>
      <w:textAlignment w:val="baseline"/>
    </w:pPr>
    <w:rPr>
      <w:rFonts w:ascii="宋体" w:hAnsi="Courier New"/>
      <w:sz w:val="21"/>
      <w:szCs w:val="20"/>
    </w:rPr>
  </w:style>
  <w:style w:type="character" w:customStyle="1" w:styleId="2615">
    <w:name w:val="Char Char Char2"/>
    <w:qFormat/>
    <w:uiPriority w:val="0"/>
    <w:rPr>
      <w:rFonts w:eastAsia="宋体"/>
      <w:kern w:val="2"/>
      <w:sz w:val="16"/>
      <w:szCs w:val="16"/>
      <w:lang w:val="en-US" w:eastAsia="zh-CN" w:bidi="ar-SA"/>
    </w:rPr>
  </w:style>
  <w:style w:type="paragraph" w:customStyle="1" w:styleId="2616">
    <w:name w:val="Char81"/>
    <w:basedOn w:val="1"/>
    <w:qFormat/>
    <w:uiPriority w:val="0"/>
    <w:pPr>
      <w:tabs>
        <w:tab w:val="clear" w:pos="480"/>
      </w:tabs>
      <w:spacing w:line="240" w:lineRule="auto"/>
    </w:pPr>
    <w:rPr>
      <w:rFonts w:ascii="Tahoma" w:hAnsi="Tahoma"/>
      <w:szCs w:val="20"/>
    </w:rPr>
  </w:style>
  <w:style w:type="character" w:customStyle="1" w:styleId="2617">
    <w:name w:val="副标题 Char"/>
    <w:qFormat/>
    <w:uiPriority w:val="11"/>
    <w:rPr>
      <w:rFonts w:ascii="Cambria" w:hAnsi="Cambria" w:cs="Times New Roman"/>
      <w:b/>
      <w:bCs/>
      <w:kern w:val="28"/>
      <w:sz w:val="32"/>
      <w:szCs w:val="32"/>
    </w:rPr>
  </w:style>
  <w:style w:type="paragraph" w:customStyle="1" w:styleId="2618">
    <w:name w:val="麦志勤表格标题"/>
    <w:basedOn w:val="35"/>
    <w:qFormat/>
    <w:uiPriority w:val="0"/>
    <w:pPr>
      <w:tabs>
        <w:tab w:val="clear" w:pos="480"/>
      </w:tabs>
      <w:adjustRightInd w:val="0"/>
      <w:snapToGrid w:val="0"/>
      <w:spacing w:beforeLines="50" w:afterLines="20" w:line="300" w:lineRule="auto"/>
      <w:ind w:firstLine="0" w:firstLineChars="0"/>
      <w:jc w:val="center"/>
    </w:pPr>
    <w:rPr>
      <w:rFonts w:ascii="宋体" w:hAnsi="宋体"/>
    </w:rPr>
  </w:style>
  <w:style w:type="paragraph" w:customStyle="1" w:styleId="2619">
    <w:name w:val="麦志勤表格式"/>
    <w:basedOn w:val="1"/>
    <w:qFormat/>
    <w:uiPriority w:val="0"/>
    <w:pPr>
      <w:tabs>
        <w:tab w:val="clear" w:pos="480"/>
      </w:tabs>
      <w:adjustRightInd w:val="0"/>
      <w:snapToGrid w:val="0"/>
      <w:spacing w:line="0" w:lineRule="atLeast"/>
      <w:jc w:val="center"/>
    </w:pPr>
    <w:rPr>
      <w:rFonts w:ascii="宋体" w:hAnsi="宋体"/>
      <w:color w:val="000000"/>
    </w:rPr>
  </w:style>
  <w:style w:type="paragraph" w:customStyle="1" w:styleId="2620">
    <w:name w:val="样式 正文首行缩进 2 + 首行缩进:  2 字符"/>
    <w:basedOn w:val="87"/>
    <w:qFormat/>
    <w:uiPriority w:val="0"/>
    <w:pPr>
      <w:tabs>
        <w:tab w:val="clear" w:pos="480"/>
      </w:tabs>
      <w:ind w:left="0" w:leftChars="0" w:firstLine="480"/>
    </w:pPr>
    <w:rPr>
      <w:rFonts w:cs="宋体"/>
      <w:szCs w:val="20"/>
    </w:rPr>
  </w:style>
  <w:style w:type="character" w:customStyle="1" w:styleId="2621">
    <w:name w:val="rcjs_jswm_font1"/>
    <w:qFormat/>
    <w:uiPriority w:val="0"/>
    <w:rPr>
      <w:sz w:val="20"/>
      <w:szCs w:val="20"/>
    </w:rPr>
  </w:style>
  <w:style w:type="paragraph" w:customStyle="1" w:styleId="2622">
    <w:name w:val="样式 正文文本 + 四号 段后: 0 磅 行距: 固定值 24 磅"/>
    <w:basedOn w:val="2"/>
    <w:qFormat/>
    <w:uiPriority w:val="0"/>
    <w:pPr>
      <w:spacing w:line="480" w:lineRule="exact"/>
      <w:ind w:firstLine="630" w:firstLineChars="225"/>
    </w:pPr>
    <w:rPr>
      <w:rFonts w:ascii="Times New Roman" w:hAnsi="Times New Roman"/>
      <w:sz w:val="28"/>
    </w:rPr>
  </w:style>
  <w:style w:type="paragraph" w:customStyle="1" w:styleId="2623">
    <w:name w:val="样式 四号 首行缩进:  1.92 字符"/>
    <w:basedOn w:val="1"/>
    <w:qFormat/>
    <w:uiPriority w:val="0"/>
    <w:pPr>
      <w:tabs>
        <w:tab w:val="clear" w:pos="480"/>
      </w:tabs>
      <w:spacing w:line="240" w:lineRule="auto"/>
    </w:pPr>
    <w:rPr>
      <w:rFonts w:cs="黑体"/>
      <w:sz w:val="28"/>
      <w:szCs w:val="20"/>
    </w:rPr>
  </w:style>
  <w:style w:type="character" w:customStyle="1" w:styleId="2624">
    <w:name w:val="zt1"/>
    <w:qFormat/>
    <w:uiPriority w:val="0"/>
    <w:rPr>
      <w:sz w:val="18"/>
      <w:szCs w:val="18"/>
    </w:rPr>
  </w:style>
  <w:style w:type="paragraph" w:customStyle="1" w:styleId="2625">
    <w:name w:val="样式 文字 + 段前: 7.8 磅"/>
    <w:basedOn w:val="1"/>
    <w:qFormat/>
    <w:uiPriority w:val="0"/>
    <w:pPr>
      <w:tabs>
        <w:tab w:val="clear" w:pos="480"/>
      </w:tabs>
      <w:adjustRightInd w:val="0"/>
      <w:snapToGrid w:val="0"/>
      <w:ind w:firstLine="480"/>
    </w:pPr>
    <w:rPr>
      <w:szCs w:val="20"/>
    </w:rPr>
  </w:style>
  <w:style w:type="paragraph" w:customStyle="1" w:styleId="2626">
    <w:name w:val="样式 正文（首行缩进两字） + 首行缩进:  2 字符"/>
    <w:basedOn w:val="21"/>
    <w:qFormat/>
    <w:uiPriority w:val="0"/>
    <w:pPr>
      <w:tabs>
        <w:tab w:val="clear" w:pos="480"/>
      </w:tabs>
      <w:adjustRightInd w:val="0"/>
      <w:ind w:firstLine="480"/>
      <w:textAlignment w:val="baseline"/>
    </w:pPr>
    <w:rPr>
      <w:rFonts w:cs="宋体"/>
      <w:szCs w:val="20"/>
    </w:rPr>
  </w:style>
  <w:style w:type="paragraph" w:customStyle="1" w:styleId="2627">
    <w:name w:val="文字"/>
    <w:basedOn w:val="1"/>
    <w:qFormat/>
    <w:uiPriority w:val="0"/>
    <w:pPr>
      <w:tabs>
        <w:tab w:val="clear" w:pos="480"/>
      </w:tabs>
      <w:adjustRightInd w:val="0"/>
      <w:snapToGrid w:val="0"/>
      <w:ind w:firstLine="480"/>
    </w:pPr>
  </w:style>
  <w:style w:type="paragraph" w:customStyle="1" w:styleId="2628">
    <w:name w:val="样式 标题 3条标题1.1.13h33rd levelH3l3CTReHead 3 WSA + 小三 首行缩..."/>
    <w:basedOn w:val="5"/>
    <w:qFormat/>
    <w:uiPriority w:val="0"/>
    <w:pPr>
      <w:tabs>
        <w:tab w:val="clear" w:pos="480"/>
        <w:tab w:val="clear" w:pos="840"/>
      </w:tabs>
      <w:adjustRightInd w:val="0"/>
      <w:snapToGrid w:val="0"/>
      <w:spacing w:beforeLines="50" w:after="62" w:line="240" w:lineRule="auto"/>
    </w:pPr>
    <w:rPr>
      <w:rFonts w:ascii="Times New Roman" w:eastAsia="宋体"/>
      <w:bCs w:val="0"/>
      <w:snapToGrid w:val="0"/>
      <w:kern w:val="0"/>
      <w:sz w:val="32"/>
      <w:szCs w:val="30"/>
    </w:rPr>
  </w:style>
  <w:style w:type="paragraph" w:customStyle="1" w:styleId="2629">
    <w:name w:val="Title.2"/>
    <w:qFormat/>
    <w:uiPriority w:val="0"/>
    <w:pPr>
      <w:keepNext/>
      <w:keepLines/>
      <w:spacing w:beforeLines="50" w:afterLines="50"/>
      <w:jc w:val="center"/>
      <w:outlineLvl w:val="1"/>
    </w:pPr>
    <w:rPr>
      <w:rFonts w:ascii="Times New Roman" w:hAnsi="Times New Roman" w:eastAsia="黑体" w:cs="Times New Roman"/>
      <w:kern w:val="2"/>
      <w:sz w:val="28"/>
      <w:szCs w:val="24"/>
      <w:lang w:val="en-US" w:eastAsia="zh-CN" w:bidi="ar-SA"/>
    </w:rPr>
  </w:style>
  <w:style w:type="paragraph" w:customStyle="1" w:styleId="2630">
    <w:name w:val="样式 标题 4H4 + (中文) 楷体_GB2312"/>
    <w:basedOn w:val="6"/>
    <w:qFormat/>
    <w:uiPriority w:val="0"/>
    <w:pPr>
      <w:keepNext w:val="0"/>
      <w:keepLines w:val="0"/>
      <w:numPr>
        <w:ilvl w:val="0"/>
        <w:numId w:val="0"/>
      </w:numPr>
      <w:tabs>
        <w:tab w:val="clear" w:pos="480"/>
      </w:tabs>
      <w:autoSpaceDE w:val="0"/>
      <w:autoSpaceDN w:val="0"/>
      <w:adjustRightInd w:val="0"/>
      <w:spacing w:before="0" w:after="120"/>
    </w:pPr>
    <w:rPr>
      <w:rFonts w:ascii="Times New Roman" w:hAnsi="Times New Roman" w:eastAsia="黑体"/>
      <w:b w:val="0"/>
    </w:rPr>
  </w:style>
  <w:style w:type="paragraph" w:customStyle="1" w:styleId="2631">
    <w:name w:val="正文-G Char Char"/>
    <w:basedOn w:val="1"/>
    <w:qFormat/>
    <w:uiPriority w:val="0"/>
    <w:pPr>
      <w:tabs>
        <w:tab w:val="clear" w:pos="480"/>
      </w:tabs>
      <w:spacing w:line="400" w:lineRule="exact"/>
      <w:ind w:firstLine="480"/>
    </w:pPr>
    <w:rPr>
      <w:rFonts w:eastAsia="仿宋_GB2312"/>
      <w:kern w:val="0"/>
      <w:szCs w:val="20"/>
    </w:rPr>
  </w:style>
  <w:style w:type="paragraph" w:customStyle="1" w:styleId="2632">
    <w:name w:val="样式 标题 1Head 1wsah1一、标题 1 Char Char标题0标题 1（报告）(小2黑)标题 1 Ch..."/>
    <w:basedOn w:val="3"/>
    <w:qFormat/>
    <w:uiPriority w:val="0"/>
    <w:pPr>
      <w:pageBreakBefore/>
      <w:tabs>
        <w:tab w:val="clear" w:pos="480"/>
      </w:tabs>
      <w:spacing w:before="360" w:after="120"/>
      <w:jc w:val="center"/>
    </w:pPr>
    <w:rPr>
      <w:rFonts w:ascii="Times New Roman" w:eastAsia="宋体" w:cs="宋体"/>
      <w:sz w:val="44"/>
      <w:szCs w:val="20"/>
    </w:rPr>
  </w:style>
  <w:style w:type="paragraph" w:customStyle="1" w:styleId="2633">
    <w:name w:val="样式 标题 2标题 2 Char标题 2 Char Char节标题 1.11.1标题2b2SeHead wsa2..."/>
    <w:basedOn w:val="4"/>
    <w:qFormat/>
    <w:uiPriority w:val="0"/>
    <w:pPr>
      <w:tabs>
        <w:tab w:val="left" w:pos="576"/>
        <w:tab w:val="clear" w:pos="480"/>
        <w:tab w:val="clear" w:pos="630"/>
      </w:tabs>
      <w:spacing w:before="120"/>
      <w:ind w:left="576" w:hanging="576"/>
    </w:pPr>
    <w:rPr>
      <w:rFonts w:ascii="Arial" w:hAnsi="Arial" w:eastAsia="黑体"/>
    </w:rPr>
  </w:style>
  <w:style w:type="character" w:customStyle="1" w:styleId="2634">
    <w:name w:val="样式 标题 2标题 2 Char标题 2 Char Char节标题 1.11.1标题2b2SeHead wsa2... Char"/>
    <w:qFormat/>
    <w:uiPriority w:val="0"/>
    <w:rPr>
      <w:rFonts w:ascii="Arial" w:hAnsi="Arial" w:eastAsia="黑体"/>
      <w:b/>
      <w:bCs/>
      <w:color w:val="000000"/>
      <w:kern w:val="2"/>
      <w:sz w:val="32"/>
      <w:szCs w:val="32"/>
      <w:lang w:val="en-US" w:eastAsia="zh-CN" w:bidi="ar-SA"/>
    </w:rPr>
  </w:style>
  <w:style w:type="paragraph" w:customStyle="1" w:styleId="2635">
    <w:name w:val="样式 标题 3条标题1.1.13h33rd levelH3l3CTReHead 3 WSA标题 3 Char..."/>
    <w:basedOn w:val="5"/>
    <w:qFormat/>
    <w:uiPriority w:val="0"/>
    <w:pPr>
      <w:tabs>
        <w:tab w:val="left" w:pos="720"/>
        <w:tab w:val="clear" w:pos="480"/>
        <w:tab w:val="clear" w:pos="840"/>
      </w:tabs>
      <w:spacing w:before="190" w:after="120" w:line="240" w:lineRule="auto"/>
      <w:ind w:left="1797" w:hanging="720"/>
    </w:pPr>
    <w:rPr>
      <w:rFonts w:ascii="Times New Roman" w:eastAsia="宋体"/>
    </w:rPr>
  </w:style>
  <w:style w:type="paragraph" w:customStyle="1" w:styleId="2636">
    <w:name w:val="样式 标题 2 + 小三 加粗"/>
    <w:basedOn w:val="4"/>
    <w:qFormat/>
    <w:uiPriority w:val="0"/>
    <w:pPr>
      <w:tabs>
        <w:tab w:val="clear" w:pos="480"/>
        <w:tab w:val="clear" w:pos="630"/>
      </w:tabs>
      <w:spacing w:beforeLines="50" w:afterLines="50" w:line="240" w:lineRule="auto"/>
      <w:jc w:val="left"/>
    </w:pPr>
    <w:rPr>
      <w:rFonts w:ascii="Arial" w:hAnsi="Arial" w:eastAsia="黑体"/>
      <w:sz w:val="30"/>
    </w:rPr>
  </w:style>
  <w:style w:type="paragraph" w:customStyle="1" w:styleId="2637">
    <w:name w:val="样式 标题 4Subsection + 首行缩进:  2 字符"/>
    <w:basedOn w:val="6"/>
    <w:qFormat/>
    <w:uiPriority w:val="0"/>
    <w:pPr>
      <w:numPr>
        <w:ilvl w:val="0"/>
        <w:numId w:val="0"/>
      </w:numPr>
      <w:tabs>
        <w:tab w:val="left" w:pos="1680"/>
        <w:tab w:val="clear" w:pos="480"/>
      </w:tabs>
      <w:snapToGrid w:val="0"/>
      <w:spacing w:before="0" w:after="0"/>
      <w:ind w:left="1680" w:hanging="420"/>
    </w:pPr>
    <w:rPr>
      <w:rFonts w:ascii="Arial" w:hAnsi="Arial" w:eastAsia="黑体"/>
      <w:sz w:val="24"/>
      <w:szCs w:val="24"/>
    </w:rPr>
  </w:style>
  <w:style w:type="paragraph" w:customStyle="1" w:styleId="2638">
    <w:name w:val="样式 正文缩进 +"/>
    <w:basedOn w:val="21"/>
    <w:qFormat/>
    <w:uiPriority w:val="0"/>
    <w:pPr>
      <w:tabs>
        <w:tab w:val="clear" w:pos="480"/>
      </w:tabs>
      <w:adjustRightInd w:val="0"/>
      <w:spacing w:after="120"/>
      <w:ind w:firstLine="567" w:firstLineChars="0"/>
      <w:textAlignment w:val="baseline"/>
    </w:pPr>
  </w:style>
  <w:style w:type="paragraph" w:customStyle="1" w:styleId="2639">
    <w:name w:val="样式 标题 3 + (中文) 黑体 四号 段前: 6 磅 段后: 6 磅 行距: 多倍行距 1.73 字行"/>
    <w:basedOn w:val="5"/>
    <w:qFormat/>
    <w:uiPriority w:val="0"/>
    <w:pPr>
      <w:tabs>
        <w:tab w:val="clear" w:pos="480"/>
        <w:tab w:val="clear" w:pos="840"/>
      </w:tabs>
      <w:spacing w:before="190" w:after="120" w:line="560" w:lineRule="exact"/>
      <w:jc w:val="left"/>
    </w:pPr>
    <w:rPr>
      <w:rFonts w:ascii="黑体" w:eastAsia="黑体" w:cs="宋体"/>
      <w:b w:val="0"/>
      <w:szCs w:val="20"/>
    </w:rPr>
  </w:style>
  <w:style w:type="paragraph" w:customStyle="1" w:styleId="2640">
    <w:name w:val="样式 四号 首行缩进:  0.85 厘米 段前: 6 磅 行距: 1.5 倍行距"/>
    <w:basedOn w:val="1"/>
    <w:qFormat/>
    <w:uiPriority w:val="0"/>
    <w:pPr>
      <w:tabs>
        <w:tab w:val="clear" w:pos="480"/>
      </w:tabs>
      <w:spacing w:before="120"/>
      <w:ind w:firstLine="567"/>
    </w:pPr>
    <w:rPr>
      <w:rFonts w:cs="宋体"/>
      <w:sz w:val="28"/>
      <w:szCs w:val="20"/>
    </w:rPr>
  </w:style>
  <w:style w:type="paragraph" w:customStyle="1" w:styleId="2641">
    <w:name w:val="CY－正文"/>
    <w:basedOn w:val="1"/>
    <w:qFormat/>
    <w:uiPriority w:val="0"/>
    <w:pPr>
      <w:tabs>
        <w:tab w:val="clear" w:pos="480"/>
      </w:tabs>
      <w:ind w:firstLine="560"/>
    </w:pPr>
    <w:rPr>
      <w:sz w:val="28"/>
    </w:rPr>
  </w:style>
  <w:style w:type="paragraph" w:customStyle="1" w:styleId="2642">
    <w:name w:val="样式 标题 4 + 黑色 段前: 12 磅 段后: 6 磅 行距: 1.5 倍行距"/>
    <w:basedOn w:val="6"/>
    <w:qFormat/>
    <w:uiPriority w:val="0"/>
    <w:pPr>
      <w:keepNext w:val="0"/>
      <w:keepLines w:val="0"/>
      <w:numPr>
        <w:ilvl w:val="0"/>
        <w:numId w:val="0"/>
      </w:numPr>
      <w:tabs>
        <w:tab w:val="clear" w:pos="480"/>
      </w:tabs>
      <w:adjustRightInd w:val="0"/>
      <w:spacing w:before="120" w:after="120" w:line="500" w:lineRule="exact"/>
    </w:pPr>
    <w:rPr>
      <w:rFonts w:ascii="Times New Roman" w:hAnsi="Times New Roman" w:eastAsia="宋体" w:cs="宋体"/>
      <w:color w:val="000000"/>
      <w:kern w:val="0"/>
      <w:szCs w:val="20"/>
    </w:rPr>
  </w:style>
  <w:style w:type="paragraph" w:customStyle="1" w:styleId="2643">
    <w:name w:val="样式 标题 3 + 小三 黑色 左 段前: 6 磅 段后: 0 磅 行距: 固定值 25 磅"/>
    <w:basedOn w:val="5"/>
    <w:qFormat/>
    <w:uiPriority w:val="0"/>
    <w:pPr>
      <w:tabs>
        <w:tab w:val="clear" w:pos="480"/>
        <w:tab w:val="clear" w:pos="840"/>
      </w:tabs>
      <w:spacing w:before="190" w:after="120" w:line="500" w:lineRule="exact"/>
      <w:jc w:val="left"/>
    </w:pPr>
    <w:rPr>
      <w:rFonts w:ascii="Times New Roman" w:eastAsia="宋体" w:cs="宋体"/>
      <w:color w:val="000000"/>
      <w:kern w:val="0"/>
      <w:szCs w:val="20"/>
    </w:rPr>
  </w:style>
  <w:style w:type="paragraph" w:customStyle="1" w:styleId="2644">
    <w:name w:val="样式 标题 2第几节 + 首行缩进:  1.05 厘米 段前: 0.5 行"/>
    <w:basedOn w:val="4"/>
    <w:qFormat/>
    <w:uiPriority w:val="0"/>
    <w:pPr>
      <w:tabs>
        <w:tab w:val="clear" w:pos="480"/>
        <w:tab w:val="clear" w:pos="630"/>
      </w:tabs>
      <w:spacing w:before="50" w:afterLines="50" w:line="560" w:lineRule="exact"/>
      <w:jc w:val="left"/>
    </w:pPr>
    <w:rPr>
      <w:rFonts w:cs="宋体"/>
      <w:w w:val="99"/>
      <w:kern w:val="28"/>
      <w:sz w:val="30"/>
      <w:szCs w:val="20"/>
    </w:rPr>
  </w:style>
  <w:style w:type="paragraph" w:customStyle="1" w:styleId="2645">
    <w:name w:val="con14"/>
    <w:basedOn w:val="1"/>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20"/>
      <w:szCs w:val="20"/>
    </w:rPr>
  </w:style>
  <w:style w:type="character" w:customStyle="1" w:styleId="2646">
    <w:name w:val="large1"/>
    <w:qFormat/>
    <w:uiPriority w:val="0"/>
    <w:rPr>
      <w:spacing w:val="380"/>
      <w:sz w:val="22"/>
      <w:szCs w:val="22"/>
    </w:rPr>
  </w:style>
  <w:style w:type="character" w:customStyle="1" w:styleId="2647">
    <w:name w:val="cityname1"/>
    <w:qFormat/>
    <w:uiPriority w:val="0"/>
    <w:rPr>
      <w:color w:val="FF0000"/>
      <w:sz w:val="32"/>
      <w:szCs w:val="32"/>
    </w:rPr>
  </w:style>
  <w:style w:type="paragraph" w:customStyle="1" w:styleId="2648">
    <w:name w:val="麦志勤标题一"/>
    <w:basedOn w:val="3"/>
    <w:qFormat/>
    <w:uiPriority w:val="0"/>
    <w:pPr>
      <w:tabs>
        <w:tab w:val="clear" w:pos="480"/>
      </w:tabs>
      <w:adjustRightInd w:val="0"/>
      <w:snapToGrid w:val="0"/>
      <w:spacing w:before="50" w:after="0" w:line="300" w:lineRule="auto"/>
    </w:pPr>
    <w:rPr>
      <w:rFonts w:ascii="黑体" w:hAnsi="Arial" w:eastAsia="黑体" w:cs="Arial"/>
      <w:color w:val="000000"/>
      <w:kern w:val="0"/>
      <w:sz w:val="44"/>
    </w:rPr>
  </w:style>
  <w:style w:type="paragraph" w:customStyle="1" w:styleId="2649">
    <w:name w:val="麦志勤标题二"/>
    <w:basedOn w:val="4"/>
    <w:qFormat/>
    <w:uiPriority w:val="0"/>
    <w:pPr>
      <w:tabs>
        <w:tab w:val="clear" w:pos="480"/>
        <w:tab w:val="clear" w:pos="630"/>
      </w:tabs>
      <w:adjustRightInd w:val="0"/>
      <w:snapToGrid w:val="0"/>
      <w:spacing w:beforeLines="150" w:after="0" w:line="300" w:lineRule="auto"/>
    </w:pPr>
    <w:rPr>
      <w:rFonts w:ascii="黑体" w:hAnsi="Arial" w:eastAsia="黑体"/>
      <w:b w:val="0"/>
      <w:sz w:val="36"/>
    </w:rPr>
  </w:style>
  <w:style w:type="paragraph" w:customStyle="1" w:styleId="2650">
    <w:name w:val="麦志勤标题三"/>
    <w:basedOn w:val="5"/>
    <w:qFormat/>
    <w:uiPriority w:val="0"/>
    <w:pPr>
      <w:keepNext w:val="0"/>
      <w:keepLines w:val="0"/>
      <w:tabs>
        <w:tab w:val="clear" w:pos="480"/>
        <w:tab w:val="clear" w:pos="840"/>
      </w:tabs>
      <w:adjustRightInd w:val="0"/>
      <w:snapToGrid w:val="0"/>
      <w:spacing w:beforeLines="100" w:after="0" w:line="300" w:lineRule="auto"/>
    </w:pPr>
    <w:rPr>
      <w:rFonts w:ascii="黑体" w:hAnsi="宋体" w:eastAsia="黑体"/>
      <w:b w:val="0"/>
      <w:sz w:val="32"/>
    </w:rPr>
  </w:style>
  <w:style w:type="paragraph" w:customStyle="1" w:styleId="2651">
    <w:name w:val="麦志勤标题五"/>
    <w:basedOn w:val="50"/>
    <w:qFormat/>
    <w:uiPriority w:val="0"/>
    <w:pPr>
      <w:adjustRightInd w:val="0"/>
      <w:snapToGrid w:val="0"/>
      <w:spacing w:beforeLines="100" w:line="300" w:lineRule="auto"/>
      <w:ind w:left="0" w:leftChars="0"/>
      <w:outlineLvl w:val="0"/>
    </w:pPr>
    <w:rPr>
      <w:rFonts w:ascii="黑体" w:eastAsia="黑体"/>
      <w:spacing w:val="0"/>
      <w:kern w:val="2"/>
      <w:sz w:val="28"/>
      <w:szCs w:val="20"/>
    </w:rPr>
  </w:style>
  <w:style w:type="paragraph" w:customStyle="1" w:styleId="2652">
    <w:name w:val="麦志勤标题六"/>
    <w:basedOn w:val="1999"/>
    <w:qFormat/>
    <w:uiPriority w:val="0"/>
    <w:pPr>
      <w:spacing w:beforeLines="100"/>
    </w:pPr>
    <w:rPr>
      <w:rFonts w:ascii="黑体" w:eastAsia="黑体" w:cs="Times New Roman"/>
      <w:snapToGrid/>
      <w:kern w:val="2"/>
      <w:szCs w:val="20"/>
      <w:lang w:val="en-US"/>
    </w:rPr>
  </w:style>
  <w:style w:type="paragraph" w:customStyle="1" w:styleId="2653">
    <w:name w:val="麦志勤表标题"/>
    <w:basedOn w:val="1"/>
    <w:qFormat/>
    <w:uiPriority w:val="0"/>
    <w:pPr>
      <w:tabs>
        <w:tab w:val="clear" w:pos="480"/>
      </w:tabs>
      <w:adjustRightInd w:val="0"/>
      <w:snapToGrid w:val="0"/>
      <w:spacing w:beforeLines="50" w:afterLines="20" w:line="300" w:lineRule="auto"/>
      <w:jc w:val="center"/>
      <w:textAlignment w:val="baseline"/>
    </w:pPr>
    <w:rPr>
      <w:rFonts w:ascii="宋体" w:hAnsi="宋体"/>
      <w:snapToGrid w:val="0"/>
      <w:kern w:val="0"/>
      <w:szCs w:val="28"/>
    </w:rPr>
  </w:style>
  <w:style w:type="paragraph" w:customStyle="1" w:styleId="2654">
    <w:name w:val="麦志勤图标题"/>
    <w:basedOn w:val="1"/>
    <w:qFormat/>
    <w:uiPriority w:val="0"/>
    <w:pPr>
      <w:tabs>
        <w:tab w:val="clear" w:pos="480"/>
      </w:tabs>
      <w:adjustRightInd w:val="0"/>
      <w:snapToGrid w:val="0"/>
      <w:spacing w:beforeLines="50" w:line="300" w:lineRule="auto"/>
      <w:ind w:firstLine="480"/>
    </w:pPr>
    <w:rPr>
      <w:rFonts w:ascii="宋体" w:hAnsi="宋体"/>
    </w:rPr>
  </w:style>
  <w:style w:type="paragraph" w:customStyle="1" w:styleId="2655">
    <w:name w:val="麦志勤标题6"/>
    <w:basedOn w:val="1999"/>
    <w:qFormat/>
    <w:uiPriority w:val="0"/>
    <w:pPr>
      <w:spacing w:beforeLines="100"/>
    </w:pPr>
    <w:rPr>
      <w:rFonts w:ascii="黑体" w:hAnsi="Times New Roman" w:eastAsia="黑体" w:cs="Times New Roman"/>
      <w:b/>
      <w:snapToGrid/>
      <w:kern w:val="2"/>
      <w:szCs w:val="20"/>
      <w:lang w:val="en-US"/>
    </w:rPr>
  </w:style>
  <w:style w:type="paragraph" w:customStyle="1" w:styleId="2656">
    <w:name w:val="麦志勤标题1"/>
    <w:basedOn w:val="2"/>
    <w:qFormat/>
    <w:uiPriority w:val="0"/>
    <w:pPr>
      <w:adjustRightInd w:val="0"/>
      <w:snapToGrid w:val="0"/>
      <w:spacing w:beforeLines="50" w:line="300" w:lineRule="auto"/>
    </w:pPr>
    <w:rPr>
      <w:rFonts w:ascii="Times New Roman" w:hAnsi="Times New Roman" w:eastAsia="黑体"/>
      <w:snapToGrid w:val="0"/>
      <w:kern w:val="0"/>
      <w:sz w:val="44"/>
      <w:szCs w:val="24"/>
    </w:rPr>
  </w:style>
  <w:style w:type="paragraph" w:customStyle="1" w:styleId="2657">
    <w:name w:val="麦志勤标题2"/>
    <w:basedOn w:val="1"/>
    <w:qFormat/>
    <w:uiPriority w:val="0"/>
    <w:pPr>
      <w:tabs>
        <w:tab w:val="clear" w:pos="480"/>
      </w:tabs>
      <w:adjustRightInd w:val="0"/>
      <w:snapToGrid w:val="0"/>
      <w:spacing w:beforeLines="100" w:line="300" w:lineRule="auto"/>
    </w:pPr>
    <w:rPr>
      <w:rFonts w:ascii="黑体" w:hAnsi="楷体_GB2312" w:eastAsia="黑体"/>
      <w:bCs/>
      <w:snapToGrid w:val="0"/>
      <w:kern w:val="0"/>
      <w:sz w:val="36"/>
    </w:rPr>
  </w:style>
  <w:style w:type="paragraph" w:customStyle="1" w:styleId="2658">
    <w:name w:val="麦志勤标题3"/>
    <w:basedOn w:val="32"/>
    <w:qFormat/>
    <w:uiPriority w:val="0"/>
    <w:pPr>
      <w:adjustRightInd w:val="0"/>
      <w:snapToGrid w:val="0"/>
      <w:spacing w:beforeLines="100" w:line="300" w:lineRule="auto"/>
      <w:jc w:val="both"/>
    </w:pPr>
    <w:rPr>
      <w:rFonts w:ascii="黑体" w:eastAsia="黑体"/>
      <w:snapToGrid w:val="0"/>
      <w:kern w:val="0"/>
      <w:sz w:val="32"/>
    </w:rPr>
  </w:style>
  <w:style w:type="paragraph" w:customStyle="1" w:styleId="2659">
    <w:name w:val="麦志勤标题4"/>
    <w:basedOn w:val="6"/>
    <w:qFormat/>
    <w:uiPriority w:val="0"/>
    <w:pPr>
      <w:numPr>
        <w:ilvl w:val="0"/>
        <w:numId w:val="0"/>
      </w:numPr>
      <w:tabs>
        <w:tab w:val="clear" w:pos="480"/>
      </w:tabs>
      <w:adjustRightInd w:val="0"/>
      <w:snapToGrid w:val="0"/>
      <w:spacing w:beforeLines="100" w:after="0" w:line="300" w:lineRule="auto"/>
    </w:pPr>
    <w:rPr>
      <w:rFonts w:ascii="黑体" w:hAnsi="Times New Roman" w:eastAsia="黑体"/>
      <w:b w:val="0"/>
      <w:bCs w:val="0"/>
      <w:snapToGrid w:val="0"/>
      <w:kern w:val="0"/>
      <w:sz w:val="30"/>
      <w:szCs w:val="24"/>
    </w:rPr>
  </w:style>
  <w:style w:type="paragraph" w:customStyle="1" w:styleId="2660">
    <w:name w:val="麦志勤标题5"/>
    <w:basedOn w:val="1"/>
    <w:qFormat/>
    <w:uiPriority w:val="0"/>
    <w:pPr>
      <w:tabs>
        <w:tab w:val="clear" w:pos="480"/>
      </w:tabs>
      <w:adjustRightInd w:val="0"/>
      <w:snapToGrid w:val="0"/>
      <w:spacing w:beforeLines="100" w:line="300" w:lineRule="auto"/>
    </w:pPr>
    <w:rPr>
      <w:rFonts w:ascii="黑体" w:hAnsi="宋体" w:eastAsia="黑体"/>
      <w:snapToGrid w:val="0"/>
      <w:color w:val="000000"/>
      <w:kern w:val="0"/>
      <w:sz w:val="28"/>
    </w:rPr>
  </w:style>
  <w:style w:type="paragraph" w:customStyle="1" w:styleId="2661">
    <w:name w:val="ajaxdi1"/>
    <w:basedOn w:val="1"/>
    <w:qFormat/>
    <w:uiPriority w:val="0"/>
    <w:pPr>
      <w:widowControl/>
      <w:tabs>
        <w:tab w:val="clear" w:pos="480"/>
      </w:tabs>
      <w:spacing w:before="100" w:beforeAutospacing="1" w:after="100" w:afterAutospacing="1" w:line="240" w:lineRule="auto"/>
      <w:jc w:val="left"/>
    </w:pPr>
    <w:rPr>
      <w:rFonts w:ascii="宋体" w:hAnsi="宋体"/>
      <w:kern w:val="0"/>
    </w:rPr>
  </w:style>
  <w:style w:type="paragraph" w:customStyle="1" w:styleId="2662">
    <w:name w:val="grajaxhang2"/>
    <w:basedOn w:val="1"/>
    <w:qFormat/>
    <w:uiPriority w:val="0"/>
    <w:pPr>
      <w:widowControl/>
      <w:pBdr>
        <w:top w:val="single" w:color="08BD0C" w:sz="6" w:space="6"/>
        <w:left w:val="single" w:color="08BD0C" w:sz="6" w:space="6"/>
        <w:bottom w:val="single" w:color="08BD0C" w:sz="6" w:space="6"/>
        <w:right w:val="single" w:color="08BD0C" w:sz="6" w:space="6"/>
      </w:pBdr>
      <w:shd w:val="clear" w:color="auto" w:fill="E7FFE7"/>
      <w:tabs>
        <w:tab w:val="clear" w:pos="480"/>
      </w:tabs>
      <w:spacing w:before="100" w:beforeAutospacing="1" w:after="100" w:afterAutospacing="1" w:line="240" w:lineRule="auto"/>
      <w:jc w:val="left"/>
    </w:pPr>
    <w:rPr>
      <w:rFonts w:ascii="宋体" w:hAnsi="宋体"/>
      <w:color w:val="000000"/>
      <w:kern w:val="0"/>
      <w:sz w:val="18"/>
      <w:szCs w:val="18"/>
    </w:rPr>
  </w:style>
  <w:style w:type="paragraph" w:customStyle="1" w:styleId="2663">
    <w:name w:val="第三节"/>
    <w:basedOn w:val="1"/>
    <w:qFormat/>
    <w:uiPriority w:val="0"/>
    <w:pPr>
      <w:tabs>
        <w:tab w:val="clear" w:pos="480"/>
      </w:tabs>
      <w:spacing w:beforeLines="100"/>
      <w:jc w:val="left"/>
    </w:pPr>
    <w:rPr>
      <w:rFonts w:ascii="黑体" w:eastAsia="黑体"/>
      <w:b/>
      <w:bCs/>
      <w:sz w:val="32"/>
    </w:rPr>
  </w:style>
  <w:style w:type="character" w:customStyle="1" w:styleId="2664">
    <w:name w:val="无间隔 字符"/>
    <w:link w:val="1563"/>
    <w:qFormat/>
    <w:uiPriority w:val="1"/>
    <w:rPr>
      <w:kern w:val="2"/>
      <w:sz w:val="24"/>
      <w:lang w:val="en-US" w:eastAsia="zh-CN" w:bidi="ar-SA"/>
    </w:rPr>
  </w:style>
  <w:style w:type="character" w:customStyle="1" w:styleId="2665">
    <w:name w:val="正文文字缩进 2 Char Char1"/>
    <w:qFormat/>
    <w:uiPriority w:val="0"/>
    <w:rPr>
      <w:rFonts w:ascii="宋体"/>
      <w:sz w:val="24"/>
    </w:rPr>
  </w:style>
  <w:style w:type="character" w:customStyle="1" w:styleId="2666">
    <w:name w:val="落款 Char Char1"/>
    <w:qFormat/>
    <w:uiPriority w:val="0"/>
    <w:rPr>
      <w:kern w:val="2"/>
      <w:sz w:val="28"/>
      <w:szCs w:val="24"/>
    </w:rPr>
  </w:style>
  <w:style w:type="table" w:customStyle="1" w:styleId="2667">
    <w:name w:val="中等深浅底纹 1 - 强调文字颜色 311"/>
    <w:basedOn w:val="88"/>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668">
    <w:name w:val="中等深浅底纹 1 - 强调文字颜色 32"/>
    <w:basedOn w:val="88"/>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669">
    <w:name w:val="表格主题1"/>
    <w:basedOn w:val="88"/>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70">
    <w:name w:val="标题 Char1"/>
    <w:qFormat/>
    <w:uiPriority w:val="0"/>
    <w:rPr>
      <w:rFonts w:ascii="Cambria" w:hAnsi="Cambria" w:cs="Times New Roman"/>
      <w:b/>
      <w:bCs/>
      <w:kern w:val="2"/>
      <w:sz w:val="32"/>
      <w:szCs w:val="32"/>
    </w:rPr>
  </w:style>
  <w:style w:type="character" w:customStyle="1" w:styleId="2671">
    <w:name w:val="副标题 Char1"/>
    <w:qFormat/>
    <w:uiPriority w:val="0"/>
    <w:rPr>
      <w:rFonts w:ascii="Cambria" w:hAnsi="Cambria" w:cs="Times New Roman"/>
      <w:b/>
      <w:bCs/>
      <w:kern w:val="28"/>
      <w:sz w:val="32"/>
      <w:szCs w:val="32"/>
    </w:rPr>
  </w:style>
  <w:style w:type="paragraph" w:customStyle="1" w:styleId="2672">
    <w:name w:val="列出段落2"/>
    <w:basedOn w:val="1"/>
    <w:qFormat/>
    <w:uiPriority w:val="0"/>
    <w:pPr>
      <w:tabs>
        <w:tab w:val="clear" w:pos="480"/>
      </w:tabs>
      <w:spacing w:line="240" w:lineRule="auto"/>
      <w:ind w:firstLine="420"/>
    </w:pPr>
    <w:rPr>
      <w:sz w:val="21"/>
    </w:rPr>
  </w:style>
  <w:style w:type="character" w:customStyle="1" w:styleId="2673">
    <w:name w:val="佛表 Char Char"/>
    <w:qFormat/>
    <w:uiPriority w:val="0"/>
    <w:rPr>
      <w:rFonts w:eastAsia="宋体"/>
      <w:color w:val="000000"/>
      <w:kern w:val="2"/>
      <w:sz w:val="21"/>
      <w:szCs w:val="21"/>
      <w:lang w:val="en-US" w:eastAsia="zh-CN" w:bidi="ar-SA"/>
    </w:rPr>
  </w:style>
  <w:style w:type="paragraph" w:customStyle="1" w:styleId="2674">
    <w:name w:val="reader-word-layer reader-word-s2-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75">
    <w:name w:val="TTT Char Char"/>
    <w:qFormat/>
    <w:uiPriority w:val="0"/>
    <w:rPr>
      <w:rFonts w:eastAsia="宋体" w:cs="宋体"/>
      <w:b/>
      <w:kern w:val="2"/>
      <w:sz w:val="24"/>
      <w:szCs w:val="24"/>
      <w:lang w:val="en-US" w:eastAsia="zh-CN" w:bidi="ar-SA"/>
    </w:rPr>
  </w:style>
  <w:style w:type="paragraph" w:customStyle="1" w:styleId="2676">
    <w:name w:val="reader-word-layer reader-word-s1-7"/>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7">
    <w:name w:val="reader-word-layer reader-word-s1-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8">
    <w:name w:val="reader-word-layer reader-word-s1-9"/>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9">
    <w:name w:val="reader-word-layer reader-word-s1-2"/>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0">
    <w:name w:val="reader-word-layer reader-word-s1-10"/>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1">
    <w:name w:val="reader-word-layer reader-word-s1-11"/>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82">
    <w:name w:val="headline-1-index"/>
    <w:basedOn w:val="133"/>
    <w:qFormat/>
    <w:uiPriority w:val="0"/>
  </w:style>
  <w:style w:type="paragraph" w:customStyle="1" w:styleId="2683">
    <w:name w:val="reader-word-layer reader-word-s1-6"/>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84">
    <w:name w:val="text_edit editable-title"/>
    <w:basedOn w:val="133"/>
    <w:qFormat/>
    <w:uiPriority w:val="0"/>
  </w:style>
  <w:style w:type="paragraph" w:customStyle="1" w:styleId="2685">
    <w:name w:val="reader-word-layer reader-word-s1-1 reader-word-s1-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6">
    <w:name w:val="reader-word-layer reader-word-s1-15"/>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7">
    <w:name w:val="reader-word-layer reader-word-s1-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8">
    <w:name w:val="reader-word-layer reader-word-s1-17"/>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9">
    <w:name w:val="reader-word-layer reader-word-s1-2 reader-word-s1-13"/>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90">
    <w:name w:val="reader-word-layer reader-word-s1-18"/>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91">
    <w:name w:val="reader-word-layer reader-word-s1-2 reader-word-s1-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92">
    <w:name w:val="ZX 0 表格文字 Char"/>
    <w:link w:val="2693"/>
    <w:qFormat/>
    <w:uiPriority w:val="0"/>
    <w:rPr>
      <w:sz w:val="21"/>
      <w:szCs w:val="21"/>
    </w:rPr>
  </w:style>
  <w:style w:type="paragraph" w:customStyle="1" w:styleId="2693">
    <w:name w:val="ZX 0 表格文字"/>
    <w:basedOn w:val="1"/>
    <w:link w:val="2692"/>
    <w:qFormat/>
    <w:uiPriority w:val="0"/>
    <w:pPr>
      <w:widowControl/>
      <w:tabs>
        <w:tab w:val="clear" w:pos="480"/>
      </w:tabs>
      <w:wordWrap w:val="0"/>
      <w:overflowPunct w:val="0"/>
      <w:topLinePunct/>
      <w:spacing w:line="276" w:lineRule="auto"/>
      <w:ind w:firstLine="0" w:firstLineChars="0"/>
      <w:jc w:val="center"/>
    </w:pPr>
    <w:rPr>
      <w:sz w:val="21"/>
      <w:szCs w:val="21"/>
    </w:rPr>
  </w:style>
  <w:style w:type="paragraph" w:customStyle="1" w:styleId="2694">
    <w:name w:val="pic-info"/>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95">
    <w:name w:val="LS表格文字 Char Char"/>
    <w:link w:val="2696"/>
    <w:qFormat/>
    <w:uiPriority w:val="0"/>
    <w:rPr>
      <w:rFonts w:eastAsia="宋体"/>
      <w:iCs/>
      <w:color w:val="000000"/>
      <w:kern w:val="2"/>
      <w:sz w:val="21"/>
      <w:szCs w:val="21"/>
      <w:lang w:val="en-US" w:eastAsia="zh-CN" w:bidi="ar-SA"/>
    </w:rPr>
  </w:style>
  <w:style w:type="paragraph" w:customStyle="1" w:styleId="2696">
    <w:name w:val="LS表格文字"/>
    <w:basedOn w:val="1"/>
    <w:next w:val="1"/>
    <w:link w:val="2695"/>
    <w:qFormat/>
    <w:uiPriority w:val="0"/>
    <w:pPr>
      <w:widowControl/>
      <w:tabs>
        <w:tab w:val="clear" w:pos="480"/>
      </w:tabs>
      <w:spacing w:line="360" w:lineRule="exact"/>
      <w:jc w:val="center"/>
    </w:pPr>
    <w:rPr>
      <w:iCs/>
      <w:color w:val="000000"/>
      <w:sz w:val="21"/>
      <w:szCs w:val="21"/>
    </w:rPr>
  </w:style>
  <w:style w:type="paragraph" w:customStyle="1" w:styleId="2697">
    <w:name w:val="表内"/>
    <w:qFormat/>
    <w:uiPriority w:val="0"/>
    <w:pPr>
      <w:adjustRightInd w:val="0"/>
      <w:snapToGrid w:val="0"/>
      <w:ind w:left="-105" w:leftChars="-50" w:right="-105" w:rightChars="-50"/>
      <w:jc w:val="center"/>
    </w:pPr>
    <w:rPr>
      <w:rFonts w:ascii="Times New Roman" w:hAnsi="Times New Roman" w:eastAsia="宋体" w:cs="Times New Roman"/>
      <w:kern w:val="2"/>
      <w:sz w:val="21"/>
      <w:szCs w:val="24"/>
      <w:lang w:val="en-US" w:eastAsia="zh-CN" w:bidi="ar-SA"/>
    </w:rPr>
  </w:style>
  <w:style w:type="character" w:customStyle="1" w:styleId="2698">
    <w:name w:val="样式30 Char"/>
    <w:link w:val="2699"/>
    <w:qFormat/>
    <w:uiPriority w:val="0"/>
    <w:rPr>
      <w:rFonts w:ascii="Calibri" w:hAnsi="Calibri" w:eastAsia="宋体" w:cs="Arial"/>
      <w:bCs/>
      <w:kern w:val="2"/>
      <w:sz w:val="24"/>
      <w:szCs w:val="24"/>
      <w:lang w:bidi="ar-SA"/>
    </w:rPr>
  </w:style>
  <w:style w:type="paragraph" w:customStyle="1" w:styleId="2699">
    <w:name w:val="样式30"/>
    <w:basedOn w:val="85"/>
    <w:link w:val="2698"/>
    <w:qFormat/>
    <w:uiPriority w:val="0"/>
    <w:pPr>
      <w:adjustRightInd w:val="0"/>
      <w:snapToGrid w:val="0"/>
      <w:spacing w:after="0" w:line="360" w:lineRule="auto"/>
      <w:ind w:firstLine="480" w:firstLineChars="200"/>
    </w:pPr>
    <w:rPr>
      <w:rFonts w:ascii="Calibri" w:hAnsi="Calibri" w:cs="Arial"/>
      <w:bCs/>
      <w:sz w:val="24"/>
      <w:lang w:val="zh-CN"/>
    </w:rPr>
  </w:style>
  <w:style w:type="paragraph" w:customStyle="1" w:styleId="2700">
    <w:name w:val="默认段落字体 Para Char Char Char Char Char Char1 Char Char Char Char"/>
    <w:basedOn w:val="1"/>
    <w:semiHidden/>
    <w:qFormat/>
    <w:uiPriority w:val="0"/>
    <w:pPr>
      <w:tabs>
        <w:tab w:val="clear" w:pos="480"/>
      </w:tabs>
    </w:pPr>
    <w:rPr>
      <w:rFonts w:ascii="宋体" w:hAnsi="宋体" w:cs="宋体"/>
    </w:rPr>
  </w:style>
  <w:style w:type="paragraph" w:customStyle="1" w:styleId="2701">
    <w:name w:val="样式7"/>
    <w:basedOn w:val="7"/>
    <w:link w:val="2790"/>
    <w:qFormat/>
    <w:uiPriority w:val="0"/>
    <w:pPr>
      <w:widowControl/>
      <w:numPr>
        <w:ilvl w:val="0"/>
        <w:numId w:val="0"/>
      </w:numPr>
      <w:tabs>
        <w:tab w:val="clear" w:pos="480"/>
      </w:tabs>
      <w:spacing w:before="280" w:after="290" w:line="300" w:lineRule="auto"/>
    </w:pPr>
    <w:rPr>
      <w:rFonts w:ascii="Times New Roman" w:hAnsi="Times New Roman" w:eastAsia="宋体" w:cs="宋体"/>
      <w:bCs/>
      <w:sz w:val="28"/>
      <w:szCs w:val="28"/>
    </w:rPr>
  </w:style>
  <w:style w:type="paragraph" w:customStyle="1" w:styleId="2702">
    <w:name w:val="zhang正文"/>
    <w:basedOn w:val="1"/>
    <w:link w:val="2703"/>
    <w:qFormat/>
    <w:uiPriority w:val="0"/>
    <w:pPr>
      <w:tabs>
        <w:tab w:val="clear" w:pos="480"/>
      </w:tabs>
    </w:pPr>
    <w:rPr>
      <w:szCs w:val="20"/>
    </w:rPr>
  </w:style>
  <w:style w:type="character" w:customStyle="1" w:styleId="2703">
    <w:name w:val="zhang正文 Char"/>
    <w:link w:val="2702"/>
    <w:qFormat/>
    <w:uiPriority w:val="0"/>
    <w:rPr>
      <w:rFonts w:eastAsia="宋体"/>
      <w:kern w:val="2"/>
      <w:sz w:val="24"/>
      <w:lang w:val="en-US" w:eastAsia="zh-CN" w:bidi="ar-SA"/>
    </w:rPr>
  </w:style>
  <w:style w:type="paragraph" w:customStyle="1" w:styleId="2704">
    <w:name w:val="正文－1"/>
    <w:basedOn w:val="1"/>
    <w:link w:val="2705"/>
    <w:semiHidden/>
    <w:qFormat/>
    <w:uiPriority w:val="0"/>
    <w:pPr>
      <w:tabs>
        <w:tab w:val="clear" w:pos="480"/>
      </w:tabs>
      <w:adjustRightInd w:val="0"/>
      <w:snapToGrid w:val="0"/>
      <w:ind w:firstLine="420" w:firstLineChars="150"/>
    </w:pPr>
    <w:rPr>
      <w:sz w:val="28"/>
      <w:szCs w:val="28"/>
    </w:rPr>
  </w:style>
  <w:style w:type="character" w:customStyle="1" w:styleId="2705">
    <w:name w:val="正文－1 Char"/>
    <w:link w:val="2704"/>
    <w:qFormat/>
    <w:uiPriority w:val="0"/>
    <w:rPr>
      <w:rFonts w:eastAsia="宋体"/>
      <w:kern w:val="2"/>
      <w:sz w:val="28"/>
      <w:szCs w:val="28"/>
      <w:lang w:val="en-US" w:eastAsia="zh-CN" w:bidi="ar-SA"/>
    </w:rPr>
  </w:style>
  <w:style w:type="paragraph" w:customStyle="1" w:styleId="2706">
    <w:name w:val="正文文章"/>
    <w:basedOn w:val="1"/>
    <w:link w:val="2707"/>
    <w:semiHidden/>
    <w:qFormat/>
    <w:uiPriority w:val="0"/>
    <w:pPr>
      <w:tabs>
        <w:tab w:val="clear" w:pos="480"/>
      </w:tabs>
      <w:ind w:firstLine="480"/>
    </w:pPr>
    <w:rPr>
      <w:kern w:val="0"/>
      <w:sz w:val="28"/>
      <w:lang w:val="zh-CN"/>
    </w:rPr>
  </w:style>
  <w:style w:type="character" w:customStyle="1" w:styleId="2707">
    <w:name w:val="正文文章 Char"/>
    <w:link w:val="2706"/>
    <w:qFormat/>
    <w:uiPriority w:val="0"/>
    <w:rPr>
      <w:rFonts w:eastAsia="宋体"/>
      <w:sz w:val="28"/>
      <w:szCs w:val="24"/>
      <w:lang w:bidi="ar-SA"/>
    </w:rPr>
  </w:style>
  <w:style w:type="character" w:customStyle="1" w:styleId="2708">
    <w:name w:val="正文标题 Char"/>
    <w:link w:val="1307"/>
    <w:qFormat/>
    <w:uiPriority w:val="0"/>
    <w:rPr>
      <w:rFonts w:ascii="华文楷体" w:hAnsi="华文楷体" w:eastAsia="华文楷体"/>
      <w:b/>
      <w:color w:val="000000"/>
      <w:sz w:val="36"/>
      <w:szCs w:val="36"/>
      <w:u w:color="000000"/>
      <w:lang w:val="en-US" w:eastAsia="zh-CN" w:bidi="ar-SA"/>
    </w:rPr>
  </w:style>
  <w:style w:type="paragraph" w:customStyle="1" w:styleId="2709">
    <w:name w:val="表中正文"/>
    <w:basedOn w:val="1"/>
    <w:link w:val="2710"/>
    <w:semiHidden/>
    <w:qFormat/>
    <w:uiPriority w:val="0"/>
    <w:pPr>
      <w:tabs>
        <w:tab w:val="clear" w:pos="480"/>
      </w:tabs>
      <w:autoSpaceDE w:val="0"/>
      <w:autoSpaceDN w:val="0"/>
      <w:adjustRightInd w:val="0"/>
      <w:snapToGrid w:val="0"/>
      <w:spacing w:line="300" w:lineRule="exact"/>
      <w:jc w:val="center"/>
    </w:pPr>
    <w:rPr>
      <w:rFonts w:ascii="宋体"/>
      <w:kern w:val="0"/>
      <w:sz w:val="20"/>
      <w:szCs w:val="21"/>
      <w:lang w:val="zh-CN"/>
    </w:rPr>
  </w:style>
  <w:style w:type="character" w:customStyle="1" w:styleId="2710">
    <w:name w:val="表中正文 Char"/>
    <w:link w:val="2709"/>
    <w:qFormat/>
    <w:uiPriority w:val="0"/>
    <w:rPr>
      <w:rFonts w:ascii="宋体" w:eastAsia="宋体"/>
      <w:szCs w:val="21"/>
      <w:lang w:bidi="ar-SA"/>
    </w:rPr>
  </w:style>
  <w:style w:type="paragraph" w:customStyle="1" w:styleId="2711">
    <w:name w:val="表的标题"/>
    <w:basedOn w:val="1"/>
    <w:next w:val="2709"/>
    <w:link w:val="2712"/>
    <w:semiHidden/>
    <w:qFormat/>
    <w:uiPriority w:val="0"/>
    <w:pPr>
      <w:tabs>
        <w:tab w:val="clear" w:pos="480"/>
      </w:tabs>
      <w:adjustRightInd w:val="0"/>
      <w:snapToGrid w:val="0"/>
      <w:spacing w:line="240" w:lineRule="auto"/>
      <w:jc w:val="center"/>
    </w:pPr>
    <w:rPr>
      <w:rFonts w:ascii="Arial" w:hAnsi="Arial"/>
      <w:kern w:val="0"/>
      <w:szCs w:val="20"/>
      <w:lang w:val="zh-CN"/>
    </w:rPr>
  </w:style>
  <w:style w:type="character" w:customStyle="1" w:styleId="2712">
    <w:name w:val="表的标题 Char"/>
    <w:link w:val="2711"/>
    <w:qFormat/>
    <w:uiPriority w:val="0"/>
    <w:rPr>
      <w:rFonts w:ascii="Arial" w:hAnsi="Arial" w:eastAsia="宋体"/>
      <w:sz w:val="24"/>
      <w:lang w:bidi="ar-SA"/>
    </w:rPr>
  </w:style>
  <w:style w:type="paragraph" w:customStyle="1" w:styleId="2713">
    <w:name w:val="福建正文文字"/>
    <w:basedOn w:val="1"/>
    <w:link w:val="2714"/>
    <w:semiHidden/>
    <w:qFormat/>
    <w:uiPriority w:val="0"/>
    <w:pPr>
      <w:tabs>
        <w:tab w:val="clear" w:pos="480"/>
      </w:tabs>
      <w:spacing w:line="312" w:lineRule="auto"/>
    </w:pPr>
    <w:rPr>
      <w:kern w:val="0"/>
      <w:szCs w:val="20"/>
      <w:lang w:val="zh-CN"/>
    </w:rPr>
  </w:style>
  <w:style w:type="character" w:customStyle="1" w:styleId="2714">
    <w:name w:val="福建正文文字 Char"/>
    <w:link w:val="2713"/>
    <w:qFormat/>
    <w:uiPriority w:val="0"/>
    <w:rPr>
      <w:sz w:val="24"/>
      <w:lang w:bidi="ar-SA"/>
    </w:rPr>
  </w:style>
  <w:style w:type="character" w:styleId="2715">
    <w:name w:val="Placeholder Text"/>
    <w:semiHidden/>
    <w:qFormat/>
    <w:uiPriority w:val="0"/>
    <w:rPr>
      <w:color w:val="808080"/>
    </w:rPr>
  </w:style>
  <w:style w:type="character" w:customStyle="1" w:styleId="2716">
    <w:name w:val="批注引用1"/>
    <w:qFormat/>
    <w:uiPriority w:val="0"/>
    <w:rPr>
      <w:sz w:val="21"/>
      <w:szCs w:val="21"/>
    </w:rPr>
  </w:style>
  <w:style w:type="character" w:customStyle="1" w:styleId="2717">
    <w:name w:val="正文文章 Char Char"/>
    <w:semiHidden/>
    <w:qFormat/>
    <w:uiPriority w:val="0"/>
    <w:rPr>
      <w:sz w:val="28"/>
    </w:rPr>
  </w:style>
  <w:style w:type="paragraph" w:customStyle="1" w:styleId="2718">
    <w:name w:val="无间隔1"/>
    <w:next w:val="1"/>
    <w:qFormat/>
    <w:uiPriority w:val="0"/>
    <w:pPr>
      <w:widowControl w:val="0"/>
      <w:jc w:val="center"/>
    </w:pPr>
    <w:rPr>
      <w:rFonts w:ascii="Times New Roman" w:hAnsi="Times New Roman" w:eastAsia="宋体" w:cs="Times New Roman"/>
      <w:kern w:val="2"/>
      <w:sz w:val="24"/>
      <w:szCs w:val="24"/>
      <w:lang w:val="en-US" w:eastAsia="zh-CN" w:bidi="ar-SA"/>
    </w:rPr>
  </w:style>
  <w:style w:type="paragraph" w:customStyle="1" w:styleId="2719">
    <w:name w:val="无间隔2"/>
    <w:semiHidden/>
    <w:qFormat/>
    <w:uiPriority w:val="0"/>
    <w:pPr>
      <w:widowControl w:val="0"/>
      <w:jc w:val="center"/>
    </w:pPr>
    <w:rPr>
      <w:rFonts w:ascii="Times New Roman" w:hAnsi="Times New Roman" w:eastAsia="宋体" w:cs="Times New Roman"/>
      <w:kern w:val="2"/>
      <w:sz w:val="24"/>
      <w:szCs w:val="24"/>
      <w:lang w:val="en-US" w:eastAsia="zh-CN" w:bidi="ar-SA"/>
    </w:rPr>
  </w:style>
  <w:style w:type="character" w:customStyle="1" w:styleId="2720">
    <w:name w:val="批注引用2"/>
    <w:qFormat/>
    <w:uiPriority w:val="0"/>
    <w:rPr>
      <w:sz w:val="21"/>
      <w:szCs w:val="21"/>
    </w:rPr>
  </w:style>
  <w:style w:type="character" w:customStyle="1" w:styleId="2721">
    <w:name w:val="表格 Char Char"/>
    <w:qFormat/>
    <w:uiPriority w:val="1"/>
    <w:rPr>
      <w:rFonts w:ascii="宋体" w:hAnsi="Times New Roman" w:eastAsia="宋体" w:cs="Times New Roman"/>
      <w:spacing w:val="10"/>
      <w:kern w:val="18"/>
      <w:szCs w:val="20"/>
    </w:rPr>
  </w:style>
  <w:style w:type="character" w:customStyle="1" w:styleId="2722">
    <w:name w:val="正文(首行缩进) Char Char"/>
    <w:qFormat/>
    <w:uiPriority w:val="0"/>
    <w:rPr>
      <w:rFonts w:ascii="Times New Roman" w:hAnsi="Times New Roman" w:eastAsia="宋体" w:cs="Times New Roman"/>
      <w:kern w:val="0"/>
      <w:sz w:val="24"/>
      <w:szCs w:val="24"/>
    </w:rPr>
  </w:style>
  <w:style w:type="paragraph" w:customStyle="1" w:styleId="2723">
    <w:name w:val="Char12"/>
    <w:basedOn w:val="1"/>
    <w:qFormat/>
    <w:uiPriority w:val="0"/>
    <w:pPr>
      <w:tabs>
        <w:tab w:val="clear" w:pos="480"/>
      </w:tabs>
    </w:pPr>
    <w:rPr>
      <w:rFonts w:ascii="Tahoma" w:hAnsi="Tahoma"/>
      <w:szCs w:val="20"/>
    </w:rPr>
  </w:style>
  <w:style w:type="character" w:customStyle="1" w:styleId="2724">
    <w:name w:val="干标题(a) Char Char1"/>
    <w:semiHidden/>
    <w:qFormat/>
    <w:uiPriority w:val="0"/>
    <w:rPr>
      <w:rFonts w:ascii="黑体" w:hAnsi="Arial" w:eastAsia="黑体" w:cs="Times New Roman"/>
      <w:kern w:val="0"/>
      <w:sz w:val="24"/>
      <w:szCs w:val="20"/>
    </w:rPr>
  </w:style>
  <w:style w:type="paragraph" w:customStyle="1" w:styleId="2725">
    <w:name w:val="cc"/>
    <w:basedOn w:val="1567"/>
    <w:semiHidden/>
    <w:qFormat/>
    <w:uiPriority w:val="0"/>
    <w:pPr>
      <w:widowControl w:val="0"/>
      <w:ind w:firstLine="200"/>
      <w:jc w:val="left"/>
    </w:pPr>
    <w:rPr>
      <w:szCs w:val="20"/>
    </w:rPr>
  </w:style>
  <w:style w:type="paragraph" w:customStyle="1" w:styleId="2726">
    <w:name w:val="样式 标题 2 + 左侧:  0.32 厘米 首行缩进:  0 厘米"/>
    <w:basedOn w:val="4"/>
    <w:semiHidden/>
    <w:qFormat/>
    <w:uiPriority w:val="0"/>
    <w:pPr>
      <w:keepLines w:val="0"/>
      <w:widowControl/>
      <w:tabs>
        <w:tab w:val="left" w:pos="360"/>
        <w:tab w:val="left" w:pos="1320"/>
        <w:tab w:val="clear" w:pos="480"/>
        <w:tab w:val="clear" w:pos="630"/>
      </w:tabs>
      <w:overflowPunct w:val="0"/>
      <w:topLinePunct/>
      <w:autoSpaceDE w:val="0"/>
      <w:spacing w:before="0" w:after="0" w:line="312" w:lineRule="auto"/>
      <w:ind w:left="576" w:hanging="420"/>
    </w:pPr>
    <w:rPr>
      <w:rFonts w:ascii="黑体" w:eastAsia="黑体"/>
      <w:color w:val="000000"/>
      <w:spacing w:val="20"/>
      <w:kern w:val="0"/>
      <w:sz w:val="30"/>
      <w:szCs w:val="20"/>
    </w:rPr>
  </w:style>
  <w:style w:type="character" w:customStyle="1" w:styleId="2727">
    <w:name w:val="脚注文本 Char1"/>
    <w:qFormat/>
    <w:uiPriority w:val="0"/>
    <w:rPr>
      <w:rFonts w:ascii="Times New Roman" w:hAnsi="Times New Roman" w:eastAsia="宋体" w:cs="Times New Roman"/>
      <w:sz w:val="18"/>
      <w:szCs w:val="18"/>
    </w:rPr>
  </w:style>
  <w:style w:type="character" w:customStyle="1" w:styleId="2728">
    <w:name w:val="一号 加粗 无缩进居中"/>
    <w:semiHidden/>
    <w:qFormat/>
    <w:uiPriority w:val="0"/>
    <w:rPr>
      <w:b/>
      <w:bCs/>
      <w:sz w:val="52"/>
    </w:rPr>
  </w:style>
  <w:style w:type="character" w:customStyle="1" w:styleId="2729">
    <w:name w:val="批注文字 Char1"/>
    <w:qFormat/>
    <w:uiPriority w:val="99"/>
    <w:rPr>
      <w:rFonts w:ascii="Times New Roman" w:hAnsi="Times New Roman" w:eastAsia="宋体" w:cs="Times New Roman"/>
      <w:szCs w:val="24"/>
    </w:rPr>
  </w:style>
  <w:style w:type="character" w:customStyle="1" w:styleId="2730">
    <w:name w:val="报告 Char1"/>
    <w:link w:val="723"/>
    <w:qFormat/>
    <w:locked/>
    <w:uiPriority w:val="0"/>
    <w:rPr>
      <w:rFonts w:eastAsia="宋体"/>
      <w:sz w:val="24"/>
      <w:lang w:val="en-US" w:eastAsia="zh-CN" w:bidi="ar-SA"/>
    </w:rPr>
  </w:style>
  <w:style w:type="character" w:customStyle="1" w:styleId="2731">
    <w:name w:val="表名 Char1"/>
    <w:link w:val="747"/>
    <w:qFormat/>
    <w:locked/>
    <w:uiPriority w:val="0"/>
    <w:rPr>
      <w:rFonts w:eastAsia="黑体"/>
      <w:sz w:val="24"/>
      <w:lang w:val="en-US" w:eastAsia="zh-CN" w:bidi="ar-SA"/>
    </w:rPr>
  </w:style>
  <w:style w:type="character" w:customStyle="1" w:styleId="2732">
    <w:name w:val="正文 32 Char"/>
    <w:link w:val="2468"/>
    <w:qFormat/>
    <w:locked/>
    <w:uiPriority w:val="0"/>
    <w:rPr>
      <w:rFonts w:eastAsia="楷体"/>
      <w:sz w:val="24"/>
      <w:lang w:val="en-US" w:eastAsia="zh-CN" w:bidi="ar-SA"/>
    </w:rPr>
  </w:style>
  <w:style w:type="paragraph" w:customStyle="1" w:styleId="2733">
    <w:name w:val="字元 字元2"/>
    <w:basedOn w:val="1"/>
    <w:semiHidden/>
    <w:qFormat/>
    <w:uiPriority w:val="0"/>
    <w:pPr>
      <w:tabs>
        <w:tab w:val="clear" w:pos="480"/>
      </w:tabs>
      <w:adjustRightInd w:val="0"/>
    </w:pPr>
    <w:rPr>
      <w:kern w:val="0"/>
      <w:szCs w:val="20"/>
    </w:rPr>
  </w:style>
  <w:style w:type="paragraph" w:customStyle="1" w:styleId="2734">
    <w:name w:val="paragraph12"/>
    <w:basedOn w:val="1"/>
    <w:semiHidden/>
    <w:qFormat/>
    <w:uiPriority w:val="0"/>
    <w:pPr>
      <w:widowControl/>
      <w:tabs>
        <w:tab w:val="clear" w:pos="480"/>
      </w:tabs>
      <w:spacing w:before="100" w:beforeAutospacing="1" w:after="100" w:afterAutospacing="1"/>
      <w:ind w:firstLine="504"/>
      <w:jc w:val="left"/>
    </w:pPr>
    <w:rPr>
      <w:rFonts w:ascii="ˎ̥" w:hAnsi="ˎ̥" w:cs="宋体"/>
      <w:kern w:val="0"/>
    </w:rPr>
  </w:style>
  <w:style w:type="character" w:customStyle="1" w:styleId="2735">
    <w:name w:val="文档结构图 Char1"/>
    <w:qFormat/>
    <w:uiPriority w:val="99"/>
    <w:rPr>
      <w:rFonts w:ascii="宋体" w:hAnsi="Times New Roman" w:eastAsia="宋体" w:cs="Times New Roman"/>
      <w:sz w:val="18"/>
      <w:szCs w:val="18"/>
    </w:rPr>
  </w:style>
  <w:style w:type="paragraph" w:customStyle="1" w:styleId="2736">
    <w:name w:val="默认段落字体 Para Char Char Char Char Char Char Char Char Char1 Char Char Char Char Char Char Char"/>
    <w:basedOn w:val="27"/>
    <w:qFormat/>
    <w:uiPriority w:val="0"/>
    <w:pPr/>
    <w:rPr>
      <w:rFonts w:ascii="Tahoma" w:hAnsi="Tahoma" w:cs="Tahoma"/>
      <w:kern w:val="0"/>
      <w:sz w:val="24"/>
    </w:rPr>
  </w:style>
  <w:style w:type="paragraph" w:customStyle="1" w:styleId="2737">
    <w:name w:val="字元"/>
    <w:basedOn w:val="27"/>
    <w:semiHidden/>
    <w:qFormat/>
    <w:uiPriority w:val="0"/>
    <w:pPr/>
    <w:rPr>
      <w:rFonts w:ascii="Tahoma" w:hAnsi="Tahoma" w:cs="Tahoma"/>
      <w:kern w:val="0"/>
      <w:sz w:val="24"/>
    </w:rPr>
  </w:style>
  <w:style w:type="character" w:customStyle="1" w:styleId="2738">
    <w:name w:val="样式 标题 2 Char"/>
    <w:link w:val="658"/>
    <w:qFormat/>
    <w:locked/>
    <w:uiPriority w:val="0"/>
    <w:rPr>
      <w:rFonts w:ascii="仿宋_GB2312" w:hAnsi="宋体" w:eastAsia="仿宋_GB2312"/>
      <w:b/>
      <w:bCs/>
      <w:kern w:val="2"/>
      <w:sz w:val="30"/>
      <w:lang w:val="en-US" w:eastAsia="zh-CN" w:bidi="ar-SA"/>
    </w:rPr>
  </w:style>
  <w:style w:type="paragraph" w:customStyle="1" w:styleId="2739">
    <w:name w:val="样式 标题 4"/>
    <w:basedOn w:val="6"/>
    <w:next w:val="1"/>
    <w:qFormat/>
    <w:uiPriority w:val="0"/>
    <w:pPr>
      <w:numPr>
        <w:ilvl w:val="0"/>
        <w:numId w:val="0"/>
      </w:numPr>
      <w:tabs>
        <w:tab w:val="clear" w:pos="480"/>
      </w:tabs>
      <w:spacing w:before="120" w:after="0"/>
      <w:jc w:val="left"/>
    </w:pPr>
    <w:rPr>
      <w:rFonts w:ascii="Times New Roman" w:hAnsi="Times New Roman" w:eastAsia="黑体" w:cs="宋体"/>
      <w:sz w:val="24"/>
      <w:szCs w:val="24"/>
    </w:rPr>
  </w:style>
  <w:style w:type="paragraph" w:customStyle="1" w:styleId="2740">
    <w:name w:val="样式 表头 + 宋体"/>
    <w:basedOn w:val="166"/>
    <w:semiHidden/>
    <w:qFormat/>
    <w:uiPriority w:val="0"/>
    <w:pPr>
      <w:spacing w:before="120" w:after="120"/>
    </w:pPr>
    <w:rPr>
      <w:rFonts w:eastAsia="黑体"/>
      <w:bCs w:val="0"/>
      <w:snapToGrid/>
      <w:color w:val="auto"/>
      <w:kern w:val="0"/>
      <w:sz w:val="24"/>
      <w:szCs w:val="24"/>
    </w:rPr>
  </w:style>
  <w:style w:type="paragraph" w:customStyle="1" w:styleId="2741">
    <w:name w:val="Char Char Char Char Char Char1 Char Char Char Char Char Char Char1"/>
    <w:basedOn w:val="1"/>
    <w:semiHidden/>
    <w:qFormat/>
    <w:uiPriority w:val="0"/>
    <w:pPr>
      <w:tabs>
        <w:tab w:val="clear" w:pos="480"/>
      </w:tabs>
      <w:spacing w:line="240" w:lineRule="auto"/>
    </w:pPr>
  </w:style>
  <w:style w:type="paragraph" w:customStyle="1" w:styleId="2742">
    <w:name w:val="默认段落字体 Para Char Char Char Char Char Char Char Char Char Char Char Char Char"/>
    <w:basedOn w:val="1"/>
    <w:qFormat/>
    <w:uiPriority w:val="0"/>
    <w:pPr>
      <w:tabs>
        <w:tab w:val="clear" w:pos="480"/>
      </w:tabs>
      <w:spacing w:line="240" w:lineRule="auto"/>
    </w:pPr>
    <w:rPr>
      <w:sz w:val="21"/>
    </w:rPr>
  </w:style>
  <w:style w:type="character" w:customStyle="1" w:styleId="2743">
    <w:name w:val="正文(首行缩进)宋旭峰 Char Char"/>
    <w:link w:val="2744"/>
    <w:qFormat/>
    <w:locked/>
    <w:uiPriority w:val="0"/>
    <w:rPr>
      <w:rFonts w:ascii="Arial" w:hAnsi="Arial"/>
      <w:sz w:val="24"/>
      <w:szCs w:val="24"/>
      <w:lang w:bidi="ar-SA"/>
    </w:rPr>
  </w:style>
  <w:style w:type="paragraph" w:customStyle="1" w:styleId="2744">
    <w:name w:val="正文(首行缩进)宋旭峰"/>
    <w:basedOn w:val="21"/>
    <w:link w:val="2743"/>
    <w:semiHidden/>
    <w:qFormat/>
    <w:uiPriority w:val="0"/>
    <w:pPr>
      <w:tabs>
        <w:tab w:val="clear" w:pos="480"/>
      </w:tabs>
      <w:snapToGrid w:val="0"/>
      <w:spacing w:beforeLines="50" w:afterLines="50"/>
      <w:ind w:firstLine="480"/>
      <w:contextualSpacing/>
    </w:pPr>
    <w:rPr>
      <w:rFonts w:ascii="Arial" w:hAnsi="Arial"/>
      <w:kern w:val="0"/>
      <w:lang w:val="zh-CN"/>
    </w:rPr>
  </w:style>
  <w:style w:type="character" w:customStyle="1" w:styleId="2745">
    <w:name w:val="报告书 Char"/>
    <w:link w:val="2746"/>
    <w:qFormat/>
    <w:locked/>
    <w:uiPriority w:val="0"/>
    <w:rPr>
      <w:rFonts w:ascii="楷体_GB2312" w:eastAsia="楷体_GB2312"/>
      <w:color w:val="FF0000"/>
      <w:sz w:val="24"/>
      <w:lang w:bidi="ar-SA"/>
    </w:rPr>
  </w:style>
  <w:style w:type="paragraph" w:customStyle="1" w:styleId="2746">
    <w:name w:val="报告书"/>
    <w:basedOn w:val="1"/>
    <w:link w:val="2745"/>
    <w:semiHidden/>
    <w:qFormat/>
    <w:uiPriority w:val="0"/>
    <w:pPr>
      <w:tabs>
        <w:tab w:val="clear" w:pos="480"/>
      </w:tabs>
      <w:autoSpaceDE w:val="0"/>
      <w:autoSpaceDN w:val="0"/>
      <w:adjustRightInd w:val="0"/>
      <w:ind w:firstLine="480"/>
      <w:jc w:val="left"/>
    </w:pPr>
    <w:rPr>
      <w:rFonts w:ascii="楷体_GB2312" w:eastAsia="楷体_GB2312"/>
      <w:color w:val="FF0000"/>
      <w:kern w:val="0"/>
      <w:szCs w:val="20"/>
      <w:lang w:val="zh-CN"/>
    </w:rPr>
  </w:style>
  <w:style w:type="paragraph" w:customStyle="1" w:styleId="2747">
    <w:name w:val="新正文样式"/>
    <w:basedOn w:val="1"/>
    <w:semiHidden/>
    <w:qFormat/>
    <w:uiPriority w:val="0"/>
    <w:pPr>
      <w:tabs>
        <w:tab w:val="left" w:pos="567"/>
        <w:tab w:val="clear" w:pos="480"/>
      </w:tabs>
      <w:ind w:firstLine="567"/>
    </w:pPr>
    <w:rPr>
      <w:spacing w:val="20"/>
      <w:szCs w:val="20"/>
    </w:rPr>
  </w:style>
  <w:style w:type="paragraph" w:customStyle="1" w:styleId="2748">
    <w:name w:val="目2"/>
    <w:semiHidden/>
    <w:qFormat/>
    <w:uiPriority w:val="0"/>
    <w:pPr>
      <w:spacing w:beforeLines="50" w:afterLines="50" w:line="360" w:lineRule="auto"/>
      <w:jc w:val="center"/>
      <w:outlineLvl w:val="1"/>
    </w:pPr>
    <w:rPr>
      <w:rFonts w:ascii="Times New Roman" w:hAnsi="Times New Roman" w:eastAsia="黑体" w:cs="Times New Roman"/>
      <w:b/>
      <w:bCs/>
      <w:kern w:val="2"/>
      <w:sz w:val="32"/>
      <w:szCs w:val="32"/>
      <w:lang w:val="en-US" w:eastAsia="zh-CN" w:bidi="ar-SA"/>
    </w:rPr>
  </w:style>
  <w:style w:type="paragraph" w:customStyle="1" w:styleId="2749">
    <w:name w:val="目3"/>
    <w:semiHidden/>
    <w:qFormat/>
    <w:uiPriority w:val="0"/>
    <w:pPr>
      <w:snapToGrid w:val="0"/>
      <w:spacing w:line="360" w:lineRule="auto"/>
      <w:jc w:val="center"/>
      <w:outlineLvl w:val="2"/>
    </w:pPr>
    <w:rPr>
      <w:rFonts w:ascii="Times New Roman" w:hAnsi="Times New Roman" w:eastAsia="宋体" w:cs="Times New Roman"/>
      <w:b/>
      <w:bCs/>
      <w:kern w:val="18"/>
      <w:sz w:val="28"/>
      <w:szCs w:val="28"/>
      <w:lang w:val="en-US" w:eastAsia="zh-CN" w:bidi="ar-SA"/>
    </w:rPr>
  </w:style>
  <w:style w:type="paragraph" w:customStyle="1" w:styleId="2750">
    <w:name w:val="第二个标题"/>
    <w:basedOn w:val="4"/>
    <w:semiHidden/>
    <w:qFormat/>
    <w:uiPriority w:val="0"/>
    <w:pPr>
      <w:tabs>
        <w:tab w:val="clear" w:pos="480"/>
        <w:tab w:val="clear" w:pos="630"/>
      </w:tabs>
      <w:adjustRightInd w:val="0"/>
      <w:snapToGrid w:val="0"/>
      <w:spacing w:beforeLines="50" w:afterLines="50"/>
    </w:pPr>
    <w:rPr>
      <w:kern w:val="0"/>
      <w:szCs w:val="28"/>
    </w:rPr>
  </w:style>
  <w:style w:type="paragraph" w:customStyle="1" w:styleId="2751">
    <w:name w:val="第3只标题"/>
    <w:basedOn w:val="2750"/>
    <w:semiHidden/>
    <w:qFormat/>
    <w:uiPriority w:val="0"/>
    <w:pPr>
      <w:outlineLvl w:val="2"/>
    </w:pPr>
    <w:rPr>
      <w:sz w:val="30"/>
      <w:szCs w:val="30"/>
    </w:rPr>
  </w:style>
  <w:style w:type="character" w:customStyle="1" w:styleId="2752">
    <w:name w:val="样式 样式 标题 3 + (中文) 宋体1 Char"/>
    <w:link w:val="2753"/>
    <w:qFormat/>
    <w:locked/>
    <w:uiPriority w:val="0"/>
    <w:rPr>
      <w:rFonts w:ascii="宋体" w:hAnsi="宋体" w:eastAsia="宋体"/>
      <w:bCs/>
      <w:sz w:val="24"/>
      <w:szCs w:val="24"/>
      <w:lang w:bidi="ar-SA"/>
    </w:rPr>
  </w:style>
  <w:style w:type="paragraph" w:customStyle="1" w:styleId="2753">
    <w:name w:val="样式 样式 标题 3 + (中文) 宋体1"/>
    <w:basedOn w:val="1"/>
    <w:link w:val="2752"/>
    <w:semiHidden/>
    <w:qFormat/>
    <w:uiPriority w:val="0"/>
    <w:pPr>
      <w:keepNext/>
      <w:keepLines/>
      <w:tabs>
        <w:tab w:val="clear" w:pos="480"/>
      </w:tabs>
      <w:spacing w:before="120" w:after="240" w:line="0" w:lineRule="atLeast"/>
      <w:jc w:val="left"/>
      <w:outlineLvl w:val="2"/>
    </w:pPr>
    <w:rPr>
      <w:rFonts w:ascii="宋体" w:hAnsi="宋体"/>
      <w:bCs/>
      <w:kern w:val="0"/>
      <w:lang w:val="zh-CN"/>
    </w:rPr>
  </w:style>
  <w:style w:type="character" w:customStyle="1" w:styleId="2754">
    <w:name w:val="样式 样式 标题 3 + (中文) 宋体 Char"/>
    <w:link w:val="2755"/>
    <w:qFormat/>
    <w:locked/>
    <w:uiPriority w:val="0"/>
    <w:rPr>
      <w:rFonts w:ascii="宋体" w:hAnsi="宋体" w:eastAsia="宋体"/>
      <w:bCs/>
      <w:sz w:val="24"/>
      <w:szCs w:val="24"/>
      <w:lang w:bidi="ar-SA"/>
    </w:rPr>
  </w:style>
  <w:style w:type="paragraph" w:customStyle="1" w:styleId="2755">
    <w:name w:val="样式 样式 标题 3 + (中文) 宋体"/>
    <w:basedOn w:val="1"/>
    <w:link w:val="2754"/>
    <w:semiHidden/>
    <w:qFormat/>
    <w:uiPriority w:val="0"/>
    <w:pPr>
      <w:keepNext/>
      <w:keepLines/>
      <w:tabs>
        <w:tab w:val="clear" w:pos="480"/>
      </w:tabs>
      <w:spacing w:before="120" w:after="240" w:line="0" w:lineRule="atLeast"/>
      <w:jc w:val="left"/>
      <w:outlineLvl w:val="2"/>
    </w:pPr>
    <w:rPr>
      <w:rFonts w:ascii="宋体" w:hAnsi="宋体"/>
      <w:bCs/>
      <w:kern w:val="0"/>
      <w:lang w:val="zh-CN"/>
    </w:rPr>
  </w:style>
  <w:style w:type="paragraph" w:customStyle="1" w:styleId="2756">
    <w:name w:val="样式 标题 2 + 小三 非加粗"/>
    <w:basedOn w:val="4"/>
    <w:semiHidden/>
    <w:qFormat/>
    <w:uiPriority w:val="0"/>
    <w:pPr>
      <w:tabs>
        <w:tab w:val="clear" w:pos="480"/>
        <w:tab w:val="clear" w:pos="630"/>
      </w:tabs>
      <w:spacing w:after="260" w:line="312" w:lineRule="auto"/>
      <w:jc w:val="left"/>
    </w:pPr>
    <w:rPr>
      <w:rFonts w:eastAsia="黑体" w:cs="宋体"/>
      <w:b w:val="0"/>
      <w:bCs w:val="0"/>
      <w:kern w:val="0"/>
      <w:sz w:val="30"/>
      <w:szCs w:val="20"/>
    </w:rPr>
  </w:style>
  <w:style w:type="paragraph" w:customStyle="1" w:styleId="2757">
    <w:name w:val="段落A"/>
    <w:basedOn w:val="1"/>
    <w:semiHidden/>
    <w:qFormat/>
    <w:uiPriority w:val="0"/>
    <w:pPr>
      <w:tabs>
        <w:tab w:val="clear" w:pos="480"/>
      </w:tabs>
      <w:spacing w:line="400" w:lineRule="exact"/>
      <w:ind w:firstLine="480"/>
    </w:pPr>
  </w:style>
  <w:style w:type="paragraph" w:customStyle="1" w:styleId="2758">
    <w:name w:val="Char Char Char Char Char Char Char Char Char Char Char Char1 Char1"/>
    <w:basedOn w:val="1"/>
    <w:semiHidden/>
    <w:qFormat/>
    <w:uiPriority w:val="0"/>
    <w:pPr>
      <w:tabs>
        <w:tab w:val="clear" w:pos="480"/>
      </w:tabs>
    </w:pPr>
    <w:rPr>
      <w:rFonts w:ascii="宋体" w:hAnsi="宋体" w:cs="宋体"/>
    </w:rPr>
  </w:style>
  <w:style w:type="paragraph" w:customStyle="1" w:styleId="2759">
    <w:name w:val="pagecontent_normal"/>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2760">
    <w:name w:val="msonormal at_0"/>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761">
    <w:name w:val="表、图名宋旭峰"/>
    <w:basedOn w:val="166"/>
    <w:semiHidden/>
    <w:qFormat/>
    <w:uiPriority w:val="0"/>
    <w:pPr>
      <w:spacing w:beforeLines="50"/>
    </w:pPr>
    <w:rPr>
      <w:rFonts w:ascii="黑体" w:hAnsi="宋体" w:eastAsia="黑体"/>
      <w:bCs w:val="0"/>
      <w:snapToGrid/>
      <w:color w:val="auto"/>
      <w:kern w:val="0"/>
    </w:rPr>
  </w:style>
  <w:style w:type="paragraph" w:customStyle="1" w:styleId="2762">
    <w:name w:val="表体宋旭峰"/>
    <w:basedOn w:val="1"/>
    <w:semiHidden/>
    <w:qFormat/>
    <w:uiPriority w:val="0"/>
    <w:pPr>
      <w:tabs>
        <w:tab w:val="clear" w:pos="480"/>
      </w:tabs>
      <w:overflowPunct w:val="0"/>
      <w:snapToGrid w:val="0"/>
      <w:spacing w:line="280" w:lineRule="atLeast"/>
      <w:jc w:val="center"/>
    </w:pPr>
    <w:rPr>
      <w:rFonts w:ascii="宋体" w:hAnsi="Courier New" w:cs="Courier New"/>
      <w:kern w:val="24"/>
      <w:sz w:val="18"/>
      <w:szCs w:val="20"/>
    </w:rPr>
  </w:style>
  <w:style w:type="paragraph" w:customStyle="1" w:styleId="2763">
    <w:name w:val="样式 标题4 + 首行缩进:  0.99 厘米 段前: 0.5 行 段后: 0.5 行"/>
    <w:basedOn w:val="21"/>
    <w:semiHidden/>
    <w:qFormat/>
    <w:uiPriority w:val="0"/>
    <w:pPr>
      <w:tabs>
        <w:tab w:val="clear" w:pos="480"/>
      </w:tabs>
      <w:adjustRightInd w:val="0"/>
      <w:spacing w:beforeLines="50" w:afterLines="50" w:line="460" w:lineRule="exact"/>
      <w:ind w:firstLine="0" w:firstLineChars="0"/>
    </w:pPr>
    <w:rPr>
      <w:rFonts w:ascii="Arial" w:hAnsi="Arial" w:cs="宋体"/>
      <w:color w:val="000000"/>
      <w:kern w:val="0"/>
      <w:sz w:val="28"/>
      <w:szCs w:val="20"/>
    </w:rPr>
  </w:style>
  <w:style w:type="paragraph" w:customStyle="1" w:styleId="2764">
    <w:name w:val="段落编号"/>
    <w:basedOn w:val="51"/>
    <w:semiHidden/>
    <w:qFormat/>
    <w:uiPriority w:val="0"/>
    <w:pPr>
      <w:tabs>
        <w:tab w:val="left" w:pos="140"/>
        <w:tab w:val="left" w:pos="900"/>
      </w:tabs>
      <w:adjustRightInd w:val="0"/>
      <w:spacing w:beforeLines="50" w:line="480" w:lineRule="exact"/>
      <w:ind w:left="900" w:hanging="420" w:firstLineChars="0"/>
    </w:pPr>
    <w:rPr>
      <w:rFonts w:ascii="Calibri" w:hAnsi="Calibri"/>
      <w:spacing w:val="6"/>
      <w:kern w:val="0"/>
      <w:sz w:val="28"/>
      <w:szCs w:val="20"/>
    </w:rPr>
  </w:style>
  <w:style w:type="paragraph" w:customStyle="1" w:styleId="2765">
    <w:name w:val="样式 首行缩进:  2 字符 段前: 7.8 磅"/>
    <w:basedOn w:val="1"/>
    <w:semiHidden/>
    <w:qFormat/>
    <w:uiPriority w:val="0"/>
    <w:pPr>
      <w:tabs>
        <w:tab w:val="clear" w:pos="480"/>
      </w:tabs>
      <w:spacing w:line="480" w:lineRule="exact"/>
    </w:pPr>
    <w:rPr>
      <w:rFonts w:cs="宋体"/>
      <w:kern w:val="0"/>
      <w:sz w:val="28"/>
      <w:szCs w:val="20"/>
    </w:rPr>
  </w:style>
  <w:style w:type="paragraph" w:customStyle="1" w:styleId="2766">
    <w:name w:val="表格居中"/>
    <w:basedOn w:val="1"/>
    <w:qFormat/>
    <w:uiPriority w:val="0"/>
    <w:pPr>
      <w:tabs>
        <w:tab w:val="clear" w:pos="480"/>
      </w:tabs>
      <w:adjustRightInd w:val="0"/>
      <w:spacing w:line="400" w:lineRule="exact"/>
      <w:ind w:left="-59" w:leftChars="-21" w:right="-73" w:rightChars="-26"/>
      <w:jc w:val="center"/>
    </w:pPr>
    <w:rPr>
      <w:rFonts w:hAnsi="Arial"/>
      <w:color w:val="000000"/>
      <w:kern w:val="0"/>
      <w:sz w:val="28"/>
    </w:rPr>
  </w:style>
  <w:style w:type="paragraph" w:customStyle="1" w:styleId="2767">
    <w:name w:val="样式1(标4)"/>
    <w:basedOn w:val="5"/>
    <w:semiHidden/>
    <w:qFormat/>
    <w:uiPriority w:val="0"/>
    <w:pPr>
      <w:keepNext w:val="0"/>
      <w:tabs>
        <w:tab w:val="clear" w:pos="480"/>
        <w:tab w:val="clear" w:pos="840"/>
      </w:tabs>
      <w:snapToGrid w:val="0"/>
      <w:spacing w:beforeLines="50" w:after="120" w:line="412" w:lineRule="auto"/>
      <w:ind w:firstLine="200"/>
      <w:outlineLvl w:val="9"/>
    </w:pPr>
    <w:rPr>
      <w:rFonts w:ascii="Times New Roman" w:eastAsia="宋体"/>
      <w:b w:val="0"/>
      <w:kern w:val="0"/>
      <w:sz w:val="28"/>
    </w:rPr>
  </w:style>
  <w:style w:type="character" w:customStyle="1" w:styleId="2768">
    <w:name w:val="正文文本 3 Char1"/>
    <w:qFormat/>
    <w:uiPriority w:val="0"/>
    <w:rPr>
      <w:rFonts w:ascii="Times New Roman" w:hAnsi="Times New Roman" w:eastAsia="宋体" w:cs="Times New Roman"/>
      <w:sz w:val="16"/>
      <w:szCs w:val="16"/>
    </w:rPr>
  </w:style>
  <w:style w:type="paragraph" w:customStyle="1" w:styleId="2769">
    <w:name w:val="样式（正文4）"/>
    <w:basedOn w:val="32"/>
    <w:semiHidden/>
    <w:qFormat/>
    <w:uiPriority w:val="0"/>
    <w:pPr>
      <w:adjustRightInd w:val="0"/>
      <w:spacing w:after="120" w:line="460" w:lineRule="exact"/>
      <w:jc w:val="both"/>
    </w:pPr>
    <w:rPr>
      <w:rFonts w:hint="eastAsia" w:ascii="Arial" w:hAnsi="Arial" w:eastAsia="宋体" w:cs="Arial"/>
      <w:color w:val="000000"/>
      <w:kern w:val="0"/>
      <w:sz w:val="28"/>
      <w:szCs w:val="28"/>
    </w:rPr>
  </w:style>
  <w:style w:type="paragraph" w:customStyle="1" w:styleId="2770">
    <w:name w:val="内部地址"/>
    <w:basedOn w:val="1"/>
    <w:semiHidden/>
    <w:qFormat/>
    <w:uiPriority w:val="0"/>
    <w:pPr>
      <w:tabs>
        <w:tab w:val="clear" w:pos="480"/>
      </w:tabs>
      <w:spacing w:beforeLines="10" w:afterLines="10" w:line="560" w:lineRule="exact"/>
      <w:ind w:firstLine="600"/>
    </w:pPr>
    <w:rPr>
      <w:rFonts w:ascii="宋体" w:hAnsi="宋体"/>
      <w:kern w:val="0"/>
      <w:sz w:val="30"/>
    </w:rPr>
  </w:style>
  <w:style w:type="paragraph" w:customStyle="1" w:styleId="2771">
    <w:name w:val="样式（表）"/>
    <w:basedOn w:val="2769"/>
    <w:semiHidden/>
    <w:qFormat/>
    <w:uiPriority w:val="0"/>
    <w:pPr>
      <w:spacing w:after="100" w:afterAutospacing="1"/>
      <w:jc w:val="center"/>
    </w:pPr>
    <w:rPr>
      <w:rFonts w:ascii="宋体"/>
      <w:sz w:val="21"/>
    </w:rPr>
  </w:style>
  <w:style w:type="paragraph" w:customStyle="1" w:styleId="2772">
    <w:name w:val="表格4号"/>
    <w:basedOn w:val="32"/>
    <w:semiHidden/>
    <w:qFormat/>
    <w:uiPriority w:val="0"/>
    <w:pPr>
      <w:adjustRightInd w:val="0"/>
      <w:spacing w:line="300" w:lineRule="exact"/>
      <w:jc w:val="both"/>
    </w:pPr>
    <w:rPr>
      <w:rFonts w:hint="eastAsia" w:ascii="Arial" w:hAnsi="Arial" w:eastAsia="宋体" w:cs="Arial"/>
      <w:color w:val="000000"/>
      <w:kern w:val="0"/>
      <w:sz w:val="24"/>
      <w:szCs w:val="28"/>
    </w:rPr>
  </w:style>
  <w:style w:type="paragraph" w:customStyle="1" w:styleId="2773">
    <w:name w:val="表格居中4号"/>
    <w:basedOn w:val="2766"/>
    <w:semiHidden/>
    <w:qFormat/>
    <w:uiPriority w:val="0"/>
    <w:pPr>
      <w:spacing w:line="360" w:lineRule="exact"/>
    </w:pPr>
  </w:style>
  <w:style w:type="paragraph" w:customStyle="1" w:styleId="2774">
    <w:name w:val="院名"/>
    <w:basedOn w:val="1"/>
    <w:semiHidden/>
    <w:qFormat/>
    <w:uiPriority w:val="0"/>
    <w:pPr>
      <w:tabs>
        <w:tab w:val="clear" w:pos="480"/>
      </w:tabs>
      <w:adjustRightInd w:val="0"/>
      <w:spacing w:before="60" w:after="60" w:line="800" w:lineRule="exact"/>
      <w:ind w:firstLine="567"/>
      <w:jc w:val="center"/>
    </w:pPr>
    <w:rPr>
      <w:spacing w:val="10"/>
      <w:kern w:val="0"/>
      <w:sz w:val="36"/>
      <w:szCs w:val="20"/>
    </w:rPr>
  </w:style>
  <w:style w:type="paragraph" w:customStyle="1" w:styleId="2775">
    <w:name w:val="节标题"/>
    <w:basedOn w:val="1"/>
    <w:semiHidden/>
    <w:qFormat/>
    <w:uiPriority w:val="0"/>
    <w:pPr>
      <w:keepLines/>
      <w:tabs>
        <w:tab w:val="clear" w:pos="480"/>
      </w:tabs>
      <w:overflowPunct w:val="0"/>
      <w:adjustRightInd w:val="0"/>
      <w:spacing w:before="240" w:after="120" w:line="360" w:lineRule="exact"/>
      <w:jc w:val="center"/>
    </w:pPr>
    <w:rPr>
      <w:rFonts w:hAnsi="Roman 10cpi" w:eastAsia="黑体"/>
      <w:spacing w:val="10"/>
      <w:kern w:val="28"/>
      <w:sz w:val="36"/>
      <w:szCs w:val="20"/>
    </w:rPr>
  </w:style>
  <w:style w:type="paragraph" w:customStyle="1" w:styleId="2776">
    <w:name w:val="表格名"/>
    <w:basedOn w:val="1"/>
    <w:qFormat/>
    <w:uiPriority w:val="0"/>
    <w:pPr>
      <w:keepNext/>
      <w:tabs>
        <w:tab w:val="clear" w:pos="480"/>
      </w:tabs>
      <w:adjustRightInd w:val="0"/>
      <w:spacing w:before="60" w:after="60" w:line="600" w:lineRule="exact"/>
      <w:ind w:right="-193" w:firstLine="624"/>
      <w:jc w:val="center"/>
    </w:pPr>
    <w:rPr>
      <w:rFonts w:eastAsia="黑体"/>
      <w:b/>
      <w:spacing w:val="10"/>
      <w:kern w:val="0"/>
      <w:sz w:val="28"/>
      <w:szCs w:val="20"/>
    </w:rPr>
  </w:style>
  <w:style w:type="paragraph" w:customStyle="1" w:styleId="2777">
    <w:name w:val="样式 注 + 首行缩进:  2 字符"/>
    <w:basedOn w:val="10"/>
    <w:semiHidden/>
    <w:qFormat/>
    <w:uiPriority w:val="0"/>
    <w:pPr>
      <w:keepNext w:val="0"/>
      <w:keepLines w:val="0"/>
      <w:numPr>
        <w:ilvl w:val="0"/>
        <w:numId w:val="0"/>
      </w:numPr>
      <w:tabs>
        <w:tab w:val="left" w:pos="1215"/>
        <w:tab w:val="clear" w:pos="480"/>
      </w:tabs>
      <w:autoSpaceDE/>
      <w:autoSpaceDN/>
      <w:spacing w:before="0" w:after="100" w:afterAutospacing="1" w:line="400" w:lineRule="exact"/>
      <w:ind w:hanging="720"/>
      <w:textAlignment w:val="auto"/>
      <w:outlineLvl w:val="9"/>
    </w:pPr>
    <w:rPr>
      <w:rFonts w:hint="eastAsia" w:ascii="宋体" w:eastAsia="宋体" w:cs="宋体"/>
      <w:color w:val="000000"/>
      <w:kern w:val="0"/>
      <w:szCs w:val="24"/>
    </w:rPr>
  </w:style>
  <w:style w:type="paragraph" w:customStyle="1" w:styleId="2778">
    <w:name w:val="样式 幼圆 小四 段前: 7.8 磅 段后: 15.6 磅 行距: 固定值 18 磅"/>
    <w:basedOn w:val="1"/>
    <w:semiHidden/>
    <w:qFormat/>
    <w:uiPriority w:val="0"/>
    <w:pPr>
      <w:tabs>
        <w:tab w:val="clear" w:pos="480"/>
      </w:tabs>
      <w:spacing w:before="156" w:after="312" w:line="360" w:lineRule="exact"/>
      <w:ind w:left="1619" w:leftChars="771"/>
    </w:pPr>
    <w:rPr>
      <w:rFonts w:ascii="幼圆" w:eastAsia="幼圆" w:cs="宋体"/>
      <w:szCs w:val="20"/>
    </w:rPr>
  </w:style>
  <w:style w:type="paragraph" w:customStyle="1" w:styleId="2779">
    <w:name w:val="样式 段前: 7.8 磅 段后: 6 磅"/>
    <w:basedOn w:val="1"/>
    <w:semiHidden/>
    <w:qFormat/>
    <w:uiPriority w:val="0"/>
    <w:pPr>
      <w:tabs>
        <w:tab w:val="clear" w:pos="480"/>
      </w:tabs>
      <w:spacing w:before="156" w:after="120" w:line="480" w:lineRule="exact"/>
    </w:pPr>
    <w:rPr>
      <w:rFonts w:cs="宋体"/>
      <w:kern w:val="0"/>
      <w:sz w:val="28"/>
      <w:szCs w:val="20"/>
    </w:rPr>
  </w:style>
  <w:style w:type="paragraph" w:customStyle="1" w:styleId="2780">
    <w:name w:val="样式 段前: 7.8 磅 段后: 6 磅1"/>
    <w:basedOn w:val="1"/>
    <w:semiHidden/>
    <w:qFormat/>
    <w:uiPriority w:val="0"/>
    <w:pPr>
      <w:tabs>
        <w:tab w:val="clear" w:pos="480"/>
      </w:tabs>
      <w:spacing w:line="480" w:lineRule="exact"/>
      <w:ind w:firstLine="150" w:firstLineChars="150"/>
    </w:pPr>
    <w:rPr>
      <w:rFonts w:cs="宋体"/>
      <w:kern w:val="0"/>
      <w:sz w:val="28"/>
      <w:szCs w:val="20"/>
    </w:rPr>
  </w:style>
  <w:style w:type="paragraph" w:customStyle="1" w:styleId="2781">
    <w:name w:val="样式 段前: 7.8 磅 段后: 6 磅2"/>
    <w:basedOn w:val="1"/>
    <w:semiHidden/>
    <w:qFormat/>
    <w:uiPriority w:val="0"/>
    <w:pPr>
      <w:tabs>
        <w:tab w:val="clear" w:pos="480"/>
      </w:tabs>
      <w:spacing w:before="156" w:after="120" w:line="480" w:lineRule="exact"/>
    </w:pPr>
    <w:rPr>
      <w:rFonts w:cs="宋体"/>
      <w:kern w:val="0"/>
      <w:sz w:val="28"/>
      <w:szCs w:val="20"/>
    </w:rPr>
  </w:style>
  <w:style w:type="paragraph" w:customStyle="1" w:styleId="2782">
    <w:name w:val="样式 段落编号 + 段前: 0.5 行"/>
    <w:basedOn w:val="2764"/>
    <w:semiHidden/>
    <w:qFormat/>
    <w:uiPriority w:val="0"/>
    <w:pPr>
      <w:spacing w:beforeLines="300"/>
    </w:pPr>
    <w:rPr>
      <w:rFonts w:cs="宋体"/>
    </w:rPr>
  </w:style>
  <w:style w:type="paragraph" w:customStyle="1" w:styleId="2783">
    <w:name w:val="样式 样式 段落编号 + 段前: 0.5 行 + 段前: 3 行"/>
    <w:basedOn w:val="2782"/>
    <w:semiHidden/>
    <w:qFormat/>
    <w:uiPriority w:val="0"/>
    <w:pPr>
      <w:spacing w:beforeLines="0"/>
    </w:pPr>
  </w:style>
  <w:style w:type="paragraph" w:customStyle="1" w:styleId="2784">
    <w:name w:val="样式 段落编号 + 段前: 0.5 行1"/>
    <w:basedOn w:val="2764"/>
    <w:semiHidden/>
    <w:qFormat/>
    <w:uiPriority w:val="0"/>
    <w:pPr>
      <w:spacing w:beforeLines="25"/>
      <w:ind w:left="1060" w:hanging="493"/>
    </w:pPr>
    <w:rPr>
      <w:rFonts w:cs="宋体"/>
    </w:rPr>
  </w:style>
  <w:style w:type="paragraph" w:customStyle="1" w:styleId="2785">
    <w:name w:val="样式 段落编号 + 段前: 0.5 行2"/>
    <w:basedOn w:val="2764"/>
    <w:semiHidden/>
    <w:qFormat/>
    <w:uiPriority w:val="0"/>
    <w:pPr>
      <w:spacing w:beforeLines="20"/>
    </w:pPr>
    <w:rPr>
      <w:rFonts w:cs="宋体"/>
    </w:rPr>
  </w:style>
  <w:style w:type="paragraph" w:customStyle="1" w:styleId="2786">
    <w:name w:val="样式 段落编号 + 段前: 0.5 行3"/>
    <w:basedOn w:val="2764"/>
    <w:semiHidden/>
    <w:qFormat/>
    <w:uiPriority w:val="0"/>
    <w:pPr>
      <w:spacing w:beforeLines="0"/>
    </w:pPr>
    <w:rPr>
      <w:rFonts w:cs="宋体"/>
    </w:rPr>
  </w:style>
  <w:style w:type="paragraph" w:customStyle="1" w:styleId="2787">
    <w:name w:val="样式 段落编号 + 段前: 0.5 行4"/>
    <w:basedOn w:val="2764"/>
    <w:semiHidden/>
    <w:qFormat/>
    <w:uiPriority w:val="0"/>
    <w:pPr>
      <w:spacing w:beforeLines="0"/>
      <w:ind w:left="1213" w:hanging="493"/>
      <w:jc w:val="left"/>
    </w:pPr>
    <w:rPr>
      <w:rFonts w:cs="宋体"/>
    </w:rPr>
  </w:style>
  <w:style w:type="paragraph" w:customStyle="1" w:styleId="2788">
    <w:name w:val="l_text"/>
    <w:basedOn w:val="1"/>
    <w:semiHidden/>
    <w:qFormat/>
    <w:uiPriority w:val="0"/>
    <w:pPr>
      <w:widowControl/>
      <w:tabs>
        <w:tab w:val="clear" w:pos="480"/>
      </w:tabs>
      <w:overflowPunct w:val="0"/>
      <w:autoSpaceDE w:val="0"/>
      <w:autoSpaceDN w:val="0"/>
      <w:adjustRightInd w:val="0"/>
      <w:ind w:left="170" w:firstLine="680"/>
    </w:pPr>
    <w:rPr>
      <w:rFonts w:ascii="宋体"/>
      <w:kern w:val="0"/>
      <w:sz w:val="28"/>
      <w:szCs w:val="20"/>
      <w:lang w:val="en-GB"/>
    </w:rPr>
  </w:style>
  <w:style w:type="paragraph" w:customStyle="1" w:styleId="2789">
    <w:name w:val="Chapter Subtitle"/>
    <w:basedOn w:val="64"/>
    <w:semiHidden/>
    <w:qFormat/>
    <w:uiPriority w:val="0"/>
    <w:pPr>
      <w:keepLines/>
      <w:adjustRightInd w:val="0"/>
      <w:spacing w:after="420" w:line="240" w:lineRule="auto"/>
      <w:ind w:firstLine="360"/>
      <w:outlineLvl w:val="0"/>
    </w:pPr>
    <w:rPr>
      <w:rFonts w:ascii="Times New Roman" w:hAnsi="Times New Roman" w:eastAsia="黑体" w:cs="Times New Roman"/>
      <w:spacing w:val="20"/>
      <w:kern w:val="20"/>
      <w:sz w:val="27"/>
      <w:szCs w:val="20"/>
    </w:rPr>
  </w:style>
  <w:style w:type="character" w:customStyle="1" w:styleId="2790">
    <w:name w:val="样式7 Char"/>
    <w:link w:val="2701"/>
    <w:qFormat/>
    <w:locked/>
    <w:uiPriority w:val="0"/>
    <w:rPr>
      <w:rFonts w:eastAsia="宋体" w:cs="宋体"/>
      <w:b/>
      <w:bCs/>
      <w:kern w:val="2"/>
      <w:sz w:val="28"/>
      <w:szCs w:val="28"/>
      <w:lang w:bidi="ar-SA"/>
    </w:rPr>
  </w:style>
  <w:style w:type="paragraph" w:customStyle="1" w:styleId="2791">
    <w:name w:val="my标题2"/>
    <w:basedOn w:val="4"/>
    <w:semiHidden/>
    <w:qFormat/>
    <w:uiPriority w:val="0"/>
    <w:pPr>
      <w:tabs>
        <w:tab w:val="left" w:pos="360"/>
        <w:tab w:val="clear" w:pos="480"/>
        <w:tab w:val="clear" w:pos="630"/>
      </w:tabs>
      <w:adjustRightInd w:val="0"/>
      <w:snapToGrid w:val="0"/>
      <w:spacing w:before="120" w:after="0"/>
      <w:jc w:val="left"/>
    </w:pPr>
    <w:rPr>
      <w:b w:val="0"/>
      <w:bCs w:val="0"/>
      <w:kern w:val="0"/>
      <w:sz w:val="24"/>
      <w:szCs w:val="20"/>
    </w:rPr>
  </w:style>
  <w:style w:type="character" w:customStyle="1" w:styleId="2792">
    <w:name w:val="样式 标题 3标题 3 Char Char Char标题 3 Char Char Char Char Char Char标... Char"/>
    <w:link w:val="1356"/>
    <w:qFormat/>
    <w:locked/>
    <w:uiPriority w:val="0"/>
    <w:rPr>
      <w:rFonts w:ascii="Plotter" w:hAnsi="Plotter" w:eastAsia="宋体"/>
      <w:b/>
      <w:bCs/>
      <w:kern w:val="2"/>
      <w:sz w:val="24"/>
      <w:lang w:bidi="ar-SA"/>
    </w:rPr>
  </w:style>
  <w:style w:type="paragraph" w:customStyle="1" w:styleId="2793">
    <w:name w:val="样式 样式 标题 4 + (中文) 宋体"/>
    <w:basedOn w:val="2739"/>
    <w:semiHidden/>
    <w:qFormat/>
    <w:uiPriority w:val="0"/>
    <w:pPr/>
    <w:rPr>
      <w:rFonts w:eastAsia="宋体"/>
      <w:szCs w:val="20"/>
    </w:rPr>
  </w:style>
  <w:style w:type="paragraph" w:customStyle="1" w:styleId="2794">
    <w:name w:val="Bullet"/>
    <w:basedOn w:val="1"/>
    <w:semiHidden/>
    <w:qFormat/>
    <w:uiPriority w:val="0"/>
    <w:pPr>
      <w:tabs>
        <w:tab w:val="left" w:pos="1215"/>
        <w:tab w:val="clear" w:pos="480"/>
      </w:tabs>
      <w:spacing w:before="60" w:after="60" w:line="240" w:lineRule="auto"/>
      <w:ind w:left="1080" w:hanging="495"/>
    </w:pPr>
    <w:rPr>
      <w:rFonts w:ascii="Arial" w:hAnsi="Arial"/>
      <w:sz w:val="22"/>
      <w:szCs w:val="20"/>
      <w:lang w:val="en-GB"/>
    </w:rPr>
  </w:style>
  <w:style w:type="paragraph" w:customStyle="1" w:styleId="2795">
    <w:name w:val="First bullet"/>
    <w:basedOn w:val="1"/>
    <w:semiHidden/>
    <w:qFormat/>
    <w:uiPriority w:val="0"/>
    <w:pPr>
      <w:widowControl/>
      <w:tabs>
        <w:tab w:val="left" w:pos="360"/>
        <w:tab w:val="clear" w:pos="480"/>
      </w:tabs>
      <w:spacing w:line="240" w:lineRule="auto"/>
      <w:ind w:left="216" w:hanging="216"/>
    </w:pPr>
    <w:rPr>
      <w:kern w:val="0"/>
      <w:sz w:val="22"/>
      <w:szCs w:val="20"/>
      <w:lang w:val="en-GB"/>
    </w:rPr>
  </w:style>
  <w:style w:type="paragraph" w:customStyle="1" w:styleId="2796">
    <w:name w:val="b.bullet"/>
    <w:basedOn w:val="1"/>
    <w:semiHidden/>
    <w:qFormat/>
    <w:uiPriority w:val="0"/>
    <w:pPr>
      <w:tabs>
        <w:tab w:val="left" w:pos="1200"/>
        <w:tab w:val="clear" w:pos="480"/>
      </w:tabs>
      <w:spacing w:line="240" w:lineRule="auto"/>
      <w:ind w:left="1200" w:hanging="720"/>
    </w:pPr>
    <w:rPr>
      <w:sz w:val="21"/>
      <w:szCs w:val="20"/>
      <w:lang w:val="en-GB"/>
    </w:rPr>
  </w:style>
  <w:style w:type="paragraph" w:customStyle="1" w:styleId="2797">
    <w:name w:val="HATS Bullet"/>
    <w:basedOn w:val="1"/>
    <w:semiHidden/>
    <w:qFormat/>
    <w:uiPriority w:val="0"/>
    <w:pPr>
      <w:tabs>
        <w:tab w:val="left" w:pos="840"/>
        <w:tab w:val="clear" w:pos="480"/>
      </w:tabs>
      <w:spacing w:line="240" w:lineRule="auto"/>
      <w:ind w:left="840" w:hanging="360"/>
    </w:pPr>
    <w:rPr>
      <w:sz w:val="21"/>
      <w:szCs w:val="20"/>
      <w:lang w:val="en-GB"/>
    </w:rPr>
  </w:style>
  <w:style w:type="paragraph" w:customStyle="1" w:styleId="2798">
    <w:name w:val="bullet 1"/>
    <w:basedOn w:val="1"/>
    <w:semiHidden/>
    <w:qFormat/>
    <w:uiPriority w:val="0"/>
    <w:pPr>
      <w:tabs>
        <w:tab w:val="left" w:pos="840"/>
        <w:tab w:val="clear" w:pos="480"/>
      </w:tabs>
      <w:spacing w:line="240" w:lineRule="auto"/>
      <w:ind w:left="840" w:hanging="360"/>
    </w:pPr>
    <w:rPr>
      <w:sz w:val="21"/>
      <w:szCs w:val="20"/>
      <w:lang w:val="en-GB"/>
    </w:rPr>
  </w:style>
  <w:style w:type="paragraph" w:customStyle="1" w:styleId="2799">
    <w:name w:val="Dot"/>
    <w:basedOn w:val="1"/>
    <w:semiHidden/>
    <w:qFormat/>
    <w:uiPriority w:val="0"/>
    <w:pPr>
      <w:widowControl/>
      <w:tabs>
        <w:tab w:val="left" w:pos="360"/>
        <w:tab w:val="clear" w:pos="480"/>
      </w:tabs>
      <w:spacing w:line="240" w:lineRule="auto"/>
      <w:ind w:left="360" w:hanging="360"/>
    </w:pPr>
    <w:rPr>
      <w:rFonts w:eastAsia="MS Mincho"/>
      <w:b/>
      <w:caps/>
      <w:kern w:val="0"/>
      <w:sz w:val="20"/>
      <w:szCs w:val="20"/>
      <w:lang w:eastAsia="ja-JP"/>
    </w:rPr>
  </w:style>
  <w:style w:type="paragraph" w:customStyle="1" w:styleId="2800">
    <w:name w:val="second bullet"/>
    <w:basedOn w:val="2"/>
    <w:semiHidden/>
    <w:qFormat/>
    <w:uiPriority w:val="0"/>
    <w:pPr>
      <w:widowControl/>
      <w:tabs>
        <w:tab w:val="left" w:pos="425"/>
      </w:tabs>
      <w:ind w:left="425" w:hanging="425"/>
    </w:pPr>
    <w:rPr>
      <w:rFonts w:ascii="Calibri" w:hAnsi="Calibri"/>
      <w:kern w:val="0"/>
      <w:sz w:val="22"/>
    </w:rPr>
  </w:style>
  <w:style w:type="paragraph" w:customStyle="1" w:styleId="2801">
    <w:name w:val="OmniPage #1"/>
    <w:basedOn w:val="1"/>
    <w:semiHidden/>
    <w:qFormat/>
    <w:uiPriority w:val="0"/>
    <w:pPr>
      <w:tabs>
        <w:tab w:val="left" w:pos="5484"/>
        <w:tab w:val="left" w:pos="6720"/>
        <w:tab w:val="left" w:pos="8292"/>
        <w:tab w:val="right" w:pos="8802"/>
        <w:tab w:val="clear" w:pos="480"/>
      </w:tabs>
      <w:spacing w:line="199" w:lineRule="atLeast"/>
      <w:ind w:left="5460" w:right="48"/>
      <w:jc w:val="left"/>
    </w:pPr>
    <w:rPr>
      <w:rFonts w:ascii="Arial" w:hAnsi="Arial" w:eastAsia="MS Mincho"/>
      <w:b/>
      <w:caps/>
      <w:kern w:val="0"/>
      <w:sz w:val="20"/>
      <w:szCs w:val="20"/>
      <w:lang w:eastAsia="ja-JP"/>
    </w:rPr>
  </w:style>
  <w:style w:type="paragraph" w:customStyle="1" w:styleId="2802">
    <w:name w:val="Table Head"/>
    <w:basedOn w:val="4"/>
    <w:semiHidden/>
    <w:qFormat/>
    <w:uiPriority w:val="0"/>
    <w:pPr>
      <w:widowControl/>
      <w:tabs>
        <w:tab w:val="clear" w:pos="480"/>
        <w:tab w:val="clear" w:pos="630"/>
      </w:tabs>
      <w:suppressAutoHyphens/>
      <w:spacing w:before="240" w:line="240" w:lineRule="auto"/>
      <w:jc w:val="center"/>
      <w:outlineLvl w:val="9"/>
    </w:pPr>
    <w:rPr>
      <w:rFonts w:ascii="Helvetica-Normal" w:hAnsi="Helvetica-Normal" w:eastAsia="PMingLiU"/>
      <w:bCs w:val="0"/>
      <w:spacing w:val="-2"/>
      <w:kern w:val="0"/>
      <w:position w:val="6"/>
      <w:sz w:val="20"/>
      <w:szCs w:val="20"/>
      <w:lang w:val="en-GB" w:eastAsia="en-US"/>
    </w:rPr>
  </w:style>
  <w:style w:type="paragraph" w:customStyle="1" w:styleId="2803">
    <w:name w:val="Footer odd"/>
    <w:basedOn w:val="1"/>
    <w:semiHidden/>
    <w:qFormat/>
    <w:uiPriority w:val="0"/>
    <w:pPr>
      <w:widowControl/>
      <w:tabs>
        <w:tab w:val="center" w:pos="4320"/>
        <w:tab w:val="right" w:pos="8640"/>
        <w:tab w:val="clear" w:pos="480"/>
      </w:tabs>
      <w:spacing w:line="240" w:lineRule="auto"/>
      <w:jc w:val="left"/>
    </w:pPr>
    <w:rPr>
      <w:rFonts w:ascii="Arial Narrow" w:hAnsi="Arial Narrow"/>
      <w:kern w:val="0"/>
      <w:sz w:val="20"/>
      <w:szCs w:val="20"/>
      <w:lang w:val="en-GB" w:eastAsia="en-US"/>
    </w:rPr>
  </w:style>
  <w:style w:type="paragraph" w:customStyle="1" w:styleId="2804">
    <w:name w:val="Multilevel list"/>
    <w:basedOn w:val="66"/>
    <w:semiHidden/>
    <w:qFormat/>
    <w:uiPriority w:val="0"/>
    <w:pPr>
      <w:keepLines/>
      <w:widowControl/>
      <w:spacing w:line="264" w:lineRule="auto"/>
      <w:ind w:left="720" w:hanging="720" w:firstLineChars="0"/>
    </w:pPr>
    <w:rPr>
      <w:rFonts w:eastAsia="Times New Roman"/>
      <w:kern w:val="22"/>
      <w:sz w:val="22"/>
      <w:lang w:val="en-GB"/>
    </w:rPr>
  </w:style>
  <w:style w:type="paragraph" w:customStyle="1" w:styleId="2805">
    <w:name w:val="Table caption"/>
    <w:basedOn w:val="23"/>
    <w:next w:val="2"/>
    <w:semiHidden/>
    <w:qFormat/>
    <w:uiPriority w:val="0"/>
    <w:pPr>
      <w:tabs>
        <w:tab w:val="left" w:pos="360"/>
        <w:tab w:val="left" w:pos="720"/>
        <w:tab w:val="left" w:pos="1080"/>
      </w:tabs>
      <w:adjustRightInd/>
      <w:snapToGrid/>
      <w:spacing w:before="120" w:after="240" w:line="264" w:lineRule="auto"/>
      <w:ind w:left="1080" w:hanging="1080" w:firstLineChars="0"/>
      <w:jc w:val="left"/>
    </w:pPr>
    <w:rPr>
      <w:rFonts w:ascii="Calibri" w:hAnsi="Calibri" w:eastAsia="Times New Roman" w:cs="Times New Roman"/>
      <w:color w:val="auto"/>
      <w:kern w:val="22"/>
      <w:sz w:val="18"/>
      <w:szCs w:val="22"/>
      <w:lang w:val="en-GB" w:eastAsia="en-US"/>
    </w:rPr>
  </w:style>
  <w:style w:type="paragraph" w:customStyle="1" w:styleId="2806">
    <w:name w:val="Table Note"/>
    <w:basedOn w:val="1"/>
    <w:semiHidden/>
    <w:qFormat/>
    <w:uiPriority w:val="0"/>
    <w:pPr>
      <w:widowControl/>
      <w:tabs>
        <w:tab w:val="clear" w:pos="480"/>
      </w:tabs>
      <w:spacing w:before="120" w:after="120" w:line="240" w:lineRule="auto"/>
      <w:ind w:left="720"/>
    </w:pPr>
    <w:rPr>
      <w:rFonts w:eastAsia="PMingLiU"/>
      <w:i/>
      <w:kern w:val="0"/>
      <w:sz w:val="18"/>
      <w:lang w:val="en-GB"/>
    </w:rPr>
  </w:style>
  <w:style w:type="paragraph" w:customStyle="1" w:styleId="2807">
    <w:name w:val="Blockquote"/>
    <w:basedOn w:val="1"/>
    <w:semiHidden/>
    <w:qFormat/>
    <w:uiPriority w:val="0"/>
    <w:pPr>
      <w:widowControl/>
      <w:tabs>
        <w:tab w:val="clear" w:pos="480"/>
      </w:tabs>
      <w:snapToGrid w:val="0"/>
      <w:spacing w:before="100" w:after="100" w:line="240" w:lineRule="auto"/>
      <w:ind w:left="360" w:right="360"/>
      <w:jc w:val="left"/>
    </w:pPr>
    <w:rPr>
      <w:rFonts w:eastAsia="PMingLiU"/>
      <w:kern w:val="0"/>
      <w:lang w:val="en-GB"/>
    </w:rPr>
  </w:style>
  <w:style w:type="paragraph" w:customStyle="1" w:styleId="2808">
    <w:name w:val="Table Heading"/>
    <w:basedOn w:val="1"/>
    <w:semiHidden/>
    <w:qFormat/>
    <w:uiPriority w:val="0"/>
    <w:pPr>
      <w:widowControl/>
      <w:tabs>
        <w:tab w:val="clear" w:pos="480"/>
      </w:tabs>
      <w:spacing w:line="240" w:lineRule="auto"/>
      <w:jc w:val="center"/>
    </w:pPr>
    <w:rPr>
      <w:rFonts w:ascii="Arial" w:hAnsi="Arial" w:eastAsia="PMingLiU"/>
      <w:b/>
      <w:kern w:val="0"/>
      <w:sz w:val="20"/>
      <w:lang w:val="en-GB"/>
    </w:rPr>
  </w:style>
  <w:style w:type="paragraph" w:customStyle="1" w:styleId="2809">
    <w:name w:val="ten point"/>
    <w:semiHidden/>
    <w:qFormat/>
    <w:uiPriority w:val="0"/>
    <w:pPr>
      <w:numPr>
        <w:ilvl w:val="0"/>
        <w:numId w:val="32"/>
      </w:numPr>
      <w:jc w:val="center"/>
    </w:pPr>
    <w:rPr>
      <w:rFonts w:ascii="Arial" w:hAnsi="Arial" w:eastAsia="PMingLiU" w:cs="Times New Roman"/>
      <w:kern w:val="2"/>
      <w:sz w:val="24"/>
      <w:szCs w:val="24"/>
      <w:lang w:val="en-US" w:eastAsia="zh-CN" w:bidi="ar-SA"/>
    </w:rPr>
  </w:style>
  <w:style w:type="paragraph" w:customStyle="1" w:styleId="2810">
    <w:name w:val="Indent text"/>
    <w:semiHidden/>
    <w:qFormat/>
    <w:uiPriority w:val="0"/>
    <w:pPr>
      <w:tabs>
        <w:tab w:val="left" w:pos="720"/>
      </w:tabs>
      <w:spacing w:after="220"/>
      <w:ind w:left="720"/>
      <w:jc w:val="both"/>
    </w:pPr>
    <w:rPr>
      <w:rFonts w:ascii="Times New Roman" w:hAnsi="Times New Roman" w:eastAsia="PMingLiU" w:cs="Times New Roman"/>
      <w:kern w:val="2"/>
      <w:sz w:val="22"/>
      <w:szCs w:val="24"/>
      <w:lang w:val="en-GB" w:eastAsia="zh-CN" w:bidi="ar-SA"/>
    </w:rPr>
  </w:style>
  <w:style w:type="paragraph" w:customStyle="1" w:styleId="2811">
    <w:name w:val="Paragraph 1"/>
    <w:basedOn w:val="1"/>
    <w:semiHidden/>
    <w:qFormat/>
    <w:uiPriority w:val="0"/>
    <w:pPr>
      <w:widowControl/>
      <w:tabs>
        <w:tab w:val="clear" w:pos="480"/>
      </w:tabs>
      <w:spacing w:before="120" w:after="120" w:line="240" w:lineRule="auto"/>
      <w:ind w:left="720"/>
    </w:pPr>
    <w:rPr>
      <w:rFonts w:ascii="Arial" w:hAnsi="Arial" w:eastAsia="Times New Roman"/>
      <w:kern w:val="0"/>
      <w:lang w:val="en-GB"/>
    </w:rPr>
  </w:style>
  <w:style w:type="paragraph" w:customStyle="1" w:styleId="2812">
    <w:name w:val="sub-head"/>
    <w:basedOn w:val="1538"/>
    <w:semiHidden/>
    <w:qFormat/>
    <w:uiPriority w:val="0"/>
    <w:pPr>
      <w:keepNext/>
      <w:tabs>
        <w:tab w:val="left" w:pos="-1440"/>
        <w:tab w:val="left" w:pos="-720"/>
      </w:tabs>
      <w:spacing w:before="120" w:beforeAutospacing="0" w:after="120" w:afterAutospacing="0" w:line="240" w:lineRule="auto"/>
    </w:pPr>
    <w:rPr>
      <w:rFonts w:ascii="Times New Roman" w:eastAsia="Times New Roman"/>
      <w:i/>
      <w:sz w:val="24"/>
      <w:szCs w:val="24"/>
      <w:u w:val="single"/>
      <w:lang w:val="en-GB"/>
    </w:rPr>
  </w:style>
  <w:style w:type="paragraph" w:customStyle="1" w:styleId="2813">
    <w:name w:val="Paragraph 0"/>
    <w:basedOn w:val="1"/>
    <w:semiHidden/>
    <w:qFormat/>
    <w:uiPriority w:val="0"/>
    <w:pPr>
      <w:widowControl/>
      <w:tabs>
        <w:tab w:val="clear" w:pos="480"/>
      </w:tabs>
      <w:spacing w:before="120" w:after="120" w:line="240" w:lineRule="auto"/>
    </w:pPr>
    <w:rPr>
      <w:rFonts w:ascii="Arial" w:hAnsi="Arial" w:eastAsia="Times New Roman"/>
      <w:kern w:val="0"/>
      <w:lang w:val="en-GB"/>
    </w:rPr>
  </w:style>
  <w:style w:type="paragraph" w:customStyle="1" w:styleId="2814">
    <w:name w:val="正文王"/>
    <w:basedOn w:val="45"/>
    <w:semiHidden/>
    <w:qFormat/>
    <w:uiPriority w:val="0"/>
    <w:pPr>
      <w:snapToGrid w:val="0"/>
      <w:spacing w:line="440" w:lineRule="exact"/>
    </w:pPr>
    <w:rPr>
      <w:rFonts w:hint="eastAsia" w:ascii="Arial" w:hAnsi="Arial"/>
      <w:kern w:val="0"/>
      <w:sz w:val="24"/>
    </w:rPr>
  </w:style>
  <w:style w:type="character" w:customStyle="1" w:styleId="2815">
    <w:name w:val="正文四号 Char"/>
    <w:link w:val="2816"/>
    <w:qFormat/>
    <w:locked/>
    <w:uiPriority w:val="0"/>
    <w:rPr>
      <w:rFonts w:ascii="宋体" w:hAnsi="宋体" w:eastAsia="宋体"/>
      <w:sz w:val="28"/>
      <w:szCs w:val="24"/>
      <w:lang w:bidi="ar-SA"/>
    </w:rPr>
  </w:style>
  <w:style w:type="paragraph" w:customStyle="1" w:styleId="2816">
    <w:name w:val="正文四号"/>
    <w:basedOn w:val="1"/>
    <w:link w:val="2815"/>
    <w:semiHidden/>
    <w:qFormat/>
    <w:uiPriority w:val="0"/>
    <w:pPr>
      <w:tabs>
        <w:tab w:val="clear" w:pos="480"/>
      </w:tabs>
      <w:adjustRightInd w:val="0"/>
    </w:pPr>
    <w:rPr>
      <w:rFonts w:ascii="宋体" w:hAnsi="宋体"/>
      <w:kern w:val="0"/>
      <w:sz w:val="28"/>
      <w:lang w:val="zh-CN"/>
    </w:rPr>
  </w:style>
  <w:style w:type="paragraph" w:customStyle="1" w:styleId="2817">
    <w:name w:val="用户标题4"/>
    <w:next w:val="1"/>
    <w:semiHidden/>
    <w:qFormat/>
    <w:uiPriority w:val="0"/>
    <w:pPr>
      <w:widowControl w:val="0"/>
      <w:tabs>
        <w:tab w:val="left" w:pos="1200"/>
      </w:tabs>
      <w:adjustRightInd w:val="0"/>
      <w:snapToGrid w:val="0"/>
      <w:spacing w:line="520" w:lineRule="exact"/>
      <w:ind w:left="1200" w:hanging="720"/>
      <w:jc w:val="both"/>
      <w:outlineLvl w:val="3"/>
    </w:pPr>
    <w:rPr>
      <w:rFonts w:ascii="Times New Roman" w:hAnsi="Times New Roman" w:eastAsia="宋体" w:cs="Times New Roman"/>
      <w:kern w:val="2"/>
      <w:sz w:val="24"/>
      <w:szCs w:val="24"/>
      <w:lang w:val="en-US" w:eastAsia="zh-CN" w:bidi="ar-SA"/>
    </w:rPr>
  </w:style>
  <w:style w:type="paragraph" w:customStyle="1" w:styleId="2818">
    <w:name w:val="用户标题5"/>
    <w:next w:val="1"/>
    <w:semiHidden/>
    <w:qFormat/>
    <w:uiPriority w:val="0"/>
    <w:pPr>
      <w:widowControl w:val="0"/>
      <w:tabs>
        <w:tab w:val="left" w:pos="1021"/>
        <w:tab w:val="left" w:pos="1134"/>
      </w:tabs>
      <w:adjustRightInd w:val="0"/>
      <w:snapToGrid w:val="0"/>
      <w:spacing w:line="520" w:lineRule="exact"/>
      <w:ind w:left="1134" w:hanging="624"/>
      <w:jc w:val="both"/>
      <w:outlineLvl w:val="4"/>
    </w:pPr>
    <w:rPr>
      <w:rFonts w:ascii="Times New Roman" w:hAnsi="Times New Roman" w:eastAsia="宋体" w:cs="Times New Roman"/>
      <w:kern w:val="2"/>
      <w:sz w:val="24"/>
      <w:szCs w:val="24"/>
      <w:lang w:val="en-US" w:eastAsia="zh-CN" w:bidi="ar-SA"/>
    </w:rPr>
  </w:style>
  <w:style w:type="paragraph" w:customStyle="1" w:styleId="2819">
    <w:name w:val="朱正文"/>
    <w:basedOn w:val="1"/>
    <w:semiHidden/>
    <w:qFormat/>
    <w:uiPriority w:val="0"/>
    <w:pPr>
      <w:tabs>
        <w:tab w:val="clear" w:pos="480"/>
      </w:tabs>
      <w:spacing w:line="500" w:lineRule="exact"/>
    </w:pPr>
    <w:rPr>
      <w:sz w:val="28"/>
      <w:szCs w:val="28"/>
    </w:rPr>
  </w:style>
  <w:style w:type="paragraph" w:customStyle="1" w:styleId="2820">
    <w:name w:val="zxz5"/>
    <w:next w:val="1"/>
    <w:semiHidden/>
    <w:qFormat/>
    <w:uiPriority w:val="0"/>
    <w:pPr>
      <w:tabs>
        <w:tab w:val="left" w:pos="0"/>
      </w:tabs>
      <w:jc w:val="center"/>
    </w:pPr>
    <w:rPr>
      <w:rFonts w:ascii="宋体" w:hAnsi="宋体" w:eastAsia="Times New Roman" w:cs="宋体"/>
      <w:bCs/>
      <w:kern w:val="2"/>
      <w:sz w:val="18"/>
      <w:szCs w:val="18"/>
      <w:lang w:val="en-US" w:eastAsia="zh-CN" w:bidi="ar-SA"/>
    </w:rPr>
  </w:style>
  <w:style w:type="character" w:customStyle="1" w:styleId="2821">
    <w:name w:val="A   正文 Char Char"/>
    <w:link w:val="2822"/>
    <w:qFormat/>
    <w:locked/>
    <w:uiPriority w:val="0"/>
    <w:rPr>
      <w:rFonts w:ascii="黑体" w:hAnsi="黑体" w:eastAsia="黑体"/>
      <w:color w:val="000000"/>
      <w:sz w:val="28"/>
      <w:szCs w:val="24"/>
      <w:lang w:bidi="ar-SA"/>
    </w:rPr>
  </w:style>
  <w:style w:type="paragraph" w:customStyle="1" w:styleId="2822">
    <w:name w:val="A   正文"/>
    <w:basedOn w:val="1"/>
    <w:link w:val="2821"/>
    <w:semiHidden/>
    <w:qFormat/>
    <w:uiPriority w:val="0"/>
    <w:pPr>
      <w:widowControl/>
      <w:tabs>
        <w:tab w:val="clear" w:pos="480"/>
      </w:tabs>
      <w:snapToGrid w:val="0"/>
      <w:spacing w:before="120" w:after="60" w:line="300" w:lineRule="auto"/>
      <w:ind w:firstLine="560"/>
    </w:pPr>
    <w:rPr>
      <w:rFonts w:ascii="黑体" w:hAnsi="黑体" w:eastAsia="黑体"/>
      <w:color w:val="000000"/>
      <w:kern w:val="0"/>
      <w:sz w:val="28"/>
      <w:lang w:val="zh-CN"/>
    </w:rPr>
  </w:style>
  <w:style w:type="character" w:customStyle="1" w:styleId="2823">
    <w:name w:val="正文111 Char"/>
    <w:link w:val="2824"/>
    <w:qFormat/>
    <w:locked/>
    <w:uiPriority w:val="0"/>
    <w:rPr>
      <w:sz w:val="24"/>
      <w:szCs w:val="24"/>
      <w:lang w:bidi="ar-SA"/>
    </w:rPr>
  </w:style>
  <w:style w:type="paragraph" w:customStyle="1" w:styleId="2824">
    <w:name w:val="正文111"/>
    <w:basedOn w:val="1"/>
    <w:link w:val="2823"/>
    <w:semiHidden/>
    <w:qFormat/>
    <w:uiPriority w:val="0"/>
    <w:pPr>
      <w:tabs>
        <w:tab w:val="clear" w:pos="480"/>
      </w:tabs>
      <w:spacing w:line="440" w:lineRule="exact"/>
      <w:ind w:firstLine="480"/>
    </w:pPr>
    <w:rPr>
      <w:kern w:val="0"/>
      <w:lang w:val="zh-CN"/>
    </w:rPr>
  </w:style>
  <w:style w:type="character" w:customStyle="1" w:styleId="2825">
    <w:name w:val="报告 Char Char1 Char"/>
    <w:link w:val="2826"/>
    <w:qFormat/>
    <w:locked/>
    <w:uiPriority w:val="0"/>
    <w:rPr>
      <w:sz w:val="24"/>
      <w:lang w:bidi="ar-SA"/>
    </w:rPr>
  </w:style>
  <w:style w:type="paragraph" w:customStyle="1" w:styleId="2826">
    <w:name w:val="报告 Char Char1"/>
    <w:basedOn w:val="1"/>
    <w:link w:val="2825"/>
    <w:semiHidden/>
    <w:qFormat/>
    <w:uiPriority w:val="0"/>
    <w:pPr>
      <w:widowControl/>
      <w:tabs>
        <w:tab w:val="clear" w:pos="480"/>
      </w:tabs>
      <w:overflowPunct w:val="0"/>
      <w:autoSpaceDE w:val="0"/>
      <w:autoSpaceDN w:val="0"/>
      <w:adjustRightInd w:val="0"/>
      <w:spacing w:before="120" w:after="120" w:line="400" w:lineRule="atLeast"/>
    </w:pPr>
    <w:rPr>
      <w:kern w:val="0"/>
      <w:szCs w:val="20"/>
      <w:lang w:val="zh-CN"/>
    </w:rPr>
  </w:style>
  <w:style w:type="character" w:customStyle="1" w:styleId="2827">
    <w:name w:val="A正文 Char"/>
    <w:link w:val="2828"/>
    <w:qFormat/>
    <w:locked/>
    <w:uiPriority w:val="0"/>
    <w:rPr>
      <w:sz w:val="24"/>
      <w:szCs w:val="24"/>
      <w:lang w:bidi="ar-SA"/>
    </w:rPr>
  </w:style>
  <w:style w:type="paragraph" w:customStyle="1" w:styleId="2828">
    <w:name w:val="A正文"/>
    <w:basedOn w:val="1"/>
    <w:link w:val="2827"/>
    <w:qFormat/>
    <w:uiPriority w:val="0"/>
    <w:pPr>
      <w:widowControl/>
      <w:tabs>
        <w:tab w:val="clear" w:pos="480"/>
      </w:tabs>
      <w:adjustRightInd w:val="0"/>
      <w:snapToGrid w:val="0"/>
      <w:spacing w:beforeLines="50" w:line="300" w:lineRule="auto"/>
      <w:ind w:left="100" w:leftChars="100" w:right="100" w:rightChars="100"/>
      <w:jc w:val="left"/>
    </w:pPr>
    <w:rPr>
      <w:kern w:val="0"/>
      <w:lang w:val="zh-CN"/>
    </w:rPr>
  </w:style>
  <w:style w:type="character" w:customStyle="1" w:styleId="2829">
    <w:name w:val="A表头 Char"/>
    <w:link w:val="2830"/>
    <w:qFormat/>
    <w:locked/>
    <w:uiPriority w:val="0"/>
    <w:rPr>
      <w:rFonts w:ascii="黑体" w:hAnsi="黑体" w:eastAsia="黑体"/>
      <w:sz w:val="24"/>
      <w:szCs w:val="24"/>
      <w:lang w:bidi="ar-SA"/>
    </w:rPr>
  </w:style>
  <w:style w:type="paragraph" w:customStyle="1" w:styleId="2830">
    <w:name w:val="A表头"/>
    <w:basedOn w:val="1"/>
    <w:link w:val="2829"/>
    <w:semiHidden/>
    <w:qFormat/>
    <w:uiPriority w:val="0"/>
    <w:pPr>
      <w:widowControl/>
      <w:tabs>
        <w:tab w:val="clear" w:pos="480"/>
      </w:tabs>
      <w:adjustRightInd w:val="0"/>
      <w:snapToGrid w:val="0"/>
      <w:spacing w:beforeLines="20" w:line="240" w:lineRule="auto"/>
      <w:ind w:left="100" w:leftChars="100" w:right="100" w:rightChars="100"/>
      <w:jc w:val="left"/>
    </w:pPr>
    <w:rPr>
      <w:rFonts w:ascii="黑体" w:hAnsi="黑体" w:eastAsia="黑体"/>
      <w:kern w:val="0"/>
      <w:lang w:val="zh-CN"/>
    </w:rPr>
  </w:style>
  <w:style w:type="character" w:customStyle="1" w:styleId="2831">
    <w:name w:val="A标题三 Char"/>
    <w:link w:val="2832"/>
    <w:qFormat/>
    <w:locked/>
    <w:uiPriority w:val="0"/>
    <w:rPr>
      <w:rFonts w:ascii="宋体" w:hAnsi="宋体" w:eastAsia="宋体"/>
      <w:sz w:val="24"/>
      <w:szCs w:val="24"/>
      <w:lang w:bidi="ar-SA"/>
    </w:rPr>
  </w:style>
  <w:style w:type="paragraph" w:customStyle="1" w:styleId="2832">
    <w:name w:val="A标题三"/>
    <w:basedOn w:val="1"/>
    <w:link w:val="2831"/>
    <w:semiHidden/>
    <w:qFormat/>
    <w:uiPriority w:val="0"/>
    <w:pPr>
      <w:widowControl/>
      <w:tabs>
        <w:tab w:val="clear" w:pos="480"/>
      </w:tabs>
      <w:adjustRightInd w:val="0"/>
      <w:snapToGrid w:val="0"/>
      <w:spacing w:beforeLines="50"/>
      <w:jc w:val="left"/>
      <w:outlineLvl w:val="2"/>
    </w:pPr>
    <w:rPr>
      <w:rFonts w:ascii="宋体" w:hAnsi="宋体"/>
      <w:kern w:val="0"/>
      <w:lang w:val="zh-CN"/>
    </w:rPr>
  </w:style>
  <w:style w:type="paragraph" w:customStyle="1" w:styleId="2833">
    <w:name w:val="样式 样式 样式 标题 3标题 3 CharReHead 3 WSAh3H3B Head条标题1.1.1Section头... ..."/>
    <w:basedOn w:val="1"/>
    <w:semiHidden/>
    <w:qFormat/>
    <w:uiPriority w:val="0"/>
    <w:pPr>
      <w:keepNext/>
      <w:keepLines/>
      <w:tabs>
        <w:tab w:val="left" w:pos="720"/>
        <w:tab w:val="clear" w:pos="480"/>
      </w:tabs>
      <w:adjustRightInd w:val="0"/>
      <w:snapToGrid w:val="0"/>
      <w:spacing w:line="240" w:lineRule="auto"/>
      <w:jc w:val="left"/>
      <w:outlineLvl w:val="2"/>
    </w:pPr>
    <w:rPr>
      <w:rFonts w:cs="宋体"/>
      <w:b/>
      <w:bCs/>
      <w:kern w:val="0"/>
      <w:sz w:val="28"/>
      <w:szCs w:val="28"/>
      <w:lang w:val="zh-CN"/>
    </w:rPr>
  </w:style>
  <w:style w:type="paragraph" w:customStyle="1" w:styleId="2834">
    <w:name w:val="样式 楷体_GB2312 小四 行距: 1.5 倍行距 首行缩进:  2 字符"/>
    <w:basedOn w:val="6"/>
    <w:semiHidden/>
    <w:qFormat/>
    <w:uiPriority w:val="0"/>
    <w:pPr>
      <w:numPr>
        <w:ilvl w:val="0"/>
        <w:numId w:val="0"/>
      </w:numPr>
      <w:tabs>
        <w:tab w:val="clear" w:pos="480"/>
      </w:tabs>
      <w:spacing w:before="120" w:after="0"/>
      <w:ind w:firstLine="480" w:firstLineChars="200"/>
    </w:pPr>
    <w:rPr>
      <w:rFonts w:ascii="楷体_GB2312" w:hAnsi="Times New Roman" w:eastAsia="楷体_GB2312" w:cs="宋体"/>
      <w:bCs w:val="0"/>
      <w:sz w:val="24"/>
      <w:szCs w:val="20"/>
    </w:rPr>
  </w:style>
  <w:style w:type="paragraph" w:customStyle="1" w:styleId="2835">
    <w:name w:val="样式66"/>
    <w:basedOn w:val="1"/>
    <w:semiHidden/>
    <w:qFormat/>
    <w:uiPriority w:val="0"/>
    <w:pPr>
      <w:keepNext/>
      <w:keepLines/>
      <w:tabs>
        <w:tab w:val="left" w:pos="720"/>
        <w:tab w:val="left" w:pos="864"/>
        <w:tab w:val="clear" w:pos="480"/>
      </w:tabs>
      <w:spacing w:beforeLines="50" w:afterLines="50"/>
      <w:ind w:left="864" w:hanging="864"/>
      <w:outlineLvl w:val="3"/>
    </w:pPr>
    <w:rPr>
      <w:szCs w:val="28"/>
    </w:rPr>
  </w:style>
  <w:style w:type="paragraph" w:customStyle="1" w:styleId="2836">
    <w:name w:val="论文正文"/>
    <w:basedOn w:val="21"/>
    <w:semiHidden/>
    <w:qFormat/>
    <w:uiPriority w:val="0"/>
    <w:pPr>
      <w:tabs>
        <w:tab w:val="clear" w:pos="480"/>
      </w:tabs>
      <w:spacing w:line="240" w:lineRule="auto"/>
      <w:ind w:firstLine="480"/>
    </w:pPr>
    <w:rPr>
      <w:rFonts w:ascii="宋体" w:hAnsi="宋体"/>
      <w:kern w:val="0"/>
      <w:sz w:val="28"/>
      <w:szCs w:val="20"/>
    </w:rPr>
  </w:style>
  <w:style w:type="paragraph" w:customStyle="1" w:styleId="2837">
    <w:name w:val="样式 黑体 小四 加粗 行距: 固定值 20 磅"/>
    <w:basedOn w:val="1"/>
    <w:semiHidden/>
    <w:qFormat/>
    <w:uiPriority w:val="0"/>
    <w:pPr>
      <w:tabs>
        <w:tab w:val="clear" w:pos="480"/>
      </w:tabs>
      <w:spacing w:line="400" w:lineRule="exact"/>
    </w:pPr>
    <w:rPr>
      <w:rFonts w:ascii="黑体" w:eastAsia="黑体" w:cs="宋体"/>
      <w:b/>
      <w:bCs/>
      <w:sz w:val="28"/>
      <w:szCs w:val="20"/>
    </w:rPr>
  </w:style>
  <w:style w:type="paragraph" w:customStyle="1" w:styleId="2838">
    <w:name w:val="样式 标题 2节标题 2 Char Char Char Char + (西文) Times New Roman (中文) ...10"/>
    <w:basedOn w:val="4"/>
    <w:semiHidden/>
    <w:qFormat/>
    <w:uiPriority w:val="0"/>
    <w:pPr>
      <w:tabs>
        <w:tab w:val="clear" w:pos="480"/>
        <w:tab w:val="clear" w:pos="630"/>
      </w:tabs>
      <w:spacing w:after="260" w:line="412" w:lineRule="auto"/>
    </w:pPr>
    <w:rPr>
      <w:rFonts w:ascii="Arial" w:hAnsi="Arial"/>
      <w:color w:val="000000"/>
      <w:kern w:val="28"/>
      <w:sz w:val="30"/>
      <w:szCs w:val="30"/>
    </w:rPr>
  </w:style>
  <w:style w:type="paragraph" w:customStyle="1" w:styleId="2839">
    <w:name w:val="样式 标题 3 + 宋体 四号 段前: 0 磅 段后: 0 磅 行距: 单倍行距"/>
    <w:basedOn w:val="5"/>
    <w:semiHidden/>
    <w:qFormat/>
    <w:uiPriority w:val="0"/>
    <w:pPr>
      <w:tabs>
        <w:tab w:val="clear" w:pos="480"/>
        <w:tab w:val="clear" w:pos="840"/>
      </w:tabs>
      <w:spacing w:before="0" w:after="0" w:line="240" w:lineRule="auto"/>
    </w:pPr>
    <w:rPr>
      <w:rFonts w:ascii="Times New Roman" w:eastAsia="宋体"/>
      <w:sz w:val="28"/>
      <w:szCs w:val="28"/>
    </w:rPr>
  </w:style>
  <w:style w:type="paragraph" w:customStyle="1" w:styleId="2840">
    <w:name w:val="样式 首行缩进:  1.01 厘米"/>
    <w:basedOn w:val="1"/>
    <w:semiHidden/>
    <w:qFormat/>
    <w:uiPriority w:val="0"/>
    <w:pPr>
      <w:tabs>
        <w:tab w:val="clear" w:pos="480"/>
      </w:tabs>
      <w:spacing w:line="460" w:lineRule="exact"/>
      <w:ind w:firstLine="480"/>
    </w:pPr>
    <w:rPr>
      <w:color w:val="000000"/>
    </w:rPr>
  </w:style>
  <w:style w:type="paragraph" w:customStyle="1" w:styleId="2841">
    <w:name w:val="宗兴2级"/>
    <w:basedOn w:val="4"/>
    <w:semiHidden/>
    <w:qFormat/>
    <w:uiPriority w:val="0"/>
    <w:pPr>
      <w:tabs>
        <w:tab w:val="clear" w:pos="480"/>
        <w:tab w:val="clear" w:pos="630"/>
      </w:tabs>
      <w:spacing w:before="440" w:after="440" w:line="440" w:lineRule="exact"/>
    </w:pPr>
    <w:rPr>
      <w:rFonts w:ascii="Arial" w:hAnsi="Arial" w:eastAsia="黑体"/>
      <w:bCs w:val="0"/>
      <w:kern w:val="44"/>
      <w:szCs w:val="20"/>
    </w:rPr>
  </w:style>
  <w:style w:type="paragraph" w:customStyle="1" w:styleId="2842">
    <w:name w:val="样式 标题 4标题 14 + 加粗 无下划线 自动设置 段前: 3 磅 段后: 10 磅"/>
    <w:basedOn w:val="6"/>
    <w:semiHidden/>
    <w:qFormat/>
    <w:uiPriority w:val="0"/>
    <w:pPr>
      <w:keepLines w:val="0"/>
      <w:numPr>
        <w:ilvl w:val="0"/>
        <w:numId w:val="0"/>
      </w:numPr>
      <w:tabs>
        <w:tab w:val="left" w:pos="780"/>
        <w:tab w:val="clear" w:pos="480"/>
      </w:tabs>
      <w:adjustRightInd w:val="0"/>
      <w:snapToGrid w:val="0"/>
      <w:spacing w:before="60" w:after="200" w:line="240" w:lineRule="auto"/>
      <w:ind w:left="1703" w:leftChars="200" w:hanging="200" w:hangingChars="200"/>
    </w:pPr>
    <w:rPr>
      <w:rFonts w:ascii="Times New Roman" w:hAnsi="Times New Roman" w:eastAsia="宋体"/>
      <w:sz w:val="24"/>
      <w:szCs w:val="20"/>
    </w:rPr>
  </w:style>
  <w:style w:type="paragraph" w:customStyle="1" w:styleId="2843">
    <w:name w:val="样式 标题 2标题 21标题 121 + Times New Roman 小三 非加粗 黑色 段前: 8 磅 段..."/>
    <w:basedOn w:val="4"/>
    <w:semiHidden/>
    <w:qFormat/>
    <w:uiPriority w:val="0"/>
    <w:pPr>
      <w:tabs>
        <w:tab w:val="left" w:pos="360"/>
        <w:tab w:val="clear" w:pos="480"/>
        <w:tab w:val="clear" w:pos="630"/>
      </w:tabs>
      <w:spacing w:before="160" w:after="160" w:line="240" w:lineRule="auto"/>
    </w:pPr>
    <w:rPr>
      <w:rFonts w:eastAsia="黑体"/>
      <w:bCs w:val="0"/>
      <w:color w:val="000000"/>
      <w:kern w:val="0"/>
      <w:sz w:val="30"/>
      <w:szCs w:val="20"/>
    </w:rPr>
  </w:style>
  <w:style w:type="character" w:customStyle="1" w:styleId="2844">
    <w:name w:val="正文首行缩进 2 Char1"/>
    <w:semiHidden/>
    <w:qFormat/>
    <w:uiPriority w:val="99"/>
    <w:rPr>
      <w:rFonts w:ascii="Times New Roman" w:hAnsi="Times New Roman" w:eastAsia="宋体" w:cs="Times New Roman"/>
      <w:szCs w:val="24"/>
    </w:rPr>
  </w:style>
  <w:style w:type="paragraph" w:customStyle="1" w:styleId="2845">
    <w:name w:val="正文（韶关规划）"/>
    <w:basedOn w:val="87"/>
    <w:semiHidden/>
    <w:qFormat/>
    <w:uiPriority w:val="0"/>
    <w:pPr>
      <w:tabs>
        <w:tab w:val="left" w:pos="7996"/>
        <w:tab w:val="clear" w:pos="480"/>
      </w:tabs>
      <w:autoSpaceDE w:val="0"/>
      <w:autoSpaceDN w:val="0"/>
      <w:adjustRightInd w:val="0"/>
      <w:snapToGrid w:val="0"/>
      <w:spacing w:beforeLines="50"/>
      <w:ind w:left="0" w:leftChars="0" w:firstLine="480"/>
    </w:pPr>
    <w:rPr>
      <w:rFonts w:hint="eastAsia" w:hAnsi="宋体"/>
      <w:color w:val="000000"/>
      <w:kern w:val="0"/>
      <w:szCs w:val="22"/>
    </w:rPr>
  </w:style>
  <w:style w:type="paragraph" w:customStyle="1" w:styleId="2846">
    <w:name w:val="样式 标题 3标题 3 CharReHead 3 WSAh3H3B Head条标题1.1.1Section头..."/>
    <w:basedOn w:val="5"/>
    <w:semiHidden/>
    <w:qFormat/>
    <w:uiPriority w:val="0"/>
    <w:pPr>
      <w:tabs>
        <w:tab w:val="left" w:pos="720"/>
        <w:tab w:val="left" w:pos="1200"/>
        <w:tab w:val="clear" w:pos="480"/>
        <w:tab w:val="clear" w:pos="840"/>
      </w:tabs>
      <w:adjustRightInd w:val="0"/>
      <w:snapToGrid w:val="0"/>
      <w:spacing w:beforeLines="50" w:afterLines="50" w:line="360" w:lineRule="auto"/>
      <w:ind w:left="1200" w:leftChars="400" w:hanging="360" w:hangingChars="200"/>
      <w:jc w:val="left"/>
    </w:pPr>
    <w:rPr>
      <w:rFonts w:ascii="Times New Roman" w:eastAsia="宋体" w:cs="宋体"/>
      <w:kern w:val="0"/>
      <w:szCs w:val="30"/>
    </w:rPr>
  </w:style>
  <w:style w:type="paragraph" w:customStyle="1" w:styleId="2847">
    <w:name w:val="样式31"/>
    <w:basedOn w:val="1"/>
    <w:semiHidden/>
    <w:qFormat/>
    <w:uiPriority w:val="0"/>
    <w:pPr>
      <w:tabs>
        <w:tab w:val="clear" w:pos="480"/>
      </w:tabs>
      <w:adjustRightInd w:val="0"/>
      <w:snapToGrid w:val="0"/>
      <w:ind w:firstLine="1661" w:firstLineChars="788"/>
    </w:pPr>
    <w:rPr>
      <w:rFonts w:hAnsi="宋体"/>
      <w:b/>
      <w:szCs w:val="21"/>
    </w:rPr>
  </w:style>
  <w:style w:type="paragraph" w:customStyle="1" w:styleId="2848">
    <w:name w:val="a封面－项目名称"/>
    <w:basedOn w:val="1"/>
    <w:next w:val="1"/>
    <w:semiHidden/>
    <w:qFormat/>
    <w:uiPriority w:val="0"/>
    <w:pPr>
      <w:tabs>
        <w:tab w:val="clear" w:pos="480"/>
      </w:tabs>
      <w:spacing w:beforeLines="50" w:afterLines="50"/>
      <w:jc w:val="center"/>
    </w:pPr>
    <w:rPr>
      <w:rFonts w:eastAsia="黑体"/>
      <w:b/>
      <w:sz w:val="48"/>
    </w:rPr>
  </w:style>
  <w:style w:type="paragraph" w:customStyle="1" w:styleId="2849">
    <w:name w:val="样式 标题 2标题 21标题 121 + Times New Roman 小三 非加粗 黑色 段前: 8 磅 段...3"/>
    <w:basedOn w:val="1"/>
    <w:semiHidden/>
    <w:qFormat/>
    <w:uiPriority w:val="0"/>
    <w:pPr>
      <w:tabs>
        <w:tab w:val="left" w:pos="567"/>
        <w:tab w:val="left" w:pos="1620"/>
        <w:tab w:val="clear" w:pos="480"/>
      </w:tabs>
      <w:spacing w:line="240" w:lineRule="auto"/>
      <w:ind w:left="1620" w:leftChars="600" w:hanging="360" w:hangingChars="200"/>
    </w:pPr>
    <w:rPr>
      <w:sz w:val="28"/>
    </w:rPr>
  </w:style>
  <w:style w:type="paragraph" w:customStyle="1" w:styleId="2850">
    <w:name w:val="样式 标题 4标题 14 + 加粗 无下划线 自动设置 段前: 3 磅 段后: 10 磅4"/>
    <w:basedOn w:val="6"/>
    <w:semiHidden/>
    <w:qFormat/>
    <w:uiPriority w:val="0"/>
    <w:pPr>
      <w:keepLines w:val="0"/>
      <w:numPr>
        <w:ilvl w:val="0"/>
        <w:numId w:val="0"/>
      </w:numPr>
      <w:tabs>
        <w:tab w:val="left" w:pos="864"/>
        <w:tab w:val="clear" w:pos="480"/>
      </w:tabs>
      <w:adjustRightInd w:val="0"/>
      <w:snapToGrid w:val="0"/>
      <w:spacing w:before="60" w:after="200" w:line="240" w:lineRule="auto"/>
      <w:ind w:left="864" w:hanging="864"/>
    </w:pPr>
    <w:rPr>
      <w:rFonts w:ascii="Times New Roman" w:hAnsi="Times New Roman" w:eastAsia="宋体"/>
      <w:sz w:val="24"/>
      <w:szCs w:val="20"/>
    </w:rPr>
  </w:style>
  <w:style w:type="paragraph" w:customStyle="1" w:styleId="2851">
    <w:name w:val="样式 黑体 小四 加粗 行距: 固定值 20 磅1"/>
    <w:basedOn w:val="1"/>
    <w:semiHidden/>
    <w:qFormat/>
    <w:uiPriority w:val="0"/>
    <w:pPr>
      <w:tabs>
        <w:tab w:val="clear" w:pos="480"/>
      </w:tabs>
      <w:spacing w:line="400" w:lineRule="exact"/>
    </w:pPr>
    <w:rPr>
      <w:rFonts w:ascii="黑体" w:cs="宋体"/>
      <w:b/>
      <w:bCs/>
      <w:szCs w:val="20"/>
    </w:rPr>
  </w:style>
  <w:style w:type="paragraph" w:customStyle="1" w:styleId="2852">
    <w:name w:val="样式 正文缩进正文缩进 Char首行缩进两字s4文本条款 + 宋体"/>
    <w:basedOn w:val="21"/>
    <w:semiHidden/>
    <w:qFormat/>
    <w:uiPriority w:val="0"/>
    <w:pPr>
      <w:tabs>
        <w:tab w:val="clear" w:pos="480"/>
      </w:tabs>
      <w:adjustRightInd w:val="0"/>
      <w:snapToGrid w:val="0"/>
      <w:spacing w:beforeLines="50" w:afterLines="50"/>
      <w:ind w:firstLine="0" w:firstLineChars="0"/>
    </w:pPr>
    <w:rPr>
      <w:rFonts w:ascii="宋体" w:hAnsi="宋体"/>
      <w:kern w:val="0"/>
      <w:szCs w:val="20"/>
    </w:rPr>
  </w:style>
  <w:style w:type="paragraph" w:customStyle="1" w:styleId="2853">
    <w:name w:val="Char2 Char Char Char Char Char Char Char Char Char"/>
    <w:basedOn w:val="1"/>
    <w:qFormat/>
    <w:uiPriority w:val="0"/>
    <w:pPr>
      <w:tabs>
        <w:tab w:val="clear" w:pos="480"/>
      </w:tabs>
    </w:pPr>
    <w:rPr>
      <w:rFonts w:ascii="宋体" w:hAnsi="宋体" w:cs="宋体"/>
    </w:rPr>
  </w:style>
  <w:style w:type="paragraph" w:customStyle="1" w:styleId="2854">
    <w:name w:val="正文四号缩进"/>
    <w:basedOn w:val="1"/>
    <w:semiHidden/>
    <w:qFormat/>
    <w:uiPriority w:val="0"/>
    <w:pPr>
      <w:tabs>
        <w:tab w:val="clear" w:pos="480"/>
      </w:tabs>
      <w:spacing w:after="50" w:line="240" w:lineRule="auto"/>
    </w:pPr>
    <w:rPr>
      <w:rFonts w:ascii="宋体"/>
      <w:spacing w:val="10"/>
      <w:szCs w:val="20"/>
    </w:rPr>
  </w:style>
  <w:style w:type="character" w:customStyle="1" w:styleId="2855">
    <w:name w:val="样式 真宗兴3级标题 + 四号 行距: 单倍行距 Char"/>
    <w:link w:val="2856"/>
    <w:qFormat/>
    <w:locked/>
    <w:uiPriority w:val="0"/>
    <w:rPr>
      <w:rFonts w:ascii="宋体" w:hAnsi="宋体" w:eastAsia="宋体"/>
      <w:b/>
      <w:bCs/>
      <w:sz w:val="28"/>
      <w:lang w:bidi="ar-SA"/>
    </w:rPr>
  </w:style>
  <w:style w:type="paragraph" w:customStyle="1" w:styleId="2856">
    <w:name w:val="样式 真宗兴3级标题 + 四号 行距: 单倍行距"/>
    <w:basedOn w:val="1"/>
    <w:link w:val="2855"/>
    <w:semiHidden/>
    <w:qFormat/>
    <w:uiPriority w:val="0"/>
    <w:pPr>
      <w:keepNext/>
      <w:tabs>
        <w:tab w:val="clear" w:pos="480"/>
      </w:tabs>
      <w:spacing w:before="240" w:after="240" w:line="400" w:lineRule="exact"/>
      <w:outlineLvl w:val="2"/>
    </w:pPr>
    <w:rPr>
      <w:rFonts w:ascii="宋体" w:hAnsi="宋体"/>
      <w:b/>
      <w:bCs/>
      <w:kern w:val="0"/>
      <w:sz w:val="28"/>
      <w:szCs w:val="20"/>
      <w:lang w:val="zh-CN"/>
    </w:rPr>
  </w:style>
  <w:style w:type="paragraph" w:customStyle="1" w:styleId="2857">
    <w:name w:val="表内式样"/>
    <w:semiHidden/>
    <w:qFormat/>
    <w:uiPriority w:val="0"/>
    <w:pPr>
      <w:widowControl w:val="0"/>
      <w:spacing w:line="240" w:lineRule="exact"/>
      <w:jc w:val="center"/>
    </w:pPr>
    <w:rPr>
      <w:rFonts w:ascii="Times New Roman" w:hAnsi="Times New Roman" w:eastAsia="宋体" w:cs="Times New Roman"/>
      <w:kern w:val="2"/>
      <w:sz w:val="21"/>
      <w:szCs w:val="24"/>
      <w:lang w:val="en-US" w:eastAsia="zh-CN" w:bidi="ar-SA"/>
    </w:rPr>
  </w:style>
  <w:style w:type="paragraph" w:customStyle="1" w:styleId="2858">
    <w:name w:val="正缩1"/>
    <w:basedOn w:val="1"/>
    <w:semiHidden/>
    <w:qFormat/>
    <w:uiPriority w:val="0"/>
    <w:pPr>
      <w:tabs>
        <w:tab w:val="clear" w:pos="480"/>
      </w:tabs>
      <w:snapToGrid w:val="0"/>
      <w:spacing w:line="500" w:lineRule="exact"/>
      <w:ind w:firstLine="567"/>
    </w:pPr>
    <w:rPr>
      <w:rFonts w:eastAsia="仿宋_GB2312"/>
      <w:color w:val="000000"/>
      <w:kern w:val="0"/>
      <w:sz w:val="28"/>
      <w:szCs w:val="20"/>
    </w:rPr>
  </w:style>
  <w:style w:type="paragraph" w:customStyle="1" w:styleId="2859">
    <w:name w:val="Retrait 1"/>
    <w:basedOn w:val="1"/>
    <w:semiHidden/>
    <w:qFormat/>
    <w:uiPriority w:val="0"/>
    <w:pPr>
      <w:widowControl/>
      <w:tabs>
        <w:tab w:val="clear" w:pos="480"/>
      </w:tabs>
      <w:overflowPunct w:val="0"/>
      <w:autoSpaceDE w:val="0"/>
      <w:autoSpaceDN w:val="0"/>
      <w:adjustRightInd w:val="0"/>
      <w:spacing w:before="120" w:line="240" w:lineRule="auto"/>
      <w:ind w:left="851"/>
    </w:pPr>
    <w:rPr>
      <w:rFonts w:ascii="Arial" w:hAnsi="Arial"/>
      <w:color w:val="000000"/>
      <w:kern w:val="0"/>
      <w:sz w:val="22"/>
      <w:lang w:val="en-GB"/>
    </w:rPr>
  </w:style>
  <w:style w:type="character" w:customStyle="1" w:styleId="2860">
    <w:name w:val="样式 首行缩进:  2 字符1 Char"/>
    <w:link w:val="1143"/>
    <w:qFormat/>
    <w:locked/>
    <w:uiPriority w:val="0"/>
    <w:rPr>
      <w:rFonts w:ascii="宋体" w:hAnsi="宋体" w:eastAsia="宋体" w:cs="宋体"/>
      <w:sz w:val="24"/>
      <w:szCs w:val="24"/>
      <w:lang w:val="en-US" w:eastAsia="zh-CN" w:bidi="ar-SA"/>
    </w:rPr>
  </w:style>
  <w:style w:type="character" w:customStyle="1" w:styleId="2861">
    <w:name w:val="样式 标题 3标题 131.1.1条标题 3 Char Char标题 3 Char标3§1.1.1.. (1.1...3 Char"/>
    <w:link w:val="2862"/>
    <w:qFormat/>
    <w:locked/>
    <w:uiPriority w:val="0"/>
    <w:rPr>
      <w:rFonts w:ascii="Arial" w:hAnsi="Arial" w:eastAsia="黑体"/>
      <w:b/>
      <w:sz w:val="30"/>
      <w:szCs w:val="24"/>
      <w:lang w:bidi="ar-SA"/>
    </w:rPr>
  </w:style>
  <w:style w:type="paragraph" w:customStyle="1" w:styleId="2862">
    <w:name w:val="样式 标题 3标题 131.1.1条标题 3 Char Char标题 3 Char标3§1.1.1.. (1.1...3"/>
    <w:basedOn w:val="5"/>
    <w:link w:val="2861"/>
    <w:semiHidden/>
    <w:qFormat/>
    <w:uiPriority w:val="0"/>
    <w:pPr>
      <w:widowControl/>
      <w:tabs>
        <w:tab w:val="left" w:pos="992"/>
        <w:tab w:val="clear" w:pos="480"/>
        <w:tab w:val="clear" w:pos="840"/>
      </w:tabs>
      <w:overflowPunct w:val="0"/>
      <w:autoSpaceDE w:val="0"/>
      <w:autoSpaceDN w:val="0"/>
      <w:adjustRightInd w:val="0"/>
      <w:spacing w:before="100" w:after="100" w:line="360" w:lineRule="auto"/>
    </w:pPr>
    <w:rPr>
      <w:rFonts w:ascii="Arial" w:hAnsi="Arial" w:eastAsia="黑体"/>
      <w:bCs w:val="0"/>
      <w:kern w:val="0"/>
      <w:szCs w:val="24"/>
    </w:rPr>
  </w:style>
  <w:style w:type="character" w:customStyle="1" w:styleId="2863">
    <w:name w:val="正文 + 首行缩进:  2 字符 Char Char"/>
    <w:link w:val="2864"/>
    <w:qFormat/>
    <w:locked/>
    <w:uiPriority w:val="0"/>
    <w:rPr>
      <w:rFonts w:ascii="宋体" w:hAnsi="宋体" w:eastAsia="宋体"/>
      <w:sz w:val="24"/>
      <w:szCs w:val="24"/>
      <w:lang w:bidi="ar-SA"/>
    </w:rPr>
  </w:style>
  <w:style w:type="paragraph" w:customStyle="1" w:styleId="2864">
    <w:name w:val="正文 + 首行缩进:  2 字符 Char"/>
    <w:basedOn w:val="1"/>
    <w:link w:val="2863"/>
    <w:semiHidden/>
    <w:qFormat/>
    <w:uiPriority w:val="0"/>
    <w:pPr>
      <w:tabs>
        <w:tab w:val="clear" w:pos="480"/>
      </w:tabs>
      <w:ind w:firstLine="480"/>
    </w:pPr>
    <w:rPr>
      <w:rFonts w:ascii="宋体" w:hAnsi="宋体"/>
      <w:kern w:val="0"/>
      <w:lang w:val="zh-CN"/>
    </w:rPr>
  </w:style>
  <w:style w:type="paragraph" w:customStyle="1" w:styleId="2865">
    <w:name w:val="样式 样式 样式 标题 3标题 13标题 3 Char1 Char Char Char标题 31ReHead 3 WSAh3B...."/>
    <w:basedOn w:val="1"/>
    <w:semiHidden/>
    <w:qFormat/>
    <w:uiPriority w:val="0"/>
    <w:pPr>
      <w:keepNext/>
      <w:keepLines/>
      <w:tabs>
        <w:tab w:val="clear" w:pos="480"/>
      </w:tabs>
      <w:spacing w:beforeLines="50" w:afterLines="50" w:line="460" w:lineRule="exact"/>
      <w:outlineLvl w:val="2"/>
    </w:pPr>
    <w:rPr>
      <w:rFonts w:cs="宋体"/>
      <w:b/>
      <w:bCs/>
      <w:color w:val="000000"/>
      <w:szCs w:val="20"/>
    </w:rPr>
  </w:style>
  <w:style w:type="paragraph" w:customStyle="1" w:styleId="2866">
    <w:name w:val="p1"/>
    <w:basedOn w:val="1"/>
    <w:semiHidden/>
    <w:qFormat/>
    <w:uiPriority w:val="0"/>
    <w:pPr>
      <w:widowControl/>
      <w:tabs>
        <w:tab w:val="clear" w:pos="480"/>
      </w:tabs>
      <w:spacing w:before="100" w:beforeAutospacing="1" w:after="100" w:afterAutospacing="1"/>
      <w:ind w:firstLine="465"/>
      <w:jc w:val="left"/>
    </w:pPr>
    <w:rPr>
      <w:rFonts w:ascii="ˎ̥" w:hAnsi="ˎ̥"/>
      <w:kern w:val="0"/>
      <w:sz w:val="22"/>
      <w:szCs w:val="20"/>
    </w:rPr>
  </w:style>
  <w:style w:type="paragraph" w:customStyle="1" w:styleId="2867">
    <w:name w:val="样式 标题 4标题 14H4 + 段前: 0.5 行 段后: 0.5 行 行距: 1.5 倍行距"/>
    <w:basedOn w:val="6"/>
    <w:semiHidden/>
    <w:qFormat/>
    <w:uiPriority w:val="0"/>
    <w:pPr>
      <w:widowControl/>
      <w:numPr>
        <w:ilvl w:val="0"/>
        <w:numId w:val="0"/>
      </w:numPr>
      <w:tabs>
        <w:tab w:val="clear" w:pos="480"/>
      </w:tabs>
      <w:overflowPunct w:val="0"/>
      <w:autoSpaceDE w:val="0"/>
      <w:autoSpaceDN w:val="0"/>
      <w:adjustRightInd w:val="0"/>
      <w:spacing w:beforeLines="50" w:afterLines="50"/>
    </w:pPr>
    <w:rPr>
      <w:rFonts w:ascii="Times New Roman" w:hAnsi="Times New Roman" w:eastAsia="宋体" w:cs="宋体"/>
      <w:b w:val="0"/>
      <w:bCs w:val="0"/>
      <w:kern w:val="0"/>
      <w:sz w:val="24"/>
      <w:szCs w:val="20"/>
    </w:rPr>
  </w:style>
  <w:style w:type="paragraph" w:customStyle="1" w:styleId="2868">
    <w:name w:val="样式 标题 2标题2SeHead wsa2H21标题 1.1Chapter TitleChapter节标题 1..."/>
    <w:basedOn w:val="4"/>
    <w:semiHidden/>
    <w:qFormat/>
    <w:uiPriority w:val="0"/>
    <w:pPr>
      <w:tabs>
        <w:tab w:val="left" w:pos="720"/>
        <w:tab w:val="left" w:pos="1200"/>
        <w:tab w:val="clear" w:pos="480"/>
        <w:tab w:val="clear" w:pos="630"/>
      </w:tabs>
      <w:spacing w:before="0" w:after="0"/>
      <w:ind w:left="1200" w:leftChars="400" w:hanging="360" w:hangingChars="200"/>
      <w:jc w:val="left"/>
    </w:pPr>
    <w:rPr>
      <w:rFonts w:cs="宋体"/>
      <w:kern w:val="0"/>
      <w:sz w:val="30"/>
      <w:szCs w:val="30"/>
    </w:rPr>
  </w:style>
  <w:style w:type="paragraph" w:customStyle="1" w:styleId="2869">
    <w:name w:val="报告表正文"/>
    <w:basedOn w:val="1"/>
    <w:link w:val="3597"/>
    <w:qFormat/>
    <w:uiPriority w:val="0"/>
    <w:pPr>
      <w:tabs>
        <w:tab w:val="clear" w:pos="480"/>
      </w:tabs>
      <w:adjustRightInd w:val="0"/>
      <w:spacing w:line="300" w:lineRule="auto"/>
      <w:ind w:left="113" w:right="113"/>
    </w:pPr>
    <w:rPr>
      <w:kern w:val="0"/>
      <w:szCs w:val="20"/>
    </w:rPr>
  </w:style>
  <w:style w:type="paragraph" w:customStyle="1" w:styleId="2870">
    <w:name w:val="样式 标题 4标题 14 + 加粗 无下划线 自动设置 段前: 3 磅 段后: 10 磅1"/>
    <w:basedOn w:val="6"/>
    <w:semiHidden/>
    <w:qFormat/>
    <w:uiPriority w:val="0"/>
    <w:pPr>
      <w:keepLines w:val="0"/>
      <w:numPr>
        <w:ilvl w:val="0"/>
        <w:numId w:val="0"/>
      </w:numPr>
      <w:tabs>
        <w:tab w:val="left" w:pos="2040"/>
        <w:tab w:val="left" w:pos="2356"/>
        <w:tab w:val="clear" w:pos="480"/>
      </w:tabs>
      <w:adjustRightInd w:val="0"/>
      <w:snapToGrid w:val="0"/>
      <w:spacing w:before="60" w:after="200" w:line="240" w:lineRule="auto"/>
      <w:ind w:left="2040" w:leftChars="800" w:hanging="360" w:hangingChars="200"/>
    </w:pPr>
    <w:rPr>
      <w:rFonts w:ascii="Times New Roman" w:hAnsi="Times New Roman" w:eastAsia="宋体"/>
      <w:sz w:val="24"/>
      <w:szCs w:val="20"/>
    </w:rPr>
  </w:style>
  <w:style w:type="paragraph" w:customStyle="1" w:styleId="2871">
    <w:name w:val="标准-正文"/>
    <w:semiHidden/>
    <w:qFormat/>
    <w:uiPriority w:val="0"/>
    <w:pPr>
      <w:widowControl w:val="0"/>
      <w:adjustRightInd w:val="0"/>
      <w:snapToGrid w:val="0"/>
      <w:spacing w:line="520" w:lineRule="exact"/>
      <w:jc w:val="center"/>
    </w:pPr>
    <w:rPr>
      <w:rFonts w:ascii="宋体" w:hAnsi="宋体" w:eastAsia="宋体" w:cs="Times New Roman"/>
      <w:kern w:val="2"/>
      <w:sz w:val="24"/>
      <w:szCs w:val="24"/>
      <w:lang w:val="en-US" w:eastAsia="zh-CN" w:bidi="ar-SA"/>
    </w:rPr>
  </w:style>
  <w:style w:type="paragraph" w:customStyle="1" w:styleId="2872">
    <w:name w:val="Char Char Char1 Char Char Char Char Char Char Char1"/>
    <w:basedOn w:val="1"/>
    <w:semiHidden/>
    <w:qFormat/>
    <w:uiPriority w:val="0"/>
    <w:pPr>
      <w:widowControl/>
      <w:tabs>
        <w:tab w:val="clear" w:pos="480"/>
      </w:tabs>
      <w:adjustRightInd w:val="0"/>
      <w:spacing w:after="160" w:line="240" w:lineRule="exact"/>
      <w:jc w:val="left"/>
    </w:pPr>
    <w:rPr>
      <w:rFonts w:ascii="Verdana" w:hAnsi="Verdana"/>
      <w:kern w:val="0"/>
      <w:sz w:val="20"/>
      <w:szCs w:val="20"/>
      <w:lang w:eastAsia="en-US"/>
    </w:rPr>
  </w:style>
  <w:style w:type="character" w:customStyle="1" w:styleId="2873">
    <w:name w:val="样式13 Char"/>
    <w:link w:val="942"/>
    <w:qFormat/>
    <w:locked/>
    <w:uiPriority w:val="0"/>
    <w:rPr>
      <w:rFonts w:ascii="Arial" w:hAnsi="Arial" w:eastAsia="宋体" w:cs="Arial"/>
      <w:b/>
      <w:kern w:val="44"/>
      <w:sz w:val="28"/>
      <w:szCs w:val="28"/>
      <w:lang w:val="en-US" w:eastAsia="zh-CN" w:bidi="ar-SA"/>
    </w:rPr>
  </w:style>
  <w:style w:type="character" w:customStyle="1" w:styleId="2874">
    <w:name w:val="君邦正文 Char1"/>
    <w:link w:val="2875"/>
    <w:qFormat/>
    <w:locked/>
    <w:uiPriority w:val="0"/>
    <w:rPr>
      <w:rFonts w:eastAsia="Times New Roman"/>
      <w:bCs/>
      <w:kern w:val="2"/>
      <w:sz w:val="24"/>
      <w:szCs w:val="22"/>
      <w:lang w:val="en-US" w:eastAsia="zh-CN" w:bidi="ar-SA"/>
    </w:rPr>
  </w:style>
  <w:style w:type="paragraph" w:customStyle="1" w:styleId="2875">
    <w:name w:val="君邦正文"/>
    <w:link w:val="2874"/>
    <w:qFormat/>
    <w:uiPriority w:val="0"/>
    <w:pPr>
      <w:snapToGrid w:val="0"/>
      <w:spacing w:after="60" w:line="360" w:lineRule="auto"/>
      <w:ind w:firstLine="480" w:firstLineChars="200"/>
      <w:jc w:val="both"/>
    </w:pPr>
    <w:rPr>
      <w:rFonts w:ascii="Times New Roman" w:hAnsi="Times New Roman" w:eastAsia="Times New Roman" w:cs="Times New Roman"/>
      <w:bCs/>
      <w:kern w:val="2"/>
      <w:sz w:val="24"/>
      <w:szCs w:val="22"/>
      <w:lang w:val="en-US" w:eastAsia="zh-CN" w:bidi="ar-SA"/>
    </w:rPr>
  </w:style>
  <w:style w:type="paragraph" w:customStyle="1" w:styleId="2876">
    <w:name w:val="CM100"/>
    <w:basedOn w:val="151"/>
    <w:next w:val="151"/>
    <w:semiHidden/>
    <w:qFormat/>
    <w:uiPriority w:val="0"/>
    <w:pPr>
      <w:spacing w:after="255"/>
    </w:pPr>
    <w:rPr>
      <w:rFonts w:ascii="宋体" w:eastAsia="宋体" w:cs="Times New Roman"/>
      <w:color w:val="auto"/>
    </w:rPr>
  </w:style>
  <w:style w:type="paragraph" w:customStyle="1" w:styleId="2877">
    <w:name w:val="7表格(治)"/>
    <w:semiHidden/>
    <w:qFormat/>
    <w:uiPriority w:val="0"/>
    <w:pPr>
      <w:jc w:val="center"/>
    </w:pPr>
    <w:rPr>
      <w:rFonts w:ascii="Arial" w:hAnsi="Arial" w:eastAsia="楷体_GB2312" w:cs="Times New Roman"/>
      <w:kern w:val="2"/>
      <w:sz w:val="21"/>
      <w:szCs w:val="24"/>
      <w:lang w:val="en-US" w:eastAsia="zh-CN" w:bidi="ar-SA"/>
    </w:rPr>
  </w:style>
  <w:style w:type="character" w:customStyle="1" w:styleId="2878">
    <w:name w:val="样式18 Char"/>
    <w:link w:val="1165"/>
    <w:qFormat/>
    <w:locked/>
    <w:uiPriority w:val="0"/>
    <w:rPr>
      <w:rFonts w:ascii="Arial" w:hAnsi="Arial" w:eastAsia="宋体" w:cs="宋体"/>
      <w:b/>
      <w:sz w:val="24"/>
      <w:szCs w:val="24"/>
      <w:lang w:bidi="ar-SA"/>
    </w:rPr>
  </w:style>
  <w:style w:type="paragraph" w:customStyle="1" w:styleId="2879">
    <w:name w:val="样式 样式1 + 居中"/>
    <w:basedOn w:val="1"/>
    <w:semiHidden/>
    <w:qFormat/>
    <w:uiPriority w:val="0"/>
    <w:pPr>
      <w:tabs>
        <w:tab w:val="clear" w:pos="480"/>
      </w:tabs>
      <w:spacing w:line="240" w:lineRule="auto"/>
      <w:jc w:val="center"/>
    </w:pPr>
    <w:rPr>
      <w:szCs w:val="20"/>
    </w:rPr>
  </w:style>
  <w:style w:type="paragraph" w:customStyle="1" w:styleId="2880">
    <w:name w:val="我的标题2"/>
    <w:basedOn w:val="1"/>
    <w:semiHidden/>
    <w:qFormat/>
    <w:uiPriority w:val="0"/>
    <w:pPr>
      <w:tabs>
        <w:tab w:val="clear" w:pos="480"/>
      </w:tabs>
      <w:spacing w:line="240" w:lineRule="auto"/>
      <w:ind w:firstLine="576" w:firstLineChars="192"/>
    </w:pPr>
    <w:rPr>
      <w:rFonts w:ascii="黑体" w:eastAsia="黑体"/>
      <w:sz w:val="30"/>
    </w:rPr>
  </w:style>
  <w:style w:type="paragraph" w:customStyle="1" w:styleId="2881">
    <w:name w:val="style2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0"/>
      <w:szCs w:val="20"/>
    </w:rPr>
  </w:style>
  <w:style w:type="character" w:customStyle="1" w:styleId="2882">
    <w:name w:val="四级标题 Char"/>
    <w:link w:val="2883"/>
    <w:qFormat/>
    <w:locked/>
    <w:uiPriority w:val="0"/>
    <w:rPr>
      <w:rFonts w:ascii="宋体" w:hAnsi="宋体" w:eastAsia="宋体"/>
      <w:bCs/>
      <w:sz w:val="24"/>
      <w:szCs w:val="24"/>
      <w:lang w:bidi="ar-SA"/>
    </w:rPr>
  </w:style>
  <w:style w:type="paragraph" w:customStyle="1" w:styleId="2883">
    <w:name w:val="四级标题"/>
    <w:basedOn w:val="6"/>
    <w:link w:val="2882"/>
    <w:qFormat/>
    <w:uiPriority w:val="0"/>
    <w:pPr>
      <w:numPr>
        <w:ilvl w:val="0"/>
        <w:numId w:val="0"/>
      </w:numPr>
      <w:tabs>
        <w:tab w:val="clear" w:pos="480"/>
      </w:tabs>
      <w:spacing w:beforeLines="50" w:afterLines="50"/>
    </w:pPr>
    <w:rPr>
      <w:rFonts w:ascii="宋体" w:eastAsia="宋体"/>
      <w:b w:val="0"/>
      <w:kern w:val="0"/>
      <w:sz w:val="24"/>
      <w:szCs w:val="24"/>
    </w:rPr>
  </w:style>
  <w:style w:type="character" w:customStyle="1" w:styleId="2884">
    <w:name w:val="样式20 Char"/>
    <w:link w:val="1167"/>
    <w:qFormat/>
    <w:locked/>
    <w:uiPriority w:val="0"/>
    <w:rPr>
      <w:rFonts w:ascii="Arial" w:hAnsi="Arial" w:eastAsia="宋体" w:cs="宋体"/>
      <w:b/>
      <w:sz w:val="24"/>
      <w:szCs w:val="24"/>
      <w:lang w:bidi="ar-SA"/>
    </w:rPr>
  </w:style>
  <w:style w:type="paragraph" w:customStyle="1" w:styleId="2885">
    <w:name w:val="表中正文居中"/>
    <w:semiHidden/>
    <w:qFormat/>
    <w:uiPriority w:val="0"/>
    <w:pPr>
      <w:spacing w:before="120" w:after="120" w:line="240" w:lineRule="atLeast"/>
      <w:jc w:val="center"/>
    </w:pPr>
    <w:rPr>
      <w:rFonts w:ascii="宋体" w:hAnsi="Times New Roman" w:eastAsia="宋体" w:cs="Times New Roman"/>
      <w:kern w:val="2"/>
      <w:sz w:val="21"/>
      <w:szCs w:val="24"/>
      <w:lang w:val="en-US" w:eastAsia="zh-CN" w:bidi="ar-SA"/>
    </w:rPr>
  </w:style>
  <w:style w:type="paragraph" w:customStyle="1" w:styleId="2886">
    <w:name w:val="样式 标题 2 + 左侧:  1 字符 右侧:  0.25 厘米"/>
    <w:basedOn w:val="4"/>
    <w:semiHidden/>
    <w:qFormat/>
    <w:uiPriority w:val="0"/>
    <w:pPr>
      <w:keepLines w:val="0"/>
      <w:tabs>
        <w:tab w:val="left" w:pos="1230"/>
        <w:tab w:val="clear" w:pos="480"/>
        <w:tab w:val="clear" w:pos="630"/>
      </w:tabs>
      <w:spacing w:before="0" w:after="0"/>
      <w:ind w:left="210" w:leftChars="100" w:right="142" w:firstLine="318" w:firstLineChars="99"/>
      <w:jc w:val="left"/>
    </w:pPr>
    <w:rPr>
      <w:rFonts w:eastAsia="黑体"/>
      <w:bCs w:val="0"/>
      <w:kern w:val="0"/>
    </w:rPr>
  </w:style>
  <w:style w:type="paragraph" w:customStyle="1" w:styleId="2887">
    <w:name w:val="样式27"/>
    <w:basedOn w:val="208"/>
    <w:qFormat/>
    <w:uiPriority w:val="0"/>
    <w:pPr>
      <w:keepNext/>
      <w:keepLines/>
      <w:tabs>
        <w:tab w:val="left" w:pos="0"/>
        <w:tab w:val="left" w:pos="360"/>
        <w:tab w:val="left" w:pos="540"/>
      </w:tabs>
      <w:adjustRightInd/>
      <w:snapToGrid/>
      <w:spacing w:beforeLines="50" w:afterLines="50" w:line="360" w:lineRule="auto"/>
      <w:jc w:val="both"/>
      <w:outlineLvl w:val="1"/>
    </w:pPr>
    <w:rPr>
      <w:rFonts w:eastAsia="黑体"/>
      <w:b w:val="0"/>
      <w:color w:val="auto"/>
      <w:kern w:val="0"/>
      <w:sz w:val="28"/>
      <w:szCs w:val="28"/>
    </w:rPr>
  </w:style>
  <w:style w:type="paragraph" w:customStyle="1" w:styleId="2888">
    <w:name w:val="BIG BOLD"/>
    <w:basedOn w:val="1"/>
    <w:semiHidden/>
    <w:qFormat/>
    <w:uiPriority w:val="0"/>
    <w:pPr>
      <w:tabs>
        <w:tab w:val="left" w:leader="underscore" w:pos="1134"/>
        <w:tab w:val="clear" w:pos="480"/>
      </w:tabs>
      <w:spacing w:line="240" w:lineRule="auto"/>
    </w:pPr>
    <w:rPr>
      <w:szCs w:val="20"/>
    </w:rPr>
  </w:style>
  <w:style w:type="character" w:customStyle="1" w:styleId="2889">
    <w:name w:val="样式 首行缩进:  2 字符4 Char"/>
    <w:link w:val="2448"/>
    <w:qFormat/>
    <w:locked/>
    <w:uiPriority w:val="0"/>
    <w:rPr>
      <w:rFonts w:ascii="宋体" w:hAnsi="宋体" w:eastAsia="宋体"/>
      <w:kern w:val="2"/>
      <w:sz w:val="24"/>
      <w:szCs w:val="24"/>
      <w:lang w:val="en-US" w:eastAsia="zh-CN" w:bidi="ar-SA"/>
    </w:rPr>
  </w:style>
  <w:style w:type="paragraph" w:customStyle="1" w:styleId="2890">
    <w:name w:val="小表"/>
    <w:basedOn w:val="1"/>
    <w:semiHidden/>
    <w:qFormat/>
    <w:uiPriority w:val="0"/>
    <w:pPr>
      <w:tabs>
        <w:tab w:val="clear" w:pos="480"/>
      </w:tabs>
      <w:overflowPunct w:val="0"/>
      <w:autoSpaceDE w:val="0"/>
      <w:autoSpaceDN w:val="0"/>
      <w:adjustRightInd w:val="0"/>
      <w:spacing w:line="240" w:lineRule="auto"/>
      <w:jc w:val="center"/>
    </w:pPr>
    <w:rPr>
      <w:kern w:val="0"/>
      <w:szCs w:val="20"/>
    </w:rPr>
  </w:style>
  <w:style w:type="character" w:customStyle="1" w:styleId="2891">
    <w:name w:val="文本正文 Char"/>
    <w:link w:val="2892"/>
    <w:qFormat/>
    <w:locked/>
    <w:uiPriority w:val="0"/>
    <w:rPr>
      <w:rFonts w:ascii="宋体" w:hAnsi="宋体" w:eastAsia="宋体"/>
      <w:spacing w:val="4"/>
      <w:kern w:val="24"/>
      <w:sz w:val="24"/>
      <w:szCs w:val="24"/>
      <w:lang w:val="zh-CN" w:bidi="ar-SA"/>
    </w:rPr>
  </w:style>
  <w:style w:type="paragraph" w:customStyle="1" w:styleId="2892">
    <w:name w:val="文本正文"/>
    <w:basedOn w:val="1"/>
    <w:link w:val="2891"/>
    <w:qFormat/>
    <w:uiPriority w:val="0"/>
    <w:pPr>
      <w:tabs>
        <w:tab w:val="clear" w:pos="480"/>
      </w:tabs>
      <w:snapToGrid w:val="0"/>
      <w:ind w:firstLine="510"/>
      <w:jc w:val="left"/>
    </w:pPr>
    <w:rPr>
      <w:rFonts w:ascii="宋体" w:hAnsi="宋体"/>
      <w:spacing w:val="4"/>
      <w:kern w:val="24"/>
      <w:lang w:val="zh-CN"/>
    </w:rPr>
  </w:style>
  <w:style w:type="paragraph" w:customStyle="1" w:styleId="2893">
    <w:name w:val="标3"/>
    <w:basedOn w:val="5"/>
    <w:next w:val="1"/>
    <w:qFormat/>
    <w:uiPriority w:val="0"/>
    <w:pPr>
      <w:tabs>
        <w:tab w:val="clear" w:pos="480"/>
        <w:tab w:val="clear" w:pos="840"/>
      </w:tabs>
      <w:autoSpaceDE w:val="0"/>
      <w:autoSpaceDN w:val="0"/>
      <w:adjustRightInd w:val="0"/>
      <w:spacing w:beforeLines="50" w:after="0" w:line="360" w:lineRule="auto"/>
      <w:ind w:firstLine="560" w:firstLineChars="200"/>
      <w:outlineLvl w:val="9"/>
    </w:pPr>
    <w:rPr>
      <w:rFonts w:ascii="Times New Roman" w:eastAsia="黑体"/>
      <w:b w:val="0"/>
      <w:bCs w:val="0"/>
      <w:kern w:val="0"/>
      <w:sz w:val="28"/>
      <w:szCs w:val="20"/>
    </w:rPr>
  </w:style>
  <w:style w:type="paragraph" w:customStyle="1" w:styleId="2894">
    <w:name w:val="样式 黑体 小四 加粗 行距: 固定值 20 磅3"/>
    <w:basedOn w:val="1"/>
    <w:semiHidden/>
    <w:qFormat/>
    <w:uiPriority w:val="0"/>
    <w:pPr>
      <w:tabs>
        <w:tab w:val="clear" w:pos="480"/>
      </w:tabs>
      <w:spacing w:line="400" w:lineRule="exact"/>
    </w:pPr>
    <w:rPr>
      <w:rFonts w:ascii="黑体" w:eastAsia="黑体" w:cs="宋体"/>
      <w:b/>
      <w:bCs/>
      <w:sz w:val="28"/>
      <w:szCs w:val="20"/>
    </w:rPr>
  </w:style>
  <w:style w:type="paragraph" w:customStyle="1" w:styleId="2895">
    <w:name w:val="Char2 Char Char Char Char Char Char Char Char"/>
    <w:basedOn w:val="1"/>
    <w:semiHidden/>
    <w:qFormat/>
    <w:uiPriority w:val="0"/>
    <w:pPr>
      <w:tabs>
        <w:tab w:val="clear" w:pos="480"/>
      </w:tabs>
    </w:pPr>
    <w:rPr>
      <w:rFonts w:ascii="宋体" w:hAnsi="宋体" w:cs="宋体"/>
    </w:rPr>
  </w:style>
  <w:style w:type="paragraph" w:customStyle="1" w:styleId="2896">
    <w:name w:val="样2"/>
    <w:basedOn w:val="1"/>
    <w:next w:val="1"/>
    <w:semiHidden/>
    <w:qFormat/>
    <w:uiPriority w:val="0"/>
    <w:pPr>
      <w:tabs>
        <w:tab w:val="clear" w:pos="480"/>
      </w:tabs>
      <w:autoSpaceDE w:val="0"/>
      <w:autoSpaceDN w:val="0"/>
      <w:adjustRightInd w:val="0"/>
      <w:snapToGrid w:val="0"/>
      <w:spacing w:line="240" w:lineRule="auto"/>
      <w:jc w:val="center"/>
    </w:pPr>
    <w:rPr>
      <w:kern w:val="0"/>
      <w:szCs w:val="21"/>
    </w:rPr>
  </w:style>
  <w:style w:type="paragraph" w:customStyle="1" w:styleId="2897">
    <w:name w:val="样式 标题 4标题 14 + 自动设置"/>
    <w:basedOn w:val="6"/>
    <w:semiHidden/>
    <w:qFormat/>
    <w:uiPriority w:val="0"/>
    <w:pPr>
      <w:keepLines w:val="0"/>
      <w:numPr>
        <w:ilvl w:val="0"/>
        <w:numId w:val="0"/>
      </w:numPr>
      <w:tabs>
        <w:tab w:val="clear" w:pos="480"/>
      </w:tabs>
      <w:adjustRightInd w:val="0"/>
      <w:snapToGrid w:val="0"/>
      <w:spacing w:before="0" w:after="0" w:line="240" w:lineRule="auto"/>
    </w:pPr>
    <w:rPr>
      <w:rFonts w:ascii="Times New Roman" w:hAnsi="Times New Roman" w:eastAsia="黑体"/>
      <w:b w:val="0"/>
      <w:bCs w:val="0"/>
      <w:sz w:val="24"/>
      <w:szCs w:val="24"/>
      <w:u w:val="single"/>
    </w:rPr>
  </w:style>
  <w:style w:type="paragraph" w:customStyle="1" w:styleId="2898">
    <w:name w:val="环表头"/>
    <w:basedOn w:val="1"/>
    <w:next w:val="1"/>
    <w:semiHidden/>
    <w:qFormat/>
    <w:uiPriority w:val="0"/>
    <w:pPr>
      <w:widowControl/>
      <w:tabs>
        <w:tab w:val="clear" w:pos="480"/>
      </w:tabs>
      <w:suppressAutoHyphens/>
      <w:adjustRightInd w:val="0"/>
      <w:spacing w:before="60" w:after="60" w:line="312" w:lineRule="atLeast"/>
      <w:ind w:right="28"/>
      <w:jc w:val="center"/>
    </w:pPr>
    <w:rPr>
      <w:rFonts w:ascii="宋体" w:hAnsi="宋体" w:eastAsia="黑体"/>
      <w:kern w:val="0"/>
      <w:szCs w:val="20"/>
    </w:rPr>
  </w:style>
  <w:style w:type="paragraph" w:customStyle="1" w:styleId="2899">
    <w:name w:val="样式 正文文本缩进 3 + 12 磅 左侧:  2 字符"/>
    <w:basedOn w:val="70"/>
    <w:semiHidden/>
    <w:qFormat/>
    <w:uiPriority w:val="0"/>
    <w:pPr>
      <w:widowControl/>
      <w:spacing w:after="120"/>
      <w:ind w:firstLine="200"/>
      <w:jc w:val="left"/>
    </w:pPr>
    <w:rPr>
      <w:rFonts w:ascii="Calibri" w:hAnsi="Calibri" w:cs="PMingLiU"/>
      <w:kern w:val="0"/>
      <w:szCs w:val="20"/>
    </w:rPr>
  </w:style>
  <w:style w:type="paragraph" w:customStyle="1" w:styleId="2900">
    <w:name w:val="样式 小四 行距: 固定值 23 磅"/>
    <w:basedOn w:val="1"/>
    <w:link w:val="3276"/>
    <w:qFormat/>
    <w:uiPriority w:val="0"/>
    <w:pPr>
      <w:tabs>
        <w:tab w:val="left" w:pos="0"/>
        <w:tab w:val="left" w:pos="1620"/>
        <w:tab w:val="clear" w:pos="480"/>
      </w:tabs>
      <w:spacing w:line="240" w:lineRule="auto"/>
      <w:ind w:left="1620" w:leftChars="600" w:hanging="360" w:hangingChars="200"/>
    </w:pPr>
    <w:rPr>
      <w:sz w:val="28"/>
      <w:lang w:val="zh-CN"/>
    </w:rPr>
  </w:style>
  <w:style w:type="paragraph" w:customStyle="1" w:styleId="2901">
    <w:name w:val="我的标题3"/>
    <w:basedOn w:val="1"/>
    <w:semiHidden/>
    <w:qFormat/>
    <w:uiPriority w:val="0"/>
    <w:pPr>
      <w:tabs>
        <w:tab w:val="clear" w:pos="480"/>
      </w:tabs>
      <w:spacing w:line="460" w:lineRule="exact"/>
    </w:pPr>
    <w:rPr>
      <w:rFonts w:eastAsia="黑体"/>
      <w:sz w:val="28"/>
      <w:szCs w:val="28"/>
    </w:rPr>
  </w:style>
  <w:style w:type="paragraph" w:customStyle="1" w:styleId="2902">
    <w:name w:val="Losange 1"/>
    <w:basedOn w:val="2859"/>
    <w:semiHidden/>
    <w:qFormat/>
    <w:uiPriority w:val="0"/>
    <w:pPr>
      <w:ind w:left="1531" w:hanging="397"/>
    </w:pPr>
  </w:style>
  <w:style w:type="paragraph" w:customStyle="1" w:styleId="2903">
    <w:name w:val="样式 标题 2标题 21标题 121标题 2 Char1 Char节H2节标题 1.1节标题 1.1 Char...1"/>
    <w:basedOn w:val="4"/>
    <w:semiHidden/>
    <w:qFormat/>
    <w:uiPriority w:val="0"/>
    <w:pPr>
      <w:keepNext w:val="0"/>
      <w:keepLines w:val="0"/>
      <w:widowControl/>
      <w:tabs>
        <w:tab w:val="clear" w:pos="480"/>
        <w:tab w:val="clear" w:pos="630"/>
      </w:tabs>
      <w:adjustRightInd w:val="0"/>
      <w:spacing w:before="156" w:after="156" w:line="460" w:lineRule="exact"/>
      <w:jc w:val="left"/>
    </w:pPr>
    <w:rPr>
      <w:rFonts w:ascii="黑体" w:eastAsia="黑体" w:cs="宋体"/>
      <w:color w:val="000000"/>
      <w:kern w:val="0"/>
      <w:sz w:val="28"/>
      <w:szCs w:val="20"/>
    </w:rPr>
  </w:style>
  <w:style w:type="paragraph" w:customStyle="1" w:styleId="2904">
    <w:name w:val="表格(小)"/>
    <w:basedOn w:val="161"/>
    <w:semiHidden/>
    <w:qFormat/>
    <w:uiPriority w:val="0"/>
    <w:pPr>
      <w:adjustRightInd/>
      <w:snapToGrid w:val="0"/>
      <w:spacing w:line="240" w:lineRule="auto"/>
      <w:ind w:left="-140" w:leftChars="-50" w:right="-140" w:rightChars="-50"/>
      <w:jc w:val="center"/>
      <w:textAlignment w:val="auto"/>
    </w:pPr>
    <w:rPr>
      <w:rFonts w:hint="eastAsia" w:ascii="仿宋_GB2312" w:hAnsi="仿宋_GB2312" w:eastAsia="仿宋_GB2312"/>
      <w:sz w:val="15"/>
      <w:szCs w:val="30"/>
    </w:rPr>
  </w:style>
  <w:style w:type="paragraph" w:customStyle="1" w:styleId="2905">
    <w:name w:val="表列"/>
    <w:basedOn w:val="1"/>
    <w:semiHidden/>
    <w:qFormat/>
    <w:uiPriority w:val="0"/>
    <w:pPr>
      <w:tabs>
        <w:tab w:val="clear" w:pos="480"/>
      </w:tabs>
      <w:adjustRightInd w:val="0"/>
      <w:spacing w:line="240" w:lineRule="atLeast"/>
    </w:pPr>
    <w:rPr>
      <w:szCs w:val="20"/>
    </w:rPr>
  </w:style>
  <w:style w:type="paragraph" w:customStyle="1" w:styleId="2906">
    <w:name w:val="样式 四号 黑色 行距: 1.5 倍行距 首行缩进:  2 字符"/>
    <w:basedOn w:val="1"/>
    <w:qFormat/>
    <w:uiPriority w:val="0"/>
    <w:pPr>
      <w:tabs>
        <w:tab w:val="clear" w:pos="480"/>
      </w:tabs>
      <w:ind w:firstLine="560"/>
    </w:pPr>
    <w:rPr>
      <w:rFonts w:ascii="宋体" w:hAnsi="宋体" w:eastAsia="仿宋_GB2312" w:cs="宋体"/>
      <w:color w:val="000000"/>
      <w:sz w:val="28"/>
      <w:szCs w:val="20"/>
    </w:rPr>
  </w:style>
  <w:style w:type="paragraph" w:customStyle="1" w:styleId="2907">
    <w:name w:val="样式 标题 4标题 14 + 加粗 无下划线 自动设置 段前: 3 磅 段后: 10 磅2"/>
    <w:basedOn w:val="6"/>
    <w:semiHidden/>
    <w:qFormat/>
    <w:uiPriority w:val="0"/>
    <w:pPr>
      <w:keepLines w:val="0"/>
      <w:numPr>
        <w:ilvl w:val="0"/>
        <w:numId w:val="0"/>
      </w:numPr>
      <w:tabs>
        <w:tab w:val="left" w:pos="864"/>
        <w:tab w:val="left" w:pos="1680"/>
        <w:tab w:val="clear" w:pos="480"/>
      </w:tabs>
      <w:adjustRightInd w:val="0"/>
      <w:snapToGrid w:val="0"/>
      <w:spacing w:before="60" w:after="200" w:line="240" w:lineRule="auto"/>
      <w:ind w:left="1680" w:hanging="420"/>
    </w:pPr>
    <w:rPr>
      <w:rFonts w:ascii="Times New Roman" w:hAnsi="Times New Roman" w:eastAsia="宋体"/>
      <w:sz w:val="24"/>
      <w:szCs w:val="20"/>
    </w:rPr>
  </w:style>
  <w:style w:type="paragraph" w:customStyle="1" w:styleId="2908">
    <w:name w:val="样式 标题 2标题 2 Char Char + 宋体"/>
    <w:basedOn w:val="4"/>
    <w:semiHidden/>
    <w:qFormat/>
    <w:uiPriority w:val="0"/>
    <w:pPr>
      <w:keepLines w:val="0"/>
      <w:widowControl/>
      <w:tabs>
        <w:tab w:val="left" w:pos="786"/>
        <w:tab w:val="clear" w:pos="480"/>
        <w:tab w:val="clear" w:pos="630"/>
      </w:tabs>
      <w:overflowPunct w:val="0"/>
      <w:autoSpaceDE w:val="0"/>
      <w:autoSpaceDN w:val="0"/>
      <w:adjustRightInd w:val="0"/>
      <w:spacing w:before="240" w:after="240" w:line="440" w:lineRule="exact"/>
      <w:ind w:left="786" w:hanging="576"/>
      <w:jc w:val="left"/>
    </w:pPr>
    <w:rPr>
      <w:rFonts w:ascii="宋体" w:hAnsi="宋体"/>
      <w:bCs w:val="0"/>
      <w:kern w:val="28"/>
      <w:sz w:val="28"/>
      <w:szCs w:val="24"/>
    </w:rPr>
  </w:style>
  <w:style w:type="character" w:customStyle="1" w:styleId="2909">
    <w:name w:val="注释标题 Char1"/>
    <w:qFormat/>
    <w:uiPriority w:val="0"/>
    <w:rPr>
      <w:rFonts w:ascii="Times New Roman" w:hAnsi="Times New Roman" w:eastAsia="宋体" w:cs="Times New Roman"/>
      <w:sz w:val="24"/>
      <w:szCs w:val="24"/>
    </w:rPr>
  </w:style>
  <w:style w:type="character" w:customStyle="1" w:styleId="2910">
    <w:name w:val="表格字体 Char"/>
    <w:link w:val="2911"/>
    <w:qFormat/>
    <w:locked/>
    <w:uiPriority w:val="0"/>
    <w:rPr>
      <w:sz w:val="24"/>
      <w:szCs w:val="21"/>
      <w:lang w:bidi="ar-SA"/>
    </w:rPr>
  </w:style>
  <w:style w:type="paragraph" w:customStyle="1" w:styleId="2911">
    <w:name w:val="表格字体"/>
    <w:basedOn w:val="1"/>
    <w:link w:val="2910"/>
    <w:semiHidden/>
    <w:qFormat/>
    <w:uiPriority w:val="0"/>
    <w:pPr>
      <w:tabs>
        <w:tab w:val="clear" w:pos="480"/>
      </w:tabs>
      <w:spacing w:beforeLines="20" w:afterLines="20"/>
      <w:jc w:val="center"/>
    </w:pPr>
    <w:rPr>
      <w:kern w:val="0"/>
      <w:szCs w:val="21"/>
      <w:lang w:val="zh-CN"/>
    </w:rPr>
  </w:style>
  <w:style w:type="character" w:customStyle="1" w:styleId="2912">
    <w:name w:val="表头字体 Char1"/>
    <w:link w:val="2913"/>
    <w:qFormat/>
    <w:locked/>
    <w:uiPriority w:val="0"/>
    <w:rPr>
      <w:rFonts w:ascii="黑体" w:hAnsi="黑体" w:eastAsia="黑体"/>
      <w:b/>
      <w:bCs/>
      <w:sz w:val="24"/>
      <w:szCs w:val="24"/>
      <w:lang w:bidi="ar-SA"/>
    </w:rPr>
  </w:style>
  <w:style w:type="paragraph" w:customStyle="1" w:styleId="2913">
    <w:name w:val="表头字体"/>
    <w:basedOn w:val="6"/>
    <w:next w:val="1"/>
    <w:link w:val="2912"/>
    <w:semiHidden/>
    <w:qFormat/>
    <w:uiPriority w:val="0"/>
    <w:pPr>
      <w:keepNext w:val="0"/>
      <w:keepLines w:val="0"/>
      <w:numPr>
        <w:ilvl w:val="0"/>
        <w:numId w:val="0"/>
      </w:numPr>
      <w:tabs>
        <w:tab w:val="clear" w:pos="480"/>
      </w:tabs>
      <w:snapToGrid w:val="0"/>
      <w:spacing w:before="0" w:after="0" w:line="240" w:lineRule="auto"/>
      <w:jc w:val="center"/>
      <w:outlineLvl w:val="9"/>
    </w:pPr>
    <w:rPr>
      <w:rFonts w:ascii="黑体" w:hAnsi="黑体" w:eastAsia="黑体"/>
      <w:kern w:val="0"/>
      <w:sz w:val="24"/>
      <w:szCs w:val="24"/>
    </w:rPr>
  </w:style>
  <w:style w:type="paragraph" w:customStyle="1" w:styleId="2914">
    <w:name w:val="样式 列表 + 左侧:  0 厘米 悬挂缩进: 5.85 字符"/>
    <w:basedOn w:val="66"/>
    <w:semiHidden/>
    <w:qFormat/>
    <w:uiPriority w:val="0"/>
    <w:pPr>
      <w:autoSpaceDE w:val="0"/>
      <w:autoSpaceDN w:val="0"/>
      <w:adjustRightInd w:val="0"/>
      <w:ind w:left="0" w:firstLine="0" w:firstLineChars="0"/>
    </w:pPr>
    <w:rPr>
      <w:sz w:val="24"/>
      <w:szCs w:val="21"/>
      <w:lang w:val="zh-CN"/>
    </w:rPr>
  </w:style>
  <w:style w:type="paragraph" w:customStyle="1" w:styleId="2915">
    <w:name w:val="样式24"/>
    <w:basedOn w:val="1"/>
    <w:qFormat/>
    <w:uiPriority w:val="0"/>
    <w:pPr>
      <w:keepNext/>
      <w:keepLines/>
      <w:tabs>
        <w:tab w:val="left" w:pos="360"/>
        <w:tab w:val="left" w:pos="540"/>
        <w:tab w:val="left" w:pos="720"/>
        <w:tab w:val="clear" w:pos="480"/>
      </w:tabs>
      <w:spacing w:beforeLines="50" w:afterLines="50"/>
      <w:ind w:left="1296" w:hanging="1296"/>
      <w:outlineLvl w:val="1"/>
    </w:pPr>
    <w:rPr>
      <w:rFonts w:ascii="宋体" w:hAnsi="宋体" w:eastAsia="黑体"/>
      <w:sz w:val="28"/>
      <w:szCs w:val="28"/>
    </w:rPr>
  </w:style>
  <w:style w:type="paragraph" w:customStyle="1" w:styleId="2916">
    <w:name w:val="黄埔正文"/>
    <w:qFormat/>
    <w:uiPriority w:val="0"/>
    <w:pPr>
      <w:spacing w:beforeLines="50" w:line="440" w:lineRule="exact"/>
      <w:ind w:firstLine="480"/>
      <w:jc w:val="both"/>
    </w:pPr>
    <w:rPr>
      <w:rFonts w:ascii="宋体" w:hAnsi="Times New Roman" w:eastAsia="宋体" w:cs="Times New Roman"/>
      <w:color w:val="000000"/>
      <w:kern w:val="2"/>
      <w:sz w:val="24"/>
      <w:szCs w:val="24"/>
      <w:lang w:val="en-US" w:eastAsia="zh-CN" w:bidi="ar-SA"/>
    </w:rPr>
  </w:style>
  <w:style w:type="paragraph" w:customStyle="1" w:styleId="2917">
    <w:name w:val="样式 样式 标题 4标题 14 + 自动设置 + 无下划线"/>
    <w:basedOn w:val="2897"/>
    <w:semiHidden/>
    <w:qFormat/>
    <w:uiPriority w:val="0"/>
    <w:pPr>
      <w:tabs>
        <w:tab w:val="left" w:pos="425"/>
        <w:tab w:val="left" w:pos="1680"/>
      </w:tabs>
      <w:ind w:left="1680" w:hanging="420"/>
    </w:pPr>
    <w:rPr>
      <w:u w:val="none"/>
    </w:rPr>
  </w:style>
  <w:style w:type="paragraph" w:customStyle="1" w:styleId="2918">
    <w:name w:val="样1"/>
    <w:basedOn w:val="1"/>
    <w:semiHidden/>
    <w:qFormat/>
    <w:uiPriority w:val="0"/>
    <w:pPr>
      <w:tabs>
        <w:tab w:val="clear" w:pos="480"/>
      </w:tabs>
      <w:autoSpaceDE w:val="0"/>
      <w:autoSpaceDN w:val="0"/>
      <w:adjustRightInd w:val="0"/>
      <w:ind w:right="232"/>
      <w:jc w:val="center"/>
    </w:pPr>
    <w:rPr>
      <w:kern w:val="0"/>
      <w:szCs w:val="20"/>
    </w:rPr>
  </w:style>
  <w:style w:type="paragraph" w:customStyle="1" w:styleId="2919">
    <w:name w:val="bt2"/>
    <w:basedOn w:val="1"/>
    <w:semiHidden/>
    <w:qFormat/>
    <w:uiPriority w:val="0"/>
    <w:pPr>
      <w:widowControl/>
      <w:tabs>
        <w:tab w:val="clear" w:pos="480"/>
      </w:tabs>
      <w:spacing w:before="100" w:beforeAutospacing="1" w:after="100" w:afterAutospacing="1" w:line="400" w:lineRule="atLeast"/>
      <w:jc w:val="left"/>
    </w:pPr>
    <w:rPr>
      <w:rFonts w:ascii="黑体" w:hAnsi="宋体" w:eastAsia="黑体" w:cs="宋体"/>
      <w:kern w:val="0"/>
      <w:szCs w:val="21"/>
    </w:rPr>
  </w:style>
  <w:style w:type="paragraph" w:customStyle="1" w:styleId="2920">
    <w:name w:val="样式 宋体 首行缩进:  2 字符"/>
    <w:basedOn w:val="1"/>
    <w:semiHidden/>
    <w:qFormat/>
    <w:uiPriority w:val="0"/>
    <w:pPr>
      <w:tabs>
        <w:tab w:val="clear" w:pos="480"/>
      </w:tabs>
      <w:spacing w:line="240" w:lineRule="auto"/>
      <w:ind w:firstLine="560"/>
    </w:pPr>
    <w:rPr>
      <w:rFonts w:cs="宋体"/>
      <w:sz w:val="28"/>
      <w:szCs w:val="28"/>
    </w:rPr>
  </w:style>
  <w:style w:type="paragraph" w:customStyle="1" w:styleId="2921">
    <w:name w:val="报告1"/>
    <w:basedOn w:val="1"/>
    <w:semiHidden/>
    <w:qFormat/>
    <w:uiPriority w:val="0"/>
    <w:pPr>
      <w:tabs>
        <w:tab w:val="clear" w:pos="480"/>
      </w:tabs>
      <w:overflowPunct w:val="0"/>
      <w:autoSpaceDE w:val="0"/>
      <w:autoSpaceDN w:val="0"/>
      <w:adjustRightInd w:val="0"/>
      <w:spacing w:before="60" w:after="60" w:line="400" w:lineRule="atLeast"/>
      <w:ind w:firstLine="360" w:firstLineChars="150"/>
      <w:jc w:val="left"/>
    </w:pPr>
    <w:rPr>
      <w:kern w:val="0"/>
      <w:szCs w:val="20"/>
    </w:rPr>
  </w:style>
  <w:style w:type="paragraph" w:customStyle="1" w:styleId="2922">
    <w:name w:val="样式 正文缩进正文缩进 Char表格标题标题4正文不缩进s4正文2首行缩进两字正文缩进1 + 首行缩进:  2 ..."/>
    <w:basedOn w:val="21"/>
    <w:semiHidden/>
    <w:qFormat/>
    <w:uiPriority w:val="0"/>
    <w:pPr>
      <w:tabs>
        <w:tab w:val="clear" w:pos="480"/>
      </w:tabs>
      <w:ind w:firstLine="480"/>
    </w:pPr>
    <w:rPr>
      <w:rFonts w:ascii="宋体" w:hAnsi="宋体"/>
      <w:kern w:val="0"/>
      <w:szCs w:val="20"/>
    </w:rPr>
  </w:style>
  <w:style w:type="paragraph" w:customStyle="1" w:styleId="2923">
    <w:name w:val="样式 标题 2标题 21标题 121 + Times New Roman 小三 非加粗 黑色 段前: 8 磅 段...2"/>
    <w:basedOn w:val="4"/>
    <w:semiHidden/>
    <w:qFormat/>
    <w:uiPriority w:val="0"/>
    <w:pPr>
      <w:tabs>
        <w:tab w:val="left" w:pos="360"/>
        <w:tab w:val="clear" w:pos="480"/>
        <w:tab w:val="clear" w:pos="630"/>
      </w:tabs>
      <w:spacing w:before="160" w:after="160" w:line="240" w:lineRule="auto"/>
      <w:ind w:left="360" w:hanging="360" w:hangingChars="200"/>
    </w:pPr>
    <w:rPr>
      <w:rFonts w:eastAsia="黑体"/>
      <w:bCs w:val="0"/>
      <w:color w:val="000000"/>
      <w:kern w:val="0"/>
      <w:sz w:val="30"/>
      <w:szCs w:val="20"/>
    </w:rPr>
  </w:style>
  <w:style w:type="paragraph" w:customStyle="1" w:styleId="2924">
    <w:name w:val="样式 标题 1标题 11一、 + Times New Roman 行距: 固定值 23 磅"/>
    <w:basedOn w:val="3"/>
    <w:semiHidden/>
    <w:qFormat/>
    <w:uiPriority w:val="0"/>
    <w:pPr>
      <w:tabs>
        <w:tab w:val="clear" w:pos="480"/>
      </w:tabs>
      <w:spacing w:before="0" w:after="0" w:line="460" w:lineRule="exact"/>
    </w:pPr>
    <w:rPr>
      <w:rFonts w:ascii="黑体" w:eastAsia="黑体" w:cs="宋体"/>
      <w:b w:val="0"/>
      <w:sz w:val="32"/>
      <w:szCs w:val="32"/>
    </w:rPr>
  </w:style>
  <w:style w:type="character" w:customStyle="1" w:styleId="2925">
    <w:name w:val="表格题名 Char"/>
    <w:link w:val="2926"/>
    <w:qFormat/>
    <w:locked/>
    <w:uiPriority w:val="0"/>
    <w:rPr>
      <w:rFonts w:ascii="黑体" w:hAnsi="黑体" w:eastAsia="黑体"/>
      <w:b/>
      <w:sz w:val="24"/>
      <w:lang w:bidi="ar-SA"/>
    </w:rPr>
  </w:style>
  <w:style w:type="paragraph" w:customStyle="1" w:styleId="2926">
    <w:name w:val="表格题名"/>
    <w:basedOn w:val="1"/>
    <w:link w:val="2925"/>
    <w:semiHidden/>
    <w:qFormat/>
    <w:uiPriority w:val="0"/>
    <w:pPr>
      <w:tabs>
        <w:tab w:val="clear" w:pos="480"/>
      </w:tabs>
      <w:adjustRightInd w:val="0"/>
      <w:spacing w:before="93" w:after="93"/>
      <w:jc w:val="center"/>
    </w:pPr>
    <w:rPr>
      <w:rFonts w:ascii="黑体" w:hAnsi="黑体" w:eastAsia="黑体"/>
      <w:b/>
      <w:kern w:val="0"/>
      <w:szCs w:val="20"/>
      <w:lang w:val="zh-CN"/>
    </w:rPr>
  </w:style>
  <w:style w:type="paragraph" w:customStyle="1" w:styleId="2927">
    <w:name w:val="样式 标题 2标题 21标题 121 + Times New Roman 小三 非加粗 黑色 段前: 8 磅 段...1"/>
    <w:basedOn w:val="4"/>
    <w:semiHidden/>
    <w:qFormat/>
    <w:uiPriority w:val="0"/>
    <w:pPr>
      <w:tabs>
        <w:tab w:val="left" w:pos="1279"/>
        <w:tab w:val="clear" w:pos="480"/>
        <w:tab w:val="clear" w:pos="630"/>
      </w:tabs>
      <w:spacing w:before="160" w:after="160" w:line="240" w:lineRule="auto"/>
      <w:ind w:left="1279" w:hanging="420"/>
    </w:pPr>
    <w:rPr>
      <w:rFonts w:eastAsia="黑体"/>
      <w:bCs w:val="0"/>
      <w:color w:val="000000"/>
      <w:kern w:val="0"/>
      <w:sz w:val="30"/>
      <w:szCs w:val="20"/>
    </w:rPr>
  </w:style>
  <w:style w:type="paragraph" w:customStyle="1" w:styleId="2928">
    <w:name w:val="91"/>
    <w:basedOn w:val="1"/>
    <w:semiHidden/>
    <w:qFormat/>
    <w:uiPriority w:val="0"/>
    <w:pPr>
      <w:keepNext/>
      <w:tabs>
        <w:tab w:val="clear" w:pos="480"/>
      </w:tabs>
      <w:spacing w:before="93" w:after="93"/>
    </w:pPr>
    <w:rPr>
      <w:szCs w:val="20"/>
    </w:rPr>
  </w:style>
  <w:style w:type="paragraph" w:customStyle="1" w:styleId="2929">
    <w:name w:val="样式 标题 3标题 13标题 3 Char1 Char Char Char标题 31ReHead 3 WSAh3B..."/>
    <w:basedOn w:val="5"/>
    <w:semiHidden/>
    <w:qFormat/>
    <w:uiPriority w:val="0"/>
    <w:pPr>
      <w:tabs>
        <w:tab w:val="clear" w:pos="480"/>
        <w:tab w:val="clear" w:pos="840"/>
      </w:tabs>
      <w:spacing w:beforeLines="50" w:afterLines="50" w:line="460" w:lineRule="exact"/>
    </w:pPr>
    <w:rPr>
      <w:rFonts w:ascii="Times New Roman" w:eastAsia="宋体" w:cs="宋体"/>
      <w:color w:val="000000"/>
      <w:sz w:val="24"/>
      <w:szCs w:val="20"/>
    </w:rPr>
  </w:style>
  <w:style w:type="paragraph" w:customStyle="1" w:styleId="2930">
    <w:name w:val="样式 标题 3 + 宋体 Char Char Char"/>
    <w:basedOn w:val="5"/>
    <w:semiHidden/>
    <w:qFormat/>
    <w:uiPriority w:val="0"/>
    <w:pPr>
      <w:tabs>
        <w:tab w:val="clear" w:pos="480"/>
        <w:tab w:val="clear" w:pos="840"/>
      </w:tabs>
      <w:adjustRightInd w:val="0"/>
      <w:spacing w:before="240" w:after="240" w:line="240" w:lineRule="auto"/>
      <w:jc w:val="left"/>
      <w:outlineLvl w:val="0"/>
    </w:pPr>
    <w:rPr>
      <w:rFonts w:ascii="Times New Roman" w:eastAsia="宋体"/>
      <w:b w:val="0"/>
      <w:bCs w:val="0"/>
      <w:kern w:val="28"/>
      <w:sz w:val="24"/>
      <w:szCs w:val="24"/>
    </w:rPr>
  </w:style>
  <w:style w:type="paragraph" w:customStyle="1" w:styleId="2931">
    <w:name w:val="真宗兴正文"/>
    <w:basedOn w:val="1"/>
    <w:qFormat/>
    <w:uiPriority w:val="0"/>
    <w:pPr>
      <w:tabs>
        <w:tab w:val="clear" w:pos="480"/>
      </w:tabs>
      <w:overflowPunct w:val="0"/>
      <w:autoSpaceDE w:val="0"/>
      <w:autoSpaceDN w:val="0"/>
      <w:adjustRightInd w:val="0"/>
      <w:snapToGrid w:val="0"/>
      <w:spacing w:beforeLines="30" w:afterLines="30"/>
      <w:ind w:firstLine="480"/>
    </w:pPr>
    <w:rPr>
      <w:szCs w:val="20"/>
    </w:rPr>
  </w:style>
  <w:style w:type="character" w:customStyle="1" w:styleId="2932">
    <w:name w:val="样式25 Char"/>
    <w:link w:val="2933"/>
    <w:qFormat/>
    <w:locked/>
    <w:uiPriority w:val="0"/>
    <w:rPr>
      <w:sz w:val="24"/>
      <w:szCs w:val="28"/>
      <w:lang w:bidi="ar-SA"/>
    </w:rPr>
  </w:style>
  <w:style w:type="paragraph" w:customStyle="1" w:styleId="2933">
    <w:name w:val="样式25"/>
    <w:basedOn w:val="1"/>
    <w:link w:val="2932"/>
    <w:qFormat/>
    <w:uiPriority w:val="0"/>
    <w:pPr>
      <w:keepNext/>
      <w:keepLines/>
      <w:tabs>
        <w:tab w:val="left" w:pos="720"/>
        <w:tab w:val="clear" w:pos="480"/>
      </w:tabs>
      <w:spacing w:beforeLines="50" w:afterLines="50"/>
      <w:outlineLvl w:val="3"/>
    </w:pPr>
    <w:rPr>
      <w:kern w:val="0"/>
      <w:szCs w:val="28"/>
      <w:lang w:val="zh-CN"/>
    </w:rPr>
  </w:style>
  <w:style w:type="paragraph" w:customStyle="1" w:styleId="2934">
    <w:name w:val="正文标准样式"/>
    <w:basedOn w:val="1"/>
    <w:semiHidden/>
    <w:qFormat/>
    <w:uiPriority w:val="0"/>
    <w:pPr>
      <w:tabs>
        <w:tab w:val="clear" w:pos="480"/>
      </w:tabs>
      <w:adjustRightInd w:val="0"/>
      <w:spacing w:line="300" w:lineRule="auto"/>
      <w:ind w:firstLine="482"/>
    </w:pPr>
    <w:rPr>
      <w:kern w:val="0"/>
      <w:szCs w:val="20"/>
    </w:rPr>
  </w:style>
  <w:style w:type="character" w:customStyle="1" w:styleId="2935">
    <w:name w:val="样式14 Char"/>
    <w:link w:val="1161"/>
    <w:qFormat/>
    <w:locked/>
    <w:uiPriority w:val="0"/>
    <w:rPr>
      <w:rFonts w:ascii="Arial" w:hAnsi="Arial" w:eastAsia="黑体" w:cs="宋体"/>
      <w:b/>
      <w:bCs/>
      <w:sz w:val="32"/>
      <w:szCs w:val="24"/>
      <w:lang w:bidi="ar-SA"/>
    </w:rPr>
  </w:style>
  <w:style w:type="paragraph" w:customStyle="1" w:styleId="2936">
    <w:name w:val="样式 标题 1标题 11一、标题 1 Char章 + Times New Roman 小三 非加粗 黑色 行距:..."/>
    <w:basedOn w:val="3"/>
    <w:semiHidden/>
    <w:qFormat/>
    <w:uiPriority w:val="0"/>
    <w:pPr>
      <w:tabs>
        <w:tab w:val="clear" w:pos="480"/>
      </w:tabs>
      <w:spacing w:before="0" w:after="0" w:line="460" w:lineRule="exact"/>
    </w:pPr>
    <w:rPr>
      <w:rFonts w:ascii="Times New Roman" w:eastAsia="黑体" w:cs="宋体"/>
      <w:b w:val="0"/>
      <w:bCs w:val="0"/>
      <w:color w:val="000000"/>
      <w:sz w:val="30"/>
      <w:szCs w:val="20"/>
    </w:rPr>
  </w:style>
  <w:style w:type="paragraph" w:customStyle="1" w:styleId="2937">
    <w:name w:val="标题附件2"/>
    <w:basedOn w:val="35"/>
    <w:semiHidden/>
    <w:qFormat/>
    <w:uiPriority w:val="0"/>
    <w:pPr>
      <w:tabs>
        <w:tab w:val="clear" w:pos="480"/>
      </w:tabs>
      <w:spacing w:beforeLines="50" w:afterLines="50" w:line="240" w:lineRule="auto"/>
      <w:ind w:firstLine="171" w:firstLineChars="171"/>
    </w:pPr>
    <w:rPr>
      <w:rFonts w:ascii="Calibri" w:hAnsi="Calibri" w:eastAsia="黑体"/>
      <w:kern w:val="0"/>
      <w:sz w:val="28"/>
    </w:rPr>
  </w:style>
  <w:style w:type="paragraph" w:customStyle="1" w:styleId="2938">
    <w:name w:val="Char Char Char3 Char Char Char Char Char Char Char Char Char Char Char Char Char Char Char"/>
    <w:basedOn w:val="1"/>
    <w:semiHidden/>
    <w:qFormat/>
    <w:uiPriority w:val="0"/>
    <w:pPr>
      <w:tabs>
        <w:tab w:val="clear" w:pos="480"/>
      </w:tabs>
      <w:spacing w:line="240" w:lineRule="auto"/>
    </w:pPr>
    <w:rPr>
      <w:sz w:val="21"/>
    </w:rPr>
  </w:style>
  <w:style w:type="character" w:customStyle="1" w:styleId="2939">
    <w:name w:val="样式17 Char"/>
    <w:link w:val="1164"/>
    <w:qFormat/>
    <w:locked/>
    <w:uiPriority w:val="0"/>
    <w:rPr>
      <w:rFonts w:ascii="宋体" w:hAnsi="宋体" w:eastAsia="宋体" w:cs="宋体"/>
      <w:b/>
      <w:sz w:val="24"/>
      <w:szCs w:val="24"/>
      <w:lang w:bidi="ar-SA"/>
    </w:rPr>
  </w:style>
  <w:style w:type="character" w:customStyle="1" w:styleId="2940">
    <w:name w:val="表内格式 Char"/>
    <w:link w:val="2941"/>
    <w:qFormat/>
    <w:locked/>
    <w:uiPriority w:val="0"/>
    <w:rPr>
      <w:sz w:val="18"/>
      <w:lang w:bidi="ar-SA"/>
    </w:rPr>
  </w:style>
  <w:style w:type="paragraph" w:customStyle="1" w:styleId="2941">
    <w:name w:val="表内格式"/>
    <w:basedOn w:val="1"/>
    <w:next w:val="1"/>
    <w:link w:val="2940"/>
    <w:qFormat/>
    <w:uiPriority w:val="0"/>
    <w:pPr>
      <w:tabs>
        <w:tab w:val="clear" w:pos="480"/>
      </w:tabs>
      <w:spacing w:line="240" w:lineRule="auto"/>
      <w:jc w:val="center"/>
    </w:pPr>
    <w:rPr>
      <w:kern w:val="0"/>
      <w:sz w:val="18"/>
      <w:szCs w:val="20"/>
      <w:lang w:val="zh-CN"/>
    </w:rPr>
  </w:style>
  <w:style w:type="paragraph" w:customStyle="1" w:styleId="2942">
    <w:name w:val="样式 样式 标题 3标题 13标题 3 Char1 Char Char Char标题 31ReHead 3 WSAh3B... ...2"/>
    <w:basedOn w:val="2929"/>
    <w:semiHidden/>
    <w:qFormat/>
    <w:uiPriority w:val="0"/>
    <w:pPr>
      <w:spacing w:beforeLines="0" w:afterLines="0"/>
    </w:pPr>
  </w:style>
  <w:style w:type="paragraph" w:customStyle="1" w:styleId="2943">
    <w:name w:val="目录 21"/>
    <w:basedOn w:val="1"/>
    <w:next w:val="1"/>
    <w:semiHidden/>
    <w:qFormat/>
    <w:uiPriority w:val="0"/>
    <w:pPr>
      <w:tabs>
        <w:tab w:val="clear" w:pos="480"/>
      </w:tabs>
      <w:spacing w:line="240" w:lineRule="auto"/>
      <w:ind w:left="210"/>
      <w:jc w:val="left"/>
    </w:pPr>
    <w:rPr>
      <w:smallCaps/>
      <w:szCs w:val="20"/>
    </w:rPr>
  </w:style>
  <w:style w:type="paragraph" w:customStyle="1" w:styleId="2944">
    <w:name w:val="样式 标题 2标题 21标题 121标题 2 Char1 Char节H2节标题 1.1节标题 1.1 Char..."/>
    <w:basedOn w:val="4"/>
    <w:semiHidden/>
    <w:qFormat/>
    <w:uiPriority w:val="0"/>
    <w:pPr>
      <w:keepNext w:val="0"/>
      <w:keepLines w:val="0"/>
      <w:widowControl/>
      <w:tabs>
        <w:tab w:val="clear" w:pos="480"/>
        <w:tab w:val="clear" w:pos="630"/>
      </w:tabs>
      <w:adjustRightInd w:val="0"/>
      <w:spacing w:before="100" w:after="100" w:line="460" w:lineRule="exact"/>
      <w:jc w:val="left"/>
    </w:pPr>
    <w:rPr>
      <w:rFonts w:eastAsia="黑体" w:cs="宋体"/>
      <w:color w:val="000000"/>
      <w:kern w:val="0"/>
      <w:sz w:val="28"/>
      <w:szCs w:val="20"/>
    </w:rPr>
  </w:style>
  <w:style w:type="paragraph" w:customStyle="1" w:styleId="2945">
    <w:name w:val="样式 标题 3 + 宋体"/>
    <w:basedOn w:val="5"/>
    <w:semiHidden/>
    <w:qFormat/>
    <w:uiPriority w:val="0"/>
    <w:pPr>
      <w:tabs>
        <w:tab w:val="left" w:pos="1035"/>
        <w:tab w:val="clear" w:pos="480"/>
        <w:tab w:val="clear" w:pos="840"/>
      </w:tabs>
      <w:adjustRightInd w:val="0"/>
      <w:spacing w:after="120" w:line="416" w:lineRule="atLeast"/>
      <w:ind w:left="1035" w:hanging="1035"/>
    </w:pPr>
    <w:rPr>
      <w:rFonts w:ascii="宋体" w:hAnsi="宋体" w:eastAsia="宋体"/>
      <w:b w:val="0"/>
      <w:bCs w:val="0"/>
      <w:color w:val="000000"/>
      <w:kern w:val="28"/>
      <w:sz w:val="28"/>
      <w:szCs w:val="24"/>
    </w:rPr>
  </w:style>
  <w:style w:type="paragraph" w:customStyle="1" w:styleId="2946">
    <w:name w:val="样式 黑体 小四 加粗 行距: 固定值 20 磅2"/>
    <w:basedOn w:val="1"/>
    <w:semiHidden/>
    <w:qFormat/>
    <w:uiPriority w:val="0"/>
    <w:pPr>
      <w:tabs>
        <w:tab w:val="clear" w:pos="480"/>
      </w:tabs>
      <w:spacing w:line="400" w:lineRule="exact"/>
    </w:pPr>
    <w:rPr>
      <w:rFonts w:ascii="黑体" w:eastAsia="黑体" w:cs="宋体"/>
      <w:b/>
      <w:bCs/>
      <w:sz w:val="28"/>
      <w:szCs w:val="20"/>
    </w:rPr>
  </w:style>
  <w:style w:type="paragraph" w:customStyle="1" w:styleId="2947">
    <w:name w:val="样式 样式 标题 4 + (西文) Times New Roman (中文) 楷体_GB2312 段前: 0 磅 段后: 0 磅..."/>
    <w:basedOn w:val="1"/>
    <w:semiHidden/>
    <w:qFormat/>
    <w:uiPriority w:val="0"/>
    <w:pPr>
      <w:keepNext/>
      <w:keepLines/>
      <w:tabs>
        <w:tab w:val="clear" w:pos="480"/>
      </w:tabs>
      <w:spacing w:beforeLines="50" w:afterLines="50"/>
      <w:jc w:val="left"/>
      <w:outlineLvl w:val="3"/>
    </w:pPr>
    <w:rPr>
      <w:rFonts w:eastAsia="楷体_GB2312" w:cs="宋体"/>
      <w:b/>
      <w:bCs/>
      <w:szCs w:val="20"/>
    </w:rPr>
  </w:style>
  <w:style w:type="paragraph" w:customStyle="1" w:styleId="2948">
    <w:name w:val="样式 标题 2标题节标题 1.1SeHead wsa2节H2标题 2 Char Char Char Char Ch..."/>
    <w:basedOn w:val="4"/>
    <w:semiHidden/>
    <w:qFormat/>
    <w:uiPriority w:val="0"/>
    <w:pPr>
      <w:tabs>
        <w:tab w:val="clear" w:pos="480"/>
        <w:tab w:val="clear" w:pos="630"/>
      </w:tabs>
      <w:spacing w:before="0" w:after="0" w:line="240" w:lineRule="auto"/>
      <w:jc w:val="center"/>
    </w:pPr>
    <w:rPr>
      <w:rFonts w:eastAsia="楷体_GB2312"/>
      <w:b w:val="0"/>
      <w:kern w:val="0"/>
      <w:sz w:val="24"/>
      <w:szCs w:val="20"/>
    </w:rPr>
  </w:style>
  <w:style w:type="character" w:customStyle="1" w:styleId="2949">
    <w:name w:val="p14"/>
    <w:basedOn w:val="133"/>
    <w:semiHidden/>
    <w:qFormat/>
    <w:uiPriority w:val="0"/>
  </w:style>
  <w:style w:type="character" w:customStyle="1" w:styleId="2950">
    <w:name w:val="style161"/>
    <w:semiHidden/>
    <w:qFormat/>
    <w:uiPriority w:val="0"/>
    <w:rPr>
      <w:b/>
      <w:bCs/>
      <w:color w:val="FF0000"/>
    </w:rPr>
  </w:style>
  <w:style w:type="character" w:customStyle="1" w:styleId="2951">
    <w:name w:val="批注框文本 Char1"/>
    <w:qFormat/>
    <w:uiPriority w:val="99"/>
    <w:rPr>
      <w:rFonts w:ascii="Times New Roman" w:hAnsi="Times New Roman" w:eastAsia="宋体" w:cs="Times New Roman"/>
      <w:sz w:val="18"/>
      <w:szCs w:val="18"/>
    </w:rPr>
  </w:style>
  <w:style w:type="character" w:customStyle="1" w:styleId="2952">
    <w:name w:val="批注主题 Char1"/>
    <w:qFormat/>
    <w:uiPriority w:val="99"/>
    <w:rPr>
      <w:rFonts w:ascii="Times New Roman" w:hAnsi="Times New Roman" w:eastAsia="宋体" w:cs="Times New Roman"/>
      <w:b/>
      <w:bCs/>
      <w:szCs w:val="24"/>
    </w:rPr>
  </w:style>
  <w:style w:type="character" w:customStyle="1" w:styleId="2953">
    <w:name w:val="read-text121"/>
    <w:semiHidden/>
    <w:qFormat/>
    <w:uiPriority w:val="0"/>
    <w:rPr>
      <w:color w:val="000000"/>
      <w:sz w:val="21"/>
      <w:szCs w:val="21"/>
      <w:u w:val="none"/>
    </w:rPr>
  </w:style>
  <w:style w:type="character" w:customStyle="1" w:styleId="2954">
    <w:name w:val="z5"/>
    <w:basedOn w:val="133"/>
    <w:semiHidden/>
    <w:qFormat/>
    <w:uiPriority w:val="0"/>
  </w:style>
  <w:style w:type="character" w:customStyle="1" w:styleId="2955">
    <w:name w:val="hangju3"/>
    <w:semiHidden/>
    <w:qFormat/>
    <w:uiPriority w:val="0"/>
    <w:rPr>
      <w:sz w:val="19"/>
      <w:szCs w:val="19"/>
    </w:rPr>
  </w:style>
  <w:style w:type="character" w:customStyle="1" w:styleId="2956">
    <w:name w:val="viewthreadtxt"/>
    <w:basedOn w:val="133"/>
    <w:semiHidden/>
    <w:qFormat/>
    <w:uiPriority w:val="0"/>
  </w:style>
  <w:style w:type="character" w:customStyle="1" w:styleId="2957">
    <w:name w:val="f121"/>
    <w:semiHidden/>
    <w:qFormat/>
    <w:uiPriority w:val="0"/>
    <w:rPr>
      <w:rFonts w:hint="default"/>
      <w:sz w:val="18"/>
      <w:szCs w:val="18"/>
    </w:rPr>
  </w:style>
  <w:style w:type="character" w:customStyle="1" w:styleId="2958">
    <w:name w:val="javascript1"/>
    <w:semiHidden/>
    <w:qFormat/>
    <w:uiPriority w:val="0"/>
    <w:rPr>
      <w:rFonts w:hint="default" w:ascii="Tahoma" w:hAnsi="Tahoma" w:cs="Tahoma"/>
      <w:sz w:val="18"/>
      <w:szCs w:val="18"/>
    </w:rPr>
  </w:style>
  <w:style w:type="character" w:customStyle="1" w:styleId="2959">
    <w:name w:val="f_heading1"/>
    <w:basedOn w:val="133"/>
    <w:semiHidden/>
    <w:qFormat/>
    <w:uiPriority w:val="0"/>
  </w:style>
  <w:style w:type="character" w:customStyle="1" w:styleId="2960">
    <w:name w:val="fj11"/>
    <w:semiHidden/>
    <w:qFormat/>
    <w:uiPriority w:val="0"/>
    <w:rPr>
      <w:rFonts w:hint="eastAsia" w:ascii="宋体" w:hAnsi="宋体" w:eastAsia="宋体"/>
      <w:sz w:val="21"/>
      <w:szCs w:val="21"/>
    </w:rPr>
  </w:style>
  <w:style w:type="character" w:customStyle="1" w:styleId="2961">
    <w:name w:val="text-h21"/>
    <w:semiHidden/>
    <w:qFormat/>
    <w:uiPriority w:val="0"/>
    <w:rPr>
      <w:rFonts w:hint="default" w:ascii="Tahoma" w:hAnsi="Tahoma" w:cs="Tahoma"/>
      <w:color w:val="333333"/>
      <w:sz w:val="18"/>
      <w:szCs w:val="18"/>
    </w:rPr>
  </w:style>
  <w:style w:type="character" w:customStyle="1" w:styleId="2962">
    <w:name w:val="index"/>
    <w:semiHidden/>
    <w:qFormat/>
    <w:uiPriority w:val="0"/>
    <w:rPr>
      <w:rFonts w:hint="default" w:ascii="Verdana" w:hAnsi="Verdana" w:eastAsia="仿宋_GB2312"/>
      <w:sz w:val="24"/>
      <w:lang w:val="en-US" w:eastAsia="en-US" w:bidi="ar-SA"/>
    </w:rPr>
  </w:style>
  <w:style w:type="character" w:customStyle="1" w:styleId="2963">
    <w:name w:val="style111"/>
    <w:semiHidden/>
    <w:qFormat/>
    <w:uiPriority w:val="0"/>
    <w:rPr>
      <w:rFonts w:hint="default" w:ascii="Verdana" w:hAnsi="Verdana" w:eastAsia="仿宋_GB2312"/>
      <w:sz w:val="28"/>
      <w:szCs w:val="28"/>
      <w:lang w:val="en-US" w:eastAsia="en-US" w:bidi="ar-SA"/>
    </w:rPr>
  </w:style>
  <w:style w:type="character" w:customStyle="1" w:styleId="2964">
    <w:name w:val="w"/>
    <w:basedOn w:val="133"/>
    <w:semiHidden/>
    <w:qFormat/>
    <w:uiPriority w:val="0"/>
  </w:style>
  <w:style w:type="character" w:customStyle="1" w:styleId="2965">
    <w:name w:val="z141"/>
    <w:semiHidden/>
    <w:qFormat/>
    <w:uiPriority w:val="0"/>
    <w:rPr>
      <w:sz w:val="21"/>
      <w:szCs w:val="21"/>
    </w:rPr>
  </w:style>
  <w:style w:type="character" w:customStyle="1" w:styleId="2966">
    <w:name w:val="称呼 Char1"/>
    <w:qFormat/>
    <w:uiPriority w:val="0"/>
    <w:rPr>
      <w:rFonts w:ascii="Times New Roman" w:hAnsi="Times New Roman" w:eastAsia="宋体" w:cs="Times New Roman"/>
      <w:sz w:val="24"/>
      <w:szCs w:val="24"/>
    </w:rPr>
  </w:style>
  <w:style w:type="character" w:customStyle="1" w:styleId="2967">
    <w:name w:val="电子邮件签名 Char1"/>
    <w:semiHidden/>
    <w:qFormat/>
    <w:uiPriority w:val="0"/>
    <w:rPr>
      <w:rFonts w:ascii="Times New Roman" w:hAnsi="Times New Roman" w:eastAsia="宋体" w:cs="Times New Roman"/>
      <w:sz w:val="24"/>
      <w:szCs w:val="24"/>
    </w:rPr>
  </w:style>
  <w:style w:type="character" w:customStyle="1" w:styleId="2968">
    <w:name w:val="结束语 Char1"/>
    <w:semiHidden/>
    <w:qFormat/>
    <w:uiPriority w:val="0"/>
    <w:rPr>
      <w:rFonts w:ascii="Times New Roman" w:hAnsi="Times New Roman" w:eastAsia="宋体" w:cs="Times New Roman"/>
      <w:sz w:val="24"/>
      <w:szCs w:val="24"/>
    </w:rPr>
  </w:style>
  <w:style w:type="character" w:customStyle="1" w:styleId="2969">
    <w:name w:val="签名 Char1"/>
    <w:qFormat/>
    <w:uiPriority w:val="0"/>
    <w:rPr>
      <w:rFonts w:ascii="Times New Roman" w:hAnsi="Times New Roman" w:eastAsia="宋体" w:cs="Times New Roman"/>
      <w:sz w:val="24"/>
      <w:szCs w:val="24"/>
    </w:rPr>
  </w:style>
  <w:style w:type="character" w:customStyle="1" w:styleId="2970">
    <w:name w:val="信息标题 Char1"/>
    <w:qFormat/>
    <w:uiPriority w:val="0"/>
    <w:rPr>
      <w:rFonts w:ascii="Cambria" w:hAnsi="Cambria" w:eastAsia="宋体" w:cs="Times New Roman"/>
      <w:sz w:val="24"/>
      <w:szCs w:val="24"/>
      <w:shd w:val="pct20" w:color="auto" w:fill="auto"/>
    </w:rPr>
  </w:style>
  <w:style w:type="character" w:customStyle="1" w:styleId="2971">
    <w:name w:val="尾注文本 Char1"/>
    <w:qFormat/>
    <w:uiPriority w:val="99"/>
    <w:rPr>
      <w:rFonts w:ascii="Times New Roman" w:hAnsi="Times New Roman" w:eastAsia="宋体" w:cs="Times New Roman"/>
      <w:sz w:val="24"/>
      <w:szCs w:val="24"/>
    </w:rPr>
  </w:style>
  <w:style w:type="character" w:customStyle="1" w:styleId="2972">
    <w:name w:val="bodycopymain1"/>
    <w:semiHidden/>
    <w:qFormat/>
    <w:uiPriority w:val="0"/>
    <w:rPr>
      <w:rFonts w:hint="default" w:ascii="Arial" w:hAnsi="Arial" w:cs="Arial"/>
      <w:color w:val="000000"/>
      <w:sz w:val="18"/>
      <w:szCs w:val="18"/>
    </w:rPr>
  </w:style>
  <w:style w:type="character" w:customStyle="1" w:styleId="2973">
    <w:name w:val="headline-content2"/>
    <w:basedOn w:val="133"/>
    <w:qFormat/>
    <w:uiPriority w:val="0"/>
  </w:style>
  <w:style w:type="character" w:customStyle="1" w:styleId="2974">
    <w:name w:val="pt921"/>
    <w:semiHidden/>
    <w:qFormat/>
    <w:uiPriority w:val="0"/>
    <w:rPr>
      <w:rFonts w:hint="eastAsia" w:ascii="宋体" w:hAnsi="宋体" w:eastAsia="宋体"/>
      <w:sz w:val="18"/>
      <w:szCs w:val="18"/>
    </w:rPr>
  </w:style>
  <w:style w:type="character" w:customStyle="1" w:styleId="2975">
    <w:name w:val="jq1"/>
    <w:semiHidden/>
    <w:qFormat/>
    <w:uiPriority w:val="0"/>
    <w:rPr>
      <w:rFonts w:hint="eastAsia" w:ascii="宋体" w:hAnsi="宋体" w:eastAsia="宋体"/>
      <w:sz w:val="18"/>
    </w:rPr>
  </w:style>
  <w:style w:type="character" w:customStyle="1" w:styleId="2976">
    <w:name w:val="bigblue"/>
    <w:basedOn w:val="133"/>
    <w:semiHidden/>
    <w:qFormat/>
    <w:uiPriority w:val="0"/>
  </w:style>
  <w:style w:type="character" w:customStyle="1" w:styleId="2977">
    <w:name w:val="表格内容 Char Char"/>
    <w:qFormat/>
    <w:uiPriority w:val="0"/>
    <w:rPr>
      <w:rFonts w:hint="eastAsia" w:ascii="宋体" w:hAnsi="Courier New" w:eastAsia="宋体"/>
      <w:kern w:val="2"/>
      <w:sz w:val="24"/>
      <w:lang w:val="en-US" w:eastAsia="zh-CN" w:bidi="ar-SA"/>
    </w:rPr>
  </w:style>
  <w:style w:type="character" w:customStyle="1" w:styleId="2978">
    <w:name w:val="条标题1.1.1 Char2"/>
    <w:semiHidden/>
    <w:qFormat/>
    <w:uiPriority w:val="0"/>
    <w:rPr>
      <w:rFonts w:hint="eastAsia" w:ascii="仿宋_GB2312" w:eastAsia="仿宋_GB2312"/>
      <w:kern w:val="28"/>
      <w:sz w:val="24"/>
      <w:lang w:val="en-US" w:eastAsia="zh-CN" w:bidi="ar-SA"/>
    </w:rPr>
  </w:style>
  <w:style w:type="character" w:customStyle="1" w:styleId="2979">
    <w:name w:val="ttitle1"/>
    <w:semiHidden/>
    <w:qFormat/>
    <w:uiPriority w:val="0"/>
    <w:rPr>
      <w:spacing w:val="120"/>
      <w:sz w:val="26"/>
      <w:szCs w:val="26"/>
    </w:rPr>
  </w:style>
  <w:style w:type="character" w:customStyle="1" w:styleId="2980">
    <w:name w:val="节 Char Char"/>
    <w:qFormat/>
    <w:uiPriority w:val="0"/>
    <w:rPr>
      <w:rFonts w:hint="default" w:ascii="Arial" w:hAnsi="Arial" w:eastAsia="黑体" w:cs="Arial"/>
      <w:b/>
      <w:bCs/>
      <w:kern w:val="2"/>
      <w:sz w:val="32"/>
      <w:szCs w:val="32"/>
      <w:lang w:val="en-US" w:eastAsia="zh-CN" w:bidi="ar-SA"/>
    </w:rPr>
  </w:style>
  <w:style w:type="character" w:customStyle="1" w:styleId="2981">
    <w:name w:val="font2"/>
    <w:semiHidden/>
    <w:qFormat/>
    <w:uiPriority w:val="0"/>
    <w:rPr>
      <w:color w:val="336633"/>
      <w:sz w:val="21"/>
      <w:szCs w:val="21"/>
    </w:rPr>
  </w:style>
  <w:style w:type="character" w:customStyle="1" w:styleId="2982">
    <w:name w:val="commentaryteaser1"/>
    <w:semiHidden/>
    <w:qFormat/>
    <w:uiPriority w:val="0"/>
    <w:rPr>
      <w:sz w:val="18"/>
      <w:szCs w:val="18"/>
    </w:rPr>
  </w:style>
  <w:style w:type="character" w:customStyle="1" w:styleId="2983">
    <w:name w:val="unnamed2"/>
    <w:basedOn w:val="133"/>
    <w:semiHidden/>
    <w:qFormat/>
    <w:uiPriority w:val="0"/>
  </w:style>
  <w:style w:type="character" w:customStyle="1" w:styleId="2984">
    <w:name w:val="style241"/>
    <w:semiHidden/>
    <w:qFormat/>
    <w:uiPriority w:val="0"/>
    <w:rPr>
      <w:sz w:val="20"/>
      <w:szCs w:val="20"/>
    </w:rPr>
  </w:style>
  <w:style w:type="character" w:customStyle="1" w:styleId="2985">
    <w:name w:val="样式19 Char"/>
    <w:link w:val="1166"/>
    <w:qFormat/>
    <w:locked/>
    <w:uiPriority w:val="0"/>
    <w:rPr>
      <w:rFonts w:ascii="Arial" w:hAnsi="Arial" w:eastAsia="黑体" w:cs="宋体"/>
      <w:b/>
      <w:bCs/>
      <w:sz w:val="30"/>
      <w:szCs w:val="24"/>
      <w:lang w:bidi="ar-SA"/>
    </w:rPr>
  </w:style>
  <w:style w:type="character" w:customStyle="1" w:styleId="2986">
    <w:name w:val="Char Char151"/>
    <w:semiHidden/>
    <w:qFormat/>
    <w:uiPriority w:val="0"/>
    <w:rPr>
      <w:rFonts w:hint="eastAsia" w:ascii="宋体" w:hAnsi="宋体" w:eastAsia="宋体"/>
      <w:kern w:val="2"/>
      <w:sz w:val="24"/>
      <w:lang w:val="en-US" w:eastAsia="zh-CN" w:bidi="ar-SA"/>
    </w:rPr>
  </w:style>
  <w:style w:type="character" w:customStyle="1" w:styleId="2987">
    <w:name w:val="Char Char14"/>
    <w:qFormat/>
    <w:uiPriority w:val="0"/>
    <w:rPr>
      <w:kern w:val="2"/>
      <w:sz w:val="21"/>
      <w:szCs w:val="24"/>
      <w:shd w:val="clear" w:color="auto" w:fill="000080"/>
    </w:rPr>
  </w:style>
  <w:style w:type="character" w:customStyle="1" w:styleId="2988">
    <w:name w:val="Char Char161"/>
    <w:semiHidden/>
    <w:qFormat/>
    <w:uiPriority w:val="0"/>
    <w:rPr>
      <w:rFonts w:hint="eastAsia" w:ascii="宋体" w:hAnsi="宋体" w:eastAsia="宋体"/>
      <w:color w:val="000000"/>
      <w:kern w:val="2"/>
      <w:sz w:val="24"/>
      <w:szCs w:val="24"/>
      <w:lang w:val="en-US" w:eastAsia="zh-CN" w:bidi="ar-SA"/>
    </w:rPr>
  </w:style>
  <w:style w:type="character" w:customStyle="1" w:styleId="2989">
    <w:name w:val="textcontents1"/>
    <w:semiHidden/>
    <w:qFormat/>
    <w:uiPriority w:val="0"/>
    <w:rPr>
      <w:color w:val="000000"/>
      <w:sz w:val="21"/>
      <w:szCs w:val="21"/>
    </w:rPr>
  </w:style>
  <w:style w:type="character" w:customStyle="1" w:styleId="2990">
    <w:name w:val="big"/>
    <w:basedOn w:val="133"/>
    <w:semiHidden/>
    <w:qFormat/>
    <w:uiPriority w:val="0"/>
  </w:style>
  <w:style w:type="character" w:customStyle="1" w:styleId="2991">
    <w:name w:val="aboutus1"/>
    <w:semiHidden/>
    <w:qFormat/>
    <w:uiPriority w:val="0"/>
    <w:rPr>
      <w:rFonts w:hint="default" w:ascii="ˎ̥" w:hAnsi="ˎ̥"/>
      <w:color w:val="000000"/>
      <w:sz w:val="18"/>
      <w:szCs w:val="18"/>
      <w:u w:val="none"/>
    </w:rPr>
  </w:style>
  <w:style w:type="character" w:customStyle="1" w:styleId="2992">
    <w:name w:val="size9"/>
    <w:basedOn w:val="133"/>
    <w:semiHidden/>
    <w:qFormat/>
    <w:uiPriority w:val="0"/>
  </w:style>
  <w:style w:type="character" w:customStyle="1" w:styleId="2993">
    <w:name w:val="Char Char5"/>
    <w:qFormat/>
    <w:uiPriority w:val="0"/>
    <w:rPr>
      <w:rFonts w:hint="default" w:ascii="Arial" w:hAnsi="Arial" w:eastAsia="宋体" w:cs="Arial"/>
      <w:b/>
      <w:kern w:val="2"/>
      <w:sz w:val="32"/>
      <w:lang w:val="en-US" w:eastAsia="zh-CN" w:bidi="ar-SA"/>
    </w:rPr>
  </w:style>
  <w:style w:type="character" w:customStyle="1" w:styleId="2994">
    <w:name w:val="text-blk1"/>
    <w:semiHidden/>
    <w:qFormat/>
    <w:uiPriority w:val="0"/>
    <w:rPr>
      <w:color w:val="000000"/>
      <w:sz w:val="18"/>
      <w:szCs w:val="18"/>
    </w:rPr>
  </w:style>
  <w:style w:type="character" w:customStyle="1" w:styleId="2995">
    <w:name w:val="Char Char8"/>
    <w:qFormat/>
    <w:uiPriority w:val="0"/>
    <w:rPr>
      <w:rFonts w:hint="eastAsia" w:ascii="宋体" w:hAnsi="宋体" w:eastAsia="宋体"/>
      <w:color w:val="000000"/>
      <w:kern w:val="2"/>
      <w:sz w:val="21"/>
    </w:rPr>
  </w:style>
  <w:style w:type="character" w:customStyle="1" w:styleId="2996">
    <w:name w:val="articlecontent"/>
    <w:basedOn w:val="133"/>
    <w:semiHidden/>
    <w:qFormat/>
    <w:uiPriority w:val="0"/>
  </w:style>
  <w:style w:type="character" w:customStyle="1" w:styleId="2997">
    <w:name w:val="weibu"/>
    <w:basedOn w:val="133"/>
    <w:semiHidden/>
    <w:qFormat/>
    <w:uiPriority w:val="0"/>
  </w:style>
  <w:style w:type="character" w:customStyle="1" w:styleId="2998">
    <w:name w:val="subtitle1"/>
    <w:semiHidden/>
    <w:qFormat/>
    <w:uiPriority w:val="0"/>
    <w:rPr>
      <w:rFonts w:hint="default" w:ascii="ˎ̥" w:hAnsi="ˎ̥"/>
      <w:sz w:val="20"/>
      <w:szCs w:val="20"/>
    </w:rPr>
  </w:style>
  <w:style w:type="character" w:customStyle="1" w:styleId="2999">
    <w:name w:val="little21"/>
    <w:semiHidden/>
    <w:qFormat/>
    <w:uiPriority w:val="0"/>
    <w:rPr>
      <w:rFonts w:hint="default"/>
      <w:color w:val="000000"/>
      <w:sz w:val="18"/>
      <w:szCs w:val="18"/>
      <w:u w:val="none"/>
    </w:rPr>
  </w:style>
  <w:style w:type="character" w:customStyle="1" w:styleId="3000">
    <w:name w:val="newsfont1"/>
    <w:semiHidden/>
    <w:qFormat/>
    <w:uiPriority w:val="0"/>
    <w:rPr>
      <w:color w:val="000000"/>
      <w:sz w:val="26"/>
      <w:szCs w:val="26"/>
    </w:rPr>
  </w:style>
  <w:style w:type="character" w:customStyle="1" w:styleId="3001">
    <w:name w:val="line1"/>
    <w:basedOn w:val="133"/>
    <w:semiHidden/>
    <w:qFormat/>
    <w:uiPriority w:val="0"/>
  </w:style>
  <w:style w:type="character" w:customStyle="1" w:styleId="3002">
    <w:name w:val="Char Char12"/>
    <w:qFormat/>
    <w:uiPriority w:val="0"/>
    <w:rPr>
      <w:rFonts w:hint="eastAsia" w:ascii="宋体" w:hAnsi="宋体" w:eastAsia="宋体"/>
      <w:color w:val="000000"/>
      <w:kern w:val="2"/>
      <w:sz w:val="21"/>
    </w:rPr>
  </w:style>
  <w:style w:type="character" w:customStyle="1" w:styleId="3003">
    <w:name w:val="style101"/>
    <w:semiHidden/>
    <w:qFormat/>
    <w:uiPriority w:val="0"/>
    <w:rPr>
      <w:color w:val="FF6600"/>
    </w:rPr>
  </w:style>
  <w:style w:type="character" w:customStyle="1" w:styleId="3004">
    <w:name w:val="l17-z105"/>
    <w:basedOn w:val="133"/>
    <w:semiHidden/>
    <w:qFormat/>
    <w:uiPriority w:val="0"/>
  </w:style>
  <w:style w:type="character" w:customStyle="1" w:styleId="3005">
    <w:name w:val="t11"/>
    <w:semiHidden/>
    <w:qFormat/>
    <w:uiPriority w:val="0"/>
    <w:rPr>
      <w:rFonts w:hint="default"/>
      <w:b/>
      <w:bCs/>
      <w:sz w:val="24"/>
      <w:szCs w:val="24"/>
    </w:rPr>
  </w:style>
  <w:style w:type="character" w:customStyle="1" w:styleId="3006">
    <w:name w:val="style171"/>
    <w:semiHidden/>
    <w:qFormat/>
    <w:uiPriority w:val="0"/>
    <w:rPr>
      <w:color w:val="333333"/>
    </w:rPr>
  </w:style>
  <w:style w:type="character" w:customStyle="1" w:styleId="3007">
    <w:name w:val="标题2 Char Char"/>
    <w:semiHidden/>
    <w:qFormat/>
    <w:uiPriority w:val="0"/>
    <w:rPr>
      <w:rFonts w:hint="default" w:ascii="Arial" w:hAnsi="Arial" w:eastAsia="宋体" w:cs="Arial"/>
      <w:b/>
      <w:bCs/>
      <w:kern w:val="2"/>
      <w:sz w:val="28"/>
      <w:szCs w:val="32"/>
      <w:lang w:val="en-US" w:eastAsia="zh-CN" w:bidi="ar-SA"/>
    </w:rPr>
  </w:style>
  <w:style w:type="character" w:customStyle="1" w:styleId="3008">
    <w:name w:val="style71"/>
    <w:semiHidden/>
    <w:qFormat/>
    <w:uiPriority w:val="0"/>
    <w:rPr>
      <w:color w:val="FF0000"/>
    </w:rPr>
  </w:style>
  <w:style w:type="character" w:customStyle="1" w:styleId="3009">
    <w:name w:val="z11"/>
    <w:semiHidden/>
    <w:qFormat/>
    <w:uiPriority w:val="0"/>
    <w:rPr>
      <w:rFonts w:hint="default" w:ascii="ˎ̥" w:hAnsi="ˎ̥"/>
      <w:b/>
      <w:bCs/>
      <w:color w:val="0000FF"/>
      <w:sz w:val="20"/>
      <w:szCs w:val="20"/>
    </w:rPr>
  </w:style>
  <w:style w:type="character" w:customStyle="1" w:styleId="3010">
    <w:name w:val="style61"/>
    <w:semiHidden/>
    <w:qFormat/>
    <w:uiPriority w:val="0"/>
    <w:rPr>
      <w:sz w:val="24"/>
      <w:szCs w:val="24"/>
    </w:rPr>
  </w:style>
  <w:style w:type="character" w:customStyle="1" w:styleId="3011">
    <w:name w:val="bodyfont1"/>
    <w:semiHidden/>
    <w:qFormat/>
    <w:uiPriority w:val="0"/>
    <w:rPr>
      <w:sz w:val="17"/>
      <w:szCs w:val="17"/>
    </w:rPr>
  </w:style>
  <w:style w:type="table" w:customStyle="1" w:styleId="3012">
    <w:name w:val="网格型10"/>
    <w:basedOn w:val="88"/>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3">
    <w:name w:val="网格型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4">
    <w:name w:val="嵌套表格"/>
    <w:basedOn w:val="88"/>
    <w:semiHidden/>
    <w:qFormat/>
    <w:uiPriority w:val="0"/>
    <w:pPr>
      <w:keepLines/>
    </w:pPr>
    <w:rPr>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paragraph" w:customStyle="1" w:styleId="3015">
    <w:name w:val="样式 样式 标题 2标题 21标题 121标题 2 Char1 Char节H2节标题 1.1节标题 1.1 Char... + ..."/>
    <w:basedOn w:val="2944"/>
    <w:semiHidden/>
    <w:qFormat/>
    <w:uiPriority w:val="0"/>
    <w:pPr>
      <w:spacing w:before="156" w:after="156"/>
    </w:pPr>
  </w:style>
  <w:style w:type="paragraph" w:customStyle="1" w:styleId="3016">
    <w:name w:val="样式 样式 标题 2标题 21标题 121标题 2 Char1 Char节H2节标题 1.1节标题 1.1 Char... +"/>
    <w:basedOn w:val="2944"/>
    <w:semiHidden/>
    <w:qFormat/>
    <w:uiPriority w:val="0"/>
    <w:pPr/>
    <w:rPr>
      <w:kern w:val="2"/>
    </w:rPr>
  </w:style>
  <w:style w:type="paragraph" w:customStyle="1" w:styleId="3017">
    <w:name w:val="样式 样式 标题 1标题 11一、标题 1 Char章 + Times New Roman 小三 非加粗 黑色 行距:... +..."/>
    <w:basedOn w:val="2936"/>
    <w:semiHidden/>
    <w:qFormat/>
    <w:uiPriority w:val="0"/>
    <w:pPr>
      <w:spacing w:before="156" w:after="156"/>
    </w:pPr>
  </w:style>
  <w:style w:type="paragraph" w:customStyle="1" w:styleId="3018">
    <w:name w:val="样式 样式 标题 3标题 13标题 3 Char1 Char Char Char标题 31ReHead 3 WSAh3B... ..."/>
    <w:basedOn w:val="2929"/>
    <w:semiHidden/>
    <w:qFormat/>
    <w:uiPriority w:val="0"/>
    <w:pPr>
      <w:spacing w:beforeLines="0" w:line="360" w:lineRule="auto"/>
    </w:pPr>
  </w:style>
  <w:style w:type="paragraph" w:customStyle="1" w:styleId="3019">
    <w:name w:val="样式 样式 标题 3标题 13标题 3 Char1 Char Char Char标题 31ReHead 3 WSAh3B... ...1"/>
    <w:basedOn w:val="2929"/>
    <w:semiHidden/>
    <w:qFormat/>
    <w:uiPriority w:val="0"/>
    <w:pPr/>
  </w:style>
  <w:style w:type="paragraph" w:customStyle="1" w:styleId="3020">
    <w:name w:val="Losange 3"/>
    <w:basedOn w:val="2902"/>
    <w:semiHidden/>
    <w:qFormat/>
    <w:uiPriority w:val="0"/>
    <w:pPr>
      <w:tabs>
        <w:tab w:val="left" w:pos="360"/>
      </w:tabs>
      <w:ind w:left="360" w:hanging="360" w:hangingChars="200"/>
    </w:pPr>
  </w:style>
  <w:style w:type="character" w:customStyle="1" w:styleId="3021">
    <w:name w:val="明显引用 字符"/>
    <w:link w:val="3022"/>
    <w:qFormat/>
    <w:locked/>
    <w:uiPriority w:val="0"/>
    <w:rPr>
      <w:b/>
      <w:bCs/>
      <w:i/>
      <w:iCs/>
      <w:color w:val="4F81BD"/>
      <w:szCs w:val="24"/>
      <w:lang w:bidi="ar-SA"/>
    </w:rPr>
  </w:style>
  <w:style w:type="paragraph" w:styleId="3022">
    <w:name w:val="Intense Quote"/>
    <w:basedOn w:val="1"/>
    <w:next w:val="1"/>
    <w:link w:val="3021"/>
    <w:qFormat/>
    <w:uiPriority w:val="0"/>
    <w:pPr>
      <w:pBdr>
        <w:bottom w:val="single" w:color="4F81BD" w:sz="4" w:space="4"/>
      </w:pBdr>
      <w:spacing w:before="200" w:after="280"/>
      <w:ind w:left="936" w:right="936"/>
    </w:pPr>
    <w:rPr>
      <w:b/>
      <w:bCs/>
      <w:i/>
      <w:iCs/>
      <w:color w:val="4F81BD"/>
      <w:kern w:val="0"/>
      <w:sz w:val="20"/>
      <w:lang w:val="zh-CN"/>
    </w:rPr>
  </w:style>
  <w:style w:type="paragraph" w:customStyle="1" w:styleId="3023">
    <w:name w:val="样式 正文文字缩进 2 + (符号) 宋体 小四 首行缩进:  2 字符"/>
    <w:basedOn w:val="51"/>
    <w:semiHidden/>
    <w:qFormat/>
    <w:uiPriority w:val="0"/>
    <w:pPr>
      <w:adjustRightInd w:val="0"/>
      <w:snapToGrid w:val="0"/>
      <w:spacing w:line="360" w:lineRule="auto"/>
      <w:ind w:left="0" w:firstLine="480" w:firstLineChars="200"/>
    </w:pPr>
    <w:rPr>
      <w:rFonts w:ascii="宋体" w:hAnsi="宋体"/>
      <w:spacing w:val="0"/>
      <w:kern w:val="0"/>
      <w:sz w:val="24"/>
    </w:rPr>
  </w:style>
  <w:style w:type="paragraph" w:customStyle="1" w:styleId="3024">
    <w:name w:val="样式 五号 居中 首行缩进:  0.74 厘米 行距: 单倍行距"/>
    <w:basedOn w:val="1"/>
    <w:semiHidden/>
    <w:qFormat/>
    <w:uiPriority w:val="0"/>
    <w:pPr>
      <w:spacing w:line="240" w:lineRule="auto"/>
      <w:jc w:val="center"/>
    </w:pPr>
    <w:rPr>
      <w:rFonts w:cs="宋体"/>
      <w:sz w:val="21"/>
      <w:szCs w:val="20"/>
    </w:rPr>
  </w:style>
  <w:style w:type="character" w:customStyle="1" w:styleId="3025">
    <w:name w:val="样式 首行缩进:  2 字符1 Char Char"/>
    <w:semiHidden/>
    <w:qFormat/>
    <w:locked/>
    <w:uiPriority w:val="0"/>
    <w:rPr>
      <w:sz w:val="24"/>
      <w:szCs w:val="24"/>
    </w:rPr>
  </w:style>
  <w:style w:type="paragraph" w:customStyle="1" w:styleId="3026">
    <w:name w:val="字元 字元1 Char Char 字元 字元"/>
    <w:basedOn w:val="1"/>
    <w:semiHidden/>
    <w:qFormat/>
    <w:uiPriority w:val="0"/>
    <w:pPr>
      <w:tabs>
        <w:tab w:val="clear" w:pos="480"/>
      </w:tabs>
      <w:spacing w:line="240" w:lineRule="auto"/>
    </w:pPr>
  </w:style>
  <w:style w:type="paragraph" w:customStyle="1" w:styleId="3027">
    <w:name w:val="MYBODY"/>
    <w:basedOn w:val="1"/>
    <w:semiHidden/>
    <w:qFormat/>
    <w:uiPriority w:val="0"/>
    <w:pPr>
      <w:tabs>
        <w:tab w:val="clear" w:pos="480"/>
      </w:tabs>
      <w:adjustRightInd w:val="0"/>
      <w:ind w:firstLine="225" w:firstLineChars="225"/>
      <w:jc w:val="left"/>
    </w:pPr>
    <w:rPr>
      <w:rFonts w:ascii="宋体"/>
      <w:kern w:val="0"/>
      <w:szCs w:val="20"/>
    </w:rPr>
  </w:style>
  <w:style w:type="paragraph" w:customStyle="1" w:styleId="3028">
    <w:name w:val="表、图名"/>
    <w:basedOn w:val="1"/>
    <w:semiHidden/>
    <w:qFormat/>
    <w:uiPriority w:val="0"/>
    <w:pPr>
      <w:tabs>
        <w:tab w:val="clear" w:pos="480"/>
      </w:tabs>
      <w:adjustRightInd w:val="0"/>
      <w:snapToGrid w:val="0"/>
      <w:spacing w:line="240" w:lineRule="auto"/>
      <w:ind w:left="-6"/>
      <w:jc w:val="center"/>
    </w:pPr>
    <w:rPr>
      <w:rFonts w:ascii="黑体" w:hAnsi="宋体" w:eastAsia="黑体"/>
      <w:color w:val="000000"/>
      <w:sz w:val="28"/>
      <w:szCs w:val="20"/>
    </w:rPr>
  </w:style>
  <w:style w:type="paragraph" w:customStyle="1" w:styleId="3029">
    <w:name w:val="批注主题 Char Char"/>
    <w:basedOn w:val="29"/>
    <w:next w:val="29"/>
    <w:semiHidden/>
    <w:qFormat/>
    <w:uiPriority w:val="0"/>
    <w:pPr>
      <w:adjustRightInd/>
      <w:spacing w:line="360" w:lineRule="auto"/>
      <w:ind w:left="-2" w:leftChars="-1" w:firstLine="456" w:firstLineChars="190"/>
      <w:textAlignment w:val="auto"/>
    </w:pPr>
    <w:rPr>
      <w:rFonts w:ascii="Calibri" w:hAnsi="Calibri"/>
      <w:b/>
      <w:sz w:val="28"/>
    </w:rPr>
  </w:style>
  <w:style w:type="paragraph" w:customStyle="1" w:styleId="3030">
    <w:name w:val="Char Char Char Char Char Char Char Char Char Char Char Char Char Char Char Char Char Char Char Char Char Char Char Char Char Char Char Char Char Char Char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1">
    <w:name w:val="Char Char Char Char Char Char1 Char Char Char1 Char Char Char1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2">
    <w:name w:val="样式 普通(网站) + 深蓝"/>
    <w:basedOn w:val="81"/>
    <w:semiHidden/>
    <w:qFormat/>
    <w:uiPriority w:val="0"/>
    <w:pPr>
      <w:spacing w:line="360" w:lineRule="auto"/>
      <w:ind w:left="-2" w:leftChars="-1" w:firstLine="456" w:firstLineChars="190"/>
    </w:pPr>
    <w:rPr>
      <w:rFonts w:ascii="宋体" w:hAnsi="宋体" w:eastAsia="宋体" w:cs="宋体"/>
      <w:color w:val="000080"/>
      <w:szCs w:val="20"/>
    </w:rPr>
  </w:style>
  <w:style w:type="paragraph" w:customStyle="1" w:styleId="3033">
    <w:name w:val="xl177"/>
    <w:basedOn w:val="1"/>
    <w:qFormat/>
    <w:uiPriority w:val="0"/>
    <w:pPr>
      <w:widowControl/>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3034">
    <w:name w:val="xl178"/>
    <w:basedOn w:val="1"/>
    <w:qFormat/>
    <w:uiPriority w:val="0"/>
    <w:pPr>
      <w:widowControl/>
      <w:pBdr>
        <w:top w:val="single" w:color="auto" w:sz="4" w:space="0"/>
        <w:left w:val="single" w:color="auto" w:sz="4" w:space="0"/>
        <w:bottom w:val="single" w:color="auto" w:sz="4" w:space="0"/>
      </w:pBdr>
      <w:shd w:val="clear" w:color="auto" w:fill="FFFF99"/>
      <w:tabs>
        <w:tab w:val="clear" w:pos="480"/>
      </w:tabs>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3035">
    <w:name w:val="Char Char Char Char Char Char Char Char Char Char Char Char Char Char Char Char Char Char Char Char Char Char Char Char Char Char Char Char Char Char Char Char Char Char Char Char2"/>
    <w:basedOn w:val="1"/>
    <w:next w:val="1"/>
    <w:semiHidden/>
    <w:qFormat/>
    <w:uiPriority w:val="0"/>
    <w:pPr>
      <w:tabs>
        <w:tab w:val="clear" w:pos="480"/>
      </w:tabs>
    </w:pPr>
    <w:rPr>
      <w:rFonts w:ascii="宋体" w:hAnsi="宋体" w:cs="宋体"/>
    </w:rPr>
  </w:style>
  <w:style w:type="paragraph" w:customStyle="1" w:styleId="3036">
    <w:name w:val="Char Char Char Char Char Char Char Char Char Char Char Char Char Char Char Char Char Char Char Char Char Char Char Char Char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7">
    <w:name w:val="Char Char Char Char Char Char Char Char Char Char1 Char Char Char Char Char Char Char Char Char Char Char Char Char Char Char Char Char Char"/>
    <w:basedOn w:val="1"/>
    <w:semiHidden/>
    <w:qFormat/>
    <w:uiPriority w:val="0"/>
    <w:pPr>
      <w:tabs>
        <w:tab w:val="clear" w:pos="480"/>
      </w:tabs>
      <w:spacing w:line="240" w:lineRule="auto"/>
    </w:pPr>
    <w:rPr>
      <w:sz w:val="21"/>
    </w:rPr>
  </w:style>
  <w:style w:type="character" w:customStyle="1" w:styleId="3038">
    <w:name w:val="表格标题新 Char"/>
    <w:link w:val="3039"/>
    <w:qFormat/>
    <w:locked/>
    <w:uiPriority w:val="0"/>
    <w:rPr>
      <w:rFonts w:ascii="仿宋_GB2312" w:eastAsia="黑体"/>
      <w:b/>
      <w:spacing w:val="4"/>
      <w:sz w:val="24"/>
      <w:szCs w:val="24"/>
      <w:lang w:bidi="ar-SA"/>
    </w:rPr>
  </w:style>
  <w:style w:type="paragraph" w:customStyle="1" w:styleId="3039">
    <w:name w:val="表格标题新"/>
    <w:basedOn w:val="1"/>
    <w:link w:val="3038"/>
    <w:qFormat/>
    <w:uiPriority w:val="0"/>
    <w:pPr>
      <w:tabs>
        <w:tab w:val="left" w:pos="0"/>
        <w:tab w:val="clear" w:pos="480"/>
      </w:tabs>
      <w:adjustRightInd w:val="0"/>
      <w:snapToGrid w:val="0"/>
      <w:spacing w:beforeLines="50" w:line="240" w:lineRule="auto"/>
      <w:ind w:firstLine="562"/>
      <w:jc w:val="center"/>
    </w:pPr>
    <w:rPr>
      <w:rFonts w:ascii="仿宋_GB2312" w:eastAsia="黑体"/>
      <w:b/>
      <w:spacing w:val="4"/>
      <w:kern w:val="0"/>
      <w:lang w:val="zh-CN"/>
    </w:rPr>
  </w:style>
  <w:style w:type="paragraph" w:customStyle="1" w:styleId="3040">
    <w:name w:val="样式 (西文) 宋体 小四 段前: 6 磅 段后: 6 磅 行距: 多倍行距 1.25 字行 首行缩进:  2 字符"/>
    <w:basedOn w:val="1"/>
    <w:semiHidden/>
    <w:qFormat/>
    <w:uiPriority w:val="0"/>
    <w:pPr>
      <w:tabs>
        <w:tab w:val="clear" w:pos="480"/>
      </w:tabs>
      <w:spacing w:before="120" w:after="120" w:line="300" w:lineRule="auto"/>
      <w:ind w:firstLine="480"/>
    </w:pPr>
    <w:rPr>
      <w:rFonts w:ascii="宋体" w:hAnsi="宋体" w:cs="宋体"/>
    </w:rPr>
  </w:style>
  <w:style w:type="paragraph" w:customStyle="1" w:styleId="3041">
    <w:name w:val="样式 表标题"/>
    <w:basedOn w:val="1"/>
    <w:semiHidden/>
    <w:qFormat/>
    <w:uiPriority w:val="0"/>
    <w:pPr>
      <w:keepNext/>
      <w:widowControl/>
      <w:tabs>
        <w:tab w:val="clear" w:pos="480"/>
      </w:tabs>
      <w:spacing w:beforeLines="150" w:afterLines="50" w:line="60" w:lineRule="auto"/>
      <w:jc w:val="center"/>
    </w:pPr>
    <w:rPr>
      <w:rFonts w:ascii="宋体" w:hAnsi="宋体" w:cs="宋体"/>
      <w:b/>
      <w:bCs/>
      <w:color w:val="000000"/>
      <w:szCs w:val="20"/>
    </w:rPr>
  </w:style>
  <w:style w:type="character" w:customStyle="1" w:styleId="3042">
    <w:name w:val="样式 表标题 + 段前: 0.5 行 段后: 0.1 行 Char"/>
    <w:link w:val="3043"/>
    <w:qFormat/>
    <w:locked/>
    <w:uiPriority w:val="0"/>
    <w:rPr>
      <w:rFonts w:ascii="宋体" w:hAnsi="宋体" w:eastAsia="宋体"/>
      <w:b/>
      <w:bCs/>
      <w:color w:val="000000"/>
      <w:sz w:val="24"/>
      <w:lang w:bidi="ar-SA"/>
    </w:rPr>
  </w:style>
  <w:style w:type="paragraph" w:customStyle="1" w:styleId="3043">
    <w:name w:val="样式 表标题 + 段前: 0.5 行 段后: 0.1 行"/>
    <w:basedOn w:val="1"/>
    <w:link w:val="3042"/>
    <w:semiHidden/>
    <w:qFormat/>
    <w:uiPriority w:val="0"/>
    <w:pPr>
      <w:keepNext/>
      <w:widowControl/>
      <w:tabs>
        <w:tab w:val="clear" w:pos="480"/>
      </w:tabs>
      <w:spacing w:beforeLines="200" w:afterLines="50" w:line="60" w:lineRule="auto"/>
      <w:jc w:val="center"/>
    </w:pPr>
    <w:rPr>
      <w:rFonts w:ascii="宋体" w:hAnsi="宋体"/>
      <w:b/>
      <w:bCs/>
      <w:color w:val="000000"/>
      <w:kern w:val="0"/>
      <w:szCs w:val="20"/>
      <w:lang w:val="zh-CN"/>
    </w:rPr>
  </w:style>
  <w:style w:type="paragraph" w:customStyle="1" w:styleId="3044">
    <w:name w:val="样式 小四 段前: 6 磅 段后: 6 磅 行距: 多倍行距 1.3 字行 首行缩进:  2 字符"/>
    <w:basedOn w:val="1"/>
    <w:semiHidden/>
    <w:qFormat/>
    <w:uiPriority w:val="0"/>
    <w:pPr>
      <w:tabs>
        <w:tab w:val="clear" w:pos="480"/>
      </w:tabs>
      <w:spacing w:before="120" w:after="120" w:line="312" w:lineRule="auto"/>
      <w:ind w:firstLine="480"/>
    </w:pPr>
    <w:rPr>
      <w:rFonts w:cs="宋体"/>
      <w:color w:val="000000"/>
      <w:szCs w:val="20"/>
    </w:rPr>
  </w:style>
  <w:style w:type="paragraph" w:customStyle="1" w:styleId="3045">
    <w:name w:val="样式 样式 样式 样式 标题 4heading 4 + Indent: Left 0.5 inH4标题3a1.1.1.1 Hea...4"/>
    <w:basedOn w:val="1"/>
    <w:semiHidden/>
    <w:qFormat/>
    <w:uiPriority w:val="0"/>
    <w:pPr>
      <w:keepNext/>
      <w:keepLines/>
      <w:widowControl/>
      <w:tabs>
        <w:tab w:val="left" w:pos="840"/>
        <w:tab w:val="left" w:pos="1680"/>
        <w:tab w:val="clear" w:pos="480"/>
      </w:tabs>
      <w:spacing w:before="60" w:after="60"/>
      <w:ind w:left="1713" w:hanging="862"/>
      <w:outlineLvl w:val="3"/>
    </w:pPr>
    <w:rPr>
      <w:rFonts w:ascii="宋体" w:hAnsi="宋体" w:cs="宋体"/>
      <w:kern w:val="0"/>
      <w:sz w:val="28"/>
      <w:szCs w:val="20"/>
    </w:rPr>
  </w:style>
  <w:style w:type="paragraph" w:customStyle="1" w:styleId="3046">
    <w:name w:val="样式 样式 样式 样式 样式 标题 3style3h3H3sect1.2.3标题 3 Char Charsect1.2.31se...6"/>
    <w:basedOn w:val="1"/>
    <w:semiHidden/>
    <w:qFormat/>
    <w:uiPriority w:val="0"/>
    <w:pPr>
      <w:keepNext/>
      <w:keepLines/>
      <w:widowControl/>
      <w:tabs>
        <w:tab w:val="left" w:pos="840"/>
        <w:tab w:val="left" w:pos="1260"/>
        <w:tab w:val="clear" w:pos="480"/>
      </w:tabs>
      <w:spacing w:before="60" w:after="60"/>
      <w:ind w:left="1287" w:right="100" w:rightChars="100" w:hanging="420"/>
      <w:jc w:val="left"/>
      <w:outlineLvl w:val="2"/>
    </w:pPr>
    <w:rPr>
      <w:rFonts w:ascii="宋体" w:hAnsi="宋体" w:cs="宋体"/>
      <w:kern w:val="0"/>
      <w:sz w:val="28"/>
      <w:szCs w:val="20"/>
    </w:rPr>
  </w:style>
  <w:style w:type="paragraph" w:customStyle="1" w:styleId="3047">
    <w:name w:val="样式 标题 3头 + 小三 加粗"/>
    <w:basedOn w:val="5"/>
    <w:semiHidden/>
    <w:qFormat/>
    <w:uiPriority w:val="0"/>
    <w:pPr>
      <w:tabs>
        <w:tab w:val="clear" w:pos="480"/>
        <w:tab w:val="clear" w:pos="840"/>
      </w:tabs>
      <w:adjustRightInd w:val="0"/>
      <w:spacing w:beforeLines="100" w:afterLines="50" w:line="416" w:lineRule="atLeast"/>
    </w:pPr>
    <w:rPr>
      <w:rFonts w:ascii="Arial" w:hAnsi="Arial" w:eastAsia="宋体"/>
      <w:kern w:val="0"/>
      <w:szCs w:val="24"/>
    </w:rPr>
  </w:style>
  <w:style w:type="paragraph" w:customStyle="1" w:styleId="3048">
    <w:name w:val="列表项目编号"/>
    <w:basedOn w:val="208"/>
    <w:semiHidden/>
    <w:qFormat/>
    <w:uiPriority w:val="0"/>
    <w:pPr>
      <w:tabs>
        <w:tab w:val="left" w:pos="780"/>
      </w:tabs>
      <w:snapToGrid/>
      <w:spacing w:line="360" w:lineRule="auto"/>
      <w:ind w:left="780" w:hanging="420"/>
      <w:jc w:val="both"/>
    </w:pPr>
    <w:rPr>
      <w:rFonts w:ascii="Times New Roman" w:hAnsi="Times New Roman"/>
      <w:b w:val="0"/>
      <w:bCs w:val="0"/>
      <w:kern w:val="0"/>
      <w:sz w:val="28"/>
      <w:szCs w:val="20"/>
    </w:rPr>
  </w:style>
  <w:style w:type="paragraph" w:customStyle="1" w:styleId="3049">
    <w:name w:val="样式 表格文字2 + Times New Roman"/>
    <w:basedOn w:val="1"/>
    <w:semiHidden/>
    <w:qFormat/>
    <w:uiPriority w:val="0"/>
    <w:pPr>
      <w:widowControl/>
      <w:tabs>
        <w:tab w:val="clear" w:pos="480"/>
      </w:tabs>
      <w:snapToGrid w:val="0"/>
      <w:spacing w:before="240" w:line="240" w:lineRule="auto"/>
      <w:jc w:val="center"/>
    </w:pPr>
    <w:rPr>
      <w:rFonts w:ascii="宋体" w:cs="宋体"/>
      <w:sz w:val="21"/>
      <w:szCs w:val="20"/>
    </w:rPr>
  </w:style>
  <w:style w:type="paragraph" w:customStyle="1" w:styleId="3050">
    <w:name w:val="样式 样式 样式 标题 4heading 4 + Indent: Left 0.5 inH4标题3a1.1.1.1 Headin..."/>
    <w:basedOn w:val="1"/>
    <w:semiHidden/>
    <w:qFormat/>
    <w:uiPriority w:val="0"/>
    <w:pPr>
      <w:keepNext/>
      <w:keepLines/>
      <w:widowControl/>
      <w:tabs>
        <w:tab w:val="left" w:pos="840"/>
        <w:tab w:val="left" w:pos="2040"/>
        <w:tab w:val="clear" w:pos="480"/>
      </w:tabs>
      <w:spacing w:before="60" w:after="60"/>
      <w:ind w:left="1713" w:hanging="862"/>
      <w:outlineLvl w:val="3"/>
    </w:pPr>
    <w:rPr>
      <w:rFonts w:ascii="黑体" w:hAnsi="宋体" w:cs="宋体"/>
      <w:bCs/>
      <w:kern w:val="0"/>
      <w:sz w:val="28"/>
      <w:szCs w:val="20"/>
    </w:rPr>
  </w:style>
  <w:style w:type="paragraph" w:customStyle="1" w:styleId="3051">
    <w:name w:val="样式 样式 样式 标题 3style3h3H3sect1.2.3标题 3 Char Charsect1.2.31sect1.2....6"/>
    <w:basedOn w:val="1"/>
    <w:semiHidden/>
    <w:qFormat/>
    <w:uiPriority w:val="0"/>
    <w:pPr>
      <w:keepNext/>
      <w:keepLines/>
      <w:widowControl/>
      <w:tabs>
        <w:tab w:val="left" w:pos="840"/>
        <w:tab w:val="left" w:pos="1620"/>
        <w:tab w:val="clear" w:pos="480"/>
      </w:tabs>
      <w:spacing w:before="60" w:after="60"/>
      <w:ind w:left="1620" w:right="100" w:rightChars="100" w:hanging="420"/>
      <w:jc w:val="left"/>
      <w:outlineLvl w:val="2"/>
    </w:pPr>
    <w:rPr>
      <w:rFonts w:ascii="宋体" w:hAnsi="宋体" w:cs="宋体"/>
      <w:bCs/>
      <w:kern w:val="0"/>
      <w:sz w:val="28"/>
      <w:szCs w:val="20"/>
    </w:rPr>
  </w:style>
  <w:style w:type="paragraph" w:customStyle="1" w:styleId="3052">
    <w:name w:val="样式 标题 1Char Char章 + 宋体"/>
    <w:basedOn w:val="3"/>
    <w:semiHidden/>
    <w:qFormat/>
    <w:uiPriority w:val="0"/>
    <w:pPr>
      <w:keepLines w:val="0"/>
      <w:widowControl/>
      <w:tabs>
        <w:tab w:val="left" w:pos="336"/>
        <w:tab w:val="clear" w:pos="480"/>
      </w:tabs>
      <w:spacing w:before="100" w:after="100"/>
      <w:ind w:left="431" w:hanging="431"/>
      <w:jc w:val="left"/>
    </w:pPr>
    <w:rPr>
      <w:rFonts w:ascii="宋体" w:hAnsi="宋体" w:eastAsia="宋体"/>
      <w:bCs w:val="0"/>
      <w:kern w:val="0"/>
      <w:sz w:val="28"/>
      <w:szCs w:val="28"/>
    </w:rPr>
  </w:style>
  <w:style w:type="paragraph" w:customStyle="1" w:styleId="3053">
    <w:name w:val="Char1 Char Char Char Char Char Char Char Char Char1"/>
    <w:basedOn w:val="1"/>
    <w:qFormat/>
    <w:uiPriority w:val="0"/>
    <w:pPr>
      <w:widowControl/>
      <w:tabs>
        <w:tab w:val="clear" w:pos="480"/>
      </w:tabs>
      <w:spacing w:after="160" w:line="240" w:lineRule="exact"/>
      <w:jc w:val="left"/>
    </w:pPr>
    <w:rPr>
      <w:szCs w:val="20"/>
    </w:rPr>
  </w:style>
  <w:style w:type="paragraph" w:customStyle="1" w:styleId="3054">
    <w:name w:val="cucd-0"/>
    <w:qFormat/>
    <w:uiPriority w:val="0"/>
    <w:pPr>
      <w:spacing w:line="360" w:lineRule="auto"/>
      <w:ind w:firstLine="480" w:firstLineChars="200"/>
      <w:jc w:val="center"/>
    </w:pPr>
    <w:rPr>
      <w:rFonts w:ascii="Times New Roman" w:hAnsi="Times New Roman" w:eastAsia="宋体" w:cs="Times New Roman"/>
      <w:kern w:val="2"/>
      <w:sz w:val="24"/>
      <w:szCs w:val="24"/>
      <w:lang w:val="en-US" w:eastAsia="zh-CN" w:bidi="ar-SA"/>
    </w:rPr>
  </w:style>
  <w:style w:type="paragraph" w:customStyle="1" w:styleId="3055">
    <w:name w:val="样式 样式 标题 3style3h3H3sect1.2.3标题 3 Char Charsect1.2.31sect1.2...2...1"/>
    <w:basedOn w:val="1"/>
    <w:semiHidden/>
    <w:qFormat/>
    <w:uiPriority w:val="0"/>
    <w:pPr>
      <w:keepNext/>
      <w:keepLines/>
      <w:tabs>
        <w:tab w:val="clear" w:pos="480"/>
      </w:tabs>
      <w:snapToGrid w:val="0"/>
      <w:spacing w:beforeLines="50"/>
      <w:outlineLvl w:val="2"/>
    </w:pPr>
    <w:rPr>
      <w:rFonts w:eastAsia="黑体" w:cs="宋体"/>
      <w:b/>
      <w:bCs/>
      <w:spacing w:val="16"/>
      <w:sz w:val="30"/>
      <w:szCs w:val="20"/>
    </w:rPr>
  </w:style>
  <w:style w:type="paragraph" w:customStyle="1" w:styleId="3056">
    <w:name w:val="样式 标题 2SeHead wsa2H21标题 1.1Chapter TitleChapter节标题 1.1h..."/>
    <w:basedOn w:val="4"/>
    <w:semiHidden/>
    <w:qFormat/>
    <w:uiPriority w:val="0"/>
    <w:pPr>
      <w:spacing w:before="0" w:after="0"/>
    </w:pPr>
    <w:rPr>
      <w:rFonts w:cs="宋体"/>
      <w:kern w:val="0"/>
      <w:szCs w:val="20"/>
    </w:rPr>
  </w:style>
  <w:style w:type="paragraph" w:customStyle="1" w:styleId="3057">
    <w:name w:val="INDEX"/>
    <w:basedOn w:val="1"/>
    <w:semiHidden/>
    <w:qFormat/>
    <w:uiPriority w:val="0"/>
    <w:pPr>
      <w:tabs>
        <w:tab w:val="clear" w:pos="480"/>
      </w:tabs>
      <w:adjustRightInd w:val="0"/>
      <w:spacing w:line="360" w:lineRule="atLeast"/>
      <w:ind w:left="720" w:hanging="720"/>
      <w:jc w:val="left"/>
    </w:pPr>
    <w:rPr>
      <w:rFonts w:ascii="全真楷書" w:eastAsia="全真楷書" w:cs="Dutch801 Rm BT"/>
      <w:kern w:val="0"/>
      <w:szCs w:val="20"/>
      <w:lang w:eastAsia="zh-TW"/>
    </w:rPr>
  </w:style>
  <w:style w:type="paragraph" w:customStyle="1" w:styleId="3058">
    <w:name w:val="正文0"/>
    <w:basedOn w:val="1"/>
    <w:semiHidden/>
    <w:qFormat/>
    <w:uiPriority w:val="0"/>
    <w:pPr>
      <w:tabs>
        <w:tab w:val="clear" w:pos="480"/>
      </w:tabs>
      <w:autoSpaceDE w:val="0"/>
      <w:autoSpaceDN w:val="0"/>
      <w:adjustRightInd w:val="0"/>
      <w:ind w:firstLine="567"/>
      <w:jc w:val="left"/>
    </w:pPr>
    <w:rPr>
      <w:rFonts w:eastAsia="仿宋体"/>
      <w:kern w:val="0"/>
      <w:szCs w:val="20"/>
    </w:rPr>
  </w:style>
  <w:style w:type="paragraph" w:customStyle="1" w:styleId="3059">
    <w:name w:val="表题 11"/>
    <w:semiHidden/>
    <w:qFormat/>
    <w:uiPriority w:val="0"/>
    <w:pPr>
      <w:widowControl w:val="0"/>
      <w:adjustRightInd w:val="0"/>
      <w:spacing w:before="120" w:after="120"/>
      <w:jc w:val="center"/>
    </w:pPr>
    <w:rPr>
      <w:rFonts w:ascii="Times New Roman" w:hAnsi="Times New Roman" w:eastAsia="宋体" w:cs="Times New Roman"/>
      <w:kern w:val="2"/>
      <w:sz w:val="30"/>
      <w:szCs w:val="24"/>
      <w:lang w:val="en-US" w:eastAsia="zh-CN" w:bidi="ar-SA"/>
    </w:rPr>
  </w:style>
  <w:style w:type="paragraph" w:customStyle="1" w:styleId="3060">
    <w:name w:val="图底"/>
    <w:basedOn w:val="1"/>
    <w:semiHidden/>
    <w:qFormat/>
    <w:uiPriority w:val="0"/>
    <w:pPr>
      <w:tabs>
        <w:tab w:val="clear" w:pos="480"/>
      </w:tabs>
      <w:kinsoku w:val="0"/>
      <w:wordWrap w:val="0"/>
      <w:overflowPunct w:val="0"/>
      <w:autoSpaceDE w:val="0"/>
      <w:autoSpaceDN w:val="0"/>
      <w:adjustRightInd w:val="0"/>
      <w:spacing w:line="240" w:lineRule="auto"/>
      <w:jc w:val="center"/>
    </w:pPr>
    <w:rPr>
      <w:b/>
      <w:kern w:val="0"/>
      <w:szCs w:val="20"/>
    </w:rPr>
  </w:style>
  <w:style w:type="paragraph" w:customStyle="1" w:styleId="3061">
    <w:name w:val="目录4"/>
    <w:basedOn w:val="44"/>
    <w:next w:val="1"/>
    <w:qFormat/>
    <w:uiPriority w:val="0"/>
    <w:pPr>
      <w:tabs>
        <w:tab w:val="right" w:leader="dot" w:pos="8313"/>
      </w:tabs>
      <w:autoSpaceDE w:val="0"/>
      <w:autoSpaceDN w:val="0"/>
      <w:adjustRightInd w:val="0"/>
      <w:spacing w:line="240" w:lineRule="auto"/>
      <w:ind w:firstLine="1531"/>
    </w:pPr>
    <w:rPr>
      <w:rFonts w:eastAsia="仿宋体"/>
      <w:kern w:val="0"/>
      <w:sz w:val="28"/>
    </w:rPr>
  </w:style>
  <w:style w:type="paragraph" w:customStyle="1" w:styleId="3062">
    <w:name w:val="页面 6"/>
    <w:basedOn w:val="2471"/>
    <w:semiHidden/>
    <w:qFormat/>
    <w:uiPriority w:val="0"/>
    <w:rPr>
      <w:sz w:val="36"/>
    </w:rPr>
  </w:style>
  <w:style w:type="paragraph" w:customStyle="1" w:styleId="3063">
    <w:name w:val="正文尾"/>
    <w:semiHidden/>
    <w:qFormat/>
    <w:uiPriority w:val="0"/>
    <w:pPr>
      <w:widowControl w:val="0"/>
      <w:adjustRightInd w:val="0"/>
      <w:spacing w:line="300" w:lineRule="auto"/>
      <w:ind w:left="3969"/>
      <w:jc w:val="center"/>
    </w:pPr>
    <w:rPr>
      <w:rFonts w:ascii="Times New Roman" w:hAnsi="Times New Roman" w:eastAsia="宋体" w:cs="Times New Roman"/>
      <w:kern w:val="2"/>
      <w:sz w:val="28"/>
      <w:szCs w:val="24"/>
      <w:lang w:val="en-US" w:eastAsia="zh-CN" w:bidi="ar-SA"/>
    </w:rPr>
  </w:style>
  <w:style w:type="paragraph" w:customStyle="1" w:styleId="3064">
    <w:name w:val="目录 71"/>
    <w:basedOn w:val="13"/>
    <w:semiHidden/>
    <w:qFormat/>
    <w:uiPriority w:val="0"/>
    <w:pPr>
      <w:spacing w:line="240" w:lineRule="auto"/>
      <w:ind w:left="567" w:firstLine="425"/>
    </w:pPr>
    <w:rPr>
      <w:szCs w:val="20"/>
    </w:rPr>
  </w:style>
  <w:style w:type="paragraph" w:customStyle="1" w:styleId="3065">
    <w:name w:val="Char Char1 Char Char Char Char Char Char Char Char Char Char Char Char Char Char Char Char Char Char Char Char1 Char1"/>
    <w:basedOn w:val="1"/>
    <w:semiHidden/>
    <w:qFormat/>
    <w:uiPriority w:val="0"/>
    <w:pPr>
      <w:tabs>
        <w:tab w:val="clear" w:pos="480"/>
      </w:tabs>
    </w:pPr>
    <w:rPr>
      <w:rFonts w:ascii="宋体" w:hAnsi="宋体" w:cs="宋体"/>
    </w:rPr>
  </w:style>
  <w:style w:type="paragraph" w:customStyle="1" w:styleId="3066">
    <w:name w:val="正文 03"/>
    <w:basedOn w:val="1"/>
    <w:semiHidden/>
    <w:qFormat/>
    <w:uiPriority w:val="0"/>
    <w:pPr>
      <w:tabs>
        <w:tab w:val="clear" w:pos="480"/>
      </w:tabs>
      <w:autoSpaceDE w:val="0"/>
      <w:autoSpaceDN w:val="0"/>
      <w:adjustRightInd w:val="0"/>
      <w:spacing w:line="240" w:lineRule="auto"/>
    </w:pPr>
    <w:rPr>
      <w:kern w:val="0"/>
      <w:szCs w:val="20"/>
    </w:rPr>
  </w:style>
  <w:style w:type="paragraph" w:customStyle="1" w:styleId="3067">
    <w:name w:val="表题1"/>
    <w:next w:val="178"/>
    <w:semiHidden/>
    <w:qFormat/>
    <w:uiPriority w:val="0"/>
    <w:pPr>
      <w:keepNext/>
      <w:keepLines/>
      <w:widowControl w:val="0"/>
      <w:topLinePunct/>
      <w:autoSpaceDE w:val="0"/>
      <w:autoSpaceDN w:val="0"/>
      <w:adjustRightInd w:val="0"/>
      <w:spacing w:line="360" w:lineRule="auto"/>
      <w:jc w:val="center"/>
    </w:pPr>
    <w:rPr>
      <w:rFonts w:ascii="Times New Roman" w:hAnsi="Times New Roman" w:eastAsia="仿宋体" w:cs="Times New Roman"/>
      <w:kern w:val="2"/>
      <w:sz w:val="28"/>
      <w:szCs w:val="24"/>
      <w:lang w:val="en-US" w:eastAsia="zh-CN" w:bidi="ar-SA"/>
    </w:rPr>
  </w:style>
  <w:style w:type="paragraph" w:customStyle="1" w:styleId="3068">
    <w:name w:val="表号"/>
    <w:qFormat/>
    <w:uiPriority w:val="0"/>
    <w:pPr>
      <w:widowControl w:val="0"/>
      <w:autoSpaceDE w:val="0"/>
      <w:autoSpaceDN w:val="0"/>
      <w:adjustRightInd w:val="0"/>
      <w:spacing w:before="120" w:after="120" w:line="288" w:lineRule="auto"/>
      <w:jc w:val="center"/>
    </w:pPr>
    <w:rPr>
      <w:rFonts w:ascii="Arial" w:hAnsi="Arial" w:eastAsia="楷体_GB2312" w:cs="Times New Roman"/>
      <w:kern w:val="2"/>
      <w:sz w:val="24"/>
      <w:szCs w:val="24"/>
      <w:lang w:val="en-US" w:eastAsia="zh-CN" w:bidi="ar-SA"/>
    </w:rPr>
  </w:style>
  <w:style w:type="paragraph" w:customStyle="1" w:styleId="3069">
    <w:name w:val="正文 3"/>
    <w:basedOn w:val="1"/>
    <w:semiHidden/>
    <w:qFormat/>
    <w:uiPriority w:val="0"/>
    <w:pPr>
      <w:tabs>
        <w:tab w:val="clear" w:pos="480"/>
      </w:tabs>
      <w:autoSpaceDE w:val="0"/>
      <w:autoSpaceDN w:val="0"/>
      <w:adjustRightInd w:val="0"/>
      <w:spacing w:line="300" w:lineRule="auto"/>
      <w:ind w:firstLine="567"/>
    </w:pPr>
    <w:rPr>
      <w:rFonts w:eastAsia="楷体_GB2312"/>
      <w:kern w:val="0"/>
      <w:sz w:val="21"/>
      <w:szCs w:val="20"/>
    </w:rPr>
  </w:style>
  <w:style w:type="paragraph" w:customStyle="1" w:styleId="3070">
    <w:name w:val="表题 3"/>
    <w:basedOn w:val="2465"/>
    <w:semiHidden/>
    <w:qFormat/>
    <w:uiPriority w:val="0"/>
    <w:pPr>
      <w:textAlignment w:val="auto"/>
    </w:pPr>
    <w:rPr>
      <w:sz w:val="24"/>
    </w:rPr>
  </w:style>
  <w:style w:type="paragraph" w:customStyle="1" w:styleId="3071">
    <w:name w:val="页面 1"/>
    <w:basedOn w:val="2471"/>
    <w:semiHidden/>
    <w:qFormat/>
    <w:uiPriority w:val="0"/>
    <w:rPr>
      <w:rFonts w:eastAsia="隶书"/>
      <w:sz w:val="84"/>
    </w:rPr>
  </w:style>
  <w:style w:type="paragraph" w:customStyle="1" w:styleId="3072">
    <w:name w:val="页面 4"/>
    <w:basedOn w:val="2471"/>
    <w:semiHidden/>
    <w:qFormat/>
    <w:uiPriority w:val="0"/>
    <w:rPr>
      <w:rFonts w:eastAsia="隶书"/>
      <w:sz w:val="48"/>
    </w:rPr>
  </w:style>
  <w:style w:type="paragraph" w:customStyle="1" w:styleId="3073">
    <w:name w:val="页面 5"/>
    <w:basedOn w:val="2471"/>
    <w:semiHidden/>
    <w:qFormat/>
    <w:uiPriority w:val="0"/>
    <w:rPr>
      <w:sz w:val="44"/>
    </w:rPr>
  </w:style>
  <w:style w:type="paragraph" w:customStyle="1" w:styleId="3074">
    <w:name w:val="页面 8"/>
    <w:basedOn w:val="2471"/>
    <w:semiHidden/>
    <w:qFormat/>
    <w:uiPriority w:val="0"/>
    <w:rPr>
      <w:sz w:val="30"/>
    </w:rPr>
  </w:style>
  <w:style w:type="paragraph" w:customStyle="1" w:styleId="3075">
    <w:name w:val="表格 12"/>
    <w:basedOn w:val="1"/>
    <w:semiHidden/>
    <w:qFormat/>
    <w:uiPriority w:val="0"/>
    <w:pPr>
      <w:tabs>
        <w:tab w:val="clear" w:pos="480"/>
      </w:tabs>
      <w:autoSpaceDE w:val="0"/>
      <w:autoSpaceDN w:val="0"/>
      <w:adjustRightInd w:val="0"/>
      <w:spacing w:line="240" w:lineRule="auto"/>
      <w:jc w:val="center"/>
    </w:pPr>
    <w:rPr>
      <w:kern w:val="0"/>
      <w:szCs w:val="20"/>
    </w:rPr>
  </w:style>
  <w:style w:type="paragraph" w:customStyle="1" w:styleId="3076">
    <w:name w:val="正文 31"/>
    <w:basedOn w:val="3069"/>
    <w:semiHidden/>
    <w:qFormat/>
    <w:uiPriority w:val="0"/>
    <w:pPr>
      <w:spacing w:line="360" w:lineRule="auto"/>
      <w:jc w:val="left"/>
    </w:pPr>
    <w:rPr>
      <w:rFonts w:eastAsia="楷体"/>
      <w:sz w:val="28"/>
    </w:rPr>
  </w:style>
  <w:style w:type="paragraph" w:customStyle="1" w:styleId="3077">
    <w:name w:val="正文尾 1"/>
    <w:semiHidden/>
    <w:qFormat/>
    <w:uiPriority w:val="0"/>
    <w:pPr>
      <w:widowControl w:val="0"/>
      <w:adjustRightInd w:val="0"/>
      <w:spacing w:line="360" w:lineRule="auto"/>
      <w:ind w:left="3969"/>
      <w:jc w:val="center"/>
    </w:pPr>
    <w:rPr>
      <w:rFonts w:ascii="Times New Roman" w:hAnsi="Times New Roman" w:eastAsia="宋体" w:cs="Times New Roman"/>
      <w:kern w:val="2"/>
      <w:sz w:val="28"/>
      <w:szCs w:val="24"/>
      <w:lang w:val="en-US" w:eastAsia="zh-CN" w:bidi="ar-SA"/>
    </w:rPr>
  </w:style>
  <w:style w:type="paragraph" w:customStyle="1" w:styleId="3078">
    <w:name w:val="标题 43"/>
    <w:basedOn w:val="6"/>
    <w:semiHidden/>
    <w:qFormat/>
    <w:uiPriority w:val="0"/>
    <w:pPr>
      <w:keepNext w:val="0"/>
      <w:keepLines w:val="0"/>
      <w:numPr>
        <w:ilvl w:val="0"/>
        <w:numId w:val="0"/>
      </w:numPr>
      <w:tabs>
        <w:tab w:val="clear" w:pos="480"/>
      </w:tabs>
      <w:adjustRightInd w:val="0"/>
      <w:spacing w:before="120" w:after="120" w:line="240" w:lineRule="auto"/>
      <w:ind w:firstLine="567"/>
      <w:jc w:val="left"/>
      <w:outlineLvl w:val="9"/>
    </w:pPr>
    <w:rPr>
      <w:rFonts w:ascii="Times New Roman" w:hAnsi="Times New Roman" w:eastAsia="隶书体"/>
      <w:b w:val="0"/>
      <w:bCs w:val="0"/>
      <w:kern w:val="0"/>
      <w:sz w:val="30"/>
      <w:szCs w:val="20"/>
    </w:rPr>
  </w:style>
  <w:style w:type="paragraph" w:customStyle="1" w:styleId="3079">
    <w:name w:val="标题 53"/>
    <w:basedOn w:val="7"/>
    <w:semiHidden/>
    <w:qFormat/>
    <w:uiPriority w:val="0"/>
    <w:pPr>
      <w:keepNext w:val="0"/>
      <w:keepLines w:val="0"/>
      <w:numPr>
        <w:numId w:val="0"/>
      </w:numPr>
      <w:tabs>
        <w:tab w:val="clear" w:pos="480"/>
      </w:tabs>
      <w:autoSpaceDE w:val="0"/>
      <w:autoSpaceDN w:val="0"/>
      <w:adjustRightInd w:val="0"/>
      <w:spacing w:before="120" w:after="120" w:line="240" w:lineRule="auto"/>
      <w:ind w:left="567"/>
      <w:outlineLvl w:val="9"/>
    </w:pPr>
    <w:rPr>
      <w:rFonts w:ascii="Times New Roman" w:hAnsi="Times New Roman" w:eastAsia="隶书体"/>
      <w:b w:val="0"/>
      <w:kern w:val="0"/>
      <w:sz w:val="28"/>
    </w:rPr>
  </w:style>
  <w:style w:type="paragraph" w:customStyle="1" w:styleId="3080">
    <w:name w:val="标题 63"/>
    <w:basedOn w:val="8"/>
    <w:semiHidden/>
    <w:qFormat/>
    <w:uiPriority w:val="0"/>
    <w:pPr>
      <w:keepNext w:val="0"/>
      <w:keepLines w:val="0"/>
      <w:numPr>
        <w:ilvl w:val="0"/>
        <w:numId w:val="0"/>
      </w:numPr>
      <w:tabs>
        <w:tab w:val="clear" w:pos="480"/>
      </w:tabs>
      <w:spacing w:after="120" w:line="240" w:lineRule="auto"/>
      <w:ind w:left="567"/>
      <w:jc w:val="left"/>
      <w:textAlignment w:val="auto"/>
      <w:outlineLvl w:val="9"/>
    </w:pPr>
    <w:rPr>
      <w:rFonts w:ascii="Times New Roman" w:hAnsi="Times New Roman" w:eastAsia="隶书体"/>
      <w:b w:val="0"/>
      <w:kern w:val="0"/>
    </w:rPr>
  </w:style>
  <w:style w:type="paragraph" w:customStyle="1" w:styleId="3081">
    <w:name w:val="样式 (符号) Bookman Old Style 小四 行距: 1.5 倍行距"/>
    <w:basedOn w:val="1"/>
    <w:semiHidden/>
    <w:qFormat/>
    <w:uiPriority w:val="0"/>
    <w:pPr>
      <w:tabs>
        <w:tab w:val="clear" w:pos="480"/>
      </w:tabs>
    </w:pPr>
    <w:rPr>
      <w:rFonts w:hAnsi="Bookman Old Style" w:cs="宋体"/>
      <w:szCs w:val="20"/>
    </w:rPr>
  </w:style>
  <w:style w:type="paragraph" w:customStyle="1" w:styleId="3082">
    <w:name w:val="样式 (符号) Bookman Old Style 小四 首行缩进:  0.85 厘米 行距: 1.5 倍行距"/>
    <w:basedOn w:val="1"/>
    <w:semiHidden/>
    <w:qFormat/>
    <w:uiPriority w:val="0"/>
    <w:pPr>
      <w:tabs>
        <w:tab w:val="clear" w:pos="480"/>
      </w:tabs>
      <w:ind w:firstLine="482"/>
    </w:pPr>
    <w:rPr>
      <w:rFonts w:hAnsi="Bookman Old Style" w:cs="宋体"/>
      <w:szCs w:val="20"/>
    </w:rPr>
  </w:style>
  <w:style w:type="paragraph" w:customStyle="1" w:styleId="3083">
    <w:name w:val="样式 (符号) Bookman Old Style 小四 首行缩进:  0.63 厘米 行距: 1.5 倍行距"/>
    <w:basedOn w:val="1"/>
    <w:semiHidden/>
    <w:qFormat/>
    <w:uiPriority w:val="0"/>
    <w:pPr>
      <w:tabs>
        <w:tab w:val="clear" w:pos="480"/>
      </w:tabs>
      <w:ind w:firstLine="357"/>
    </w:pPr>
    <w:rPr>
      <w:rFonts w:hAnsi="Bookman Old Style" w:cs="宋体"/>
      <w:szCs w:val="20"/>
    </w:rPr>
  </w:style>
  <w:style w:type="paragraph" w:customStyle="1" w:styleId="3084">
    <w:name w:val="样式 标题 1Head 1wsa + 三号 加粗 居中 行距: 1.5 倍行距"/>
    <w:basedOn w:val="3"/>
    <w:semiHidden/>
    <w:qFormat/>
    <w:uiPriority w:val="0"/>
    <w:pPr>
      <w:keepLines w:val="0"/>
      <w:pageBreakBefore/>
      <w:tabs>
        <w:tab w:val="clear" w:pos="480"/>
      </w:tabs>
      <w:autoSpaceDN w:val="0"/>
      <w:adjustRightInd w:val="0"/>
      <w:spacing w:before="0" w:after="0"/>
      <w:jc w:val="center"/>
    </w:pPr>
    <w:rPr>
      <w:rFonts w:ascii="宋体" w:hAnsi="宋体" w:eastAsia="宋体" w:cs="宋体"/>
      <w:b w:val="0"/>
      <w:kern w:val="2"/>
      <w:sz w:val="32"/>
      <w:szCs w:val="30"/>
    </w:rPr>
  </w:style>
  <w:style w:type="paragraph" w:customStyle="1" w:styleId="3085">
    <w:name w:val="正文61"/>
    <w:basedOn w:val="2"/>
    <w:semiHidden/>
    <w:qFormat/>
    <w:uiPriority w:val="0"/>
    <w:pPr>
      <w:spacing w:line="360" w:lineRule="auto"/>
    </w:pPr>
    <w:rPr>
      <w:rFonts w:hint="eastAsia" w:ascii="Times New Roman" w:hAnsi="Times New Roman"/>
      <w:kern w:val="0"/>
      <w:sz w:val="24"/>
      <w:szCs w:val="24"/>
    </w:rPr>
  </w:style>
  <w:style w:type="paragraph" w:customStyle="1" w:styleId="3086">
    <w:name w:val="a0"/>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087">
    <w:name w:val="样式 表格 + 五号 右"/>
    <w:basedOn w:val="161"/>
    <w:semiHidden/>
    <w:qFormat/>
    <w:uiPriority w:val="0"/>
    <w:pPr>
      <w:keepNext/>
      <w:autoSpaceDE w:val="0"/>
      <w:autoSpaceDN w:val="0"/>
      <w:spacing w:line="240" w:lineRule="auto"/>
      <w:jc w:val="center"/>
      <w:textAlignment w:val="auto"/>
    </w:pPr>
    <w:rPr>
      <w:rFonts w:hint="eastAsia" w:ascii="楷体_GB2312" w:hAnsi="Calibri" w:eastAsia="宋体" w:cs="宋体"/>
      <w:kern w:val="0"/>
      <w:sz w:val="20"/>
    </w:rPr>
  </w:style>
  <w:style w:type="paragraph" w:customStyle="1" w:styleId="3088">
    <w:name w:val="样式 表格 + 五号 右1"/>
    <w:basedOn w:val="161"/>
    <w:semiHidden/>
    <w:qFormat/>
    <w:uiPriority w:val="0"/>
    <w:pPr>
      <w:keepNext/>
      <w:autoSpaceDE w:val="0"/>
      <w:autoSpaceDN w:val="0"/>
      <w:spacing w:line="240" w:lineRule="auto"/>
      <w:jc w:val="center"/>
      <w:textAlignment w:val="auto"/>
    </w:pPr>
    <w:rPr>
      <w:rFonts w:hint="eastAsia" w:ascii="楷体_GB2312" w:hAnsi="Calibri" w:eastAsia="宋体" w:cs="宋体"/>
      <w:kern w:val="0"/>
      <w:sz w:val="20"/>
    </w:rPr>
  </w:style>
  <w:style w:type="paragraph" w:customStyle="1" w:styleId="3089">
    <w:name w:val="样式 表格 2 + 行距: 1.5 倍行距"/>
    <w:basedOn w:val="516"/>
    <w:semiHidden/>
    <w:qFormat/>
    <w:uiPriority w:val="0"/>
    <w:pPr>
      <w:spacing w:line="360" w:lineRule="auto"/>
      <w:jc w:val="left"/>
      <w:textAlignment w:val="auto"/>
    </w:pPr>
    <w:rPr>
      <w:rFonts w:hint="eastAsia" w:ascii="楷体_GB2312" w:hAnsi="Calibri" w:cs="宋体"/>
      <w:sz w:val="21"/>
    </w:rPr>
  </w:style>
  <w:style w:type="paragraph" w:customStyle="1" w:styleId="3090">
    <w:name w:val="样式 样式 表格 2 + 行距: 1.5 倍行距 + 左  -0.01 字符"/>
    <w:basedOn w:val="3087"/>
    <w:semiHidden/>
    <w:qFormat/>
    <w:uiPriority w:val="0"/>
    <w:pPr>
      <w:spacing w:line="360" w:lineRule="auto"/>
      <w:ind w:left="-2" w:leftChars="-7" w:hanging="15" w:hangingChars="7"/>
    </w:pPr>
  </w:style>
  <w:style w:type="paragraph" w:customStyle="1" w:styleId="3091">
    <w:name w:val="项目编号"/>
    <w:basedOn w:val="1"/>
    <w:next w:val="1"/>
    <w:qFormat/>
    <w:uiPriority w:val="0"/>
    <w:pPr>
      <w:numPr>
        <w:ilvl w:val="0"/>
        <w:numId w:val="33"/>
      </w:numPr>
      <w:tabs>
        <w:tab w:val="left" w:pos="1077"/>
        <w:tab w:val="clear" w:pos="870"/>
      </w:tabs>
      <w:adjustRightInd w:val="0"/>
      <w:spacing w:before="120"/>
      <w:ind w:left="1077" w:hanging="567"/>
    </w:pPr>
    <w:rPr>
      <w:kern w:val="0"/>
      <w:szCs w:val="20"/>
    </w:rPr>
  </w:style>
  <w:style w:type="paragraph" w:customStyle="1" w:styleId="3092">
    <w:name w:val="龙1"/>
    <w:basedOn w:val="2476"/>
    <w:semiHidden/>
    <w:qFormat/>
    <w:uiPriority w:val="0"/>
    <w:pPr>
      <w:autoSpaceDE w:val="0"/>
      <w:autoSpaceDN w:val="0"/>
      <w:spacing w:line="800" w:lineRule="exact"/>
      <w:outlineLvl w:val="0"/>
    </w:pPr>
    <w:rPr>
      <w:rFonts w:eastAsia="宋体"/>
      <w:b/>
      <w:sz w:val="36"/>
    </w:rPr>
  </w:style>
  <w:style w:type="paragraph" w:customStyle="1" w:styleId="3093">
    <w:name w:val="Char Char Char Char Char Char1 Char Char Char1 Char Char Char1 Char Char Char Char Char Char Char Char Char Char1"/>
    <w:basedOn w:val="1"/>
    <w:next w:val="1"/>
    <w:semiHidden/>
    <w:qFormat/>
    <w:uiPriority w:val="0"/>
    <w:pPr>
      <w:tabs>
        <w:tab w:val="clear" w:pos="480"/>
      </w:tabs>
    </w:pPr>
    <w:rPr>
      <w:rFonts w:ascii="宋体" w:hAnsi="宋体" w:cs="宋体"/>
    </w:rPr>
  </w:style>
  <w:style w:type="paragraph" w:customStyle="1" w:styleId="3094">
    <w:name w:val="表注解"/>
    <w:basedOn w:val="643"/>
    <w:next w:val="643"/>
    <w:semiHidden/>
    <w:qFormat/>
    <w:uiPriority w:val="0"/>
    <w:pPr>
      <w:widowControl/>
      <w:adjustRightInd w:val="0"/>
      <w:snapToGrid w:val="0"/>
    </w:pPr>
    <w:rPr>
      <w:rFonts w:ascii="Calibri" w:hAnsi="Calibri"/>
      <w:b/>
      <w:spacing w:val="0"/>
      <w:sz w:val="18"/>
    </w:rPr>
  </w:style>
  <w:style w:type="paragraph" w:customStyle="1" w:styleId="3095">
    <w:name w:val="表头及表尾"/>
    <w:semiHidden/>
    <w:qFormat/>
    <w:uiPriority w:val="0"/>
    <w:pPr>
      <w:tabs>
        <w:tab w:val="center" w:pos="4200"/>
        <w:tab w:val="right" w:pos="8400"/>
      </w:tabs>
      <w:adjustRightInd w:val="0"/>
      <w:snapToGrid w:val="0"/>
      <w:jc w:val="center"/>
    </w:pPr>
    <w:rPr>
      <w:rFonts w:ascii="Times New Roman" w:hAnsi="Times New Roman" w:eastAsia="宋体" w:cs="Times New Roman"/>
      <w:b/>
      <w:kern w:val="2"/>
      <w:sz w:val="21"/>
      <w:szCs w:val="21"/>
      <w:lang w:val="en-US" w:eastAsia="zh-CN" w:bidi="ar-SA"/>
    </w:rPr>
  </w:style>
  <w:style w:type="paragraph" w:customStyle="1" w:styleId="3096">
    <w:name w:val="样式  Char + 左  -0.01 字符"/>
    <w:basedOn w:val="21"/>
    <w:semiHidden/>
    <w:qFormat/>
    <w:uiPriority w:val="0"/>
    <w:pPr>
      <w:tabs>
        <w:tab w:val="clear" w:pos="480"/>
      </w:tabs>
      <w:spacing w:line="240" w:lineRule="auto"/>
      <w:ind w:firstLine="190" w:firstLineChars="190"/>
    </w:pPr>
    <w:rPr>
      <w:rFonts w:cs="宋体"/>
      <w:kern w:val="0"/>
      <w:sz w:val="20"/>
      <w:szCs w:val="20"/>
    </w:rPr>
  </w:style>
  <w:style w:type="paragraph" w:customStyle="1" w:styleId="3097">
    <w:name w:val="Char4 Char Char Char"/>
    <w:basedOn w:val="1"/>
    <w:semiHidden/>
    <w:qFormat/>
    <w:uiPriority w:val="0"/>
    <w:pPr>
      <w:tabs>
        <w:tab w:val="clear" w:pos="480"/>
      </w:tabs>
      <w:adjustRightInd w:val="0"/>
      <w:snapToGrid w:val="0"/>
    </w:pPr>
    <w:rPr>
      <w:rFonts w:ascii="宋体" w:hAnsi="宋体" w:cs="宋体"/>
      <w:szCs w:val="26"/>
    </w:rPr>
  </w:style>
  <w:style w:type="paragraph" w:customStyle="1" w:styleId="3098">
    <w:name w:val="封面标准名称"/>
    <w:semiHidden/>
    <w:qFormat/>
    <w:uiPriority w:val="0"/>
    <w:pPr>
      <w:framePr w:w="9638" w:h="6917" w:wrap="around" w:vAnchor="margin" w:hAnchor="margin" w:xAlign="center" w:y="5955" w:anchorLock="1"/>
      <w:widowControl w:val="0"/>
      <w:spacing w:line="680" w:lineRule="exact"/>
      <w:jc w:val="center"/>
    </w:pPr>
    <w:rPr>
      <w:rFonts w:ascii="黑体" w:hAnsi="Times New Roman" w:eastAsia="黑体" w:cs="Times New Roman"/>
      <w:kern w:val="2"/>
      <w:sz w:val="52"/>
      <w:szCs w:val="24"/>
      <w:lang w:val="en-US" w:eastAsia="zh-CN" w:bidi="ar-SA"/>
    </w:rPr>
  </w:style>
  <w:style w:type="paragraph" w:customStyle="1" w:styleId="3099">
    <w:name w:val="zwb"/>
    <w:basedOn w:val="1"/>
    <w:semiHidden/>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27"/>
      <w:szCs w:val="27"/>
    </w:rPr>
  </w:style>
  <w:style w:type="paragraph" w:customStyle="1" w:styleId="3100">
    <w:name w:val="表内小四"/>
    <w:basedOn w:val="1"/>
    <w:semiHidden/>
    <w:qFormat/>
    <w:uiPriority w:val="0"/>
    <w:pPr>
      <w:widowControl/>
      <w:tabs>
        <w:tab w:val="clear" w:pos="480"/>
      </w:tabs>
      <w:adjustRightInd w:val="0"/>
      <w:spacing w:line="240" w:lineRule="auto"/>
      <w:ind w:left="-50"/>
      <w:jc w:val="left"/>
    </w:pPr>
    <w:rPr>
      <w:kern w:val="0"/>
      <w:szCs w:val="20"/>
    </w:rPr>
  </w:style>
  <w:style w:type="paragraph" w:customStyle="1" w:styleId="3101">
    <w:name w:val="正文首缩"/>
    <w:basedOn w:val="2"/>
    <w:semiHidden/>
    <w:qFormat/>
    <w:uiPriority w:val="0"/>
    <w:pPr>
      <w:tabs>
        <w:tab w:val="left" w:pos="3926"/>
      </w:tabs>
      <w:snapToGrid w:val="0"/>
      <w:spacing w:after="80" w:line="288" w:lineRule="auto"/>
      <w:ind w:firstLine="454"/>
    </w:pPr>
    <w:rPr>
      <w:rFonts w:hint="eastAsia" w:ascii="Times New Roman" w:hAnsi="Times New Roman"/>
      <w:kern w:val="0"/>
      <w:sz w:val="24"/>
    </w:rPr>
  </w:style>
  <w:style w:type="paragraph" w:customStyle="1" w:styleId="3102">
    <w:name w:val="报告样式"/>
    <w:basedOn w:val="1"/>
    <w:next w:val="211"/>
    <w:semiHidden/>
    <w:qFormat/>
    <w:uiPriority w:val="0"/>
    <w:pPr>
      <w:tabs>
        <w:tab w:val="clear" w:pos="480"/>
      </w:tabs>
      <w:spacing w:line="240" w:lineRule="auto"/>
    </w:pPr>
  </w:style>
  <w:style w:type="paragraph" w:customStyle="1" w:styleId="3103">
    <w:name w:val="样式 标题 4H4Subsection + 段前: 6 磅 段后: 6 磅"/>
    <w:basedOn w:val="6"/>
    <w:semiHidden/>
    <w:qFormat/>
    <w:uiPriority w:val="0"/>
    <w:pPr>
      <w:keepNext w:val="0"/>
      <w:keepLines w:val="0"/>
      <w:numPr>
        <w:ilvl w:val="0"/>
        <w:numId w:val="0"/>
      </w:numPr>
      <w:tabs>
        <w:tab w:val="left" w:pos="-34"/>
        <w:tab w:val="clear" w:pos="480"/>
      </w:tabs>
      <w:spacing w:before="0" w:after="0"/>
      <w:ind w:left="-20"/>
    </w:pPr>
    <w:rPr>
      <w:rFonts w:ascii="Times New Roman" w:hAnsi="Times New Roman" w:eastAsia="宋体" w:cs="宋体"/>
      <w:sz w:val="24"/>
      <w:szCs w:val="20"/>
    </w:rPr>
  </w:style>
  <w:style w:type="paragraph" w:customStyle="1" w:styleId="3104">
    <w:name w:val="样式 样式 宋体 小四 左 + 首行缩进:  2 字符"/>
    <w:basedOn w:val="1"/>
    <w:semiHidden/>
    <w:qFormat/>
    <w:uiPriority w:val="0"/>
    <w:pPr>
      <w:tabs>
        <w:tab w:val="clear" w:pos="480"/>
      </w:tabs>
      <w:jc w:val="left"/>
    </w:pPr>
    <w:rPr>
      <w:rFonts w:cs="宋体"/>
      <w:kern w:val="0"/>
      <w:szCs w:val="20"/>
    </w:rPr>
  </w:style>
  <w:style w:type="paragraph" w:customStyle="1" w:styleId="3105">
    <w:name w:val="样式 小初 加粗 阴影 居中 段前: 7.8 磅 段后: 7.8 磅"/>
    <w:basedOn w:val="1"/>
    <w:semiHidden/>
    <w:qFormat/>
    <w:uiPriority w:val="0"/>
    <w:pPr>
      <w:tabs>
        <w:tab w:val="clear" w:pos="480"/>
      </w:tabs>
      <w:spacing w:line="240" w:lineRule="auto"/>
      <w:jc w:val="center"/>
    </w:pPr>
    <w:rPr>
      <w:rFonts w:cs="宋体"/>
      <w:b/>
      <w:bCs/>
      <w:sz w:val="72"/>
      <w:szCs w:val="20"/>
    </w:rPr>
  </w:style>
  <w:style w:type="paragraph" w:customStyle="1" w:styleId="3106">
    <w:name w:val="样式 编制日期 + 首行缩进:  6.4 字符"/>
    <w:basedOn w:val="1"/>
    <w:semiHidden/>
    <w:qFormat/>
    <w:uiPriority w:val="0"/>
    <w:pPr>
      <w:tabs>
        <w:tab w:val="clear" w:pos="480"/>
      </w:tabs>
      <w:spacing w:line="240" w:lineRule="auto"/>
      <w:ind w:firstLine="1799" w:firstLineChars="640"/>
    </w:pPr>
    <w:rPr>
      <w:rFonts w:cs="宋体"/>
      <w:b/>
      <w:bCs/>
      <w:sz w:val="28"/>
      <w:szCs w:val="20"/>
    </w:rPr>
  </w:style>
  <w:style w:type="paragraph" w:customStyle="1" w:styleId="3107">
    <w:name w:val="正文1-1"/>
    <w:basedOn w:val="1"/>
    <w:next w:val="1"/>
    <w:link w:val="3262"/>
    <w:qFormat/>
    <w:uiPriority w:val="0"/>
    <w:pPr>
      <w:widowControl/>
      <w:tabs>
        <w:tab w:val="clear" w:pos="480"/>
      </w:tabs>
      <w:adjustRightInd w:val="0"/>
      <w:snapToGrid w:val="0"/>
      <w:jc w:val="left"/>
    </w:pPr>
    <w:rPr>
      <w:kern w:val="0"/>
      <w:lang w:val="zh-CN"/>
    </w:rPr>
  </w:style>
  <w:style w:type="paragraph" w:customStyle="1" w:styleId="3108">
    <w:name w:val="Char1 Char Char Char Char Char Char1"/>
    <w:basedOn w:val="1"/>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3109">
    <w:name w:val="样式 1标题3级 + 左侧:  -0.85 厘米 段前: 1.55 磅"/>
    <w:basedOn w:val="1"/>
    <w:semiHidden/>
    <w:qFormat/>
    <w:uiPriority w:val="0"/>
    <w:pPr>
      <w:keepNext/>
      <w:tabs>
        <w:tab w:val="clear" w:pos="480"/>
      </w:tabs>
      <w:snapToGrid w:val="0"/>
      <w:spacing w:before="120" w:line="420" w:lineRule="auto"/>
      <w:ind w:left="-482" w:firstLine="199" w:firstLineChars="199"/>
      <w:outlineLvl w:val="2"/>
    </w:pPr>
    <w:rPr>
      <w:rFonts w:eastAsia="黑体" w:cs="宋体"/>
      <w:b/>
      <w:bCs/>
      <w:szCs w:val="20"/>
    </w:rPr>
  </w:style>
  <w:style w:type="paragraph" w:customStyle="1" w:styleId="3110">
    <w:name w:val="样式 1标题2级 + 左  -0.85 字符"/>
    <w:basedOn w:val="1"/>
    <w:semiHidden/>
    <w:qFormat/>
    <w:uiPriority w:val="0"/>
    <w:pPr>
      <w:keepNext/>
      <w:tabs>
        <w:tab w:val="clear" w:pos="480"/>
      </w:tabs>
      <w:snapToGrid w:val="0"/>
      <w:spacing w:beforeLines="100" w:line="420" w:lineRule="auto"/>
      <w:ind w:left="-85" w:leftChars="-85" w:firstLine="63" w:firstLineChars="63"/>
      <w:outlineLvl w:val="1"/>
    </w:pPr>
    <w:rPr>
      <w:rFonts w:eastAsia="黑体" w:cs="宋体"/>
      <w:b/>
      <w:bCs/>
      <w:sz w:val="28"/>
      <w:szCs w:val="20"/>
    </w:rPr>
  </w:style>
  <w:style w:type="paragraph" w:customStyle="1" w:styleId="3111">
    <w:name w:val="样式 1标题3级 + 段前: 0.1 行"/>
    <w:basedOn w:val="1"/>
    <w:semiHidden/>
    <w:qFormat/>
    <w:uiPriority w:val="0"/>
    <w:pPr>
      <w:keepNext/>
      <w:tabs>
        <w:tab w:val="clear" w:pos="480"/>
      </w:tabs>
      <w:snapToGrid w:val="0"/>
      <w:spacing w:before="120" w:line="420" w:lineRule="auto"/>
      <w:outlineLvl w:val="2"/>
    </w:pPr>
    <w:rPr>
      <w:rFonts w:eastAsia="黑体" w:cs="宋体"/>
      <w:b/>
      <w:bCs/>
      <w:szCs w:val="20"/>
    </w:rPr>
  </w:style>
  <w:style w:type="paragraph" w:customStyle="1" w:styleId="3112">
    <w:name w:val="样式 标题 2标题2H2h2第一层条一级条SeHead wsa2Chapter TitleChapter1...."/>
    <w:basedOn w:val="4"/>
    <w:semiHidden/>
    <w:qFormat/>
    <w:uiPriority w:val="0"/>
    <w:pPr>
      <w:tabs>
        <w:tab w:val="left" w:pos="992"/>
        <w:tab w:val="clear" w:pos="480"/>
        <w:tab w:val="clear" w:pos="630"/>
      </w:tabs>
      <w:snapToGrid w:val="0"/>
      <w:spacing w:before="0" w:line="460" w:lineRule="exact"/>
      <w:ind w:left="861" w:hanging="567"/>
    </w:pPr>
    <w:rPr>
      <w:rFonts w:ascii="宋体" w:hAnsi="宋体"/>
      <w:kern w:val="0"/>
      <w:szCs w:val="30"/>
    </w:rPr>
  </w:style>
  <w:style w:type="character" w:customStyle="1" w:styleId="3113">
    <w:name w:val="样式 标题 41.1.1.1标题 4.1.1.1.1标题 4 Char款四级标题，黑粗，小四，序号H4h4 sub... Char"/>
    <w:link w:val="3114"/>
    <w:qFormat/>
    <w:locked/>
    <w:uiPriority w:val="0"/>
    <w:rPr>
      <w:rFonts w:ascii="宋体" w:hAnsi="宋体" w:eastAsia="宋体"/>
      <w:bCs/>
      <w:sz w:val="24"/>
      <w:szCs w:val="24"/>
      <w:lang w:bidi="ar-SA"/>
    </w:rPr>
  </w:style>
  <w:style w:type="paragraph" w:customStyle="1" w:styleId="3114">
    <w:name w:val="样式 标题 41.1.1.1标题 4.1.1.1.1标题 4 Char款四级标题，黑粗，小四，序号H4h4 sub..."/>
    <w:basedOn w:val="6"/>
    <w:link w:val="3113"/>
    <w:semiHidden/>
    <w:qFormat/>
    <w:uiPriority w:val="0"/>
    <w:pPr>
      <w:numPr>
        <w:ilvl w:val="0"/>
        <w:numId w:val="0"/>
      </w:numPr>
      <w:tabs>
        <w:tab w:val="left" w:pos="1984"/>
        <w:tab w:val="clear" w:pos="480"/>
      </w:tabs>
      <w:spacing w:before="0" w:after="0"/>
      <w:ind w:left="1984" w:hanging="708"/>
    </w:pPr>
    <w:rPr>
      <w:rFonts w:ascii="宋体" w:eastAsia="宋体"/>
      <w:b w:val="0"/>
      <w:kern w:val="0"/>
      <w:sz w:val="24"/>
      <w:szCs w:val="24"/>
    </w:rPr>
  </w:style>
  <w:style w:type="paragraph" w:customStyle="1" w:styleId="3115">
    <w:name w:val="样式 正文缩进1 + 首行缩进:  2 字符"/>
    <w:basedOn w:val="1"/>
    <w:semiHidden/>
    <w:qFormat/>
    <w:uiPriority w:val="0"/>
    <w:pPr>
      <w:tabs>
        <w:tab w:val="clear" w:pos="480"/>
      </w:tabs>
      <w:ind w:firstLine="480"/>
    </w:pPr>
    <w:rPr>
      <w:rFonts w:ascii="宋体" w:cs="宋体"/>
      <w:szCs w:val="20"/>
    </w:rPr>
  </w:style>
  <w:style w:type="character" w:customStyle="1" w:styleId="3116">
    <w:name w:val="自定正文 Char"/>
    <w:link w:val="3117"/>
    <w:qFormat/>
    <w:locked/>
    <w:uiPriority w:val="0"/>
    <w:rPr>
      <w:rFonts w:ascii="宋体" w:hAnsi="宋体" w:eastAsia="宋体"/>
      <w:color w:val="000000"/>
      <w:sz w:val="24"/>
      <w:lang w:bidi="ar-SA"/>
    </w:rPr>
  </w:style>
  <w:style w:type="paragraph" w:customStyle="1" w:styleId="3117">
    <w:name w:val="自定正文"/>
    <w:basedOn w:val="1"/>
    <w:link w:val="3116"/>
    <w:semiHidden/>
    <w:qFormat/>
    <w:uiPriority w:val="0"/>
    <w:pPr>
      <w:tabs>
        <w:tab w:val="clear" w:pos="480"/>
      </w:tabs>
      <w:snapToGrid w:val="0"/>
    </w:pPr>
    <w:rPr>
      <w:rFonts w:ascii="宋体" w:hAnsi="宋体"/>
      <w:color w:val="000000"/>
      <w:kern w:val="0"/>
      <w:szCs w:val="20"/>
      <w:lang w:val="zh-CN"/>
    </w:rPr>
  </w:style>
  <w:style w:type="character" w:customStyle="1" w:styleId="3118">
    <w:name w:val="自定表格 Char"/>
    <w:link w:val="3119"/>
    <w:qFormat/>
    <w:locked/>
    <w:uiPriority w:val="0"/>
    <w:rPr>
      <w:rFonts w:ascii="宋体" w:hAnsi="宋体" w:eastAsia="宋体"/>
      <w:lang w:bidi="ar-SA"/>
    </w:rPr>
  </w:style>
  <w:style w:type="paragraph" w:customStyle="1" w:styleId="3119">
    <w:name w:val="自定表格"/>
    <w:basedOn w:val="1"/>
    <w:link w:val="3118"/>
    <w:semiHidden/>
    <w:qFormat/>
    <w:uiPriority w:val="0"/>
    <w:pPr>
      <w:tabs>
        <w:tab w:val="clear" w:pos="480"/>
      </w:tabs>
      <w:autoSpaceDE w:val="0"/>
      <w:autoSpaceDN w:val="0"/>
      <w:adjustRightInd w:val="0"/>
      <w:spacing w:line="240" w:lineRule="auto"/>
      <w:jc w:val="center"/>
    </w:pPr>
    <w:rPr>
      <w:rFonts w:ascii="宋体" w:hAnsi="宋体"/>
      <w:kern w:val="0"/>
      <w:sz w:val="20"/>
      <w:szCs w:val="20"/>
      <w:lang w:val="zh-CN"/>
    </w:rPr>
  </w:style>
  <w:style w:type="character" w:customStyle="1" w:styleId="3120">
    <w:name w:val="自定表头 Char Char"/>
    <w:link w:val="3121"/>
    <w:qFormat/>
    <w:locked/>
    <w:uiPriority w:val="0"/>
    <w:rPr>
      <w:rFonts w:ascii="宋体" w:hAnsi="宋体" w:eastAsia="宋体"/>
      <w:b/>
      <w:sz w:val="24"/>
      <w:lang w:bidi="ar-SA"/>
    </w:rPr>
  </w:style>
  <w:style w:type="paragraph" w:customStyle="1" w:styleId="3121">
    <w:name w:val="自定表头"/>
    <w:basedOn w:val="7"/>
    <w:link w:val="3120"/>
    <w:semiHidden/>
    <w:qFormat/>
    <w:uiPriority w:val="0"/>
    <w:pPr>
      <w:numPr>
        <w:numId w:val="0"/>
      </w:numPr>
      <w:tabs>
        <w:tab w:val="left" w:pos="2551"/>
        <w:tab w:val="clear" w:pos="480"/>
      </w:tabs>
      <w:autoSpaceDE w:val="0"/>
      <w:autoSpaceDN w:val="0"/>
      <w:adjustRightInd w:val="0"/>
      <w:spacing w:before="0" w:after="0"/>
      <w:ind w:left="2551" w:hanging="850"/>
      <w:jc w:val="center"/>
    </w:pPr>
    <w:rPr>
      <w:rFonts w:hAnsi="宋体" w:eastAsia="宋体"/>
      <w:kern w:val="0"/>
    </w:rPr>
  </w:style>
  <w:style w:type="paragraph" w:customStyle="1" w:styleId="3122">
    <w:name w:val="样式 标题 3条标题1.1.1ReHead 3 WSAh3BSH-3H3b33rd levell3CT标题...1"/>
    <w:basedOn w:val="1"/>
    <w:semiHidden/>
    <w:qFormat/>
    <w:uiPriority w:val="0"/>
    <w:pPr>
      <w:keepNext/>
      <w:keepLines/>
      <w:tabs>
        <w:tab w:val="clear" w:pos="480"/>
      </w:tabs>
      <w:spacing w:before="120" w:after="120"/>
      <w:ind w:left="2079"/>
      <w:outlineLvl w:val="2"/>
    </w:pPr>
    <w:rPr>
      <w:rFonts w:ascii="宋体" w:hAnsi="宋体"/>
      <w:b/>
      <w:bCs/>
      <w:sz w:val="28"/>
      <w:szCs w:val="32"/>
    </w:rPr>
  </w:style>
  <w:style w:type="paragraph" w:customStyle="1" w:styleId="3123">
    <w:name w:val="样式 标题 3条标题1.1.1ReHead 3 WSAh3BSH-3H3b33rd levell3CT标题..."/>
    <w:basedOn w:val="1"/>
    <w:semiHidden/>
    <w:qFormat/>
    <w:uiPriority w:val="0"/>
    <w:pPr>
      <w:keepNext/>
      <w:keepLines/>
      <w:tabs>
        <w:tab w:val="clear" w:pos="480"/>
      </w:tabs>
      <w:spacing w:before="120" w:after="120"/>
      <w:ind w:left="2079"/>
      <w:outlineLvl w:val="2"/>
    </w:pPr>
    <w:rPr>
      <w:b/>
      <w:bCs/>
      <w:sz w:val="28"/>
      <w:szCs w:val="32"/>
    </w:rPr>
  </w:style>
  <w:style w:type="paragraph" w:customStyle="1" w:styleId="3124">
    <w:name w:val="样式 标题 3 + 段后: 0.5 行"/>
    <w:basedOn w:val="1"/>
    <w:semiHidden/>
    <w:qFormat/>
    <w:uiPriority w:val="0"/>
    <w:pPr>
      <w:keepNext/>
      <w:keepLines/>
      <w:numPr>
        <w:ilvl w:val="2"/>
        <w:numId w:val="34"/>
      </w:numPr>
      <w:tabs>
        <w:tab w:val="clear" w:pos="480"/>
      </w:tabs>
      <w:snapToGrid w:val="0"/>
      <w:spacing w:before="260" w:line="410" w:lineRule="auto"/>
      <w:outlineLvl w:val="2"/>
    </w:pPr>
    <w:rPr>
      <w:sz w:val="28"/>
      <w:szCs w:val="20"/>
    </w:rPr>
  </w:style>
  <w:style w:type="paragraph" w:customStyle="1" w:styleId="3125">
    <w:name w:val="样式 标题 5 + 左侧:  0 厘米 悬挂缩进: 9.98 字符"/>
    <w:basedOn w:val="7"/>
    <w:semiHidden/>
    <w:qFormat/>
    <w:uiPriority w:val="0"/>
    <w:pPr>
      <w:numPr>
        <w:numId w:val="0"/>
      </w:numPr>
      <w:tabs>
        <w:tab w:val="left" w:pos="1560"/>
        <w:tab w:val="left" w:pos="1680"/>
        <w:tab w:val="left" w:pos="2551"/>
        <w:tab w:val="clear" w:pos="480"/>
      </w:tabs>
      <w:overflowPunct w:val="0"/>
      <w:topLinePunct/>
      <w:autoSpaceDE w:val="0"/>
      <w:adjustRightInd w:val="0"/>
      <w:snapToGrid w:val="0"/>
      <w:spacing w:before="120" w:after="0" w:line="480" w:lineRule="auto"/>
      <w:ind w:left="2551" w:hanging="850"/>
      <w:jc w:val="left"/>
    </w:pPr>
    <w:rPr>
      <w:rFonts w:ascii="Times New Roman" w:hAnsi="Times New Roman" w:eastAsia="宋体" w:cs="宋体"/>
      <w:b w:val="0"/>
      <w:spacing w:val="20"/>
      <w:kern w:val="0"/>
    </w:rPr>
  </w:style>
  <w:style w:type="paragraph" w:customStyle="1" w:styleId="3126">
    <w:name w:val="首行缩进"/>
    <w:basedOn w:val="1"/>
    <w:semiHidden/>
    <w:qFormat/>
    <w:uiPriority w:val="0"/>
    <w:pPr>
      <w:tabs>
        <w:tab w:val="clear" w:pos="480"/>
      </w:tabs>
      <w:spacing w:line="240" w:lineRule="auto"/>
    </w:pPr>
    <w:rPr>
      <w:rFonts w:eastAsia="仿宋_GB2312"/>
      <w:sz w:val="28"/>
      <w:szCs w:val="28"/>
    </w:rPr>
  </w:style>
  <w:style w:type="paragraph" w:customStyle="1" w:styleId="3127">
    <w:name w:val="样式 标题 1标题 1 Char标1章Ch章标题 1章节标题b11标题 1一、H11Heading 11..."/>
    <w:basedOn w:val="3"/>
    <w:semiHidden/>
    <w:qFormat/>
    <w:uiPriority w:val="0"/>
    <w:pPr>
      <w:tabs>
        <w:tab w:val="clear" w:pos="480"/>
      </w:tabs>
      <w:spacing w:before="0" w:after="0"/>
      <w:jc w:val="center"/>
    </w:pPr>
    <w:rPr>
      <w:rFonts w:ascii="Times New Roman" w:eastAsia="宋体" w:cs="宋体"/>
      <w:szCs w:val="20"/>
    </w:rPr>
  </w:style>
  <w:style w:type="paragraph" w:customStyle="1" w:styleId="3128">
    <w:name w:val="样式 标题 2H2Heading 2 HiddenHeading 2 CCBSHD2节2nd levelh22..."/>
    <w:basedOn w:val="4"/>
    <w:semiHidden/>
    <w:qFormat/>
    <w:uiPriority w:val="0"/>
    <w:pPr>
      <w:tabs>
        <w:tab w:val="left" w:pos="992"/>
        <w:tab w:val="clear" w:pos="480"/>
        <w:tab w:val="clear" w:pos="630"/>
      </w:tabs>
      <w:spacing w:before="0" w:after="0"/>
      <w:ind w:left="992" w:hanging="567"/>
    </w:pPr>
    <w:rPr>
      <w:rFonts w:cs="宋体"/>
      <w:kern w:val="0"/>
      <w:sz w:val="30"/>
      <w:szCs w:val="20"/>
    </w:rPr>
  </w:style>
  <w:style w:type="paragraph" w:customStyle="1" w:styleId="3129">
    <w:name w:val="标题 3＋"/>
    <w:basedOn w:val="1"/>
    <w:next w:val="4"/>
    <w:semiHidden/>
    <w:qFormat/>
    <w:uiPriority w:val="0"/>
    <w:pPr>
      <w:tabs>
        <w:tab w:val="clear" w:pos="480"/>
      </w:tabs>
      <w:adjustRightInd w:val="0"/>
      <w:snapToGrid w:val="0"/>
      <w:spacing w:before="150" w:after="150"/>
      <w:jc w:val="left"/>
    </w:pPr>
    <w:rPr>
      <w:rFonts w:hAnsi="宋体"/>
      <w:b/>
      <w:szCs w:val="20"/>
    </w:rPr>
  </w:style>
  <w:style w:type="paragraph" w:customStyle="1" w:styleId="3130">
    <w:name w:val="新正文"/>
    <w:basedOn w:val="1"/>
    <w:qFormat/>
    <w:uiPriority w:val="0"/>
    <w:pPr>
      <w:tabs>
        <w:tab w:val="clear" w:pos="480"/>
      </w:tabs>
      <w:spacing w:line="460" w:lineRule="exact"/>
      <w:ind w:firstLine="454"/>
    </w:pPr>
    <w:rPr>
      <w:rFonts w:ascii="宋体"/>
      <w:kern w:val="0"/>
      <w:szCs w:val="20"/>
    </w:rPr>
  </w:style>
  <w:style w:type="paragraph" w:customStyle="1" w:styleId="3131">
    <w:name w:val="样式 正文 首行缩进:  2 字符 + 首行缩进:  2 字符"/>
    <w:basedOn w:val="1"/>
    <w:semiHidden/>
    <w:qFormat/>
    <w:uiPriority w:val="0"/>
    <w:pPr>
      <w:tabs>
        <w:tab w:val="clear" w:pos="480"/>
      </w:tabs>
      <w:spacing w:before="100" w:line="520" w:lineRule="exact"/>
      <w:ind w:firstLine="562"/>
    </w:pPr>
    <w:rPr>
      <w:rFonts w:ascii="仿宋_GB2312" w:eastAsia="仿宋_GB2312"/>
      <w:b/>
      <w:color w:val="000000"/>
      <w:sz w:val="28"/>
      <w:szCs w:val="28"/>
    </w:rPr>
  </w:style>
  <w:style w:type="paragraph" w:customStyle="1" w:styleId="3132">
    <w:name w:val="Char Char2 Char Char Char Char"/>
    <w:basedOn w:val="1"/>
    <w:qFormat/>
    <w:uiPriority w:val="0"/>
    <w:pPr>
      <w:widowControl/>
      <w:tabs>
        <w:tab w:val="clear" w:pos="480"/>
      </w:tabs>
      <w:spacing w:line="240" w:lineRule="auto"/>
      <w:jc w:val="left"/>
    </w:pPr>
    <w:rPr>
      <w:kern w:val="0"/>
      <w:lang w:val="pl-PL" w:eastAsia="pl-PL"/>
    </w:rPr>
  </w:style>
  <w:style w:type="paragraph" w:customStyle="1" w:styleId="3133">
    <w:name w:val="河石管道 表头"/>
    <w:semiHidden/>
    <w:qFormat/>
    <w:uiPriority w:val="0"/>
    <w:pPr>
      <w:jc w:val="center"/>
    </w:pPr>
    <w:rPr>
      <w:rFonts w:ascii="Times New Roman" w:hAnsi="Times New Roman" w:eastAsia="宋体" w:cs="Times New Roman"/>
      <w:bCs/>
      <w:kern w:val="2"/>
      <w:sz w:val="21"/>
      <w:szCs w:val="21"/>
      <w:lang w:val="en-US" w:eastAsia="zh-CN" w:bidi="ar-SA"/>
    </w:rPr>
  </w:style>
  <w:style w:type="paragraph" w:customStyle="1" w:styleId="3134">
    <w:name w:val="河石管道 表格文字小五"/>
    <w:semiHidden/>
    <w:qFormat/>
    <w:uiPriority w:val="0"/>
    <w:pPr>
      <w:tabs>
        <w:tab w:val="left" w:pos="277"/>
        <w:tab w:val="left" w:pos="600"/>
        <w:tab w:val="left" w:pos="780"/>
        <w:tab w:val="left" w:pos="2517"/>
      </w:tabs>
      <w:adjustRightInd w:val="0"/>
      <w:jc w:val="center"/>
    </w:pPr>
    <w:rPr>
      <w:rFonts w:ascii="Times New Roman" w:hAnsi="Times New Roman" w:eastAsia="宋体" w:cs="Times New Roman"/>
      <w:kern w:val="2"/>
      <w:sz w:val="18"/>
      <w:szCs w:val="21"/>
      <w:lang w:val="en-US" w:eastAsia="zh-CN" w:bidi="ar-SA"/>
    </w:rPr>
  </w:style>
  <w:style w:type="paragraph" w:customStyle="1" w:styleId="3135">
    <w:name w:val="规划"/>
    <w:basedOn w:val="1"/>
    <w:semiHidden/>
    <w:qFormat/>
    <w:uiPriority w:val="0"/>
    <w:pPr>
      <w:widowControl/>
      <w:numPr>
        <w:ilvl w:val="0"/>
        <w:numId w:val="35"/>
      </w:numPr>
      <w:tabs>
        <w:tab w:val="clear" w:pos="480"/>
      </w:tabs>
      <w:spacing w:beforeLines="50" w:afterLines="50" w:line="240" w:lineRule="auto"/>
      <w:jc w:val="left"/>
    </w:pPr>
    <w:rPr>
      <w:kern w:val="0"/>
      <w:szCs w:val="20"/>
    </w:rPr>
  </w:style>
  <w:style w:type="paragraph" w:customStyle="1" w:styleId="3136">
    <w:name w:val="河石管道 表格正文"/>
    <w:semiHidden/>
    <w:qFormat/>
    <w:uiPriority w:val="0"/>
    <w:pPr>
      <w:jc w:val="both"/>
    </w:pPr>
    <w:rPr>
      <w:rFonts w:ascii="Times New Roman" w:hAnsi="Times New Roman" w:eastAsia="宋体" w:cs="Times New Roman"/>
      <w:kern w:val="2"/>
      <w:sz w:val="21"/>
      <w:szCs w:val="21"/>
      <w:lang w:val="en-US" w:eastAsia="zh-CN" w:bidi="ar-SA"/>
    </w:rPr>
  </w:style>
  <w:style w:type="character" w:customStyle="1" w:styleId="3137">
    <w:name w:val="p14_black_1501"/>
    <w:semiHidden/>
    <w:qFormat/>
    <w:uiPriority w:val="0"/>
    <w:rPr>
      <w:sz w:val="22"/>
      <w:szCs w:val="22"/>
    </w:rPr>
  </w:style>
  <w:style w:type="character" w:customStyle="1" w:styleId="3138">
    <w:name w:val="标题6"/>
    <w:basedOn w:val="133"/>
    <w:semiHidden/>
    <w:qFormat/>
    <w:uiPriority w:val="0"/>
  </w:style>
  <w:style w:type="character" w:customStyle="1" w:styleId="3139">
    <w:name w:val="detail_style11"/>
    <w:semiHidden/>
    <w:qFormat/>
    <w:uiPriority w:val="0"/>
    <w:rPr>
      <w:rFonts w:hint="default" w:ascii="Arial" w:hAnsi="Arial" w:cs="Arial"/>
      <w:color w:val="000000"/>
      <w:sz w:val="21"/>
      <w:szCs w:val="21"/>
    </w:rPr>
  </w:style>
  <w:style w:type="character" w:customStyle="1" w:styleId="3140">
    <w:name w:val="fn org"/>
    <w:basedOn w:val="133"/>
    <w:semiHidden/>
    <w:qFormat/>
    <w:uiPriority w:val="0"/>
  </w:style>
  <w:style w:type="character" w:customStyle="1" w:styleId="3141">
    <w:name w:val="phone"/>
    <w:semiHidden/>
    <w:qFormat/>
    <w:uiPriority w:val="0"/>
  </w:style>
  <w:style w:type="character" w:customStyle="1" w:styleId="3142">
    <w:name w:val="content_11"/>
    <w:semiHidden/>
    <w:qFormat/>
    <w:uiPriority w:val="0"/>
    <w:rPr>
      <w:color w:val="333333"/>
      <w:sz w:val="18"/>
    </w:rPr>
  </w:style>
  <w:style w:type="character" w:customStyle="1" w:styleId="3143">
    <w:name w:val="l-1801"/>
    <w:semiHidden/>
    <w:qFormat/>
    <w:uiPriority w:val="0"/>
    <w:rPr>
      <w:sz w:val="18"/>
      <w:u w:val="none"/>
    </w:rPr>
  </w:style>
  <w:style w:type="character" w:customStyle="1" w:styleId="3144">
    <w:name w:val="p5"/>
    <w:basedOn w:val="133"/>
    <w:semiHidden/>
    <w:qFormat/>
    <w:uiPriority w:val="0"/>
  </w:style>
  <w:style w:type="character" w:customStyle="1" w:styleId="3145">
    <w:name w:val="消息标题标签"/>
    <w:semiHidden/>
    <w:qFormat/>
    <w:uiPriority w:val="0"/>
    <w:rPr>
      <w:rFonts w:hint="default" w:ascii="Arial" w:hAnsi="Arial" w:cs="Arial"/>
      <w:b/>
      <w:spacing w:val="-4"/>
      <w:sz w:val="18"/>
      <w:lang w:eastAsia="zh-CN"/>
    </w:rPr>
  </w:style>
  <w:style w:type="character" w:customStyle="1" w:styleId="3146">
    <w:name w:val="lh151"/>
    <w:basedOn w:val="133"/>
    <w:semiHidden/>
    <w:qFormat/>
    <w:uiPriority w:val="0"/>
  </w:style>
  <w:style w:type="character" w:customStyle="1" w:styleId="3147">
    <w:name w:val="black91"/>
    <w:semiHidden/>
    <w:qFormat/>
    <w:uiPriority w:val="0"/>
    <w:rPr>
      <w:color w:val="000000"/>
      <w:sz w:val="18"/>
      <w:u w:val="none"/>
    </w:rPr>
  </w:style>
  <w:style w:type="character" w:customStyle="1" w:styleId="3148">
    <w:name w:val="t361"/>
    <w:semiHidden/>
    <w:qFormat/>
    <w:uiPriority w:val="0"/>
    <w:rPr>
      <w:b/>
      <w:bCs/>
      <w:color w:val="FFFFFF"/>
      <w:sz w:val="40"/>
      <w:szCs w:val="40"/>
    </w:rPr>
  </w:style>
  <w:style w:type="character" w:customStyle="1" w:styleId="3149">
    <w:name w:val="c lh15"/>
    <w:basedOn w:val="133"/>
    <w:semiHidden/>
    <w:qFormat/>
    <w:uiPriority w:val="0"/>
  </w:style>
  <w:style w:type="character" w:customStyle="1" w:styleId="3150">
    <w:name w:val="fwriter1"/>
    <w:semiHidden/>
    <w:qFormat/>
    <w:uiPriority w:val="0"/>
    <w:rPr>
      <w:color w:val="A50010"/>
    </w:rPr>
  </w:style>
  <w:style w:type="character" w:customStyle="1" w:styleId="3151">
    <w:name w:val="title_black_141"/>
    <w:semiHidden/>
    <w:qFormat/>
    <w:uiPriority w:val="0"/>
    <w:rPr>
      <w:color w:val="000000"/>
      <w:sz w:val="23"/>
      <w:szCs w:val="23"/>
      <w:u w:val="none"/>
    </w:rPr>
  </w:style>
  <w:style w:type="character" w:customStyle="1" w:styleId="3152">
    <w:name w:val="news_content"/>
    <w:basedOn w:val="133"/>
    <w:semiHidden/>
    <w:qFormat/>
    <w:uiPriority w:val="0"/>
  </w:style>
  <w:style w:type="character" w:customStyle="1" w:styleId="3153">
    <w:name w:val="keyword1"/>
    <w:qFormat/>
    <w:uiPriority w:val="0"/>
    <w:rPr>
      <w:color w:val="FF0000"/>
    </w:rPr>
  </w:style>
  <w:style w:type="character" w:customStyle="1" w:styleId="3154">
    <w:name w:val="样式 (西文) 宋体"/>
    <w:semiHidden/>
    <w:qFormat/>
    <w:uiPriority w:val="0"/>
    <w:rPr>
      <w:rFonts w:hint="eastAsia" w:ascii="宋体" w:hAnsi="宋体" w:eastAsia="宋体"/>
      <w:sz w:val="24"/>
    </w:rPr>
  </w:style>
  <w:style w:type="character" w:customStyle="1" w:styleId="3155">
    <w:name w:val="样式 标题 3头 + 小三 加粗 Char"/>
    <w:semiHidden/>
    <w:qFormat/>
    <w:uiPriority w:val="0"/>
    <w:rPr>
      <w:rFonts w:hint="default" w:ascii="Arial" w:hAnsi="Arial" w:eastAsia="宋体" w:cs="Arial"/>
      <w:b/>
      <w:bCs/>
      <w:sz w:val="30"/>
      <w:szCs w:val="28"/>
      <w:lang w:val="en-US" w:eastAsia="zh-CN" w:bidi="ar-SA"/>
    </w:rPr>
  </w:style>
  <w:style w:type="character" w:customStyle="1" w:styleId="3156">
    <w:name w:val="样式 表格文字2 + Times New Roman Char"/>
    <w:semiHidden/>
    <w:qFormat/>
    <w:uiPriority w:val="0"/>
    <w:rPr>
      <w:rFonts w:hint="eastAsia" w:ascii="宋体" w:hAnsi="宋体" w:eastAsia="宋体" w:cs="宋体"/>
      <w:kern w:val="2"/>
      <w:sz w:val="21"/>
      <w:lang w:val="en-US" w:eastAsia="zh-CN" w:bidi="ar-SA"/>
    </w:rPr>
  </w:style>
  <w:style w:type="character" w:customStyle="1" w:styleId="3157">
    <w:name w:val="样式 样式 样式 标题 4heading 4 + Indent: Left 0.5 inH4标题3a1.1.1.1 Headin... Char"/>
    <w:semiHidden/>
    <w:qFormat/>
    <w:uiPriority w:val="0"/>
    <w:rPr>
      <w:rFonts w:hint="eastAsia" w:ascii="黑体" w:hAnsi="宋体" w:eastAsia="宋体" w:cs="宋体"/>
      <w:bCs/>
      <w:sz w:val="28"/>
      <w:lang w:val="en-US" w:eastAsia="zh-CN" w:bidi="ar-SA"/>
    </w:rPr>
  </w:style>
  <w:style w:type="character" w:customStyle="1" w:styleId="3158">
    <w:name w:val="contents"/>
    <w:basedOn w:val="133"/>
    <w:semiHidden/>
    <w:qFormat/>
    <w:uiPriority w:val="0"/>
  </w:style>
  <w:style w:type="character" w:customStyle="1" w:styleId="3159">
    <w:name w:val="style151"/>
    <w:semiHidden/>
    <w:qFormat/>
    <w:uiPriority w:val="0"/>
    <w:rPr>
      <w:sz w:val="18"/>
      <w:szCs w:val="18"/>
    </w:rPr>
  </w:style>
  <w:style w:type="character" w:customStyle="1" w:styleId="3160">
    <w:name w:val="style16"/>
    <w:basedOn w:val="133"/>
    <w:semiHidden/>
    <w:qFormat/>
    <w:uiPriority w:val="0"/>
  </w:style>
  <w:style w:type="character" w:customStyle="1" w:styleId="3161">
    <w:name w:val="articlelink"/>
    <w:basedOn w:val="133"/>
    <w:semiHidden/>
    <w:qFormat/>
    <w:uiPriority w:val="0"/>
  </w:style>
  <w:style w:type="character" w:customStyle="1" w:styleId="3162">
    <w:name w:val="dectext1"/>
    <w:basedOn w:val="133"/>
    <w:qFormat/>
    <w:uiPriority w:val="0"/>
  </w:style>
  <w:style w:type="character" w:customStyle="1" w:styleId="3163">
    <w:name w:val="style81"/>
    <w:semiHidden/>
    <w:qFormat/>
    <w:uiPriority w:val="0"/>
    <w:rPr>
      <w:sz w:val="18"/>
      <w:szCs w:val="18"/>
    </w:rPr>
  </w:style>
  <w:style w:type="character" w:customStyle="1" w:styleId="3164">
    <w:name w:val="t0033991"/>
    <w:semiHidden/>
    <w:qFormat/>
    <w:uiPriority w:val="0"/>
    <w:rPr>
      <w:b/>
      <w:bCs/>
      <w:color w:val="333333"/>
      <w:sz w:val="21"/>
      <w:szCs w:val="21"/>
    </w:rPr>
  </w:style>
  <w:style w:type="character" w:customStyle="1" w:styleId="3165">
    <w:name w:val="br1"/>
    <w:basedOn w:val="133"/>
    <w:semiHidden/>
    <w:qFormat/>
    <w:uiPriority w:val="0"/>
  </w:style>
  <w:style w:type="character" w:customStyle="1" w:styleId="3166">
    <w:name w:val="H5 Char Char"/>
    <w:semiHidden/>
    <w:qFormat/>
    <w:uiPriority w:val="0"/>
    <w:rPr>
      <w:rFonts w:hint="eastAsia" w:ascii="宋体" w:hAnsi="宋体" w:eastAsia="宋体"/>
      <w:b/>
      <w:bCs/>
      <w:kern w:val="2"/>
      <w:sz w:val="28"/>
      <w:szCs w:val="28"/>
      <w:lang w:val="en-US" w:eastAsia="zh-CN" w:bidi="ar-SA"/>
    </w:rPr>
  </w:style>
  <w:style w:type="character" w:customStyle="1" w:styleId="3167">
    <w:name w:val="批注主题 Char2"/>
    <w:qFormat/>
    <w:uiPriority w:val="99"/>
    <w:rPr>
      <w:rFonts w:ascii="Times New Roman" w:hAnsi="Times New Roman" w:eastAsia="宋体" w:cs="Times New Roman"/>
      <w:b/>
      <w:bCs/>
      <w:sz w:val="24"/>
      <w:szCs w:val="24"/>
    </w:rPr>
  </w:style>
  <w:style w:type="character" w:customStyle="1" w:styleId="3168">
    <w:name w:val="zhengwen"/>
    <w:basedOn w:val="133"/>
    <w:semiHidden/>
    <w:qFormat/>
    <w:uiPriority w:val="0"/>
  </w:style>
  <w:style w:type="character" w:customStyle="1" w:styleId="3169">
    <w:name w:val="keyword"/>
    <w:basedOn w:val="133"/>
    <w:qFormat/>
    <w:uiPriority w:val="0"/>
  </w:style>
  <w:style w:type="character" w:customStyle="1" w:styleId="3170">
    <w:name w:val="样式 标题 2标题 2 Char Char + 宋体1 Char"/>
    <w:semiHidden/>
    <w:qFormat/>
    <w:uiPriority w:val="0"/>
    <w:rPr>
      <w:rFonts w:hint="eastAsia" w:ascii="宋体" w:hAnsi="宋体" w:eastAsia="宋体"/>
      <w:b/>
      <w:sz w:val="28"/>
    </w:rPr>
  </w:style>
  <w:style w:type="character" w:customStyle="1" w:styleId="3171">
    <w:name w:val="第一条1"/>
    <w:semiHidden/>
    <w:qFormat/>
    <w:uiPriority w:val="0"/>
    <w:rPr>
      <w:rFonts w:hint="eastAsia" w:ascii="黑体" w:hAnsi="黑体" w:eastAsia="黑体"/>
      <w:sz w:val="24"/>
      <w:szCs w:val="24"/>
    </w:rPr>
  </w:style>
  <w:style w:type="character" w:customStyle="1" w:styleId="3172">
    <w:name w:val="p12grey1"/>
    <w:semiHidden/>
    <w:qFormat/>
    <w:uiPriority w:val="0"/>
    <w:rPr>
      <w:rFonts w:hint="default" w:ascii="ˎ̥" w:hAnsi="ˎ̥"/>
      <w:color w:val="666666"/>
      <w:sz w:val="14"/>
      <w:szCs w:val="14"/>
      <w:u w:val="none"/>
    </w:rPr>
  </w:style>
  <w:style w:type="character" w:customStyle="1" w:styleId="3173">
    <w:name w:val="干标题(a) Char Char"/>
    <w:semiHidden/>
    <w:qFormat/>
    <w:uiPriority w:val="0"/>
    <w:rPr>
      <w:rFonts w:hint="default" w:ascii="Arial" w:hAnsi="Arial" w:eastAsia="黑体" w:cs="Arial"/>
      <w:kern w:val="2"/>
      <w:sz w:val="24"/>
      <w:lang w:val="en-US" w:eastAsia="zh-CN" w:bidi="ar-SA"/>
    </w:rPr>
  </w:style>
  <w:style w:type="character" w:customStyle="1" w:styleId="3174">
    <w:name w:val="表内文字 Char Char"/>
    <w:qFormat/>
    <w:uiPriority w:val="0"/>
    <w:rPr>
      <w:rFonts w:hint="eastAsia" w:ascii="宋体" w:hAnsi="宋体" w:eastAsia="宋体"/>
      <w:sz w:val="28"/>
      <w:lang w:val="en-US" w:eastAsia="zh-CN" w:bidi="ar-SA"/>
    </w:rPr>
  </w:style>
  <w:style w:type="character" w:customStyle="1" w:styleId="3175">
    <w:name w:val="Char Char211"/>
    <w:qFormat/>
    <w:uiPriority w:val="0"/>
    <w:rPr>
      <w:rFonts w:hint="eastAsia" w:ascii="宋体" w:hAnsi="宋体" w:eastAsia="宋体"/>
      <w:b/>
      <w:bCs/>
      <w:kern w:val="2"/>
      <w:sz w:val="32"/>
      <w:szCs w:val="32"/>
      <w:lang w:val="en-US" w:eastAsia="zh-CN" w:bidi="ar-SA"/>
    </w:rPr>
  </w:style>
  <w:style w:type="character" w:customStyle="1" w:styleId="3176">
    <w:name w:val="Char Char20"/>
    <w:qFormat/>
    <w:uiPriority w:val="0"/>
    <w:rPr>
      <w:rFonts w:hint="eastAsia" w:ascii="宋体" w:hAnsi="宋体" w:eastAsia="宋体"/>
      <w:b/>
      <w:bCs/>
      <w:kern w:val="2"/>
      <w:sz w:val="30"/>
      <w:szCs w:val="30"/>
      <w:lang w:val="en-US" w:eastAsia="zh-CN" w:bidi="ar-SA"/>
    </w:rPr>
  </w:style>
  <w:style w:type="character" w:customStyle="1" w:styleId="3177">
    <w:name w:val="Char Char19"/>
    <w:qFormat/>
    <w:uiPriority w:val="0"/>
    <w:rPr>
      <w:rFonts w:hint="eastAsia" w:ascii="宋体" w:hAnsi="宋体" w:eastAsia="宋体"/>
      <w:b/>
      <w:bCs/>
      <w:kern w:val="2"/>
      <w:sz w:val="28"/>
      <w:szCs w:val="28"/>
      <w:lang w:val="en-US" w:eastAsia="zh-CN" w:bidi="ar-SA"/>
    </w:rPr>
  </w:style>
  <w:style w:type="character" w:customStyle="1" w:styleId="3178">
    <w:name w:val="Char Char22"/>
    <w:qFormat/>
    <w:uiPriority w:val="0"/>
    <w:rPr>
      <w:rFonts w:hint="eastAsia" w:ascii="黑体" w:hAnsi="黑体" w:eastAsia="黑体"/>
      <w:bCs/>
      <w:kern w:val="36"/>
      <w:sz w:val="36"/>
      <w:szCs w:val="36"/>
      <w:lang w:val="en-US" w:eastAsia="zh-CN" w:bidi="ar-SA"/>
    </w:rPr>
  </w:style>
  <w:style w:type="character" w:customStyle="1" w:styleId="3179">
    <w:name w:val="引用 Char1"/>
    <w:semiHidden/>
    <w:qFormat/>
    <w:uiPriority w:val="0"/>
    <w:rPr>
      <w:rFonts w:ascii="Times New Roman" w:hAnsi="Times New Roman" w:eastAsia="宋体" w:cs="Times New Roman"/>
      <w:i/>
      <w:iCs/>
      <w:color w:val="000000"/>
      <w:sz w:val="24"/>
      <w:szCs w:val="24"/>
    </w:rPr>
  </w:style>
  <w:style w:type="character" w:customStyle="1" w:styleId="3180">
    <w:name w:val="明显引用 Char1"/>
    <w:semiHidden/>
    <w:qFormat/>
    <w:uiPriority w:val="0"/>
    <w:rPr>
      <w:rFonts w:ascii="Times New Roman" w:hAnsi="Times New Roman" w:eastAsia="宋体" w:cs="Times New Roman"/>
      <w:b/>
      <w:bCs/>
      <w:i/>
      <w:iCs/>
      <w:color w:val="4F81BD"/>
      <w:sz w:val="24"/>
      <w:szCs w:val="24"/>
    </w:rPr>
  </w:style>
  <w:style w:type="character" w:customStyle="1" w:styleId="3181">
    <w:name w:val="表格内容 Char"/>
    <w:qFormat/>
    <w:uiPriority w:val="0"/>
    <w:rPr>
      <w:rFonts w:hint="eastAsia" w:ascii="宋体" w:hAnsi="宋体" w:eastAsia="宋体"/>
      <w:kern w:val="2"/>
      <w:sz w:val="21"/>
      <w:szCs w:val="21"/>
      <w:lang w:val="en-US" w:eastAsia="zh-CN" w:bidi="ar-SA"/>
    </w:rPr>
  </w:style>
  <w:style w:type="character" w:customStyle="1" w:styleId="3182">
    <w:name w:val="luren_li_right1"/>
    <w:basedOn w:val="133"/>
    <w:semiHidden/>
    <w:qFormat/>
    <w:uiPriority w:val="0"/>
  </w:style>
  <w:style w:type="character" w:customStyle="1" w:styleId="3183">
    <w:name w:val="m_191"/>
    <w:semiHidden/>
    <w:qFormat/>
    <w:uiPriority w:val="0"/>
    <w:rPr>
      <w:rFonts w:hint="default" w:ascii="Arial" w:hAnsi="Arial" w:cs="Arial"/>
      <w:color w:val="000000"/>
      <w:sz w:val="23"/>
      <w:szCs w:val="23"/>
    </w:rPr>
  </w:style>
  <w:style w:type="character" w:customStyle="1" w:styleId="3184">
    <w:name w:val="m_71"/>
    <w:semiHidden/>
    <w:qFormat/>
    <w:uiPriority w:val="0"/>
    <w:rPr>
      <w:rFonts w:hint="default" w:ascii="Arial" w:hAnsi="Arial" w:cs="Arial"/>
      <w:color w:val="000000"/>
      <w:sz w:val="23"/>
      <w:szCs w:val="23"/>
    </w:rPr>
  </w:style>
  <w:style w:type="character" w:customStyle="1" w:styleId="3185">
    <w:name w:val="m_491"/>
    <w:semiHidden/>
    <w:qFormat/>
    <w:uiPriority w:val="0"/>
    <w:rPr>
      <w:rFonts w:hint="default" w:ascii="Arial" w:hAnsi="Arial" w:cs="Arial"/>
      <w:color w:val="000000"/>
      <w:sz w:val="23"/>
      <w:szCs w:val="23"/>
    </w:rPr>
  </w:style>
  <w:style w:type="character" w:customStyle="1" w:styleId="3186">
    <w:name w:val="m_451"/>
    <w:semiHidden/>
    <w:qFormat/>
    <w:uiPriority w:val="0"/>
    <w:rPr>
      <w:rFonts w:hint="default" w:ascii="Arial" w:hAnsi="Arial" w:cs="Arial"/>
      <w:color w:val="000000"/>
      <w:sz w:val="23"/>
      <w:szCs w:val="23"/>
    </w:rPr>
  </w:style>
  <w:style w:type="character" w:customStyle="1" w:styleId="3187">
    <w:name w:val="m_301"/>
    <w:semiHidden/>
    <w:qFormat/>
    <w:uiPriority w:val="0"/>
    <w:rPr>
      <w:rFonts w:hint="default" w:ascii="Arial" w:hAnsi="Arial" w:cs="Arial"/>
      <w:color w:val="000000"/>
      <w:sz w:val="23"/>
      <w:szCs w:val="23"/>
    </w:rPr>
  </w:style>
  <w:style w:type="character" w:customStyle="1" w:styleId="3188">
    <w:name w:val="m_461"/>
    <w:semiHidden/>
    <w:qFormat/>
    <w:uiPriority w:val="0"/>
    <w:rPr>
      <w:rFonts w:hint="default" w:ascii="Arial" w:hAnsi="Arial" w:cs="Arial"/>
      <w:color w:val="000000"/>
      <w:sz w:val="23"/>
      <w:szCs w:val="23"/>
    </w:rPr>
  </w:style>
  <w:style w:type="character" w:customStyle="1" w:styleId="3189">
    <w:name w:val="m_210"/>
    <w:semiHidden/>
    <w:qFormat/>
    <w:uiPriority w:val="0"/>
    <w:rPr>
      <w:rFonts w:hint="default" w:ascii="Arial" w:hAnsi="Arial" w:cs="Arial"/>
      <w:color w:val="000000"/>
      <w:sz w:val="23"/>
      <w:szCs w:val="23"/>
    </w:rPr>
  </w:style>
  <w:style w:type="character" w:customStyle="1" w:styleId="3190">
    <w:name w:val="m_281"/>
    <w:semiHidden/>
    <w:qFormat/>
    <w:uiPriority w:val="0"/>
    <w:rPr>
      <w:rFonts w:hint="default" w:ascii="Arial" w:hAnsi="Arial" w:cs="Arial"/>
      <w:color w:val="000000"/>
      <w:sz w:val="23"/>
      <w:szCs w:val="23"/>
    </w:rPr>
  </w:style>
  <w:style w:type="character" w:customStyle="1" w:styleId="3191">
    <w:name w:val="m_51"/>
    <w:semiHidden/>
    <w:qFormat/>
    <w:uiPriority w:val="0"/>
    <w:rPr>
      <w:rFonts w:hint="default" w:ascii="Arial" w:hAnsi="Arial" w:cs="Arial"/>
      <w:color w:val="000000"/>
      <w:sz w:val="23"/>
      <w:szCs w:val="23"/>
    </w:rPr>
  </w:style>
  <w:style w:type="character" w:customStyle="1" w:styleId="3192">
    <w:name w:val="m_111"/>
    <w:semiHidden/>
    <w:qFormat/>
    <w:uiPriority w:val="0"/>
    <w:rPr>
      <w:rFonts w:hint="default" w:ascii="Arial" w:hAnsi="Arial" w:cs="Arial"/>
      <w:color w:val="000000"/>
      <w:sz w:val="23"/>
      <w:szCs w:val="23"/>
    </w:rPr>
  </w:style>
  <w:style w:type="character" w:customStyle="1" w:styleId="3193">
    <w:name w:val="m_321"/>
    <w:semiHidden/>
    <w:qFormat/>
    <w:uiPriority w:val="0"/>
    <w:rPr>
      <w:rFonts w:hint="default" w:ascii="Arial" w:hAnsi="Arial" w:cs="Arial"/>
      <w:color w:val="000000"/>
      <w:sz w:val="23"/>
      <w:szCs w:val="23"/>
    </w:rPr>
  </w:style>
  <w:style w:type="character" w:customStyle="1" w:styleId="3194">
    <w:name w:val="m_441"/>
    <w:semiHidden/>
    <w:qFormat/>
    <w:uiPriority w:val="0"/>
    <w:rPr>
      <w:rFonts w:hint="default" w:ascii="Arial" w:hAnsi="Arial" w:cs="Arial"/>
      <w:color w:val="000000"/>
      <w:sz w:val="23"/>
      <w:szCs w:val="23"/>
    </w:rPr>
  </w:style>
  <w:style w:type="paragraph" w:customStyle="1" w:styleId="3195">
    <w:name w:val="项目报告类别"/>
    <w:basedOn w:val="1"/>
    <w:next w:val="1"/>
    <w:semiHidden/>
    <w:qFormat/>
    <w:uiPriority w:val="0"/>
    <w:pPr>
      <w:keepLines/>
      <w:tabs>
        <w:tab w:val="clear" w:pos="480"/>
      </w:tabs>
      <w:adjustRightInd w:val="0"/>
      <w:spacing w:before="60" w:after="60" w:line="360" w:lineRule="atLeast"/>
      <w:jc w:val="center"/>
      <w:textAlignment w:val="baseline"/>
    </w:pPr>
    <w:rPr>
      <w:rFonts w:ascii="楷体_GB2312" w:eastAsia="楷体_GB2312"/>
      <w:b/>
      <w:color w:val="000000"/>
      <w:kern w:val="0"/>
      <w:sz w:val="84"/>
      <w:szCs w:val="20"/>
    </w:rPr>
  </w:style>
  <w:style w:type="paragraph" w:customStyle="1" w:styleId="3196">
    <w:name w:val="项目评价单位"/>
    <w:basedOn w:val="1"/>
    <w:semiHidden/>
    <w:qFormat/>
    <w:uiPriority w:val="0"/>
    <w:pPr>
      <w:tabs>
        <w:tab w:val="clear" w:pos="480"/>
      </w:tabs>
      <w:adjustRightInd w:val="0"/>
      <w:spacing w:before="60" w:after="60" w:line="360" w:lineRule="atLeast"/>
      <w:ind w:firstLine="539"/>
      <w:jc w:val="center"/>
      <w:textAlignment w:val="baseline"/>
    </w:pPr>
    <w:rPr>
      <w:rFonts w:ascii="楷体_GB2312" w:eastAsia="楷体_GB2312"/>
      <w:b/>
      <w:color w:val="000000"/>
      <w:kern w:val="0"/>
      <w:sz w:val="36"/>
      <w:szCs w:val="20"/>
    </w:rPr>
  </w:style>
  <w:style w:type="paragraph" w:customStyle="1" w:styleId="3197">
    <w:name w:val="项目编制时间"/>
    <w:basedOn w:val="1"/>
    <w:semiHidden/>
    <w:qFormat/>
    <w:uiPriority w:val="0"/>
    <w:pPr>
      <w:tabs>
        <w:tab w:val="clear" w:pos="480"/>
      </w:tabs>
      <w:adjustRightInd w:val="0"/>
      <w:spacing w:before="60" w:after="60" w:line="360" w:lineRule="atLeast"/>
      <w:ind w:firstLine="539"/>
      <w:jc w:val="center"/>
      <w:textAlignment w:val="baseline"/>
    </w:pPr>
    <w:rPr>
      <w:rFonts w:eastAsia="楷体_GB2312"/>
      <w:b/>
      <w:color w:val="000000"/>
      <w:kern w:val="0"/>
      <w:sz w:val="36"/>
      <w:szCs w:val="20"/>
    </w:rPr>
  </w:style>
  <w:style w:type="paragraph" w:customStyle="1" w:styleId="3198">
    <w:name w:val="title14"/>
    <w:basedOn w:val="1"/>
    <w:semiHidden/>
    <w:qFormat/>
    <w:uiPriority w:val="0"/>
    <w:pPr>
      <w:widowControl/>
      <w:tabs>
        <w:tab w:val="clear" w:pos="480"/>
      </w:tabs>
      <w:spacing w:before="100" w:beforeAutospacing="1" w:after="100" w:afterAutospacing="1" w:line="408" w:lineRule="auto"/>
      <w:jc w:val="left"/>
    </w:pPr>
    <w:rPr>
      <w:rFonts w:ascii="Arial Unicode MS" w:hAnsi="Arial Unicode MS" w:eastAsia="Arial Unicode MS" w:cs="Arial Unicode MS"/>
      <w:kern w:val="0"/>
      <w:sz w:val="22"/>
      <w:szCs w:val="22"/>
    </w:rPr>
  </w:style>
  <w:style w:type="paragraph" w:customStyle="1" w:styleId="3199">
    <w:name w:val="壹"/>
    <w:basedOn w:val="1"/>
    <w:semiHidden/>
    <w:qFormat/>
    <w:uiPriority w:val="0"/>
    <w:pPr>
      <w:tabs>
        <w:tab w:val="clear" w:pos="480"/>
      </w:tabs>
      <w:adjustRightInd w:val="0"/>
      <w:spacing w:beforeLines="50" w:afterLines="50" w:line="360" w:lineRule="atLeast"/>
      <w:jc w:val="left"/>
      <w:textAlignment w:val="baseline"/>
    </w:pPr>
    <w:rPr>
      <w:rFonts w:eastAsia="DFKai-SB"/>
      <w:b/>
      <w:bCs/>
      <w:kern w:val="0"/>
      <w:sz w:val="32"/>
      <w:szCs w:val="32"/>
      <w:lang w:eastAsia="zh-TW"/>
    </w:rPr>
  </w:style>
  <w:style w:type="character" w:customStyle="1" w:styleId="3200">
    <w:name w:val="9p"/>
    <w:basedOn w:val="133"/>
    <w:semiHidden/>
    <w:qFormat/>
    <w:uiPriority w:val="0"/>
  </w:style>
  <w:style w:type="paragraph" w:customStyle="1" w:styleId="3201">
    <w:name w:val="标题3.5"/>
    <w:basedOn w:val="1"/>
    <w:semiHidden/>
    <w:qFormat/>
    <w:uiPriority w:val="0"/>
    <w:pPr>
      <w:tabs>
        <w:tab w:val="clear" w:pos="480"/>
      </w:tabs>
      <w:spacing w:line="240" w:lineRule="auto"/>
    </w:pPr>
    <w:rPr>
      <w:rFonts w:eastAsia="仿宋_GB2312"/>
    </w:rPr>
  </w:style>
  <w:style w:type="paragraph" w:customStyle="1" w:styleId="3202">
    <w:name w:val="样式 标题 3B HeadH3标题 3 Char Char标题 3 Char Char Char Char标题 3 C..."/>
    <w:basedOn w:val="5"/>
    <w:semiHidden/>
    <w:qFormat/>
    <w:uiPriority w:val="0"/>
    <w:pPr>
      <w:tabs>
        <w:tab w:val="left" w:pos="709"/>
        <w:tab w:val="clear" w:pos="480"/>
        <w:tab w:val="clear" w:pos="840"/>
      </w:tabs>
      <w:spacing w:before="100" w:after="100" w:line="300" w:lineRule="auto"/>
      <w:ind w:left="709" w:hanging="709"/>
    </w:pPr>
    <w:rPr>
      <w:rFonts w:ascii="黑体" w:eastAsia="黑体" w:cs="宋体"/>
      <w:b w:val="0"/>
      <w:bCs w:val="0"/>
      <w:sz w:val="28"/>
      <w:szCs w:val="20"/>
    </w:rPr>
  </w:style>
  <w:style w:type="paragraph" w:customStyle="1" w:styleId="3203">
    <w:name w:val="样式 标题 2H2SeHead wsa2标题 1.1标题 2 Char Char Char Char Char标题 ..."/>
    <w:basedOn w:val="4"/>
    <w:semiHidden/>
    <w:qFormat/>
    <w:uiPriority w:val="0"/>
    <w:pPr>
      <w:tabs>
        <w:tab w:val="left" w:pos="567"/>
        <w:tab w:val="clear" w:pos="480"/>
        <w:tab w:val="clear" w:pos="630"/>
      </w:tabs>
      <w:spacing w:before="120"/>
      <w:ind w:left="567" w:hanging="567"/>
    </w:pPr>
    <w:rPr>
      <w:rFonts w:ascii="黑体" w:hAnsi="Arial" w:eastAsia="黑体" w:cs="宋体"/>
      <w:b w:val="0"/>
      <w:bCs w:val="0"/>
      <w:kern w:val="0"/>
    </w:rPr>
  </w:style>
  <w:style w:type="paragraph" w:customStyle="1" w:styleId="3204">
    <w:name w:val="样式 标题 4 + 小四 行距: 单倍行距"/>
    <w:basedOn w:val="6"/>
    <w:semiHidden/>
    <w:qFormat/>
    <w:uiPriority w:val="0"/>
    <w:pPr>
      <w:numPr>
        <w:numId w:val="0"/>
      </w:numPr>
      <w:tabs>
        <w:tab w:val="left" w:pos="851"/>
        <w:tab w:val="clear" w:pos="480"/>
      </w:tabs>
      <w:spacing w:before="280" w:after="290" w:line="240" w:lineRule="auto"/>
      <w:ind w:left="851" w:hanging="851"/>
    </w:pPr>
    <w:rPr>
      <w:rFonts w:ascii="Arial" w:hAnsi="Arial" w:eastAsia="黑体" w:cs="宋体"/>
      <w:sz w:val="24"/>
      <w:szCs w:val="20"/>
    </w:rPr>
  </w:style>
  <w:style w:type="character" w:customStyle="1" w:styleId="3205">
    <w:name w:val="l131"/>
    <w:semiHidden/>
    <w:qFormat/>
    <w:uiPriority w:val="0"/>
    <w:rPr>
      <w:sz w:val="18"/>
      <w:szCs w:val="18"/>
    </w:rPr>
  </w:style>
  <w:style w:type="paragraph" w:customStyle="1" w:styleId="3206">
    <w:name w:val="表目录"/>
    <w:basedOn w:val="73"/>
    <w:semiHidden/>
    <w:qFormat/>
    <w:uiPriority w:val="0"/>
    <w:pPr>
      <w:spacing w:line="360" w:lineRule="auto"/>
      <w:ind w:left="200" w:hanging="200"/>
      <w:jc w:val="center"/>
    </w:pPr>
    <w:rPr>
      <w:rFonts w:eastAsia="黑体"/>
      <w:b/>
      <w:bCs/>
      <w:sz w:val="24"/>
      <w:szCs w:val="21"/>
    </w:rPr>
  </w:style>
  <w:style w:type="paragraph" w:customStyle="1" w:styleId="3207">
    <w:name w:val="样式 标题 2第一章1.1 Char Char Char + 四号 加粗 段前: 自动 段后: 自动"/>
    <w:basedOn w:val="4"/>
    <w:semiHidden/>
    <w:qFormat/>
    <w:uiPriority w:val="0"/>
    <w:pPr>
      <w:tabs>
        <w:tab w:val="clear" w:pos="480"/>
        <w:tab w:val="clear" w:pos="630"/>
      </w:tabs>
      <w:spacing w:before="156" w:beforeAutospacing="1" w:after="156" w:afterAutospacing="1"/>
      <w:ind w:left="291"/>
    </w:pPr>
    <w:rPr>
      <w:rFonts w:ascii="Arial" w:hAnsi="Arial" w:eastAsia="黑体" w:cs="宋体"/>
      <w:kern w:val="0"/>
      <w:sz w:val="28"/>
      <w:szCs w:val="20"/>
    </w:rPr>
  </w:style>
  <w:style w:type="character" w:customStyle="1" w:styleId="3208">
    <w:name w:val="样式 四号"/>
    <w:semiHidden/>
    <w:qFormat/>
    <w:uiPriority w:val="0"/>
    <w:rPr>
      <w:rFonts w:eastAsia="黑体"/>
      <w:b/>
      <w:sz w:val="28"/>
    </w:rPr>
  </w:style>
  <w:style w:type="paragraph" w:customStyle="1" w:styleId="3209">
    <w:name w:val="c_"/>
    <w:semiHidden/>
    <w:qFormat/>
    <w:uiPriority w:val="0"/>
    <w:pPr>
      <w:widowControl w:val="0"/>
      <w:autoSpaceDE w:val="0"/>
      <w:autoSpaceDN w:val="0"/>
      <w:adjustRightInd w:val="0"/>
      <w:jc w:val="both"/>
    </w:pPr>
    <w:rPr>
      <w:rFonts w:ascii="五" w:hAnsi="Times New Roman" w:eastAsia="五" w:cs="Times New Roman"/>
      <w:kern w:val="2"/>
      <w:sz w:val="24"/>
      <w:szCs w:val="24"/>
      <w:lang w:val="en-US" w:eastAsia="zh-CN" w:bidi="ar-SA"/>
    </w:rPr>
  </w:style>
  <w:style w:type="paragraph" w:customStyle="1" w:styleId="3210">
    <w:name w:val="Char Char Char Char Char Char1 Char Char Char1 Char Char Char1 Char Char Char Char Char Char Char Char Char Char2"/>
    <w:basedOn w:val="1"/>
    <w:next w:val="1"/>
    <w:semiHidden/>
    <w:qFormat/>
    <w:uiPriority w:val="0"/>
    <w:pPr>
      <w:tabs>
        <w:tab w:val="clear" w:pos="480"/>
      </w:tabs>
    </w:pPr>
    <w:rPr>
      <w:rFonts w:ascii="宋体" w:hAnsi="宋体" w:cs="宋体"/>
    </w:rPr>
  </w:style>
  <w:style w:type="paragraph" w:customStyle="1" w:styleId="3211">
    <w:name w:val="Char Char Char Char Char Char Char Char Char Char Char Char Char Char Char Char Char Char Char2"/>
    <w:basedOn w:val="1"/>
    <w:next w:val="1"/>
    <w:semiHidden/>
    <w:qFormat/>
    <w:uiPriority w:val="0"/>
    <w:pPr>
      <w:tabs>
        <w:tab w:val="clear" w:pos="480"/>
      </w:tabs>
    </w:pPr>
    <w:rPr>
      <w:rFonts w:ascii="宋体" w:hAnsi="宋体" w:cs="宋体"/>
    </w:rPr>
  </w:style>
  <w:style w:type="paragraph" w:customStyle="1" w:styleId="3212">
    <w:name w:val="Char1 Char Char Char2"/>
    <w:basedOn w:val="1"/>
    <w:next w:val="1"/>
    <w:semiHidden/>
    <w:qFormat/>
    <w:uiPriority w:val="0"/>
    <w:pPr>
      <w:keepNext/>
      <w:tabs>
        <w:tab w:val="left" w:pos="720"/>
        <w:tab w:val="left" w:pos="960"/>
        <w:tab w:val="left" w:pos="1134"/>
      </w:tabs>
      <w:adjustRightInd w:val="0"/>
      <w:snapToGrid w:val="0"/>
      <w:spacing w:before="120" w:after="120"/>
      <w:outlineLvl w:val="2"/>
    </w:pPr>
    <w:rPr>
      <w:rFonts w:ascii="黑体" w:hAnsi="黑体" w:eastAsia="黑体" w:cs="宋体"/>
      <w:b/>
      <w:bCs/>
      <w:snapToGrid w:val="0"/>
      <w:spacing w:val="-5"/>
      <w:kern w:val="0"/>
      <w:sz w:val="28"/>
      <w:szCs w:val="20"/>
    </w:rPr>
  </w:style>
  <w:style w:type="paragraph" w:customStyle="1" w:styleId="3213">
    <w:name w:val="正文文本 211"/>
    <w:basedOn w:val="1"/>
    <w:qFormat/>
    <w:uiPriority w:val="0"/>
    <w:pPr>
      <w:tabs>
        <w:tab w:val="clear" w:pos="480"/>
      </w:tabs>
      <w:adjustRightInd w:val="0"/>
      <w:snapToGrid w:val="0"/>
      <w:spacing w:line="240" w:lineRule="auto"/>
      <w:ind w:firstLine="480"/>
      <w:textAlignment w:val="baseline"/>
    </w:pPr>
    <w:rPr>
      <w:rFonts w:ascii="楷体_GB2312" w:eastAsia="楷体_GB2312"/>
      <w:kern w:val="0"/>
      <w:szCs w:val="20"/>
    </w:rPr>
  </w:style>
  <w:style w:type="paragraph" w:customStyle="1" w:styleId="3214">
    <w:name w:val="日期11"/>
    <w:basedOn w:val="1"/>
    <w:next w:val="1"/>
    <w:qFormat/>
    <w:uiPriority w:val="0"/>
    <w:pPr>
      <w:tabs>
        <w:tab w:val="clear" w:pos="480"/>
      </w:tabs>
      <w:adjustRightInd w:val="0"/>
      <w:snapToGrid w:val="0"/>
      <w:spacing w:line="300" w:lineRule="auto"/>
      <w:jc w:val="right"/>
      <w:textAlignment w:val="baseline"/>
    </w:pPr>
    <w:rPr>
      <w:rFonts w:ascii="楷体_GB2312" w:eastAsia="楷体_GB2312"/>
      <w:kern w:val="0"/>
      <w:szCs w:val="20"/>
    </w:rPr>
  </w:style>
  <w:style w:type="paragraph" w:customStyle="1" w:styleId="3215">
    <w:name w:val="Char Char Char Char Char Char Char 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6">
    <w:name w:val="Char Char Char Char Char Char1 Char Char Char1 Char Char Char1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7">
    <w:name w:val="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8">
    <w:name w:val="Char 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9">
    <w:name w:val="Char Char Char Char Char Char Char Char Char Char1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3220">
    <w:name w:val="字元 字元 Char Char 字元 字元11"/>
    <w:basedOn w:val="1"/>
    <w:semiHidden/>
    <w:qFormat/>
    <w:uiPriority w:val="0"/>
    <w:pPr>
      <w:tabs>
        <w:tab w:val="clear" w:pos="480"/>
      </w:tabs>
      <w:spacing w:line="240" w:lineRule="auto"/>
    </w:pPr>
  </w:style>
  <w:style w:type="paragraph" w:customStyle="1" w:styleId="3221">
    <w:name w:val="Char Char2 Char Char Char Char1"/>
    <w:basedOn w:val="1"/>
    <w:qFormat/>
    <w:uiPriority w:val="0"/>
    <w:pPr>
      <w:widowControl/>
      <w:tabs>
        <w:tab w:val="clear" w:pos="480"/>
      </w:tabs>
      <w:spacing w:line="240" w:lineRule="auto"/>
      <w:jc w:val="left"/>
    </w:pPr>
    <w:rPr>
      <w:kern w:val="0"/>
      <w:lang w:val="pl-PL" w:eastAsia="pl-PL"/>
    </w:rPr>
  </w:style>
  <w:style w:type="paragraph" w:customStyle="1" w:styleId="3222">
    <w:name w:val="Char Char Char Char Char Char Char Char Char Char Char Char1"/>
    <w:basedOn w:val="1"/>
    <w:qFormat/>
    <w:uiPriority w:val="0"/>
    <w:pPr>
      <w:tabs>
        <w:tab w:val="clear" w:pos="480"/>
      </w:tabs>
      <w:spacing w:line="240" w:lineRule="auto"/>
    </w:pPr>
    <w:rPr>
      <w:sz w:val="21"/>
    </w:rPr>
  </w:style>
  <w:style w:type="paragraph" w:customStyle="1" w:styleId="3223">
    <w:name w:val="表内五中"/>
    <w:basedOn w:val="1"/>
    <w:semiHidden/>
    <w:qFormat/>
    <w:uiPriority w:val="0"/>
    <w:pPr>
      <w:tabs>
        <w:tab w:val="left" w:pos="-120"/>
        <w:tab w:val="clear" w:pos="480"/>
      </w:tabs>
      <w:spacing w:before="60" w:line="310" w:lineRule="atLeast"/>
      <w:jc w:val="center"/>
    </w:pPr>
    <w:rPr>
      <w:sz w:val="21"/>
      <w:szCs w:val="20"/>
    </w:rPr>
  </w:style>
  <w:style w:type="paragraph" w:customStyle="1" w:styleId="3224">
    <w:name w:val="Display Equation (Aurora)"/>
    <w:basedOn w:val="1"/>
    <w:link w:val="3225"/>
    <w:semiHidden/>
    <w:qFormat/>
    <w:uiPriority w:val="0"/>
    <w:pPr>
      <w:tabs>
        <w:tab w:val="center" w:pos="4153"/>
        <w:tab w:val="right" w:pos="8306"/>
        <w:tab w:val="clear" w:pos="480"/>
      </w:tabs>
      <w:ind w:firstLine="480"/>
      <w:contextualSpacing/>
    </w:pPr>
    <w:rPr>
      <w:color w:val="000000"/>
      <w:kern w:val="0"/>
      <w:szCs w:val="20"/>
      <w:lang w:val="zh-CN"/>
    </w:rPr>
  </w:style>
  <w:style w:type="character" w:customStyle="1" w:styleId="3225">
    <w:name w:val="Display Equation (Aurora) Char"/>
    <w:link w:val="3224"/>
    <w:qFormat/>
    <w:uiPriority w:val="0"/>
    <w:rPr>
      <w:rFonts w:eastAsia="宋体"/>
      <w:color w:val="000000"/>
      <w:sz w:val="24"/>
      <w:lang w:bidi="ar-SA"/>
    </w:rPr>
  </w:style>
  <w:style w:type="character" w:customStyle="1" w:styleId="3226">
    <w:name w:val="Section Break (Aurora)"/>
    <w:semiHidden/>
    <w:qFormat/>
    <w:uiPriority w:val="0"/>
    <w:rPr>
      <w:color w:val="800080"/>
      <w:sz w:val="24"/>
    </w:rPr>
  </w:style>
  <w:style w:type="paragraph" w:customStyle="1" w:styleId="3227">
    <w:name w:val="标题3样式"/>
    <w:basedOn w:val="1"/>
    <w:link w:val="3228"/>
    <w:semiHidden/>
    <w:qFormat/>
    <w:uiPriority w:val="0"/>
    <w:pPr>
      <w:tabs>
        <w:tab w:val="left" w:pos="1076"/>
        <w:tab w:val="left" w:pos="1255"/>
        <w:tab w:val="left" w:pos="1418"/>
        <w:tab w:val="clear" w:pos="480"/>
      </w:tabs>
      <w:adjustRightInd w:val="0"/>
      <w:snapToGrid w:val="0"/>
      <w:spacing w:line="288" w:lineRule="auto"/>
      <w:ind w:firstLine="480"/>
      <w:outlineLvl w:val="2"/>
    </w:pPr>
    <w:rPr>
      <w:rFonts w:ascii="Arial" w:hAnsi="Arial"/>
      <w:b/>
      <w:bCs/>
      <w:color w:val="000000"/>
      <w:szCs w:val="20"/>
      <w:lang w:val="zh-CN"/>
    </w:rPr>
  </w:style>
  <w:style w:type="character" w:customStyle="1" w:styleId="3228">
    <w:name w:val="标题3样式 Char"/>
    <w:link w:val="3227"/>
    <w:qFormat/>
    <w:uiPriority w:val="0"/>
    <w:rPr>
      <w:rFonts w:ascii="Arial" w:hAnsi="Arial" w:eastAsia="宋体"/>
      <w:b/>
      <w:bCs/>
      <w:color w:val="000000"/>
      <w:kern w:val="2"/>
      <w:sz w:val="24"/>
      <w:lang w:bidi="ar-SA"/>
    </w:rPr>
  </w:style>
  <w:style w:type="paragraph" w:customStyle="1" w:styleId="3229">
    <w:name w:val="reader-word-layer reader-word-s3-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30">
    <w:name w:val="TT表格标题"/>
    <w:basedOn w:val="1"/>
    <w:link w:val="3232"/>
    <w:qFormat/>
    <w:uiPriority w:val="0"/>
    <w:pPr>
      <w:spacing w:line="240" w:lineRule="auto"/>
      <w:jc w:val="center"/>
    </w:pPr>
    <w:rPr>
      <w:rFonts w:cs="宋体"/>
      <w:b/>
      <w:bCs/>
      <w:szCs w:val="20"/>
    </w:rPr>
  </w:style>
  <w:style w:type="paragraph" w:customStyle="1" w:styleId="3231">
    <w:name w:val="Char Char Char Char Char Char Char Char Char1 Char Char Char Char"/>
    <w:basedOn w:val="1"/>
    <w:semiHidden/>
    <w:qFormat/>
    <w:uiPriority w:val="0"/>
    <w:pPr>
      <w:tabs>
        <w:tab w:val="clear" w:pos="480"/>
      </w:tabs>
    </w:pPr>
    <w:rPr>
      <w:rFonts w:ascii="宋体" w:hAnsi="宋体" w:cs="宋体"/>
    </w:rPr>
  </w:style>
  <w:style w:type="character" w:customStyle="1" w:styleId="3232">
    <w:name w:val="TT表格标题 Char"/>
    <w:link w:val="3230"/>
    <w:qFormat/>
    <w:uiPriority w:val="0"/>
    <w:rPr>
      <w:rFonts w:eastAsia="宋体" w:cs="宋体"/>
      <w:b/>
      <w:bCs/>
      <w:kern w:val="2"/>
      <w:sz w:val="24"/>
      <w:lang w:val="en-US" w:eastAsia="zh-CN" w:bidi="ar-SA"/>
    </w:rPr>
  </w:style>
  <w:style w:type="paragraph" w:customStyle="1" w:styleId="3233">
    <w:name w:val="T3"/>
    <w:basedOn w:val="1"/>
    <w:link w:val="3234"/>
    <w:qFormat/>
    <w:uiPriority w:val="0"/>
    <w:pPr>
      <w:tabs>
        <w:tab w:val="clear" w:pos="480"/>
      </w:tabs>
      <w:outlineLvl w:val="2"/>
    </w:pPr>
    <w:rPr>
      <w:rFonts w:cs="宋体"/>
      <w:szCs w:val="20"/>
    </w:rPr>
  </w:style>
  <w:style w:type="character" w:customStyle="1" w:styleId="3234">
    <w:name w:val="T3 Char"/>
    <w:link w:val="3233"/>
    <w:qFormat/>
    <w:uiPriority w:val="0"/>
    <w:rPr>
      <w:rFonts w:eastAsia="宋体" w:cs="宋体"/>
      <w:kern w:val="2"/>
      <w:sz w:val="24"/>
      <w:lang w:val="en-US" w:eastAsia="zh-CN" w:bidi="ar-SA"/>
    </w:rPr>
  </w:style>
  <w:style w:type="character" w:customStyle="1" w:styleId="3235">
    <w:name w:val="样式 仿宋1"/>
    <w:qFormat/>
    <w:uiPriority w:val="0"/>
    <w:rPr>
      <w:rFonts w:ascii="Times New Roman" w:hAnsi="Times New Roman" w:eastAsia="仿宋_GB2312" w:cs="Times New Roman"/>
    </w:rPr>
  </w:style>
  <w:style w:type="character" w:customStyle="1" w:styleId="3236">
    <w:name w:val="样式 样式 仿宋1 + 仿宋_GB2312 (符号) 仿宋 黑色"/>
    <w:qFormat/>
    <w:uiPriority w:val="0"/>
    <w:rPr>
      <w:rFonts w:ascii="Times New Roman" w:hAnsi="Times New Roman" w:eastAsia="仿宋_GB2312" w:cs="Times New Roman"/>
      <w:color w:val="000000"/>
    </w:rPr>
  </w:style>
  <w:style w:type="paragraph" w:customStyle="1" w:styleId="3237">
    <w:name w:val="样式 仿宋_GB2312 三号 首行缩进:  1.14 厘米 行距: 固定值 30 磅"/>
    <w:basedOn w:val="1"/>
    <w:qFormat/>
    <w:uiPriority w:val="0"/>
    <w:pPr>
      <w:tabs>
        <w:tab w:val="clear" w:pos="480"/>
      </w:tabs>
      <w:spacing w:line="600" w:lineRule="exact"/>
      <w:ind w:firstLine="645"/>
    </w:pPr>
    <w:rPr>
      <w:rFonts w:eastAsia="仿宋_GB2312" w:cs="宋体"/>
      <w:kern w:val="0"/>
      <w:sz w:val="32"/>
      <w:szCs w:val="20"/>
    </w:rPr>
  </w:style>
  <w:style w:type="paragraph" w:customStyle="1" w:styleId="3238">
    <w:name w:val="reader-word-layer reader-word-s3-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39">
    <w:name w:val="reader-word-layer reader-word-s3-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table" w:customStyle="1" w:styleId="3240">
    <w:name w:val="TT设计院"/>
    <w:basedOn w:val="88"/>
    <w:qFormat/>
    <w:uiPriority w:val="0"/>
    <w:pPr>
      <w:spacing w:line="360" w:lineRule="auto"/>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3241">
    <w:name w:val="LS T3标题 Char Char"/>
    <w:link w:val="3242"/>
    <w:qFormat/>
    <w:uiPriority w:val="0"/>
    <w:rPr>
      <w:rFonts w:ascii="楷体_GB2312" w:hAnsi="宋体" w:eastAsia="楷体_GB2312"/>
      <w:b/>
      <w:bCs/>
      <w:kern w:val="18"/>
      <w:sz w:val="28"/>
      <w:szCs w:val="28"/>
      <w:lang w:val="zh-CN"/>
    </w:rPr>
  </w:style>
  <w:style w:type="paragraph" w:customStyle="1" w:styleId="3242">
    <w:name w:val="LS T3标题"/>
    <w:basedOn w:val="5"/>
    <w:link w:val="3241"/>
    <w:qFormat/>
    <w:uiPriority w:val="0"/>
    <w:pPr>
      <w:widowControl/>
      <w:tabs>
        <w:tab w:val="left" w:pos="720"/>
        <w:tab w:val="left" w:pos="1560"/>
        <w:tab w:val="clear" w:pos="480"/>
      </w:tabs>
      <w:spacing w:beforeLines="50" w:afterLines="50" w:line="360" w:lineRule="auto"/>
      <w:jc w:val="left"/>
    </w:pPr>
    <w:rPr>
      <w:rFonts w:ascii="楷体_GB2312" w:hAnsi="宋体" w:eastAsia="楷体_GB2312"/>
      <w:kern w:val="18"/>
      <w:sz w:val="28"/>
      <w:szCs w:val="28"/>
    </w:rPr>
  </w:style>
  <w:style w:type="character" w:customStyle="1" w:styleId="3243">
    <w:name w:val="LS正文 Char Char"/>
    <w:link w:val="3244"/>
    <w:qFormat/>
    <w:uiPriority w:val="0"/>
    <w:rPr>
      <w:rFonts w:eastAsia="宋体" w:cs="宋体"/>
      <w:color w:val="000000"/>
      <w:kern w:val="2"/>
      <w:sz w:val="24"/>
      <w:szCs w:val="24"/>
      <w:lang w:val="en-US" w:eastAsia="zh-CN" w:bidi="ar-SA"/>
    </w:rPr>
  </w:style>
  <w:style w:type="paragraph" w:customStyle="1" w:styleId="3244">
    <w:name w:val="LS正文"/>
    <w:basedOn w:val="1"/>
    <w:link w:val="3243"/>
    <w:qFormat/>
    <w:uiPriority w:val="0"/>
    <w:pPr>
      <w:widowControl/>
      <w:tabs>
        <w:tab w:val="clear" w:pos="480"/>
      </w:tabs>
      <w:spacing w:line="520" w:lineRule="exact"/>
      <w:jc w:val="left"/>
    </w:pPr>
    <w:rPr>
      <w:rFonts w:cs="宋体"/>
      <w:color w:val="000000"/>
    </w:rPr>
  </w:style>
  <w:style w:type="paragraph" w:customStyle="1" w:styleId="3245">
    <w:name w:val="LS T4标题"/>
    <w:basedOn w:val="6"/>
    <w:qFormat/>
    <w:uiPriority w:val="0"/>
    <w:pPr>
      <w:widowControl/>
      <w:numPr>
        <w:numId w:val="36"/>
      </w:numPr>
      <w:tabs>
        <w:tab w:val="left" w:pos="720"/>
        <w:tab w:val="left" w:pos="1680"/>
      </w:tabs>
      <w:spacing w:before="0" w:after="0" w:line="240" w:lineRule="auto"/>
      <w:ind w:left="0"/>
      <w:jc w:val="left"/>
    </w:pPr>
    <w:rPr>
      <w:rFonts w:ascii="Times New Roman" w:hAnsi="Times New Roman" w:eastAsia="宋体" w:cs="宋体"/>
      <w:snapToGrid w:val="0"/>
      <w:sz w:val="24"/>
      <w:szCs w:val="24"/>
    </w:rPr>
  </w:style>
  <w:style w:type="paragraph" w:customStyle="1" w:styleId="3246">
    <w:name w:val="封面标准号2"/>
    <w:qFormat/>
    <w:uiPriority w:val="0"/>
    <w:pPr>
      <w:framePr w:w="9140" w:h="1242" w:hRule="exact" w:hSpace="284" w:wrap="around" w:vAnchor="page" w:hAnchor="page" w:x="1645" w:y="2910" w:anchorLock="1"/>
      <w:spacing w:before="357" w:line="280" w:lineRule="exact"/>
      <w:jc w:val="right"/>
    </w:pPr>
    <w:rPr>
      <w:rFonts w:ascii="黑体" w:hAnsi="Times New Roman" w:eastAsia="黑体" w:cs="Times New Roman"/>
      <w:kern w:val="2"/>
      <w:sz w:val="28"/>
      <w:szCs w:val="28"/>
      <w:lang w:val="en-US" w:eastAsia="zh-CN" w:bidi="ar-SA"/>
    </w:rPr>
  </w:style>
  <w:style w:type="character" w:customStyle="1" w:styleId="3247">
    <w:name w:val="collect_txt"/>
    <w:qFormat/>
    <w:uiPriority w:val="0"/>
  </w:style>
  <w:style w:type="character" w:customStyle="1" w:styleId="3248">
    <w:name w:val="vote_num"/>
    <w:qFormat/>
    <w:uiPriority w:val="0"/>
  </w:style>
  <w:style w:type="character" w:customStyle="1" w:styleId="3249">
    <w:name w:val="bds_more"/>
    <w:qFormat/>
    <w:uiPriority w:val="0"/>
  </w:style>
  <w:style w:type="character" w:customStyle="1" w:styleId="3250">
    <w:name w:val="lemmatitleh1"/>
    <w:qFormat/>
    <w:uiPriority w:val="0"/>
  </w:style>
  <w:style w:type="paragraph" w:customStyle="1" w:styleId="3251">
    <w:name w:val="reader-word-layer"/>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52">
    <w:name w:val="表样式（天安）"/>
    <w:basedOn w:val="1"/>
    <w:qFormat/>
    <w:uiPriority w:val="0"/>
    <w:pPr>
      <w:tabs>
        <w:tab w:val="clear" w:pos="480"/>
      </w:tabs>
      <w:adjustRightInd w:val="0"/>
      <w:spacing w:before="93" w:after="93"/>
      <w:jc w:val="center"/>
    </w:pPr>
    <w:rPr>
      <w:rFonts w:eastAsia="黑体"/>
      <w:kern w:val="10"/>
      <w:sz w:val="28"/>
      <w:szCs w:val="20"/>
    </w:rPr>
  </w:style>
  <w:style w:type="paragraph" w:customStyle="1" w:styleId="3253">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3254">
    <w:name w:val="表格标题博泵 Char Char"/>
    <w:link w:val="3255"/>
    <w:qFormat/>
    <w:uiPriority w:val="0"/>
    <w:rPr>
      <w:rFonts w:cs="宋体"/>
      <w:b/>
      <w:color w:val="000000"/>
      <w:kern w:val="2"/>
      <w:sz w:val="21"/>
    </w:rPr>
  </w:style>
  <w:style w:type="paragraph" w:customStyle="1" w:styleId="3255">
    <w:name w:val="表格标题博泵"/>
    <w:basedOn w:val="1"/>
    <w:link w:val="3254"/>
    <w:qFormat/>
    <w:uiPriority w:val="0"/>
    <w:pPr>
      <w:tabs>
        <w:tab w:val="clear" w:pos="480"/>
      </w:tabs>
      <w:adjustRightInd w:val="0"/>
      <w:snapToGrid w:val="0"/>
      <w:spacing w:line="240" w:lineRule="auto"/>
      <w:jc w:val="center"/>
      <w:textAlignment w:val="baseline"/>
    </w:pPr>
    <w:rPr>
      <w:b/>
      <w:color w:val="000000"/>
      <w:sz w:val="21"/>
      <w:szCs w:val="20"/>
      <w:lang w:val="zh-CN"/>
    </w:rPr>
  </w:style>
  <w:style w:type="character" w:customStyle="1" w:styleId="3256">
    <w:name w:val="表格标题新 Char Char"/>
    <w:qFormat/>
    <w:uiPriority w:val="0"/>
    <w:rPr>
      <w:rFonts w:ascii="宋体" w:hAnsi="宋体" w:eastAsia="宋体" w:cs="Arial"/>
      <w:b/>
      <w:snapToGrid w:val="0"/>
      <w:spacing w:val="10"/>
      <w:kern w:val="2"/>
      <w:sz w:val="24"/>
      <w:szCs w:val="24"/>
      <w:lang w:val="en-US" w:eastAsia="zh-CN" w:bidi="ar-SA"/>
    </w:rPr>
  </w:style>
  <w:style w:type="character" w:customStyle="1" w:styleId="3257">
    <w:name w:val="word_break"/>
    <w:qFormat/>
    <w:uiPriority w:val="0"/>
  </w:style>
  <w:style w:type="character" w:customStyle="1" w:styleId="3258">
    <w:name w:val="兴武正文 Char Char"/>
    <w:link w:val="3259"/>
    <w:qFormat/>
    <w:uiPriority w:val="0"/>
    <w:rPr>
      <w:rFonts w:cs="宋体"/>
      <w:kern w:val="2"/>
      <w:sz w:val="24"/>
    </w:rPr>
  </w:style>
  <w:style w:type="paragraph" w:customStyle="1" w:styleId="3259">
    <w:name w:val="兴武正文"/>
    <w:basedOn w:val="1"/>
    <w:link w:val="3258"/>
    <w:qFormat/>
    <w:uiPriority w:val="0"/>
    <w:pPr>
      <w:tabs>
        <w:tab w:val="clear" w:pos="480"/>
      </w:tabs>
      <w:spacing w:line="480" w:lineRule="exact"/>
    </w:pPr>
    <w:rPr>
      <w:szCs w:val="20"/>
      <w:lang w:val="zh-CN"/>
    </w:rPr>
  </w:style>
  <w:style w:type="character" w:customStyle="1" w:styleId="3260">
    <w:name w:val="样式 正文文本 2lifr 正文 + 宋体 Char"/>
    <w:link w:val="3261"/>
    <w:qFormat/>
    <w:uiPriority w:val="0"/>
    <w:rPr>
      <w:rFonts w:ascii="仿宋_GB2312" w:hAnsi="宋体" w:eastAsia="仿宋_GB2312"/>
      <w:spacing w:val="-20"/>
      <w:kern w:val="2"/>
      <w:sz w:val="22"/>
    </w:rPr>
  </w:style>
  <w:style w:type="paragraph" w:customStyle="1" w:styleId="3261">
    <w:name w:val="样式 正文文本 2lifr 正文 + 宋体"/>
    <w:basedOn w:val="76"/>
    <w:link w:val="3260"/>
    <w:qFormat/>
    <w:uiPriority w:val="0"/>
    <w:pPr>
      <w:adjustRightInd w:val="0"/>
      <w:snapToGrid w:val="0"/>
      <w:spacing w:line="300" w:lineRule="auto"/>
      <w:jc w:val="right"/>
    </w:pPr>
    <w:rPr>
      <w:rFonts w:ascii="仿宋_GB2312" w:hAnsi="宋体" w:eastAsia="仿宋_GB2312"/>
      <w:color w:val="auto"/>
      <w:spacing w:val="-20"/>
      <w:sz w:val="22"/>
      <w:lang w:val="zh-CN"/>
    </w:rPr>
  </w:style>
  <w:style w:type="character" w:customStyle="1" w:styleId="3262">
    <w:name w:val="正文1-1 Char Char"/>
    <w:link w:val="3107"/>
    <w:qFormat/>
    <w:uiPriority w:val="0"/>
    <w:rPr>
      <w:rFonts w:cs="宋体"/>
      <w:sz w:val="24"/>
      <w:szCs w:val="24"/>
    </w:rPr>
  </w:style>
  <w:style w:type="character" w:customStyle="1" w:styleId="3263">
    <w:name w:val="正文（天安） Char Char"/>
    <w:link w:val="3264"/>
    <w:qFormat/>
    <w:uiPriority w:val="0"/>
    <w:rPr>
      <w:kern w:val="2"/>
      <w:sz w:val="24"/>
      <w:szCs w:val="24"/>
    </w:rPr>
  </w:style>
  <w:style w:type="paragraph" w:customStyle="1" w:styleId="3264">
    <w:name w:val="正文（天安）"/>
    <w:basedOn w:val="2931"/>
    <w:link w:val="3263"/>
    <w:qFormat/>
    <w:uiPriority w:val="0"/>
    <w:pPr>
      <w:spacing w:before="93" w:after="93" w:line="400" w:lineRule="atLeast"/>
      <w:ind w:left="840" w:leftChars="400" w:firstLine="200"/>
      <w:textAlignment w:val="baseline"/>
    </w:pPr>
    <w:rPr>
      <w:szCs w:val="24"/>
      <w:lang w:val="zh-CN"/>
    </w:rPr>
  </w:style>
  <w:style w:type="character" w:customStyle="1" w:styleId="3265">
    <w:name w:val="样式 目录 1 + 首行缩进:  0.85 厘米1 Char Char"/>
    <w:link w:val="3266"/>
    <w:qFormat/>
    <w:uiPriority w:val="0"/>
    <w:rPr>
      <w:rFonts w:ascii="Calibri" w:hAnsi="Calibri" w:cs="宋体"/>
      <w:b/>
      <w:bCs/>
      <w:caps/>
      <w:kern w:val="2"/>
    </w:rPr>
  </w:style>
  <w:style w:type="paragraph" w:customStyle="1" w:styleId="3266">
    <w:name w:val="样式 目录 1 + 首行缩进:  0.85 厘米1"/>
    <w:basedOn w:val="59"/>
    <w:link w:val="3265"/>
    <w:qFormat/>
    <w:uiPriority w:val="0"/>
    <w:pPr>
      <w:spacing w:line="240" w:lineRule="auto"/>
      <w:ind w:firstLine="482"/>
      <w:jc w:val="both"/>
    </w:pPr>
    <w:rPr>
      <w:rFonts w:ascii="Calibri" w:hAnsi="Calibri"/>
      <w:lang w:val="zh-CN"/>
    </w:rPr>
  </w:style>
  <w:style w:type="character" w:customStyle="1" w:styleId="3267">
    <w:name w:val="君邦正文 Char2"/>
    <w:qFormat/>
    <w:uiPriority w:val="0"/>
    <w:rPr>
      <w:bCs/>
      <w:snapToGrid w:val="0"/>
      <w:sz w:val="24"/>
      <w:lang w:val="en-US" w:eastAsia="zh-CN" w:bidi="ar-SA"/>
    </w:rPr>
  </w:style>
  <w:style w:type="character" w:customStyle="1" w:styleId="3268">
    <w:name w:val="样式 宋体 三号 红色"/>
    <w:qFormat/>
    <w:uiPriority w:val="0"/>
    <w:rPr>
      <w:rFonts w:ascii="宋体" w:hAnsi="宋体" w:eastAsia="宋体"/>
      <w:color w:val="FF0000"/>
      <w:kern w:val="2"/>
      <w:sz w:val="24"/>
      <w:szCs w:val="21"/>
      <w:lang w:val="en-US" w:eastAsia="zh-CN" w:bidi="ar-SA"/>
    </w:rPr>
  </w:style>
  <w:style w:type="character" w:customStyle="1" w:styleId="3269">
    <w:name w:val="博泵1 Char Char"/>
    <w:link w:val="3270"/>
    <w:qFormat/>
    <w:uiPriority w:val="0"/>
    <w:rPr>
      <w:rFonts w:hAnsi="宋体" w:cs="宋体"/>
      <w:color w:val="000000"/>
      <w:sz w:val="24"/>
    </w:rPr>
  </w:style>
  <w:style w:type="paragraph" w:customStyle="1" w:styleId="3270">
    <w:name w:val="博泵1"/>
    <w:basedOn w:val="1"/>
    <w:link w:val="3269"/>
    <w:qFormat/>
    <w:uiPriority w:val="0"/>
    <w:pPr>
      <w:tabs>
        <w:tab w:val="clear" w:pos="480"/>
      </w:tabs>
      <w:adjustRightInd w:val="0"/>
      <w:spacing w:line="480" w:lineRule="exact"/>
      <w:jc w:val="left"/>
      <w:textAlignment w:val="baseline"/>
    </w:pPr>
    <w:rPr>
      <w:rFonts w:hAnsi="宋体"/>
      <w:color w:val="000000"/>
      <w:kern w:val="0"/>
      <w:szCs w:val="20"/>
      <w:lang w:val="zh-CN"/>
    </w:rPr>
  </w:style>
  <w:style w:type="character" w:customStyle="1" w:styleId="3271">
    <w:name w:val="even Char Char"/>
    <w:qFormat/>
    <w:uiPriority w:val="0"/>
    <w:rPr>
      <w:rFonts w:eastAsia="宋体"/>
      <w:kern w:val="2"/>
      <w:sz w:val="18"/>
      <w:szCs w:val="18"/>
      <w:lang w:val="en-US" w:eastAsia="zh-CN" w:bidi="ar-SA"/>
    </w:rPr>
  </w:style>
  <w:style w:type="character" w:customStyle="1" w:styleId="3272">
    <w:name w:val="表格标题＋单位 Char Char"/>
    <w:link w:val="3273"/>
    <w:qFormat/>
    <w:uiPriority w:val="0"/>
    <w:rPr>
      <w:b/>
      <w:kern w:val="2"/>
      <w:sz w:val="24"/>
      <w:szCs w:val="24"/>
    </w:rPr>
  </w:style>
  <w:style w:type="paragraph" w:customStyle="1" w:styleId="3273">
    <w:name w:val="表格标题＋单位"/>
    <w:basedOn w:val="1"/>
    <w:link w:val="3272"/>
    <w:qFormat/>
    <w:uiPriority w:val="0"/>
    <w:pPr>
      <w:tabs>
        <w:tab w:val="clear" w:pos="480"/>
      </w:tabs>
      <w:wordWrap w:val="0"/>
      <w:spacing w:line="500" w:lineRule="exact"/>
      <w:jc w:val="right"/>
    </w:pPr>
    <w:rPr>
      <w:b/>
      <w:lang w:val="zh-CN"/>
    </w:rPr>
  </w:style>
  <w:style w:type="character" w:customStyle="1" w:styleId="3274">
    <w:name w:val="wz-title11"/>
    <w:qFormat/>
    <w:uiPriority w:val="0"/>
    <w:rPr>
      <w:b/>
      <w:bCs/>
      <w:color w:val="2879B8"/>
      <w:sz w:val="20"/>
      <w:szCs w:val="20"/>
    </w:rPr>
  </w:style>
  <w:style w:type="character" w:customStyle="1" w:styleId="3275">
    <w:name w:val="标题 2 Char Char"/>
    <w:qFormat/>
    <w:uiPriority w:val="0"/>
    <w:rPr>
      <w:rFonts w:ascii="宋体" w:hAnsi="Arial" w:eastAsia="宋体"/>
      <w:b/>
      <w:bCs/>
      <w:kern w:val="2"/>
      <w:sz w:val="24"/>
      <w:szCs w:val="32"/>
      <w:lang w:val="en-US" w:eastAsia="zh-CN" w:bidi="ar-SA"/>
    </w:rPr>
  </w:style>
  <w:style w:type="character" w:customStyle="1" w:styleId="3276">
    <w:name w:val="样式 小四 行距: 固定值 23 磅 Char Char"/>
    <w:link w:val="2900"/>
    <w:qFormat/>
    <w:uiPriority w:val="0"/>
    <w:rPr>
      <w:kern w:val="2"/>
      <w:sz w:val="28"/>
      <w:szCs w:val="24"/>
    </w:rPr>
  </w:style>
  <w:style w:type="paragraph" w:customStyle="1" w:styleId="3277">
    <w:name w:val="样式 标题 2节节标题 1.1H2（一）Underrubrik1prop2Heading 2 HiddenHea..."/>
    <w:basedOn w:val="4"/>
    <w:qFormat/>
    <w:uiPriority w:val="0"/>
    <w:pPr>
      <w:tabs>
        <w:tab w:val="left" w:pos="576"/>
        <w:tab w:val="left" w:pos="720"/>
        <w:tab w:val="left" w:pos="1380"/>
        <w:tab w:val="clear" w:pos="480"/>
        <w:tab w:val="clear" w:pos="630"/>
      </w:tabs>
      <w:spacing w:beforeLines="50" w:after="0"/>
      <w:ind w:left="720" w:hanging="720"/>
      <w:jc w:val="left"/>
    </w:pPr>
    <w:rPr>
      <w:rFonts w:cs="宋体"/>
      <w:color w:val="000000"/>
      <w:sz w:val="30"/>
      <w:szCs w:val="20"/>
    </w:rPr>
  </w:style>
  <w:style w:type="paragraph" w:customStyle="1" w:styleId="3278">
    <w:name w:val="BGBT"/>
    <w:basedOn w:val="23"/>
    <w:qFormat/>
    <w:uiPriority w:val="0"/>
    <w:pPr>
      <w:widowControl w:val="0"/>
      <w:adjustRightInd/>
      <w:snapToGrid/>
      <w:spacing w:before="0" w:after="0" w:line="240" w:lineRule="auto"/>
      <w:ind w:firstLine="0" w:firstLineChars="0"/>
    </w:pPr>
    <w:rPr>
      <w:rFonts w:ascii="Times New Roman" w:hAnsi="Times New Roman" w:cs="宋体"/>
      <w:b/>
      <w:bCs/>
      <w:color w:val="auto"/>
      <w:kern w:val="10"/>
      <w:szCs w:val="24"/>
    </w:rPr>
  </w:style>
  <w:style w:type="paragraph" w:customStyle="1" w:styleId="3279">
    <w:name w:val="正文（首行不缩进）"/>
    <w:qFormat/>
    <w:uiPriority w:val="0"/>
    <w:pPr>
      <w:adjustRightInd w:val="0"/>
      <w:spacing w:line="300" w:lineRule="auto"/>
      <w:ind w:firstLine="200" w:firstLineChars="200"/>
      <w:jc w:val="center"/>
      <w:textAlignment w:val="baseline"/>
    </w:pPr>
    <w:rPr>
      <w:rFonts w:ascii="Times New Roman" w:hAnsi="Times New Roman" w:eastAsia="宋体" w:cs="Times New Roman"/>
      <w:color w:val="000000"/>
      <w:kern w:val="2"/>
      <w:sz w:val="24"/>
      <w:szCs w:val="24"/>
      <w:lang w:val="en-US" w:eastAsia="zh-CN" w:bidi="ar-SA"/>
    </w:rPr>
  </w:style>
  <w:style w:type="paragraph" w:customStyle="1" w:styleId="3280">
    <w:name w:val="Char1 Char Char Char Char Char Char Char Char Char Char Char Char"/>
    <w:basedOn w:val="1"/>
    <w:next w:val="1"/>
    <w:qFormat/>
    <w:uiPriority w:val="0"/>
    <w:pPr>
      <w:keepNext/>
      <w:keepLines/>
      <w:widowControl/>
      <w:tabs>
        <w:tab w:val="clear" w:pos="480"/>
      </w:tabs>
      <w:adjustRightInd w:val="0"/>
      <w:spacing w:before="40" w:after="40"/>
      <w:textAlignment w:val="baseline"/>
    </w:pPr>
    <w:rPr>
      <w:rFonts w:cs="宋体"/>
      <w:kern w:val="0"/>
      <w:sz w:val="28"/>
      <w:szCs w:val="28"/>
    </w:rPr>
  </w:style>
  <w:style w:type="paragraph" w:customStyle="1" w:styleId="3281">
    <w:name w:val="样式 正文首行缩进正文首行缩进 Char + 首行缩进:  2 字符1"/>
    <w:basedOn w:val="85"/>
    <w:qFormat/>
    <w:uiPriority w:val="0"/>
    <w:pPr>
      <w:ind w:firstLine="200" w:firstLineChars="200"/>
    </w:pPr>
    <w:rPr>
      <w:rFonts w:ascii="宋体" w:hAnsi="宋体" w:eastAsia="Times New Roman" w:cs="宋体"/>
      <w:color w:val="000000"/>
      <w:sz w:val="24"/>
      <w:szCs w:val="20"/>
    </w:rPr>
  </w:style>
  <w:style w:type="paragraph" w:customStyle="1" w:styleId="3282">
    <w:name w:val="样式 标题 3 + (西文) Times New Roman (中文) 宋体 小四 加粗"/>
    <w:basedOn w:val="1"/>
    <w:qFormat/>
    <w:uiPriority w:val="0"/>
    <w:pPr>
      <w:tabs>
        <w:tab w:val="clear" w:pos="480"/>
      </w:tabs>
      <w:spacing w:line="240" w:lineRule="auto"/>
    </w:pPr>
    <w:rPr>
      <w:kern w:val="10"/>
      <w:sz w:val="21"/>
    </w:rPr>
  </w:style>
  <w:style w:type="paragraph" w:customStyle="1" w:styleId="3283">
    <w:name w:val="环科院页眉"/>
    <w:basedOn w:val="57"/>
    <w:qFormat/>
    <w:uiPriority w:val="0"/>
    <w:pPr>
      <w:pBdr>
        <w:bottom w:val="thickThinSmallGap" w:color="auto" w:sz="24" w:space="1"/>
      </w:pBdr>
      <w:tabs>
        <w:tab w:val="clear" w:pos="480"/>
      </w:tabs>
      <w:spacing w:line="240" w:lineRule="auto"/>
    </w:pPr>
    <w:rPr>
      <w:sz w:val="15"/>
      <w:szCs w:val="15"/>
    </w:rPr>
  </w:style>
  <w:style w:type="paragraph" w:customStyle="1" w:styleId="3284">
    <w:name w:val="小四表文居中"/>
    <w:qFormat/>
    <w:uiPriority w:val="0"/>
    <w:pPr>
      <w:widowControl w:val="0"/>
      <w:spacing w:line="400" w:lineRule="exact"/>
      <w:jc w:val="center"/>
    </w:pPr>
    <w:rPr>
      <w:rFonts w:ascii="仿宋_GB2312" w:hAnsi="Times New Roman" w:eastAsia="仿宋_GB2312" w:cs="Times New Roman"/>
      <w:kern w:val="2"/>
      <w:sz w:val="24"/>
      <w:szCs w:val="24"/>
      <w:lang w:val="en-US" w:eastAsia="zh-CN" w:bidi="ar-SA"/>
    </w:rPr>
  </w:style>
  <w:style w:type="paragraph" w:customStyle="1" w:styleId="3285">
    <w:name w:val="项目编号文字"/>
    <w:basedOn w:val="1"/>
    <w:next w:val="21"/>
    <w:qFormat/>
    <w:uiPriority w:val="0"/>
    <w:pPr>
      <w:tabs>
        <w:tab w:val="clear" w:pos="480"/>
      </w:tabs>
      <w:spacing w:before="120" w:after="120"/>
      <w:ind w:left="1077"/>
    </w:pPr>
    <w:rPr>
      <w:kern w:val="10"/>
      <w:sz w:val="28"/>
      <w:szCs w:val="20"/>
    </w:rPr>
  </w:style>
  <w:style w:type="paragraph" w:customStyle="1" w:styleId="3286">
    <w:name w:val="永环表内格式"/>
    <w:basedOn w:val="1"/>
    <w:qFormat/>
    <w:uiPriority w:val="0"/>
    <w:pPr>
      <w:tabs>
        <w:tab w:val="clear" w:pos="480"/>
      </w:tabs>
      <w:spacing w:line="260" w:lineRule="exact"/>
      <w:jc w:val="center"/>
    </w:pPr>
    <w:rPr>
      <w:rFonts w:ascii="宋体" w:hAnsi="宋体" w:cs="Arial"/>
      <w:color w:val="343434"/>
      <w:kern w:val="10"/>
      <w:sz w:val="21"/>
      <w:szCs w:val="21"/>
    </w:rPr>
  </w:style>
  <w:style w:type="paragraph" w:customStyle="1" w:styleId="3287">
    <w:name w:val="正文B"/>
    <w:basedOn w:val="1"/>
    <w:qFormat/>
    <w:uiPriority w:val="0"/>
    <w:pPr>
      <w:tabs>
        <w:tab w:val="clear" w:pos="480"/>
      </w:tabs>
      <w:adjustRightInd w:val="0"/>
      <w:spacing w:line="390" w:lineRule="exact"/>
      <w:ind w:firstLine="601"/>
      <w:textAlignment w:val="baseline"/>
    </w:pPr>
    <w:rPr>
      <w:rFonts w:eastAsia="楷体_GB2312"/>
      <w:spacing w:val="8"/>
      <w:kern w:val="0"/>
      <w:sz w:val="28"/>
      <w:szCs w:val="20"/>
    </w:rPr>
  </w:style>
  <w:style w:type="paragraph" w:customStyle="1" w:styleId="3288">
    <w:name w:val="样式 首行缩进:  0.99 厘米 行距: 1.5 倍行距2"/>
    <w:basedOn w:val="1"/>
    <w:qFormat/>
    <w:uiPriority w:val="0"/>
    <w:pPr>
      <w:tabs>
        <w:tab w:val="clear" w:pos="480"/>
      </w:tabs>
      <w:adjustRightInd w:val="0"/>
      <w:snapToGrid w:val="0"/>
      <w:spacing w:line="240" w:lineRule="auto"/>
      <w:jc w:val="center"/>
    </w:pPr>
    <w:rPr>
      <w:color w:val="FF0000"/>
      <w:kern w:val="10"/>
      <w:sz w:val="21"/>
      <w:szCs w:val="20"/>
    </w:rPr>
  </w:style>
  <w:style w:type="paragraph" w:customStyle="1" w:styleId="3289">
    <w:name w:val="表格中文字"/>
    <w:basedOn w:val="1"/>
    <w:qFormat/>
    <w:uiPriority w:val="0"/>
    <w:pPr>
      <w:tabs>
        <w:tab w:val="clear" w:pos="480"/>
      </w:tabs>
      <w:adjustRightInd w:val="0"/>
      <w:spacing w:line="240" w:lineRule="auto"/>
      <w:jc w:val="center"/>
      <w:textAlignment w:val="baseline"/>
    </w:pPr>
    <w:rPr>
      <w:snapToGrid w:val="0"/>
      <w:spacing w:val="4"/>
      <w:w w:val="90"/>
      <w:kern w:val="0"/>
      <w:sz w:val="21"/>
      <w:szCs w:val="20"/>
    </w:rPr>
  </w:style>
  <w:style w:type="paragraph" w:customStyle="1" w:styleId="3290">
    <w:name w:val="报告书表格文本"/>
    <w:basedOn w:val="2"/>
    <w:qFormat/>
    <w:uiPriority w:val="0"/>
    <w:pPr>
      <w:spacing w:line="320" w:lineRule="exact"/>
      <w:jc w:val="center"/>
      <w:textAlignment w:val="center"/>
    </w:pPr>
    <w:rPr>
      <w:rFonts w:ascii="Times New Roman" w:hAnsi="Times New Roman" w:cs="宋体"/>
      <w:szCs w:val="21"/>
    </w:rPr>
  </w:style>
  <w:style w:type="paragraph" w:customStyle="1" w:styleId="3291">
    <w:name w:val="正文02"/>
    <w:basedOn w:val="1"/>
    <w:qFormat/>
    <w:uiPriority w:val="0"/>
    <w:pPr>
      <w:tabs>
        <w:tab w:val="clear" w:pos="480"/>
      </w:tabs>
      <w:adjustRightInd w:val="0"/>
    </w:pPr>
    <w:rPr>
      <w:kern w:val="10"/>
      <w:sz w:val="28"/>
      <w:szCs w:val="20"/>
    </w:rPr>
  </w:style>
  <w:style w:type="paragraph" w:customStyle="1" w:styleId="3292">
    <w:name w:val="目录B"/>
    <w:basedOn w:val="1"/>
    <w:qFormat/>
    <w:uiPriority w:val="0"/>
    <w:pPr>
      <w:tabs>
        <w:tab w:val="clear" w:pos="480"/>
      </w:tabs>
      <w:spacing w:line="480" w:lineRule="exact"/>
      <w:outlineLvl w:val="1"/>
    </w:pPr>
    <w:rPr>
      <w:rFonts w:ascii="黑体" w:eastAsia="黑体"/>
      <w:kern w:val="10"/>
      <w:sz w:val="28"/>
      <w:szCs w:val="28"/>
    </w:rPr>
  </w:style>
  <w:style w:type="paragraph" w:customStyle="1" w:styleId="3293">
    <w:name w:val="正文用的"/>
    <w:basedOn w:val="1"/>
    <w:qFormat/>
    <w:uiPriority w:val="0"/>
    <w:pPr>
      <w:tabs>
        <w:tab w:val="clear" w:pos="480"/>
      </w:tabs>
      <w:ind w:firstLine="480"/>
    </w:pPr>
    <w:rPr>
      <w:kern w:val="10"/>
      <w:szCs w:val="20"/>
    </w:rPr>
  </w:style>
  <w:style w:type="paragraph" w:customStyle="1" w:styleId="3294">
    <w:name w:val="BGWZ2"/>
    <w:basedOn w:val="1"/>
    <w:qFormat/>
    <w:uiPriority w:val="0"/>
    <w:pPr>
      <w:tabs>
        <w:tab w:val="clear" w:pos="480"/>
      </w:tabs>
      <w:snapToGrid w:val="0"/>
      <w:spacing w:line="300" w:lineRule="exact"/>
      <w:jc w:val="center"/>
    </w:pPr>
    <w:rPr>
      <w:snapToGrid w:val="0"/>
      <w:kern w:val="0"/>
      <w:sz w:val="18"/>
      <w:szCs w:val="20"/>
      <w:lang w:eastAsia="zh-TW"/>
    </w:rPr>
  </w:style>
  <w:style w:type="paragraph" w:customStyle="1" w:styleId="3295">
    <w:name w:val="样式 楷体_GB2312 居中"/>
    <w:basedOn w:val="1"/>
    <w:qFormat/>
    <w:uiPriority w:val="0"/>
    <w:pPr>
      <w:tabs>
        <w:tab w:val="clear" w:pos="480"/>
      </w:tabs>
      <w:jc w:val="center"/>
    </w:pPr>
    <w:rPr>
      <w:rFonts w:ascii="楷体_GB2312" w:eastAsia="楷体_GB2312"/>
      <w:kern w:val="10"/>
      <w:sz w:val="21"/>
      <w:szCs w:val="20"/>
    </w:rPr>
  </w:style>
  <w:style w:type="paragraph" w:customStyle="1" w:styleId="3296">
    <w:name w:val="样式 标题 1 + (中文) 宋体 小三 行距: 多倍行距 1.35 字行"/>
    <w:basedOn w:val="1"/>
    <w:qFormat/>
    <w:uiPriority w:val="0"/>
    <w:pPr>
      <w:tabs>
        <w:tab w:val="clear" w:pos="480"/>
      </w:tabs>
      <w:spacing w:line="240" w:lineRule="auto"/>
    </w:pPr>
    <w:rPr>
      <w:kern w:val="10"/>
      <w:sz w:val="21"/>
    </w:rPr>
  </w:style>
  <w:style w:type="paragraph" w:customStyle="1" w:styleId="3297">
    <w:name w:val="样式 标题 4标题 4 CharbulletblbbPIM 4H4h4Heading Four款标题1.1.1..."/>
    <w:basedOn w:val="6"/>
    <w:qFormat/>
    <w:uiPriority w:val="0"/>
    <w:pPr>
      <w:numPr>
        <w:ilvl w:val="0"/>
        <w:numId w:val="0"/>
      </w:numPr>
      <w:tabs>
        <w:tab w:val="clear" w:pos="480"/>
      </w:tabs>
      <w:spacing w:before="0" w:after="0"/>
    </w:pPr>
    <w:rPr>
      <w:rFonts w:ascii="宋体" w:eastAsia="宋体"/>
      <w:bCs w:val="0"/>
      <w:sz w:val="24"/>
    </w:rPr>
  </w:style>
  <w:style w:type="paragraph" w:customStyle="1" w:styleId="3298">
    <w:name w:val="环科院正文"/>
    <w:basedOn w:val="1"/>
    <w:link w:val="3596"/>
    <w:qFormat/>
    <w:uiPriority w:val="0"/>
    <w:pPr>
      <w:tabs>
        <w:tab w:val="clear" w:pos="480"/>
      </w:tabs>
      <w:ind w:firstLine="600" w:firstLineChars="250"/>
    </w:pPr>
    <w:rPr>
      <w:rFonts w:ascii="宋体" w:hAnsi="宋体"/>
      <w:bCs/>
      <w:kern w:val="10"/>
    </w:rPr>
  </w:style>
  <w:style w:type="paragraph" w:customStyle="1" w:styleId="3299">
    <w:name w:val="样式 标题 4 + (西文) Times New Roman (中文) 宋体 小四"/>
    <w:basedOn w:val="1"/>
    <w:qFormat/>
    <w:uiPriority w:val="0"/>
    <w:pPr>
      <w:tabs>
        <w:tab w:val="clear" w:pos="480"/>
      </w:tabs>
      <w:spacing w:line="240" w:lineRule="auto"/>
    </w:pPr>
    <w:rPr>
      <w:kern w:val="10"/>
      <w:sz w:val="21"/>
    </w:rPr>
  </w:style>
  <w:style w:type="paragraph" w:customStyle="1" w:styleId="3300">
    <w:name w:val="样式 正文缩进正文（首行缩进两字） + 段后: 0.1 行"/>
    <w:basedOn w:val="21"/>
    <w:semiHidden/>
    <w:qFormat/>
    <w:uiPriority w:val="0"/>
    <w:pPr>
      <w:widowControl/>
      <w:tabs>
        <w:tab w:val="clear" w:pos="480"/>
      </w:tabs>
      <w:adjustRightInd w:val="0"/>
      <w:snapToGrid w:val="0"/>
      <w:spacing w:line="400" w:lineRule="exact"/>
      <w:ind w:firstLine="480"/>
    </w:pPr>
    <w:rPr>
      <w:rFonts w:ascii="仿宋_GB2312" w:eastAsia="仿宋_GB2312"/>
      <w:bCs/>
      <w:color w:val="000000"/>
      <w:kern w:val="0"/>
      <w:lang w:val="zh-CN"/>
    </w:rPr>
  </w:style>
  <w:style w:type="paragraph" w:customStyle="1" w:styleId="3301">
    <w:name w:val="样式 样式 标题 2节 + (西文) Times New Roman (中文) 宋体 四号 段前: 0.5 行 段后: 0......"/>
    <w:basedOn w:val="1"/>
    <w:qFormat/>
    <w:uiPriority w:val="0"/>
    <w:pPr>
      <w:tabs>
        <w:tab w:val="clear" w:pos="480"/>
      </w:tabs>
      <w:spacing w:line="240" w:lineRule="auto"/>
    </w:pPr>
    <w:rPr>
      <w:kern w:val="10"/>
      <w:sz w:val="21"/>
    </w:rPr>
  </w:style>
  <w:style w:type="paragraph" w:customStyle="1" w:styleId="3302">
    <w:name w:val="宏福正文"/>
    <w:basedOn w:val="2"/>
    <w:qFormat/>
    <w:uiPriority w:val="0"/>
    <w:pPr>
      <w:adjustRightInd w:val="0"/>
      <w:snapToGrid w:val="0"/>
      <w:spacing w:before="240" w:line="400" w:lineRule="atLeast"/>
      <w:ind w:firstLine="624"/>
      <w:jc w:val="center"/>
    </w:pPr>
    <w:rPr>
      <w:rFonts w:ascii="Times New Roman" w:hAnsi="Times New Roman"/>
      <w:snapToGrid w:val="0"/>
      <w:color w:val="000000"/>
      <w:spacing w:val="12"/>
      <w:kern w:val="28"/>
      <w:sz w:val="28"/>
    </w:rPr>
  </w:style>
  <w:style w:type="paragraph" w:customStyle="1" w:styleId="3303">
    <w:name w:val="段落(G)"/>
    <w:basedOn w:val="1"/>
    <w:qFormat/>
    <w:uiPriority w:val="0"/>
    <w:pPr>
      <w:tabs>
        <w:tab w:val="left" w:pos="1021"/>
        <w:tab w:val="left" w:pos="1320"/>
        <w:tab w:val="clear" w:pos="480"/>
      </w:tabs>
      <w:ind w:firstLine="480"/>
    </w:pPr>
    <w:rPr>
      <w:color w:val="000000"/>
      <w:kern w:val="24"/>
      <w:lang w:val="zh-CN"/>
    </w:rPr>
  </w:style>
  <w:style w:type="paragraph" w:customStyle="1" w:styleId="3304">
    <w:name w:val="标3（天安）"/>
    <w:basedOn w:val="5"/>
    <w:qFormat/>
    <w:uiPriority w:val="0"/>
    <w:pPr>
      <w:tabs>
        <w:tab w:val="left" w:pos="567"/>
        <w:tab w:val="left" w:pos="1560"/>
        <w:tab w:val="clear" w:pos="480"/>
        <w:tab w:val="clear" w:pos="840"/>
      </w:tabs>
      <w:spacing w:before="240" w:after="240" w:line="400" w:lineRule="exact"/>
      <w:ind w:left="1560" w:hanging="720"/>
      <w:jc w:val="left"/>
    </w:pPr>
    <w:rPr>
      <w:rFonts w:ascii="Times New Roman" w:eastAsia="宋体" w:cs="Arial"/>
      <w:b w:val="0"/>
      <w:kern w:val="0"/>
      <w:sz w:val="28"/>
      <w:szCs w:val="28"/>
    </w:rPr>
  </w:style>
  <w:style w:type="paragraph" w:customStyle="1" w:styleId="3305">
    <w:name w:val="Plain Text2"/>
    <w:basedOn w:val="1"/>
    <w:qFormat/>
    <w:uiPriority w:val="0"/>
    <w:pPr>
      <w:tabs>
        <w:tab w:val="left" w:pos="432"/>
        <w:tab w:val="clear" w:pos="480"/>
      </w:tabs>
      <w:autoSpaceDE w:val="0"/>
      <w:autoSpaceDN w:val="0"/>
      <w:adjustRightInd w:val="0"/>
      <w:spacing w:line="240" w:lineRule="auto"/>
      <w:ind w:left="432" w:hanging="432"/>
      <w:textAlignment w:val="baseline"/>
    </w:pPr>
    <w:rPr>
      <w:rFonts w:hAnsi="Tms Rmn"/>
      <w:kern w:val="0"/>
      <w:sz w:val="21"/>
      <w:szCs w:val="20"/>
    </w:rPr>
  </w:style>
  <w:style w:type="paragraph" w:customStyle="1" w:styleId="3306">
    <w:name w:val="公用工程"/>
    <w:basedOn w:val="6"/>
    <w:qFormat/>
    <w:uiPriority w:val="0"/>
    <w:pPr>
      <w:numPr>
        <w:numId w:val="37"/>
      </w:numPr>
      <w:tabs>
        <w:tab w:val="left" w:pos="0"/>
        <w:tab w:val="left" w:pos="720"/>
        <w:tab w:val="left" w:pos="1680"/>
        <w:tab w:val="clear" w:pos="480"/>
      </w:tabs>
      <w:spacing w:before="0" w:after="0"/>
      <w:jc w:val="left"/>
    </w:pPr>
    <w:rPr>
      <w:rFonts w:ascii="宋体" w:hAnsi="Arial" w:eastAsia="宋体"/>
      <w:b w:val="0"/>
      <w:color w:val="000000"/>
      <w:sz w:val="24"/>
    </w:rPr>
  </w:style>
  <w:style w:type="paragraph" w:customStyle="1" w:styleId="3307">
    <w:name w:val="样式 标题 3条标题1.1.1h3H3level_3PIM 3Level 3 HeadHeading 3 - ol..."/>
    <w:basedOn w:val="5"/>
    <w:qFormat/>
    <w:uiPriority w:val="0"/>
    <w:pPr>
      <w:tabs>
        <w:tab w:val="left" w:pos="720"/>
        <w:tab w:val="clear" w:pos="480"/>
        <w:tab w:val="clear" w:pos="840"/>
      </w:tabs>
      <w:spacing w:before="0" w:after="0" w:line="360" w:lineRule="auto"/>
      <w:ind w:left="720" w:hanging="720"/>
      <w:jc w:val="left"/>
    </w:pPr>
    <w:rPr>
      <w:rFonts w:ascii="Times New Roman" w:eastAsia="宋体"/>
      <w:kern w:val="24"/>
      <w:sz w:val="28"/>
    </w:rPr>
  </w:style>
  <w:style w:type="paragraph" w:customStyle="1" w:styleId="3308">
    <w:name w:val="标题水污染"/>
    <w:basedOn w:val="6"/>
    <w:qFormat/>
    <w:uiPriority w:val="0"/>
    <w:pPr>
      <w:numPr>
        <w:ilvl w:val="0"/>
        <w:numId w:val="0"/>
      </w:numPr>
      <w:tabs>
        <w:tab w:val="left" w:pos="0"/>
        <w:tab w:val="left" w:pos="780"/>
        <w:tab w:val="clear" w:pos="480"/>
      </w:tabs>
      <w:spacing w:before="0" w:after="0"/>
      <w:ind w:left="780" w:leftChars="200" w:hanging="360" w:hangingChars="200"/>
      <w:jc w:val="left"/>
    </w:pPr>
    <w:rPr>
      <w:rFonts w:ascii="宋体" w:hAnsi="Arial" w:eastAsia="宋体"/>
      <w:b w:val="0"/>
      <w:color w:val="000000"/>
      <w:sz w:val="24"/>
    </w:rPr>
  </w:style>
  <w:style w:type="paragraph" w:customStyle="1" w:styleId="3309">
    <w:name w:val="标4（天安）"/>
    <w:basedOn w:val="3304"/>
    <w:qFormat/>
    <w:uiPriority w:val="0"/>
    <w:pPr>
      <w:tabs>
        <w:tab w:val="left" w:pos="1021"/>
        <w:tab w:val="clear" w:pos="567"/>
      </w:tabs>
      <w:spacing w:before="120" w:after="120"/>
      <w:outlineLvl w:val="3"/>
    </w:pPr>
    <w:rPr>
      <w:rFonts w:cs="Times New Roman"/>
      <w:sz w:val="24"/>
      <w:szCs w:val="24"/>
    </w:rPr>
  </w:style>
  <w:style w:type="paragraph" w:customStyle="1" w:styleId="3310">
    <w:name w:val="永环书图表标题"/>
    <w:basedOn w:val="1"/>
    <w:qFormat/>
    <w:uiPriority w:val="0"/>
    <w:pPr>
      <w:tabs>
        <w:tab w:val="clear" w:pos="480"/>
      </w:tabs>
      <w:spacing w:beforeLines="20" w:afterLines="20" w:line="440" w:lineRule="exact"/>
      <w:jc w:val="center"/>
    </w:pPr>
    <w:rPr>
      <w:rFonts w:eastAsia="黑体"/>
      <w:color w:val="000000"/>
      <w:sz w:val="28"/>
    </w:rPr>
  </w:style>
  <w:style w:type="paragraph" w:customStyle="1" w:styleId="3311">
    <w:name w:val="dandan6-13正文 Char Char Char"/>
    <w:basedOn w:val="1"/>
    <w:next w:val="1"/>
    <w:qFormat/>
    <w:uiPriority w:val="0"/>
    <w:pPr>
      <w:keepNext/>
      <w:keepLines/>
      <w:widowControl/>
      <w:tabs>
        <w:tab w:val="clear" w:pos="480"/>
      </w:tabs>
      <w:adjustRightInd w:val="0"/>
      <w:spacing w:before="40" w:after="40"/>
      <w:textAlignment w:val="baseline"/>
    </w:pPr>
    <w:rPr>
      <w:rFonts w:cs="宋体"/>
      <w:kern w:val="0"/>
      <w:sz w:val="28"/>
      <w:szCs w:val="28"/>
    </w:rPr>
  </w:style>
  <w:style w:type="paragraph" w:customStyle="1" w:styleId="3312">
    <w:name w:val="烟厂正文"/>
    <w:basedOn w:val="1"/>
    <w:qFormat/>
    <w:uiPriority w:val="0"/>
    <w:pPr>
      <w:tabs>
        <w:tab w:val="clear" w:pos="480"/>
      </w:tabs>
      <w:spacing w:beforeLines="20" w:afterLines="20" w:line="500" w:lineRule="exact"/>
    </w:pPr>
    <w:rPr>
      <w:kern w:val="10"/>
      <w:sz w:val="28"/>
      <w:szCs w:val="20"/>
    </w:rPr>
  </w:style>
  <w:style w:type="paragraph" w:customStyle="1" w:styleId="3313">
    <w:name w:val="表中文字1"/>
    <w:qFormat/>
    <w:uiPriority w:val="0"/>
    <w:pPr>
      <w:widowControl w:val="0"/>
      <w:adjustRightInd w:val="0"/>
      <w:snapToGrid w:val="0"/>
      <w:jc w:val="center"/>
    </w:pPr>
    <w:rPr>
      <w:rFonts w:ascii="仿宋_GB2312" w:hAnsi="Times New Roman" w:eastAsia="仿宋_GB2312" w:cs="Times New Roman"/>
      <w:kern w:val="2"/>
      <w:sz w:val="24"/>
      <w:szCs w:val="24"/>
      <w:lang w:val="en-US" w:eastAsia="zh-CN" w:bidi="ar-SA"/>
    </w:rPr>
  </w:style>
  <w:style w:type="paragraph" w:customStyle="1" w:styleId="3314">
    <w:name w:val="样式 标题 1 + (符号) 宋体 居中"/>
    <w:basedOn w:val="3"/>
    <w:qFormat/>
    <w:uiPriority w:val="0"/>
    <w:pPr>
      <w:tabs>
        <w:tab w:val="left" w:pos="0"/>
        <w:tab w:val="clear" w:pos="480"/>
      </w:tabs>
      <w:spacing w:before="0" w:after="0"/>
      <w:jc w:val="center"/>
    </w:pPr>
    <w:rPr>
      <w:rFonts w:ascii="Times New Roman" w:eastAsia="宋体" w:cs="宋体"/>
      <w:kern w:val="10"/>
      <w:sz w:val="24"/>
      <w:szCs w:val="20"/>
    </w:rPr>
  </w:style>
  <w:style w:type="paragraph" w:customStyle="1" w:styleId="3315">
    <w:name w:val="样式 标题 1-*+章标题 11.标题 1h11st levelSection Headl1b1H1Head..."/>
    <w:basedOn w:val="3"/>
    <w:qFormat/>
    <w:uiPriority w:val="0"/>
    <w:pPr>
      <w:numPr>
        <w:ilvl w:val="0"/>
        <w:numId w:val="36"/>
      </w:numPr>
      <w:tabs>
        <w:tab w:val="left" w:pos="432"/>
        <w:tab w:val="clear" w:pos="480"/>
      </w:tabs>
      <w:spacing w:before="0" w:after="0"/>
      <w:jc w:val="left"/>
    </w:pPr>
    <w:rPr>
      <w:rFonts w:ascii="Times New Roman" w:eastAsia="宋体" w:cs="宋体"/>
      <w:kern w:val="10"/>
      <w:sz w:val="32"/>
      <w:szCs w:val="20"/>
    </w:rPr>
  </w:style>
  <w:style w:type="paragraph" w:customStyle="1" w:styleId="3316">
    <w:name w:val="标准文本 首行缩进:2 字符 行距1倍"/>
    <w:basedOn w:val="1"/>
    <w:qFormat/>
    <w:uiPriority w:val="0"/>
    <w:pPr>
      <w:tabs>
        <w:tab w:val="clear" w:pos="480"/>
      </w:tabs>
      <w:adjustRightInd w:val="0"/>
      <w:snapToGrid w:val="0"/>
      <w:spacing w:line="480" w:lineRule="exact"/>
      <w:ind w:firstLine="540" w:firstLineChars="225"/>
      <w:textAlignment w:val="center"/>
    </w:pPr>
    <w:rPr>
      <w:rFonts w:cs="宋体"/>
      <w:kern w:val="10"/>
      <w:sz w:val="28"/>
      <w:szCs w:val="20"/>
    </w:rPr>
  </w:style>
  <w:style w:type="paragraph" w:customStyle="1" w:styleId="3317">
    <w:name w:val="表头文字"/>
    <w:basedOn w:val="1"/>
    <w:qFormat/>
    <w:uiPriority w:val="0"/>
    <w:pPr>
      <w:widowControl/>
      <w:tabs>
        <w:tab w:val="clear" w:pos="480"/>
      </w:tabs>
      <w:adjustRightInd w:val="0"/>
      <w:snapToGrid w:val="0"/>
      <w:spacing w:line="300" w:lineRule="auto"/>
      <w:jc w:val="center"/>
      <w:textAlignment w:val="baseline"/>
    </w:pPr>
    <w:rPr>
      <w:b/>
      <w:kern w:val="0"/>
      <w:sz w:val="21"/>
      <w:szCs w:val="20"/>
    </w:rPr>
  </w:style>
  <w:style w:type="paragraph" w:customStyle="1" w:styleId="3318">
    <w:name w:val="标准符号 行距1倍"/>
    <w:basedOn w:val="1"/>
    <w:qFormat/>
    <w:uiPriority w:val="0"/>
    <w:pPr>
      <w:tabs>
        <w:tab w:val="clear" w:pos="480"/>
      </w:tabs>
      <w:adjustRightInd w:val="0"/>
      <w:snapToGrid w:val="0"/>
      <w:spacing w:line="460" w:lineRule="exact"/>
      <w:ind w:left="480"/>
      <w:textAlignment w:val="center"/>
    </w:pPr>
    <w:rPr>
      <w:rFonts w:cs="宋体"/>
      <w:kern w:val="0"/>
      <w:sz w:val="28"/>
    </w:rPr>
  </w:style>
  <w:style w:type="paragraph" w:customStyle="1" w:styleId="3319">
    <w:name w:val="ZW Char Char Char"/>
    <w:basedOn w:val="1"/>
    <w:qFormat/>
    <w:uiPriority w:val="0"/>
    <w:pPr>
      <w:tabs>
        <w:tab w:val="clear" w:pos="480"/>
      </w:tabs>
      <w:spacing w:beforeLines="20" w:line="240" w:lineRule="auto"/>
    </w:pPr>
    <w:rPr>
      <w:kern w:val="10"/>
      <w:sz w:val="28"/>
    </w:rPr>
  </w:style>
  <w:style w:type="paragraph" w:customStyle="1" w:styleId="3320">
    <w:name w:val="MFS正文 Char"/>
    <w:basedOn w:val="85"/>
    <w:qFormat/>
    <w:uiPriority w:val="0"/>
    <w:pPr>
      <w:adjustRightInd w:val="0"/>
      <w:snapToGrid w:val="0"/>
      <w:spacing w:before="93" w:line="360" w:lineRule="auto"/>
      <w:ind w:firstLine="200" w:firstLineChars="200"/>
    </w:pPr>
    <w:rPr>
      <w:rFonts w:eastAsia="楷体_GB2312"/>
      <w:sz w:val="24"/>
    </w:rPr>
  </w:style>
  <w:style w:type="paragraph" w:customStyle="1" w:styleId="3321">
    <w:name w:val="BGWZ1"/>
    <w:basedOn w:val="1"/>
    <w:qFormat/>
    <w:uiPriority w:val="0"/>
    <w:pPr>
      <w:tabs>
        <w:tab w:val="clear" w:pos="480"/>
      </w:tabs>
      <w:snapToGrid w:val="0"/>
      <w:spacing w:line="300" w:lineRule="exact"/>
      <w:jc w:val="center"/>
    </w:pPr>
    <w:rPr>
      <w:snapToGrid w:val="0"/>
      <w:kern w:val="0"/>
      <w:sz w:val="21"/>
      <w:szCs w:val="20"/>
      <w:lang w:eastAsia="zh-TW"/>
    </w:rPr>
  </w:style>
  <w:style w:type="paragraph" w:customStyle="1" w:styleId="3322">
    <w:name w:val="字元1"/>
    <w:basedOn w:val="1"/>
    <w:qFormat/>
    <w:uiPriority w:val="0"/>
    <w:pPr>
      <w:tabs>
        <w:tab w:val="clear" w:pos="480"/>
      </w:tabs>
      <w:spacing w:line="240" w:lineRule="auto"/>
    </w:pPr>
    <w:rPr>
      <w:kern w:val="10"/>
      <w:sz w:val="28"/>
    </w:rPr>
  </w:style>
  <w:style w:type="paragraph" w:customStyle="1" w:styleId="3323">
    <w:name w:val="p16"/>
    <w:basedOn w:val="1"/>
    <w:qFormat/>
    <w:uiPriority w:val="0"/>
    <w:pPr>
      <w:widowControl/>
      <w:tabs>
        <w:tab w:val="clear" w:pos="480"/>
      </w:tabs>
      <w:snapToGrid w:val="0"/>
      <w:spacing w:line="240" w:lineRule="auto"/>
      <w:jc w:val="center"/>
    </w:pPr>
    <w:rPr>
      <w:kern w:val="0"/>
      <w:sz w:val="21"/>
      <w:szCs w:val="21"/>
    </w:rPr>
  </w:style>
  <w:style w:type="paragraph" w:customStyle="1" w:styleId="3324">
    <w:name w:val="样式 正文 首行缩进:  2 字符 + (中文) 楷体_GB2312"/>
    <w:basedOn w:val="2103"/>
    <w:link w:val="3325"/>
    <w:qFormat/>
    <w:uiPriority w:val="0"/>
    <w:pPr>
      <w:adjustRightInd w:val="0"/>
      <w:snapToGrid w:val="0"/>
      <w:spacing w:line="500" w:lineRule="exact"/>
      <w:ind w:firstLine="200"/>
    </w:pPr>
    <w:rPr>
      <w:rFonts w:eastAsia="楷体_GB2312"/>
      <w:kern w:val="2"/>
      <w:szCs w:val="24"/>
      <w:lang w:val="zh-CN"/>
    </w:rPr>
  </w:style>
  <w:style w:type="character" w:customStyle="1" w:styleId="3325">
    <w:name w:val="样式 正文 首行缩进:  2 字符 + (中文) 楷体_GB2312 Char"/>
    <w:link w:val="3324"/>
    <w:qFormat/>
    <w:uiPriority w:val="0"/>
    <w:rPr>
      <w:rFonts w:eastAsia="楷体_GB2312" w:cs="宋体"/>
      <w:kern w:val="2"/>
      <w:sz w:val="24"/>
      <w:szCs w:val="24"/>
    </w:rPr>
  </w:style>
  <w:style w:type="character" w:customStyle="1" w:styleId="3326">
    <w:name w:val="无间隔 Char1"/>
    <w:qFormat/>
    <w:uiPriority w:val="0"/>
    <w:rPr>
      <w:rFonts w:ascii="Times New Roman" w:hAnsi="Times New Roman"/>
      <w:kern w:val="2"/>
      <w:sz w:val="21"/>
      <w:szCs w:val="22"/>
    </w:rPr>
  </w:style>
  <w:style w:type="paragraph" w:customStyle="1" w:styleId="3327">
    <w:name w:val="Table Paragraph"/>
    <w:basedOn w:val="1"/>
    <w:qFormat/>
    <w:uiPriority w:val="1"/>
    <w:pPr>
      <w:tabs>
        <w:tab w:val="clear" w:pos="480"/>
      </w:tabs>
      <w:spacing w:line="240" w:lineRule="auto"/>
      <w:jc w:val="left"/>
    </w:pPr>
    <w:rPr>
      <w:rFonts w:ascii="Calibri" w:hAnsi="Calibri"/>
      <w:kern w:val="0"/>
      <w:sz w:val="22"/>
      <w:szCs w:val="22"/>
      <w:lang w:eastAsia="en-US"/>
    </w:rPr>
  </w:style>
  <w:style w:type="paragraph" w:customStyle="1" w:styleId="3328">
    <w:name w:val="K2"/>
    <w:basedOn w:val="4"/>
    <w:qFormat/>
    <w:uiPriority w:val="0"/>
    <w:pPr>
      <w:tabs>
        <w:tab w:val="left" w:pos="680"/>
        <w:tab w:val="clear" w:pos="480"/>
        <w:tab w:val="clear" w:pos="630"/>
      </w:tabs>
      <w:spacing w:before="0" w:after="0"/>
      <w:jc w:val="left"/>
    </w:pPr>
    <w:rPr>
      <w:bCs w:val="0"/>
      <w:kern w:val="0"/>
    </w:rPr>
  </w:style>
  <w:style w:type="paragraph" w:customStyle="1" w:styleId="3329">
    <w:name w:val="K3"/>
    <w:basedOn w:val="5"/>
    <w:link w:val="3330"/>
    <w:qFormat/>
    <w:uiPriority w:val="0"/>
    <w:pPr>
      <w:tabs>
        <w:tab w:val="left" w:pos="720"/>
        <w:tab w:val="clear" w:pos="480"/>
        <w:tab w:val="clear" w:pos="840"/>
      </w:tabs>
      <w:spacing w:before="0" w:after="0" w:line="360" w:lineRule="auto"/>
      <w:jc w:val="left"/>
    </w:pPr>
    <w:rPr>
      <w:rFonts w:ascii="Times New Roman" w:eastAsia="宋体"/>
      <w:kern w:val="0"/>
      <w:szCs w:val="30"/>
    </w:rPr>
  </w:style>
  <w:style w:type="character" w:customStyle="1" w:styleId="3330">
    <w:name w:val="K3 Char"/>
    <w:link w:val="3329"/>
    <w:qFormat/>
    <w:uiPriority w:val="0"/>
    <w:rPr>
      <w:b/>
      <w:bCs/>
      <w:sz w:val="30"/>
      <w:szCs w:val="30"/>
      <w:lang w:val="zh-CN"/>
    </w:rPr>
  </w:style>
  <w:style w:type="character" w:customStyle="1" w:styleId="3331">
    <w:name w:val="fontstyle31"/>
    <w:qFormat/>
    <w:uiPriority w:val="0"/>
    <w:rPr>
      <w:rFonts w:hint="default" w:ascii="TimesNewRomanPSMT" w:hAnsi="TimesNewRomanPSMT"/>
      <w:color w:val="000000"/>
      <w:sz w:val="24"/>
      <w:szCs w:val="24"/>
    </w:rPr>
  </w:style>
  <w:style w:type="character" w:customStyle="1" w:styleId="3332">
    <w:name w:val="样式 (西文) 华文仿宋 (中文) 华文仿宋1"/>
    <w:qFormat/>
    <w:uiPriority w:val="0"/>
    <w:rPr>
      <w:rFonts w:ascii="Times New Roman" w:hAnsi="Times New Roman" w:eastAsia="仿宋_GB2312"/>
      <w:kern w:val="0"/>
      <w:sz w:val="32"/>
    </w:rPr>
  </w:style>
  <w:style w:type="character" w:customStyle="1" w:styleId="3333">
    <w:name w:val="样式 (西文) 华文仿宋 (中文) 华文仿宋"/>
    <w:qFormat/>
    <w:uiPriority w:val="0"/>
    <w:rPr>
      <w:rFonts w:ascii="Times New Roman" w:hAnsi="Times New Roman" w:eastAsia="仿宋_GB2312"/>
    </w:rPr>
  </w:style>
  <w:style w:type="paragraph" w:customStyle="1" w:styleId="3334">
    <w:name w:val="样式 标题 2 + 行距: 1.5 倍行距2"/>
    <w:basedOn w:val="4"/>
    <w:qFormat/>
    <w:uiPriority w:val="0"/>
    <w:pPr>
      <w:tabs>
        <w:tab w:val="left" w:pos="2835"/>
        <w:tab w:val="clear" w:pos="480"/>
        <w:tab w:val="clear" w:pos="630"/>
      </w:tabs>
      <w:snapToGrid w:val="0"/>
      <w:spacing w:before="0" w:after="0"/>
      <w:ind w:left="1985" w:hanging="1985"/>
      <w:jc w:val="left"/>
    </w:pPr>
    <w:rPr>
      <w:rFonts w:eastAsia="黑体"/>
      <w:sz w:val="30"/>
      <w:szCs w:val="20"/>
    </w:rPr>
  </w:style>
  <w:style w:type="character" w:customStyle="1" w:styleId="3335">
    <w:name w:val="fontstyle41"/>
    <w:qFormat/>
    <w:uiPriority w:val="0"/>
    <w:rPr>
      <w:rFonts w:hint="default" w:ascii="TimesNewRomanPSMT" w:hAnsi="TimesNewRomanPSMT"/>
      <w:color w:val="000000"/>
      <w:sz w:val="18"/>
      <w:szCs w:val="18"/>
    </w:rPr>
  </w:style>
  <w:style w:type="paragraph" w:customStyle="1" w:styleId="3336">
    <w:name w:val="样式 样式 标题 4 + 宋体 行距: 1.5 倍行距 + 段前: 0.5 行"/>
    <w:basedOn w:val="1"/>
    <w:qFormat/>
    <w:uiPriority w:val="0"/>
    <w:pPr>
      <w:keepNext/>
      <w:keepLines/>
      <w:tabs>
        <w:tab w:val="left" w:pos="1680"/>
        <w:tab w:val="clear" w:pos="480"/>
      </w:tabs>
      <w:snapToGrid w:val="0"/>
      <w:ind w:left="1985" w:hanging="1985"/>
      <w:jc w:val="left"/>
    </w:pPr>
    <w:rPr>
      <w:rFonts w:ascii="宋体" w:hAnsi="宋体" w:eastAsia="黑体" w:cs="宋体"/>
      <w:b/>
      <w:bCs/>
      <w:szCs w:val="20"/>
    </w:rPr>
  </w:style>
  <w:style w:type="paragraph" w:customStyle="1" w:styleId="3337">
    <w:name w:val="样式 正文 行距: 固定值 25 磅"/>
    <w:basedOn w:val="1"/>
    <w:link w:val="3338"/>
    <w:qFormat/>
    <w:uiPriority w:val="0"/>
    <w:pPr>
      <w:tabs>
        <w:tab w:val="clear" w:pos="480"/>
      </w:tabs>
      <w:adjustRightInd w:val="0"/>
      <w:spacing w:line="500" w:lineRule="exact"/>
    </w:pPr>
    <w:rPr>
      <w:lang w:val="zh-CN"/>
    </w:rPr>
  </w:style>
  <w:style w:type="character" w:customStyle="1" w:styleId="3338">
    <w:name w:val="样式 正文 行距: 固定值 25 磅 Char"/>
    <w:link w:val="3337"/>
    <w:qFormat/>
    <w:uiPriority w:val="0"/>
    <w:rPr>
      <w:rFonts w:cs="宋体"/>
      <w:kern w:val="2"/>
      <w:sz w:val="24"/>
      <w:szCs w:val="24"/>
    </w:rPr>
  </w:style>
  <w:style w:type="paragraph" w:customStyle="1" w:styleId="3339">
    <w:name w:val="样式 样式 正文 行距: 固定值 25 磅 + 首行缩进:  2 字符"/>
    <w:basedOn w:val="1"/>
    <w:link w:val="3340"/>
    <w:qFormat/>
    <w:uiPriority w:val="0"/>
    <w:pPr>
      <w:tabs>
        <w:tab w:val="clear" w:pos="480"/>
      </w:tabs>
      <w:adjustRightInd w:val="0"/>
      <w:snapToGrid w:val="0"/>
      <w:spacing w:line="500" w:lineRule="exact"/>
    </w:pPr>
    <w:rPr>
      <w:rFonts w:cs="宋体"/>
    </w:rPr>
  </w:style>
  <w:style w:type="character" w:customStyle="1" w:styleId="3340">
    <w:name w:val="样式 样式 正文 行距: 固定值 25 磅 + 首行缩进:  2 字符 Char"/>
    <w:link w:val="3339"/>
    <w:qFormat/>
    <w:uiPriority w:val="0"/>
  </w:style>
  <w:style w:type="paragraph" w:customStyle="1" w:styleId="3341">
    <w:name w:val="样式 标题 4 + 行距: 1.5 倍行距"/>
    <w:basedOn w:val="6"/>
    <w:qFormat/>
    <w:uiPriority w:val="0"/>
    <w:pPr>
      <w:numPr>
        <w:ilvl w:val="0"/>
        <w:numId w:val="0"/>
      </w:numPr>
      <w:tabs>
        <w:tab w:val="left" w:pos="1680"/>
        <w:tab w:val="clear" w:pos="480"/>
      </w:tabs>
      <w:snapToGrid w:val="0"/>
      <w:spacing w:before="0" w:after="0"/>
      <w:ind w:left="1985" w:hanging="1985"/>
      <w:jc w:val="left"/>
      <w:outlineLvl w:val="9"/>
    </w:pPr>
    <w:rPr>
      <w:rFonts w:ascii="Times New Roman" w:hAnsi="Times New Roman" w:eastAsia="黑体" w:cs="宋体"/>
      <w:sz w:val="24"/>
      <w:szCs w:val="20"/>
    </w:rPr>
  </w:style>
  <w:style w:type="character" w:customStyle="1" w:styleId="3342">
    <w:name w:val="fontstyle51"/>
    <w:qFormat/>
    <w:uiPriority w:val="0"/>
    <w:rPr>
      <w:rFonts w:hint="default" w:ascii="TimesNewRomanPSMT" w:hAnsi="TimesNewRomanPSMT"/>
      <w:color w:val="000000"/>
      <w:sz w:val="24"/>
      <w:szCs w:val="24"/>
    </w:rPr>
  </w:style>
  <w:style w:type="character" w:customStyle="1" w:styleId="3343">
    <w:name w:val="fontstyle61"/>
    <w:qFormat/>
    <w:uiPriority w:val="0"/>
    <w:rPr>
      <w:rFonts w:hint="default" w:ascii="ArialMT" w:hAnsi="ArialMT"/>
      <w:color w:val="000000"/>
      <w:sz w:val="24"/>
      <w:szCs w:val="24"/>
    </w:rPr>
  </w:style>
  <w:style w:type="character" w:customStyle="1" w:styleId="3344">
    <w:name w:val="fontstyle71"/>
    <w:qFormat/>
    <w:uiPriority w:val="0"/>
    <w:rPr>
      <w:rFonts w:hint="eastAsia" w:ascii="楷体_GB2312" w:eastAsia="楷体_GB2312"/>
      <w:color w:val="000000"/>
      <w:sz w:val="22"/>
      <w:szCs w:val="22"/>
    </w:rPr>
  </w:style>
  <w:style w:type="paragraph" w:customStyle="1" w:styleId="3345">
    <w:name w:val="表格抬头"/>
    <w:basedOn w:val="1"/>
    <w:qFormat/>
    <w:uiPriority w:val="0"/>
    <w:pPr>
      <w:tabs>
        <w:tab w:val="clear" w:pos="480"/>
      </w:tabs>
      <w:spacing w:line="240" w:lineRule="atLeast"/>
      <w:jc w:val="center"/>
    </w:pPr>
    <w:rPr>
      <w:rFonts w:eastAsia="黑体"/>
      <w:sz w:val="21"/>
    </w:rPr>
  </w:style>
  <w:style w:type="character" w:customStyle="1" w:styleId="3346">
    <w:name w:val="段 Char"/>
    <w:link w:val="752"/>
    <w:qFormat/>
    <w:locked/>
    <w:uiPriority w:val="0"/>
    <w:rPr>
      <w:rFonts w:ascii="宋体"/>
      <w:sz w:val="21"/>
    </w:rPr>
  </w:style>
  <w:style w:type="character" w:customStyle="1" w:styleId="3347">
    <w:name w:val="正文段落 Char Char Char Char"/>
    <w:link w:val="1250"/>
    <w:qFormat/>
    <w:uiPriority w:val="0"/>
    <w:rPr>
      <w:rFonts w:ascii="宋体" w:hAnsi="宋体" w:cs="宋体"/>
      <w:sz w:val="24"/>
      <w:szCs w:val="24"/>
    </w:rPr>
  </w:style>
  <w:style w:type="paragraph" w:customStyle="1" w:styleId="3348">
    <w:name w:val="报告标题1"/>
    <w:basedOn w:val="5"/>
    <w:qFormat/>
    <w:uiPriority w:val="0"/>
    <w:pPr>
      <w:keepNext w:val="0"/>
      <w:keepLines w:val="0"/>
      <w:numPr>
        <w:ilvl w:val="0"/>
        <w:numId w:val="38"/>
      </w:numPr>
      <w:tabs>
        <w:tab w:val="clear" w:pos="480"/>
        <w:tab w:val="clear" w:pos="840"/>
      </w:tabs>
      <w:spacing w:before="0" w:beforeLines="100" w:after="0" w:line="360" w:lineRule="auto"/>
      <w:ind w:firstLine="200"/>
      <w:outlineLvl w:val="0"/>
    </w:pPr>
    <w:rPr>
      <w:rFonts w:ascii="Times New Roman" w:eastAsia="宋体"/>
      <w:sz w:val="32"/>
      <w:lang w:val="en-US"/>
    </w:rPr>
  </w:style>
  <w:style w:type="character" w:customStyle="1" w:styleId="3349">
    <w:name w:val="上海LNG4 Char Char"/>
    <w:link w:val="3350"/>
    <w:qFormat/>
    <w:uiPriority w:val="0"/>
    <w:rPr>
      <w:b/>
      <w:kern w:val="28"/>
      <w:sz w:val="24"/>
      <w:szCs w:val="24"/>
    </w:rPr>
  </w:style>
  <w:style w:type="paragraph" w:customStyle="1" w:styleId="3350">
    <w:name w:val="上海LNG4"/>
    <w:basedOn w:val="3351"/>
    <w:link w:val="3349"/>
    <w:qFormat/>
    <w:uiPriority w:val="0"/>
    <w:pPr>
      <w:numPr>
        <w:ilvl w:val="3"/>
      </w:numPr>
      <w:tabs>
        <w:tab w:val="left" w:pos="851"/>
        <w:tab w:val="left" w:pos="1984"/>
      </w:tabs>
      <w:ind w:left="1984" w:hanging="708"/>
      <w:outlineLvl w:val="3"/>
    </w:pPr>
    <w:rPr>
      <w:rFonts w:ascii="Times New Roman" w:hAnsi="Times New Roman"/>
    </w:rPr>
  </w:style>
  <w:style w:type="paragraph" w:customStyle="1" w:styleId="3351">
    <w:name w:val="上海LNG3"/>
    <w:basedOn w:val="1"/>
    <w:link w:val="3401"/>
    <w:qFormat/>
    <w:uiPriority w:val="0"/>
    <w:pPr>
      <w:numPr>
        <w:ilvl w:val="2"/>
        <w:numId w:val="39"/>
      </w:numPr>
      <w:tabs>
        <w:tab w:val="clear" w:pos="480"/>
      </w:tabs>
      <w:ind w:right="403" w:firstLine="200"/>
      <w:outlineLvl w:val="2"/>
    </w:pPr>
    <w:rPr>
      <w:rFonts w:ascii="Calibri" w:hAnsi="Calibri"/>
      <w:b/>
      <w:kern w:val="28"/>
    </w:rPr>
  </w:style>
  <w:style w:type="paragraph" w:customStyle="1" w:styleId="3352">
    <w:name w:val="上海LNG1"/>
    <w:basedOn w:val="1"/>
    <w:link w:val="3451"/>
    <w:qFormat/>
    <w:uiPriority w:val="0"/>
    <w:pPr>
      <w:numPr>
        <w:ilvl w:val="0"/>
        <w:numId w:val="39"/>
      </w:numPr>
      <w:tabs>
        <w:tab w:val="clear" w:pos="480"/>
      </w:tabs>
      <w:ind w:firstLine="200"/>
      <w:outlineLvl w:val="0"/>
    </w:pPr>
    <w:rPr>
      <w:rFonts w:ascii="Calibri" w:hAnsi="Calibri"/>
      <w:b/>
    </w:rPr>
  </w:style>
  <w:style w:type="paragraph" w:customStyle="1" w:styleId="3353">
    <w:name w:val="上海LNG2"/>
    <w:basedOn w:val="1"/>
    <w:link w:val="3414"/>
    <w:qFormat/>
    <w:uiPriority w:val="0"/>
    <w:pPr>
      <w:numPr>
        <w:ilvl w:val="1"/>
        <w:numId w:val="39"/>
      </w:numPr>
      <w:tabs>
        <w:tab w:val="clear" w:pos="480"/>
      </w:tabs>
      <w:ind w:firstLine="200"/>
      <w:outlineLvl w:val="1"/>
    </w:pPr>
    <w:rPr>
      <w:rFonts w:ascii="Calibri" w:hAnsi="Calibri"/>
      <w:b/>
    </w:rPr>
  </w:style>
  <w:style w:type="paragraph" w:customStyle="1" w:styleId="3354">
    <w:name w:val="Char Char3 Char Char Char Char Char Char"/>
    <w:basedOn w:val="1"/>
    <w:qFormat/>
    <w:uiPriority w:val="0"/>
    <w:pPr>
      <w:tabs>
        <w:tab w:val="clear" w:pos="480"/>
      </w:tabs>
      <w:spacing w:line="240" w:lineRule="auto"/>
    </w:pPr>
    <w:rPr>
      <w:sz w:val="21"/>
    </w:rPr>
  </w:style>
  <w:style w:type="paragraph" w:customStyle="1" w:styleId="3355">
    <w:name w:val="样式 正文（首行缩进两字） + 行距: 固定值 20 磅"/>
    <w:basedOn w:val="21"/>
    <w:qFormat/>
    <w:uiPriority w:val="0"/>
    <w:pPr>
      <w:tabs>
        <w:tab w:val="clear" w:pos="480"/>
      </w:tabs>
      <w:spacing w:afterLines="20" w:line="400" w:lineRule="exact"/>
      <w:ind w:firstLine="480"/>
    </w:pPr>
  </w:style>
  <w:style w:type="character" w:customStyle="1" w:styleId="3356">
    <w:name w:val="样式 正文缩进 + 首行缩进:  2 字符 Char"/>
    <w:link w:val="661"/>
    <w:qFormat/>
    <w:uiPriority w:val="0"/>
    <w:rPr>
      <w:rFonts w:ascii="宋体" w:hAnsi="宋体"/>
      <w:sz w:val="24"/>
    </w:rPr>
  </w:style>
  <w:style w:type="character" w:customStyle="1" w:styleId="3357">
    <w:name w:val="样式1 Char Char Char"/>
    <w:qFormat/>
    <w:uiPriority w:val="0"/>
    <w:rPr>
      <w:rFonts w:ascii="宋体"/>
      <w:sz w:val="28"/>
    </w:rPr>
  </w:style>
  <w:style w:type="character" w:customStyle="1" w:styleId="3358">
    <w:name w:val="black0001"/>
    <w:qFormat/>
    <w:uiPriority w:val="0"/>
    <w:rPr>
      <w:b/>
      <w:bCs/>
      <w:color w:val="000000"/>
      <w:sz w:val="16"/>
      <w:szCs w:val="16"/>
      <w:shd w:val="clear" w:color="auto" w:fill="FFFFFF"/>
    </w:rPr>
  </w:style>
  <w:style w:type="character" w:customStyle="1" w:styleId="3359">
    <w:name w:val="明显参考1"/>
    <w:qFormat/>
    <w:uiPriority w:val="32"/>
    <w:rPr>
      <w:b/>
      <w:bCs/>
      <w:smallCaps/>
      <w:color w:val="C0504D"/>
      <w:spacing w:val="5"/>
      <w:u w:val="single"/>
    </w:rPr>
  </w:style>
  <w:style w:type="character" w:customStyle="1" w:styleId="3360">
    <w:name w:val="附件 Char Char"/>
    <w:link w:val="899"/>
    <w:qFormat/>
    <w:uiPriority w:val="0"/>
    <w:rPr>
      <w:rFonts w:eastAsia="黑体"/>
      <w:kern w:val="44"/>
      <w:sz w:val="30"/>
      <w:lang w:val="zh-CN" w:eastAsia="zh-CN"/>
    </w:rPr>
  </w:style>
  <w:style w:type="character" w:customStyle="1" w:styleId="3361">
    <w:name w:val="标题节 Char"/>
    <w:qFormat/>
    <w:uiPriority w:val="0"/>
    <w:rPr>
      <w:rFonts w:ascii="Arial" w:hAnsi="Arial" w:eastAsia="黑体"/>
      <w:b/>
      <w:bCs/>
      <w:kern w:val="2"/>
      <w:sz w:val="32"/>
      <w:szCs w:val="32"/>
      <w:lang w:val="en-US" w:eastAsia="zh-CN"/>
    </w:rPr>
  </w:style>
  <w:style w:type="character" w:customStyle="1" w:styleId="3362">
    <w:name w:val="表 头 Char Char"/>
    <w:link w:val="3363"/>
    <w:qFormat/>
    <w:uiPriority w:val="0"/>
    <w:rPr>
      <w:rFonts w:eastAsia="黑体"/>
      <w:color w:val="0000FF"/>
      <w:sz w:val="24"/>
      <w:szCs w:val="24"/>
    </w:rPr>
  </w:style>
  <w:style w:type="paragraph" w:customStyle="1" w:styleId="3363">
    <w:name w:val="表 头"/>
    <w:basedOn w:val="1"/>
    <w:link w:val="3362"/>
    <w:qFormat/>
    <w:uiPriority w:val="0"/>
    <w:pPr>
      <w:tabs>
        <w:tab w:val="left" w:pos="1418"/>
        <w:tab w:val="clear" w:pos="480"/>
      </w:tabs>
      <w:adjustRightInd w:val="0"/>
      <w:spacing w:before="120" w:after="120" w:line="360" w:lineRule="atLeast"/>
      <w:ind w:right="-120" w:firstLine="2040" w:firstLineChars="850"/>
    </w:pPr>
    <w:rPr>
      <w:rFonts w:eastAsia="黑体"/>
      <w:color w:val="0000FF"/>
      <w:kern w:val="0"/>
    </w:rPr>
  </w:style>
  <w:style w:type="character" w:customStyle="1" w:styleId="3364">
    <w:name w:val="样式 正文缩进 + 首行缩进:  2 字符 Char Char"/>
    <w:qFormat/>
    <w:uiPriority w:val="0"/>
    <w:rPr>
      <w:rFonts w:ascii="仿宋_GB2312" w:hAnsi="宋体" w:eastAsia="仿宋_GB2312" w:cs="宋体"/>
      <w:sz w:val="24"/>
      <w:szCs w:val="24"/>
    </w:rPr>
  </w:style>
  <w:style w:type="character" w:customStyle="1" w:styleId="3365">
    <w:name w:val="样式 正文 Char Char"/>
    <w:qFormat/>
    <w:uiPriority w:val="0"/>
    <w:rPr>
      <w:sz w:val="24"/>
    </w:rPr>
  </w:style>
  <w:style w:type="character" w:customStyle="1" w:styleId="3366">
    <w:name w:val="样式1 Char Char"/>
    <w:qFormat/>
    <w:uiPriority w:val="0"/>
    <w:rPr>
      <w:rFonts w:ascii="Arial" w:hAnsi="Arial" w:eastAsia="宋体" w:cs="Arial"/>
      <w:sz w:val="24"/>
      <w:szCs w:val="24"/>
    </w:rPr>
  </w:style>
  <w:style w:type="character" w:customStyle="1" w:styleId="3367">
    <w:name w:val="HTML 预设格式 Char"/>
    <w:link w:val="3368"/>
    <w:qFormat/>
    <w:uiPriority w:val="99"/>
    <w:rPr>
      <w:rFonts w:ascii="Arial" w:hAnsi="Arial" w:cs="Arial"/>
      <w:sz w:val="14"/>
      <w:szCs w:val="14"/>
    </w:rPr>
  </w:style>
  <w:style w:type="paragraph" w:customStyle="1" w:styleId="3368">
    <w:name w:val="HTML 预设格式1"/>
    <w:basedOn w:val="1"/>
    <w:link w:val="336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20" w:lineRule="atLeast"/>
      <w:jc w:val="left"/>
    </w:pPr>
    <w:rPr>
      <w:rFonts w:ascii="Arial" w:hAnsi="Arial" w:cs="Arial"/>
      <w:kern w:val="0"/>
      <w:sz w:val="14"/>
      <w:szCs w:val="14"/>
    </w:rPr>
  </w:style>
  <w:style w:type="character" w:customStyle="1" w:styleId="3369">
    <w:name w:val="条标题1.1.1 + (西文) Bookman Old Style Char"/>
    <w:qFormat/>
    <w:uiPriority w:val="0"/>
    <w:rPr>
      <w:rFonts w:ascii="Arial" w:hAnsi="Arial" w:eastAsia="黑体"/>
      <w:b/>
      <w:bCs/>
      <w:kern w:val="2"/>
      <w:sz w:val="32"/>
      <w:szCs w:val="32"/>
    </w:rPr>
  </w:style>
  <w:style w:type="character" w:customStyle="1" w:styleId="3370">
    <w:name w:val="文档结构图 Char Char"/>
    <w:link w:val="3371"/>
    <w:qFormat/>
    <w:uiPriority w:val="0"/>
    <w:rPr>
      <w:sz w:val="24"/>
      <w:shd w:val="clear" w:color="auto" w:fill="000080"/>
    </w:rPr>
  </w:style>
  <w:style w:type="paragraph" w:customStyle="1" w:styleId="3371">
    <w:name w:val="文档结构图1"/>
    <w:basedOn w:val="1"/>
    <w:link w:val="3370"/>
    <w:qFormat/>
    <w:uiPriority w:val="99"/>
    <w:pPr>
      <w:shd w:val="clear" w:color="auto" w:fill="000080"/>
      <w:tabs>
        <w:tab w:val="clear" w:pos="480"/>
      </w:tabs>
      <w:spacing w:line="240" w:lineRule="auto"/>
    </w:pPr>
    <w:rPr>
      <w:kern w:val="0"/>
      <w:szCs w:val="20"/>
      <w:shd w:val="clear" w:color="auto" w:fill="000080"/>
    </w:rPr>
  </w:style>
  <w:style w:type="paragraph" w:customStyle="1" w:styleId="3372">
    <w:name w:val="批注主题1"/>
    <w:basedOn w:val="29"/>
    <w:next w:val="29"/>
    <w:qFormat/>
    <w:uiPriority w:val="0"/>
    <w:pPr>
      <w:adjustRightInd/>
      <w:spacing w:line="240" w:lineRule="auto"/>
      <w:textAlignment w:val="auto"/>
    </w:pPr>
    <w:rPr>
      <w:b/>
      <w:bCs/>
      <w:kern w:val="2"/>
      <w:sz w:val="21"/>
    </w:rPr>
  </w:style>
  <w:style w:type="paragraph" w:customStyle="1" w:styleId="3373">
    <w:name w:val="首行缩进:  2 字符1"/>
    <w:basedOn w:val="1"/>
    <w:qFormat/>
    <w:uiPriority w:val="0"/>
    <w:pPr>
      <w:tabs>
        <w:tab w:val="clear" w:pos="480"/>
      </w:tabs>
      <w:ind w:right="31" w:rightChars="13" w:firstLine="560"/>
      <w:jc w:val="left"/>
    </w:pPr>
    <w:rPr>
      <w:rFonts w:ascii="仿宋_GB2312" w:hAnsi="宋体" w:eastAsia="仿宋_GB2312" w:cs="宋体"/>
      <w:sz w:val="28"/>
      <w:szCs w:val="28"/>
    </w:rPr>
  </w:style>
  <w:style w:type="paragraph" w:customStyle="1" w:styleId="3374">
    <w:name w:val="样式jxy"/>
    <w:basedOn w:val="1"/>
    <w:qFormat/>
    <w:uiPriority w:val="0"/>
    <w:pPr>
      <w:tabs>
        <w:tab w:val="clear" w:pos="480"/>
      </w:tabs>
      <w:spacing w:line="500" w:lineRule="exact"/>
      <w:jc w:val="left"/>
    </w:pPr>
    <w:rPr>
      <w:rFonts w:cs="宋体"/>
      <w:kern w:val="0"/>
      <w:szCs w:val="20"/>
    </w:rPr>
  </w:style>
  <w:style w:type="paragraph" w:customStyle="1" w:styleId="3375">
    <w:name w:val="表格小五"/>
    <w:basedOn w:val="1"/>
    <w:qFormat/>
    <w:uiPriority w:val="0"/>
    <w:pPr>
      <w:tabs>
        <w:tab w:val="clear" w:pos="480"/>
      </w:tabs>
      <w:adjustRightInd w:val="0"/>
      <w:snapToGrid w:val="0"/>
      <w:spacing w:line="240" w:lineRule="exact"/>
      <w:ind w:right="-42" w:rightChars="-20"/>
      <w:jc w:val="center"/>
      <w:textAlignment w:val="baseline"/>
    </w:pPr>
    <w:rPr>
      <w:rFonts w:ascii="宋体" w:hAnsi="宋体"/>
      <w:snapToGrid w:val="0"/>
      <w:color w:val="FF0000"/>
      <w:kern w:val="40"/>
      <w:sz w:val="18"/>
      <w:szCs w:val="18"/>
    </w:rPr>
  </w:style>
  <w:style w:type="paragraph" w:customStyle="1" w:styleId="3376">
    <w:name w:val="修订11"/>
    <w:qFormat/>
    <w:uiPriority w:val="0"/>
    <w:rPr>
      <w:rFonts w:ascii="Times New Roman" w:hAnsi="Times New Roman" w:eastAsia="宋体" w:cs="Times New Roman"/>
      <w:kern w:val="2"/>
      <w:sz w:val="21"/>
      <w:szCs w:val="24"/>
      <w:lang w:val="en-US" w:eastAsia="zh-CN" w:bidi="ar-SA"/>
    </w:rPr>
  </w:style>
  <w:style w:type="paragraph" w:customStyle="1" w:styleId="3377">
    <w:name w:val="图表目录1"/>
    <w:basedOn w:val="1"/>
    <w:next w:val="1"/>
    <w:qFormat/>
    <w:uiPriority w:val="0"/>
    <w:pPr>
      <w:tabs>
        <w:tab w:val="clear" w:pos="480"/>
      </w:tabs>
      <w:spacing w:line="240" w:lineRule="auto"/>
      <w:ind w:left="840" w:leftChars="200" w:hanging="420" w:hangingChars="200"/>
    </w:pPr>
    <w:rPr>
      <w:szCs w:val="20"/>
    </w:rPr>
  </w:style>
  <w:style w:type="paragraph" w:customStyle="1" w:styleId="3378">
    <w:name w:val="正文文本缩进1"/>
    <w:basedOn w:val="1"/>
    <w:qFormat/>
    <w:uiPriority w:val="0"/>
    <w:pPr>
      <w:tabs>
        <w:tab w:val="clear" w:pos="480"/>
      </w:tabs>
      <w:spacing w:line="240" w:lineRule="auto"/>
      <w:ind w:firstLine="570"/>
    </w:pPr>
    <w:rPr>
      <w:sz w:val="28"/>
    </w:rPr>
  </w:style>
  <w:style w:type="paragraph" w:customStyle="1" w:styleId="3379">
    <w:name w:val="列出段落4"/>
    <w:basedOn w:val="1"/>
    <w:qFormat/>
    <w:uiPriority w:val="34"/>
    <w:pPr>
      <w:tabs>
        <w:tab w:val="clear" w:pos="480"/>
      </w:tabs>
      <w:spacing w:afterLines="20"/>
      <w:ind w:firstLine="420"/>
    </w:pPr>
  </w:style>
  <w:style w:type="paragraph" w:customStyle="1" w:styleId="3380">
    <w:name w:val="正文+字体"/>
    <w:basedOn w:val="1"/>
    <w:next w:val="1"/>
    <w:semiHidden/>
    <w:qFormat/>
    <w:uiPriority w:val="0"/>
    <w:pPr>
      <w:tabs>
        <w:tab w:val="clear" w:pos="480"/>
      </w:tabs>
    </w:pPr>
    <w:rPr>
      <w:rFonts w:ascii="宋体" w:hAnsi="宋体" w:cs="宋体"/>
    </w:rPr>
  </w:style>
  <w:style w:type="character" w:customStyle="1" w:styleId="3381">
    <w:name w:val="labeltitle1"/>
    <w:qFormat/>
    <w:uiPriority w:val="0"/>
    <w:rPr>
      <w:b/>
      <w:bCs/>
      <w:sz w:val="39"/>
      <w:szCs w:val="39"/>
    </w:rPr>
  </w:style>
  <w:style w:type="character" w:customStyle="1" w:styleId="3382">
    <w:name w:val="样式 宋体 小四 黑色 Char Char"/>
    <w:qFormat/>
    <w:uiPriority w:val="0"/>
    <w:rPr>
      <w:rFonts w:eastAsia="宋体"/>
      <w:kern w:val="2"/>
      <w:sz w:val="18"/>
      <w:szCs w:val="18"/>
      <w:lang w:val="en-US" w:eastAsia="zh-CN" w:bidi="ar-SA"/>
    </w:rPr>
  </w:style>
  <w:style w:type="character" w:customStyle="1" w:styleId="3383">
    <w:name w:val="ps251"/>
    <w:basedOn w:val="133"/>
    <w:qFormat/>
    <w:uiPriority w:val="0"/>
  </w:style>
  <w:style w:type="character" w:customStyle="1" w:styleId="3384">
    <w:name w:val="newstxt"/>
    <w:basedOn w:val="133"/>
    <w:qFormat/>
    <w:uiPriority w:val="0"/>
  </w:style>
  <w:style w:type="character" w:customStyle="1" w:styleId="3385">
    <w:name w:val="font14px"/>
    <w:basedOn w:val="133"/>
    <w:qFormat/>
    <w:uiPriority w:val="0"/>
  </w:style>
  <w:style w:type="character" w:customStyle="1" w:styleId="3386">
    <w:name w:val="表格题 Char Char"/>
    <w:link w:val="3387"/>
    <w:qFormat/>
    <w:uiPriority w:val="0"/>
    <w:rPr>
      <w:rFonts w:ascii="宋体" w:hAnsi="Courier New" w:eastAsia="黑体"/>
      <w:sz w:val="24"/>
    </w:rPr>
  </w:style>
  <w:style w:type="paragraph" w:customStyle="1" w:styleId="3387">
    <w:name w:val="表格题"/>
    <w:basedOn w:val="45"/>
    <w:link w:val="3386"/>
    <w:qFormat/>
    <w:uiPriority w:val="0"/>
    <w:pPr>
      <w:spacing w:line="360" w:lineRule="auto"/>
    </w:pPr>
    <w:rPr>
      <w:rFonts w:eastAsia="黑体"/>
      <w:kern w:val="0"/>
      <w:sz w:val="24"/>
    </w:rPr>
  </w:style>
  <w:style w:type="character" w:customStyle="1" w:styleId="3388">
    <w:name w:val="Char5 Char Char"/>
    <w:qFormat/>
    <w:uiPriority w:val="0"/>
    <w:rPr>
      <w:rFonts w:eastAsia="宋体"/>
      <w:kern w:val="2"/>
      <w:sz w:val="21"/>
      <w:lang w:val="en-US" w:eastAsia="zh-CN" w:bidi="ar-SA"/>
    </w:rPr>
  </w:style>
  <w:style w:type="character" w:customStyle="1" w:styleId="3389">
    <w:name w:val="Char Char7"/>
    <w:qFormat/>
    <w:uiPriority w:val="0"/>
    <w:rPr>
      <w:rFonts w:eastAsia="宋体"/>
      <w:kern w:val="2"/>
      <w:sz w:val="18"/>
      <w:szCs w:val="18"/>
      <w:lang w:val="en-US" w:eastAsia="zh-CN" w:bidi="ar-SA"/>
    </w:rPr>
  </w:style>
  <w:style w:type="character" w:customStyle="1" w:styleId="3390">
    <w:name w:val="样式 宋体 黑色 加宽量  1 磅"/>
    <w:qFormat/>
    <w:uiPriority w:val="0"/>
    <w:rPr>
      <w:rFonts w:ascii="宋体" w:hAnsi="宋体"/>
      <w:color w:val="000000"/>
      <w:spacing w:val="0"/>
    </w:rPr>
  </w:style>
  <w:style w:type="character" w:customStyle="1" w:styleId="3391">
    <w:name w:val="公标题1 Char Char"/>
    <w:link w:val="3392"/>
    <w:qFormat/>
    <w:uiPriority w:val="0"/>
    <w:rPr>
      <w:rFonts w:ascii="Arial" w:hAnsi="Arial" w:eastAsia="黑体"/>
      <w:sz w:val="36"/>
      <w:szCs w:val="24"/>
    </w:rPr>
  </w:style>
  <w:style w:type="paragraph" w:customStyle="1" w:styleId="3392">
    <w:name w:val="公标题1"/>
    <w:basedOn w:val="1"/>
    <w:link w:val="3391"/>
    <w:qFormat/>
    <w:uiPriority w:val="0"/>
    <w:pPr>
      <w:tabs>
        <w:tab w:val="clear" w:pos="480"/>
      </w:tabs>
      <w:adjustRightInd w:val="0"/>
      <w:snapToGrid w:val="0"/>
      <w:spacing w:before="240" w:after="240" w:line="560" w:lineRule="exact"/>
      <w:outlineLvl w:val="0"/>
    </w:pPr>
    <w:rPr>
      <w:rFonts w:ascii="Arial" w:hAnsi="Arial" w:eastAsia="黑体"/>
      <w:kern w:val="0"/>
      <w:sz w:val="36"/>
    </w:rPr>
  </w:style>
  <w:style w:type="character" w:customStyle="1" w:styleId="3393">
    <w:name w:val="longtext"/>
    <w:basedOn w:val="133"/>
    <w:qFormat/>
    <w:uiPriority w:val="0"/>
  </w:style>
  <w:style w:type="character" w:customStyle="1" w:styleId="3394">
    <w:name w:val="fn org1"/>
    <w:basedOn w:val="133"/>
    <w:qFormat/>
    <w:uiPriority w:val="0"/>
  </w:style>
  <w:style w:type="character" w:customStyle="1" w:styleId="3395">
    <w:name w:val="tj望江正文 Char Char"/>
    <w:link w:val="3396"/>
    <w:qFormat/>
    <w:uiPriority w:val="0"/>
    <w:rPr>
      <w:rFonts w:ascii="华文细黑" w:hAnsi="华文细黑" w:eastAsia="华文细黑"/>
    </w:rPr>
  </w:style>
  <w:style w:type="paragraph" w:customStyle="1" w:styleId="3396">
    <w:name w:val="tj望江正文"/>
    <w:basedOn w:val="1"/>
    <w:link w:val="3395"/>
    <w:qFormat/>
    <w:uiPriority w:val="0"/>
    <w:pPr>
      <w:tabs>
        <w:tab w:val="clear" w:pos="480"/>
      </w:tabs>
      <w:spacing w:line="440" w:lineRule="exact"/>
      <w:ind w:firstLine="420"/>
    </w:pPr>
    <w:rPr>
      <w:rFonts w:ascii="华文细黑" w:hAnsi="华文细黑" w:eastAsia="华文细黑"/>
      <w:kern w:val="0"/>
      <w:sz w:val="20"/>
      <w:szCs w:val="20"/>
    </w:rPr>
  </w:style>
  <w:style w:type="character" w:customStyle="1" w:styleId="3397">
    <w:name w:val="Char3 Char Char"/>
    <w:qFormat/>
    <w:uiPriority w:val="0"/>
    <w:rPr>
      <w:rFonts w:eastAsia="宋体"/>
      <w:kern w:val="2"/>
      <w:sz w:val="21"/>
      <w:lang w:val="en-US" w:eastAsia="zh-CN" w:bidi="ar-SA"/>
    </w:rPr>
  </w:style>
  <w:style w:type="character" w:customStyle="1" w:styleId="3398">
    <w:name w:val="附图和附表等 Char Char"/>
    <w:link w:val="3399"/>
    <w:qFormat/>
    <w:uiPriority w:val="0"/>
    <w:rPr>
      <w:rFonts w:ascii="宋体" w:hAnsi="宋体"/>
      <w:b/>
      <w:sz w:val="18"/>
      <w:szCs w:val="21"/>
    </w:rPr>
  </w:style>
  <w:style w:type="paragraph" w:customStyle="1" w:styleId="3399">
    <w:name w:val="附图和附表等"/>
    <w:basedOn w:val="3400"/>
    <w:link w:val="3398"/>
    <w:qFormat/>
    <w:uiPriority w:val="0"/>
    <w:pPr>
      <w:tabs>
        <w:tab w:val="left" w:pos="44"/>
      </w:tabs>
      <w:spacing w:line="240" w:lineRule="auto"/>
      <w:ind w:right="0" w:rightChars="0"/>
      <w:outlineLvl w:val="0"/>
    </w:pPr>
    <w:rPr>
      <w:szCs w:val="21"/>
    </w:rPr>
  </w:style>
  <w:style w:type="paragraph" w:customStyle="1" w:styleId="3400">
    <w:name w:val="cccccccccc"/>
    <w:basedOn w:val="1"/>
    <w:link w:val="3422"/>
    <w:qFormat/>
    <w:uiPriority w:val="0"/>
    <w:pPr>
      <w:tabs>
        <w:tab w:val="left" w:pos="44"/>
        <w:tab w:val="clear" w:pos="480"/>
      </w:tabs>
      <w:ind w:right="210" w:rightChars="100"/>
      <w:jc w:val="center"/>
      <w:outlineLvl w:val="2"/>
    </w:pPr>
    <w:rPr>
      <w:rFonts w:ascii="宋体" w:hAnsi="宋体"/>
      <w:b/>
      <w:kern w:val="0"/>
      <w:sz w:val="18"/>
      <w:szCs w:val="18"/>
    </w:rPr>
  </w:style>
  <w:style w:type="character" w:customStyle="1" w:styleId="3401">
    <w:name w:val="上海LNG3 Char Char"/>
    <w:link w:val="3351"/>
    <w:qFormat/>
    <w:uiPriority w:val="0"/>
    <w:rPr>
      <w:rFonts w:ascii="Calibri" w:hAnsi="Calibri"/>
      <w:b/>
      <w:kern w:val="28"/>
      <w:sz w:val="24"/>
      <w:szCs w:val="24"/>
    </w:rPr>
  </w:style>
  <w:style w:type="character" w:customStyle="1" w:styleId="3402">
    <w:name w:val="小四 1.5倍行距 首行缩进 Char Char"/>
    <w:link w:val="3403"/>
    <w:qFormat/>
    <w:uiPriority w:val="0"/>
    <w:rPr>
      <w:sz w:val="24"/>
      <w:szCs w:val="24"/>
    </w:rPr>
  </w:style>
  <w:style w:type="paragraph" w:customStyle="1" w:styleId="3403">
    <w:name w:val="小四 1.5倍行距 首行缩进"/>
    <w:basedOn w:val="1"/>
    <w:next w:val="1"/>
    <w:link w:val="3402"/>
    <w:qFormat/>
    <w:uiPriority w:val="0"/>
    <w:pPr>
      <w:tabs>
        <w:tab w:val="clear" w:pos="480"/>
      </w:tabs>
      <w:ind w:firstLine="420"/>
    </w:pPr>
    <w:rPr>
      <w:kern w:val="0"/>
    </w:rPr>
  </w:style>
  <w:style w:type="character" w:customStyle="1" w:styleId="3404">
    <w:name w:val="Char Char18"/>
    <w:qFormat/>
    <w:uiPriority w:val="0"/>
    <w:rPr>
      <w:kern w:val="2"/>
      <w:sz w:val="21"/>
    </w:rPr>
  </w:style>
  <w:style w:type="character" w:customStyle="1" w:styleId="3405">
    <w:name w:val="表名 Char Char"/>
    <w:qFormat/>
    <w:uiPriority w:val="0"/>
    <w:rPr>
      <w:rFonts w:ascii="黑体" w:hAnsi="宋体" w:eastAsia="黑体"/>
      <w:sz w:val="24"/>
      <w:szCs w:val="28"/>
    </w:rPr>
  </w:style>
  <w:style w:type="character" w:customStyle="1" w:styleId="3406">
    <w:name w:val="标题 Char Char"/>
    <w:qFormat/>
    <w:uiPriority w:val="0"/>
    <w:rPr>
      <w:rFonts w:ascii="Arial" w:hAnsi="Arial" w:eastAsia="宋体" w:cs="Arial"/>
      <w:b/>
      <w:bCs/>
      <w:sz w:val="32"/>
      <w:szCs w:val="32"/>
      <w:lang w:val="en-US" w:eastAsia="zh-CN" w:bidi="ar-SA"/>
    </w:rPr>
  </w:style>
  <w:style w:type="character" w:customStyle="1" w:styleId="3407">
    <w:name w:val="haydonli Char Char"/>
    <w:link w:val="3408"/>
    <w:qFormat/>
    <w:uiPriority w:val="0"/>
    <w:rPr>
      <w:snapToGrid w:val="0"/>
      <w:sz w:val="24"/>
      <w:szCs w:val="24"/>
    </w:rPr>
  </w:style>
  <w:style w:type="paragraph" w:customStyle="1" w:styleId="3408">
    <w:name w:val="haydonli"/>
    <w:basedOn w:val="1"/>
    <w:link w:val="3407"/>
    <w:qFormat/>
    <w:uiPriority w:val="0"/>
    <w:pPr>
      <w:tabs>
        <w:tab w:val="clear" w:pos="480"/>
      </w:tabs>
      <w:snapToGrid w:val="0"/>
    </w:pPr>
    <w:rPr>
      <w:snapToGrid w:val="0"/>
      <w:kern w:val="0"/>
    </w:rPr>
  </w:style>
  <w:style w:type="character" w:customStyle="1" w:styleId="3409">
    <w:name w:val="Sottoparagrafo Char Char"/>
    <w:qFormat/>
    <w:uiPriority w:val="0"/>
    <w:rPr>
      <w:rFonts w:ascii="黑体" w:eastAsia="黑体"/>
      <w:snapToGrid w:val="0"/>
      <w:sz w:val="24"/>
      <w:szCs w:val="32"/>
      <w:lang w:val="en-US" w:eastAsia="zh-CN" w:bidi="ar-SA"/>
    </w:rPr>
  </w:style>
  <w:style w:type="character" w:customStyle="1" w:styleId="3410">
    <w:name w:val="Char2 Char Char"/>
    <w:qFormat/>
    <w:uiPriority w:val="0"/>
    <w:rPr>
      <w:rFonts w:ascii="Arial" w:hAnsi="Arial" w:eastAsia="宋体" w:cs="Arial"/>
      <w:vanish/>
      <w:kern w:val="2"/>
      <w:sz w:val="16"/>
      <w:szCs w:val="16"/>
      <w:lang w:val="en-US" w:eastAsia="zh-CN" w:bidi="ar-SA"/>
    </w:rPr>
  </w:style>
  <w:style w:type="character" w:customStyle="1" w:styleId="3411">
    <w:name w:val="花3 Char Char"/>
    <w:link w:val="3412"/>
    <w:qFormat/>
    <w:uiPriority w:val="0"/>
    <w:rPr>
      <w:b/>
      <w:sz w:val="24"/>
      <w:szCs w:val="24"/>
    </w:rPr>
  </w:style>
  <w:style w:type="paragraph" w:customStyle="1" w:styleId="3412">
    <w:name w:val="花3"/>
    <w:basedOn w:val="1"/>
    <w:link w:val="3411"/>
    <w:qFormat/>
    <w:uiPriority w:val="0"/>
    <w:pPr>
      <w:tabs>
        <w:tab w:val="left" w:pos="720"/>
        <w:tab w:val="clear" w:pos="480"/>
      </w:tabs>
      <w:outlineLvl w:val="2"/>
    </w:pPr>
    <w:rPr>
      <w:b/>
      <w:kern w:val="0"/>
    </w:rPr>
  </w:style>
  <w:style w:type="character" w:customStyle="1" w:styleId="3413">
    <w:name w:val="z-窗体底端 Char"/>
    <w:link w:val="542"/>
    <w:qFormat/>
    <w:uiPriority w:val="99"/>
    <w:rPr>
      <w:rFonts w:ascii="Arial" w:hAnsi="Arial" w:cs="Arial"/>
      <w:vanish/>
      <w:sz w:val="16"/>
      <w:szCs w:val="16"/>
    </w:rPr>
  </w:style>
  <w:style w:type="character" w:customStyle="1" w:styleId="3414">
    <w:name w:val="上海LNG2 Char Char"/>
    <w:link w:val="3353"/>
    <w:qFormat/>
    <w:uiPriority w:val="0"/>
    <w:rPr>
      <w:rFonts w:ascii="Calibri" w:hAnsi="Calibri"/>
      <w:b/>
      <w:kern w:val="2"/>
      <w:sz w:val="24"/>
      <w:szCs w:val="24"/>
    </w:rPr>
  </w:style>
  <w:style w:type="character" w:customStyle="1" w:styleId="3415">
    <w:name w:val="i3"/>
    <w:qFormat/>
    <w:uiPriority w:val="0"/>
    <w:rPr>
      <w:i/>
      <w:iCs/>
    </w:rPr>
  </w:style>
  <w:style w:type="character" w:customStyle="1" w:styleId="3416">
    <w:name w:val="ourfont2"/>
    <w:basedOn w:val="133"/>
    <w:qFormat/>
    <w:uiPriority w:val="0"/>
  </w:style>
  <w:style w:type="character" w:customStyle="1" w:styleId="3417">
    <w:name w:val="表内字 Char Char"/>
    <w:link w:val="240"/>
    <w:qFormat/>
    <w:uiPriority w:val="0"/>
    <w:rPr>
      <w:sz w:val="24"/>
    </w:rPr>
  </w:style>
  <w:style w:type="character" w:customStyle="1" w:styleId="3418">
    <w:name w:val="列表 字符"/>
    <w:link w:val="66"/>
    <w:qFormat/>
    <w:uiPriority w:val="0"/>
    <w:rPr>
      <w:kern w:val="2"/>
      <w:sz w:val="21"/>
      <w:szCs w:val="24"/>
    </w:rPr>
  </w:style>
  <w:style w:type="character" w:customStyle="1" w:styleId="3419">
    <w:name w:val="Char7 Char Char"/>
    <w:qFormat/>
    <w:uiPriority w:val="0"/>
    <w:rPr>
      <w:rFonts w:eastAsia="宋体"/>
      <w:kern w:val="2"/>
      <w:sz w:val="24"/>
      <w:szCs w:val="24"/>
      <w:lang w:val="en-US" w:eastAsia="zh-CN" w:bidi="ar-SA"/>
    </w:rPr>
  </w:style>
  <w:style w:type="character" w:customStyle="1" w:styleId="3420">
    <w:name w:val="报告标题2 Char Char"/>
    <w:link w:val="3421"/>
    <w:qFormat/>
    <w:uiPriority w:val="0"/>
    <w:rPr>
      <w:b/>
      <w:bCs/>
      <w:kern w:val="2"/>
      <w:sz w:val="28"/>
      <w:szCs w:val="28"/>
    </w:rPr>
  </w:style>
  <w:style w:type="paragraph" w:customStyle="1" w:styleId="3421">
    <w:name w:val="报告标题2"/>
    <w:basedOn w:val="5"/>
    <w:link w:val="3420"/>
    <w:qFormat/>
    <w:uiPriority w:val="0"/>
    <w:pPr>
      <w:keepNext w:val="0"/>
      <w:keepLines w:val="0"/>
      <w:tabs>
        <w:tab w:val="clear" w:pos="480"/>
        <w:tab w:val="clear" w:pos="840"/>
      </w:tabs>
      <w:spacing w:before="0" w:beforeLines="100" w:after="0" w:line="240" w:lineRule="auto"/>
      <w:ind w:firstLine="200" w:firstLineChars="200"/>
      <w:outlineLvl w:val="1"/>
    </w:pPr>
    <w:rPr>
      <w:rFonts w:ascii="Times New Roman" w:eastAsia="宋体"/>
      <w:sz w:val="28"/>
      <w:szCs w:val="28"/>
      <w:lang w:val="en-US"/>
    </w:rPr>
  </w:style>
  <w:style w:type="character" w:customStyle="1" w:styleId="3422">
    <w:name w:val="cccccccccc Char Char"/>
    <w:link w:val="3400"/>
    <w:qFormat/>
    <w:uiPriority w:val="0"/>
    <w:rPr>
      <w:rFonts w:ascii="宋体" w:hAnsi="宋体"/>
      <w:b/>
      <w:sz w:val="18"/>
      <w:szCs w:val="18"/>
    </w:rPr>
  </w:style>
  <w:style w:type="character" w:customStyle="1" w:styleId="3423">
    <w:name w:val="正文QQ Char Char"/>
    <w:link w:val="3424"/>
    <w:qFormat/>
    <w:uiPriority w:val="0"/>
    <w:rPr>
      <w:rFonts w:hAnsi="宋体" w:cs="宋体"/>
      <w:color w:val="000000"/>
      <w:sz w:val="28"/>
    </w:rPr>
  </w:style>
  <w:style w:type="paragraph" w:customStyle="1" w:styleId="3424">
    <w:name w:val="正文QQ"/>
    <w:basedOn w:val="1"/>
    <w:link w:val="3423"/>
    <w:qFormat/>
    <w:uiPriority w:val="0"/>
    <w:pPr>
      <w:tabs>
        <w:tab w:val="clear" w:pos="480"/>
      </w:tabs>
      <w:spacing w:line="520" w:lineRule="exact"/>
      <w:ind w:firstLine="560"/>
    </w:pPr>
    <w:rPr>
      <w:rFonts w:hAnsi="宋体" w:cs="宋体"/>
      <w:color w:val="000000"/>
      <w:kern w:val="0"/>
      <w:sz w:val="28"/>
      <w:szCs w:val="20"/>
    </w:rPr>
  </w:style>
  <w:style w:type="character" w:customStyle="1" w:styleId="3425">
    <w:name w:val="正文，zg Char Char"/>
    <w:link w:val="3426"/>
    <w:qFormat/>
    <w:uiPriority w:val="0"/>
    <w:rPr>
      <w:rFonts w:ascii="宋体" w:hAnsi="宋体"/>
      <w:sz w:val="28"/>
      <w:szCs w:val="28"/>
    </w:rPr>
  </w:style>
  <w:style w:type="paragraph" w:customStyle="1" w:styleId="3426">
    <w:name w:val="正文，zg"/>
    <w:link w:val="3425"/>
    <w:qFormat/>
    <w:uiPriority w:val="0"/>
    <w:pPr>
      <w:adjustRightInd w:val="0"/>
      <w:snapToGrid w:val="0"/>
      <w:spacing w:line="360" w:lineRule="auto"/>
      <w:ind w:firstLine="549" w:firstLineChars="196"/>
      <w:jc w:val="both"/>
    </w:pPr>
    <w:rPr>
      <w:rFonts w:ascii="宋体" w:hAnsi="宋体" w:eastAsia="宋体" w:cs="Times New Roman"/>
      <w:kern w:val="2"/>
      <w:sz w:val="28"/>
      <w:szCs w:val="28"/>
      <w:lang w:val="en-US" w:eastAsia="zh-CN" w:bidi="ar-SA"/>
    </w:rPr>
  </w:style>
  <w:style w:type="character" w:customStyle="1" w:styleId="3427">
    <w:name w:val="text-14"/>
    <w:basedOn w:val="133"/>
    <w:qFormat/>
    <w:uiPriority w:val="0"/>
  </w:style>
  <w:style w:type="character" w:customStyle="1" w:styleId="3428">
    <w:name w:val="Char8 Char Char"/>
    <w:qFormat/>
    <w:uiPriority w:val="0"/>
    <w:rPr>
      <w:rFonts w:eastAsia="宋体"/>
      <w:kern w:val="2"/>
      <w:sz w:val="21"/>
      <w:lang w:val="en-US" w:eastAsia="zh-CN" w:bidi="ar-SA"/>
    </w:rPr>
  </w:style>
  <w:style w:type="character" w:customStyle="1" w:styleId="3429">
    <w:name w:val="标题 1 Char2 Char"/>
    <w:qFormat/>
    <w:uiPriority w:val="0"/>
    <w:rPr>
      <w:rFonts w:ascii="黑体" w:eastAsia="黑体"/>
      <w:snapToGrid w:val="0"/>
      <w:kern w:val="2"/>
      <w:sz w:val="44"/>
      <w:szCs w:val="44"/>
      <w:lang w:val="en-US" w:eastAsia="zh-CN" w:bidi="ar-SA"/>
    </w:rPr>
  </w:style>
  <w:style w:type="character" w:customStyle="1" w:styleId="3430">
    <w:name w:val="hb1 Char Char"/>
    <w:link w:val="3431"/>
    <w:qFormat/>
    <w:uiPriority w:val="0"/>
    <w:rPr>
      <w:rFonts w:eastAsia="楷体_GB2312"/>
      <w:color w:val="000000"/>
      <w:sz w:val="24"/>
    </w:rPr>
  </w:style>
  <w:style w:type="paragraph" w:customStyle="1" w:styleId="3431">
    <w:name w:val="hb1"/>
    <w:basedOn w:val="1"/>
    <w:link w:val="3430"/>
    <w:qFormat/>
    <w:uiPriority w:val="0"/>
    <w:pPr>
      <w:tabs>
        <w:tab w:val="clear" w:pos="480"/>
      </w:tabs>
      <w:spacing w:line="460" w:lineRule="exact"/>
      <w:ind w:firstLine="482"/>
    </w:pPr>
    <w:rPr>
      <w:rFonts w:eastAsia="楷体_GB2312"/>
      <w:color w:val="000000"/>
      <w:kern w:val="0"/>
      <w:szCs w:val="20"/>
    </w:rPr>
  </w:style>
  <w:style w:type="character" w:customStyle="1" w:styleId="3432">
    <w:name w:val="xl24 Char Char"/>
    <w:link w:val="184"/>
    <w:qFormat/>
    <w:uiPriority w:val="0"/>
    <w:rPr>
      <w:rFonts w:ascii="仿宋_GB2312" w:hAnsi="Arial Unicode MS" w:eastAsia="仿宋_GB2312" w:cs="Arial Unicode MS"/>
      <w:sz w:val="21"/>
      <w:szCs w:val="21"/>
    </w:rPr>
  </w:style>
  <w:style w:type="character" w:customStyle="1" w:styleId="3433">
    <w:name w:val="样式 报告正文 + 首行缩进:  2 字符 Char Char"/>
    <w:link w:val="3434"/>
    <w:qFormat/>
    <w:uiPriority w:val="0"/>
    <w:rPr>
      <w:rFonts w:cs="宋体"/>
      <w:sz w:val="24"/>
    </w:rPr>
  </w:style>
  <w:style w:type="paragraph" w:customStyle="1" w:styleId="3434">
    <w:name w:val="样式 报告正文 + 首行缩进:  2 字符"/>
    <w:basedOn w:val="1"/>
    <w:link w:val="3433"/>
    <w:qFormat/>
    <w:uiPriority w:val="0"/>
    <w:pPr>
      <w:tabs>
        <w:tab w:val="clear" w:pos="480"/>
      </w:tabs>
      <w:autoSpaceDE w:val="0"/>
      <w:autoSpaceDN w:val="0"/>
    </w:pPr>
    <w:rPr>
      <w:rFonts w:cs="宋体"/>
      <w:kern w:val="0"/>
      <w:szCs w:val="20"/>
    </w:rPr>
  </w:style>
  <w:style w:type="character" w:customStyle="1" w:styleId="3435">
    <w:name w:val="wxx3"/>
    <w:qFormat/>
    <w:uiPriority w:val="0"/>
    <w:rPr>
      <w:rFonts w:ascii="黑体" w:eastAsia="黑体"/>
      <w:b/>
      <w:bCs/>
      <w:sz w:val="28"/>
      <w:szCs w:val="30"/>
    </w:rPr>
  </w:style>
  <w:style w:type="character" w:customStyle="1" w:styleId="3436">
    <w:name w:val="datatitle"/>
    <w:basedOn w:val="133"/>
    <w:qFormat/>
    <w:uiPriority w:val="0"/>
  </w:style>
  <w:style w:type="character" w:customStyle="1" w:styleId="3437">
    <w:name w:val="Char4 Char Char"/>
    <w:qFormat/>
    <w:uiPriority w:val="0"/>
    <w:rPr>
      <w:rFonts w:eastAsia="宋体"/>
      <w:kern w:val="2"/>
      <w:sz w:val="21"/>
      <w:lang w:val="en-US" w:eastAsia="zh-CN" w:bidi="ar-SA"/>
    </w:rPr>
  </w:style>
  <w:style w:type="character" w:customStyle="1" w:styleId="3438">
    <w:name w:val="报告标题3 Char Char"/>
    <w:link w:val="3439"/>
    <w:qFormat/>
    <w:uiPriority w:val="0"/>
    <w:rPr>
      <w:b/>
      <w:bCs/>
      <w:kern w:val="2"/>
      <w:sz w:val="24"/>
      <w:szCs w:val="24"/>
    </w:rPr>
  </w:style>
  <w:style w:type="paragraph" w:customStyle="1" w:styleId="3439">
    <w:name w:val="报告标题3"/>
    <w:basedOn w:val="3421"/>
    <w:link w:val="3438"/>
    <w:qFormat/>
    <w:uiPriority w:val="0"/>
    <w:pPr>
      <w:outlineLvl w:val="2"/>
    </w:pPr>
    <w:rPr>
      <w:sz w:val="24"/>
      <w:szCs w:val="24"/>
    </w:rPr>
  </w:style>
  <w:style w:type="character" w:customStyle="1" w:styleId="3440">
    <w:name w:val="列表 Char"/>
    <w:qFormat/>
    <w:uiPriority w:val="0"/>
    <w:rPr>
      <w:rFonts w:eastAsia="黑体"/>
      <w:kern w:val="2"/>
      <w:sz w:val="22"/>
      <w:lang w:val="en-US" w:eastAsia="zh-CN"/>
    </w:rPr>
  </w:style>
  <w:style w:type="character" w:customStyle="1" w:styleId="3441">
    <w:name w:val="标题1居中 Char Char"/>
    <w:link w:val="3442"/>
    <w:qFormat/>
    <w:uiPriority w:val="0"/>
    <w:rPr>
      <w:rFonts w:ascii="黑体" w:eastAsia="黑体"/>
      <w:bCs/>
      <w:sz w:val="44"/>
    </w:rPr>
  </w:style>
  <w:style w:type="paragraph" w:customStyle="1" w:styleId="3442">
    <w:name w:val="标题1居中"/>
    <w:basedOn w:val="3"/>
    <w:link w:val="3441"/>
    <w:qFormat/>
    <w:uiPriority w:val="0"/>
    <w:pPr>
      <w:pageBreakBefore/>
      <w:tabs>
        <w:tab w:val="left" w:pos="4144"/>
        <w:tab w:val="clear" w:pos="480"/>
      </w:tabs>
      <w:adjustRightInd w:val="0"/>
      <w:snapToGrid w:val="0"/>
      <w:spacing w:before="0" w:beforeLines="200" w:after="0" w:afterLines="100"/>
      <w:ind w:firstLine="480" w:firstLineChars="200"/>
      <w:jc w:val="center"/>
    </w:pPr>
    <w:rPr>
      <w:rFonts w:ascii="黑体" w:eastAsia="黑体"/>
      <w:b w:val="0"/>
      <w:kern w:val="0"/>
      <w:sz w:val="44"/>
      <w:szCs w:val="20"/>
      <w:lang w:val="en-US"/>
    </w:rPr>
  </w:style>
  <w:style w:type="character" w:customStyle="1" w:styleId="3443">
    <w:name w:val="text Char Char Char Char Char Char"/>
    <w:link w:val="3444"/>
    <w:qFormat/>
    <w:uiPriority w:val="0"/>
    <w:rPr>
      <w:rFonts w:ascii="黑体"/>
      <w:sz w:val="28"/>
      <w:szCs w:val="24"/>
    </w:rPr>
  </w:style>
  <w:style w:type="paragraph" w:customStyle="1" w:styleId="3444">
    <w:name w:val="text Char Char Char Char"/>
    <w:basedOn w:val="1"/>
    <w:link w:val="3443"/>
    <w:qFormat/>
    <w:uiPriority w:val="0"/>
    <w:pPr>
      <w:tabs>
        <w:tab w:val="clear" w:pos="480"/>
      </w:tabs>
      <w:ind w:firstLine="563"/>
    </w:pPr>
    <w:rPr>
      <w:rFonts w:ascii="黑体"/>
      <w:kern w:val="0"/>
      <w:sz w:val="28"/>
    </w:rPr>
  </w:style>
  <w:style w:type="character" w:customStyle="1" w:styleId="3445">
    <w:name w:val="正文样式 Char Char Char Char"/>
    <w:link w:val="3446"/>
    <w:qFormat/>
    <w:uiPriority w:val="0"/>
    <w:rPr>
      <w:rFonts w:cs="宋体"/>
      <w:sz w:val="24"/>
      <w:szCs w:val="24"/>
    </w:rPr>
  </w:style>
  <w:style w:type="paragraph" w:customStyle="1" w:styleId="3446">
    <w:name w:val="正文样式 Char Char"/>
    <w:basedOn w:val="85"/>
    <w:link w:val="3445"/>
    <w:qFormat/>
    <w:uiPriority w:val="0"/>
    <w:pPr>
      <w:topLinePunct/>
      <w:spacing w:after="0" w:line="300" w:lineRule="auto"/>
      <w:ind w:firstLine="200" w:firstLineChars="200"/>
    </w:pPr>
    <w:rPr>
      <w:rFonts w:cs="宋体"/>
      <w:kern w:val="0"/>
      <w:sz w:val="24"/>
    </w:rPr>
  </w:style>
  <w:style w:type="character" w:customStyle="1" w:styleId="3447">
    <w:name w:val="surname"/>
    <w:basedOn w:val="133"/>
    <w:qFormat/>
    <w:uiPriority w:val="0"/>
  </w:style>
  <w:style w:type="character" w:customStyle="1" w:styleId="3448">
    <w:name w:val="hj"/>
    <w:basedOn w:val="133"/>
    <w:qFormat/>
    <w:uiPriority w:val="0"/>
  </w:style>
  <w:style w:type="character" w:customStyle="1" w:styleId="3449">
    <w:name w:val="Char6 Char Char"/>
    <w:qFormat/>
    <w:uiPriority w:val="0"/>
    <w:rPr>
      <w:rFonts w:eastAsia="宋体"/>
      <w:kern w:val="2"/>
      <w:sz w:val="18"/>
      <w:szCs w:val="18"/>
      <w:lang w:val="en-US" w:eastAsia="zh-CN" w:bidi="ar-SA"/>
    </w:rPr>
  </w:style>
  <w:style w:type="character" w:customStyle="1" w:styleId="3450">
    <w:name w:val="Char9 Char Char"/>
    <w:qFormat/>
    <w:uiPriority w:val="0"/>
    <w:rPr>
      <w:rFonts w:eastAsia="宋体"/>
      <w:kern w:val="2"/>
      <w:sz w:val="18"/>
      <w:lang w:val="en-US" w:eastAsia="zh-CN" w:bidi="ar-SA"/>
    </w:rPr>
  </w:style>
  <w:style w:type="character" w:customStyle="1" w:styleId="3451">
    <w:name w:val="上海LNG1 Char Char"/>
    <w:link w:val="3352"/>
    <w:qFormat/>
    <w:uiPriority w:val="0"/>
    <w:rPr>
      <w:rFonts w:ascii="Calibri" w:hAnsi="Calibri"/>
      <w:b/>
      <w:kern w:val="2"/>
      <w:sz w:val="24"/>
      <w:szCs w:val="24"/>
    </w:rPr>
  </w:style>
  <w:style w:type="character" w:customStyle="1" w:styleId="3452">
    <w:name w:val="正文1 Char1"/>
    <w:qFormat/>
    <w:uiPriority w:val="0"/>
    <w:rPr>
      <w:rFonts w:ascii="Times New Roman" w:hAnsi="Times New Roman" w:eastAsia="仿宋_GB2312" w:cs="Times New Roman"/>
      <w:sz w:val="28"/>
      <w:szCs w:val="28"/>
    </w:rPr>
  </w:style>
  <w:style w:type="character" w:customStyle="1" w:styleId="3453">
    <w:name w:val="样式 首行缩进:  2 字符2 Char Char"/>
    <w:link w:val="1099"/>
    <w:qFormat/>
    <w:uiPriority w:val="0"/>
    <w:rPr>
      <w:rFonts w:ascii="宋体" w:hAnsi="宋体" w:cs="宋体"/>
      <w:sz w:val="24"/>
      <w:szCs w:val="28"/>
    </w:rPr>
  </w:style>
  <w:style w:type="character" w:customStyle="1" w:styleId="3454">
    <w:name w:val="样式 标题 2 + 红色 Char Char"/>
    <w:qFormat/>
    <w:uiPriority w:val="0"/>
    <w:rPr>
      <w:rFonts w:ascii="Arial" w:hAnsi="Arial" w:eastAsia="黑体"/>
      <w:b/>
      <w:bCs/>
      <w:color w:val="FF0000"/>
      <w:spacing w:val="20"/>
      <w:kern w:val="2"/>
      <w:sz w:val="30"/>
      <w:lang w:val="en-US" w:eastAsia="zh-CN" w:bidi="ar-SA"/>
    </w:rPr>
  </w:style>
  <w:style w:type="character" w:customStyle="1" w:styleId="3455">
    <w:name w:val="c11"/>
    <w:qFormat/>
    <w:uiPriority w:val="0"/>
    <w:rPr>
      <w:rFonts w:hint="default" w:ascii="Arial" w:hAnsi="Arial" w:cs="Arial"/>
      <w:color w:val="000000"/>
      <w:sz w:val="21"/>
      <w:szCs w:val="21"/>
      <w:u w:val="none"/>
    </w:rPr>
  </w:style>
  <w:style w:type="character" w:customStyle="1" w:styleId="3456">
    <w:name w:val="样式 正文缩进文本条款表格标题正文（首行缩进两字） Char Char Char Char Char Char Char... Char Char"/>
    <w:link w:val="3457"/>
    <w:qFormat/>
    <w:uiPriority w:val="0"/>
    <w:rPr>
      <w:rFonts w:cs="宋体"/>
      <w:bCs/>
      <w:sz w:val="28"/>
    </w:rPr>
  </w:style>
  <w:style w:type="paragraph" w:customStyle="1" w:styleId="3457">
    <w:name w:val="样式 正文缩进文本条款表格标题正文（首行缩进两字） Char Char Char Char Char Char Char..."/>
    <w:basedOn w:val="21"/>
    <w:link w:val="3456"/>
    <w:qFormat/>
    <w:uiPriority w:val="0"/>
    <w:pPr>
      <w:tabs>
        <w:tab w:val="left" w:pos="283"/>
        <w:tab w:val="clear" w:pos="480"/>
      </w:tabs>
      <w:adjustRightInd w:val="0"/>
      <w:snapToGrid w:val="0"/>
      <w:spacing w:line="520" w:lineRule="atLeast"/>
      <w:ind w:firstLine="200"/>
    </w:pPr>
    <w:rPr>
      <w:rFonts w:cs="宋体"/>
      <w:bCs/>
      <w:kern w:val="0"/>
      <w:sz w:val="28"/>
      <w:szCs w:val="20"/>
    </w:rPr>
  </w:style>
  <w:style w:type="character" w:customStyle="1" w:styleId="3458">
    <w:name w:val="样式 宋体 小四 Char"/>
    <w:qFormat/>
    <w:uiPriority w:val="0"/>
    <w:rPr>
      <w:rFonts w:ascii="宋体" w:hAnsi="宋体" w:eastAsia="宋体"/>
      <w:kern w:val="2"/>
      <w:sz w:val="24"/>
      <w:szCs w:val="24"/>
      <w:lang w:val="en-US" w:eastAsia="zh-CN" w:bidi="ar-SA"/>
    </w:rPr>
  </w:style>
  <w:style w:type="character" w:customStyle="1" w:styleId="3459">
    <w:name w:val="表中文字 Char1"/>
    <w:link w:val="814"/>
    <w:qFormat/>
    <w:uiPriority w:val="0"/>
    <w:rPr>
      <w:kern w:val="2"/>
      <w:sz w:val="21"/>
      <w:szCs w:val="24"/>
    </w:rPr>
  </w:style>
  <w:style w:type="character" w:customStyle="1" w:styleId="3460">
    <w:name w:val="Char11 Char Char"/>
    <w:qFormat/>
    <w:uiPriority w:val="0"/>
    <w:rPr>
      <w:rFonts w:eastAsia="宋体"/>
      <w:kern w:val="2"/>
      <w:sz w:val="21"/>
      <w:lang w:val="en-US" w:eastAsia="zh-CN" w:bidi="ar-SA"/>
    </w:rPr>
  </w:style>
  <w:style w:type="character" w:customStyle="1" w:styleId="3461">
    <w:name w:val="Char10 Char Char"/>
    <w:qFormat/>
    <w:uiPriority w:val="0"/>
    <w:rPr>
      <w:rFonts w:eastAsia="宋体"/>
      <w:kern w:val="2"/>
      <w:sz w:val="18"/>
      <w:lang w:val="en-US" w:eastAsia="zh-CN" w:bidi="ar-SA"/>
    </w:rPr>
  </w:style>
  <w:style w:type="character" w:customStyle="1" w:styleId="3462">
    <w:name w:val="正文new Char Char"/>
    <w:link w:val="3463"/>
    <w:qFormat/>
    <w:uiPriority w:val="0"/>
    <w:rPr>
      <w:color w:val="000000"/>
      <w:sz w:val="24"/>
      <w:szCs w:val="24"/>
    </w:rPr>
  </w:style>
  <w:style w:type="paragraph" w:customStyle="1" w:styleId="3463">
    <w:name w:val="正文new"/>
    <w:basedOn w:val="1"/>
    <w:next w:val="1"/>
    <w:link w:val="3462"/>
    <w:qFormat/>
    <w:uiPriority w:val="0"/>
    <w:pPr>
      <w:tabs>
        <w:tab w:val="clear" w:pos="480"/>
      </w:tabs>
      <w:adjustRightInd w:val="0"/>
      <w:snapToGrid w:val="0"/>
      <w:ind w:firstLine="480"/>
    </w:pPr>
    <w:rPr>
      <w:color w:val="000000"/>
      <w:kern w:val="0"/>
    </w:rPr>
  </w:style>
  <w:style w:type="paragraph" w:customStyle="1" w:styleId="3464">
    <w:name w:val="首行缩进:  5 字符"/>
    <w:basedOn w:val="1"/>
    <w:qFormat/>
    <w:uiPriority w:val="0"/>
    <w:pPr>
      <w:tabs>
        <w:tab w:val="clear" w:pos="480"/>
      </w:tabs>
      <w:ind w:firstLine="1200" w:firstLineChars="500"/>
    </w:pPr>
    <w:rPr>
      <w:rFonts w:cs="宋体"/>
      <w:kern w:val="0"/>
      <w:szCs w:val="20"/>
    </w:rPr>
  </w:style>
  <w:style w:type="character" w:customStyle="1" w:styleId="3465">
    <w:name w:val="HTML 预设格式 字符"/>
    <w:link w:val="80"/>
    <w:qFormat/>
    <w:uiPriority w:val="0"/>
    <w:rPr>
      <w:rFonts w:ascii="宋体" w:hAnsi="宋体" w:cs="宋体"/>
      <w:sz w:val="24"/>
      <w:szCs w:val="24"/>
    </w:rPr>
  </w:style>
  <w:style w:type="paragraph" w:customStyle="1" w:styleId="3466">
    <w:name w:val="责任表"/>
    <w:basedOn w:val="1"/>
    <w:qFormat/>
    <w:uiPriority w:val="0"/>
    <w:pPr>
      <w:tabs>
        <w:tab w:val="clear" w:pos="480"/>
      </w:tabs>
      <w:ind w:firstLine="480"/>
      <w:jc w:val="center"/>
    </w:pPr>
    <w:rPr>
      <w:b/>
      <w:bCs/>
      <w:caps/>
      <w:snapToGrid w:val="0"/>
      <w:kern w:val="10"/>
      <w:sz w:val="36"/>
      <w:szCs w:val="20"/>
    </w:rPr>
  </w:style>
  <w:style w:type="paragraph" w:customStyle="1" w:styleId="3467">
    <w:name w:val="样式 样式1 + 首行缩进:  2 字符"/>
    <w:basedOn w:val="1"/>
    <w:qFormat/>
    <w:uiPriority w:val="0"/>
    <w:pPr>
      <w:tabs>
        <w:tab w:val="clear" w:pos="480"/>
      </w:tabs>
      <w:spacing w:line="440" w:lineRule="atLeast"/>
      <w:ind w:firstLine="480"/>
    </w:pPr>
    <w:rPr>
      <w:szCs w:val="20"/>
    </w:rPr>
  </w:style>
  <w:style w:type="paragraph" w:customStyle="1" w:styleId="3468">
    <w:name w:val="样式 单位 + 首行缩进:  2 字符 右侧:  0.63 厘米"/>
    <w:basedOn w:val="3469"/>
    <w:qFormat/>
    <w:uiPriority w:val="0"/>
    <w:pPr>
      <w:tabs>
        <w:tab w:val="left" w:pos="4144"/>
      </w:tabs>
      <w:ind w:right="360" w:firstLine="480"/>
    </w:pPr>
    <w:rPr>
      <w:rFonts w:cs="宋体"/>
      <w:sz w:val="21"/>
      <w:szCs w:val="21"/>
    </w:rPr>
  </w:style>
  <w:style w:type="paragraph" w:customStyle="1" w:styleId="3469">
    <w:name w:val="单位"/>
    <w:basedOn w:val="1"/>
    <w:qFormat/>
    <w:uiPriority w:val="0"/>
    <w:pPr>
      <w:tabs>
        <w:tab w:val="left" w:pos="4144"/>
        <w:tab w:val="clear" w:pos="480"/>
      </w:tabs>
      <w:adjustRightInd w:val="0"/>
      <w:snapToGrid w:val="0"/>
      <w:spacing w:beforeLines="50" w:afterLines="50" w:line="0" w:lineRule="atLeast"/>
      <w:ind w:firstLine="595"/>
      <w:jc w:val="right"/>
    </w:pPr>
    <w:rPr>
      <w:rFonts w:eastAsia="黑体"/>
      <w:color w:val="000000"/>
      <w:kern w:val="0"/>
      <w:szCs w:val="20"/>
    </w:rPr>
  </w:style>
  <w:style w:type="paragraph" w:customStyle="1" w:styleId="3470">
    <w:name w:val="样式 宋体 加宽量  1 磅 首行缩进:  6 字符"/>
    <w:basedOn w:val="1"/>
    <w:qFormat/>
    <w:uiPriority w:val="0"/>
    <w:pPr>
      <w:tabs>
        <w:tab w:val="clear" w:pos="480"/>
      </w:tabs>
      <w:ind w:firstLine="1680" w:firstLineChars="600"/>
    </w:pPr>
    <w:rPr>
      <w:rFonts w:ascii="宋体" w:hAnsi="宋体" w:cs="宋体"/>
      <w:kern w:val="0"/>
    </w:rPr>
  </w:style>
  <w:style w:type="paragraph" w:customStyle="1" w:styleId="3471">
    <w:name w:val="表格五号"/>
    <w:basedOn w:val="1"/>
    <w:qFormat/>
    <w:uiPriority w:val="0"/>
    <w:pPr>
      <w:tabs>
        <w:tab w:val="clear" w:pos="480"/>
      </w:tabs>
      <w:adjustRightInd w:val="0"/>
      <w:snapToGrid w:val="0"/>
    </w:pPr>
    <w:rPr>
      <w:rFonts w:ascii="宋体" w:hAnsi="宋体"/>
      <w:szCs w:val="21"/>
    </w:rPr>
  </w:style>
  <w:style w:type="paragraph" w:customStyle="1" w:styleId="3472">
    <w:name w:val="Char Char Char2 Char"/>
    <w:basedOn w:val="1"/>
    <w:qFormat/>
    <w:uiPriority w:val="0"/>
    <w:pPr>
      <w:tabs>
        <w:tab w:val="clear" w:pos="480"/>
      </w:tabs>
    </w:pPr>
  </w:style>
  <w:style w:type="paragraph" w:customStyle="1" w:styleId="3473">
    <w:name w:val="默认段落字体 Para Char Char Char1 Char"/>
    <w:basedOn w:val="1"/>
    <w:qFormat/>
    <w:uiPriority w:val="0"/>
    <w:pPr>
      <w:tabs>
        <w:tab w:val="clear" w:pos="480"/>
      </w:tabs>
    </w:pPr>
  </w:style>
  <w:style w:type="paragraph" w:customStyle="1" w:styleId="3474">
    <w:name w:val="标题 41"/>
    <w:basedOn w:val="1"/>
    <w:next w:val="1"/>
    <w:qFormat/>
    <w:uiPriority w:val="0"/>
    <w:pPr>
      <w:keepNext/>
      <w:keepLines/>
      <w:tabs>
        <w:tab w:val="left" w:pos="864"/>
        <w:tab w:val="clear" w:pos="480"/>
      </w:tabs>
      <w:adjustRightInd w:val="0"/>
      <w:snapToGrid w:val="0"/>
      <w:spacing w:before="50" w:after="50" w:line="312" w:lineRule="auto"/>
      <w:ind w:left="864" w:right="238" w:hanging="864"/>
      <w:jc w:val="left"/>
      <w:outlineLvl w:val="3"/>
    </w:pPr>
    <w:rPr>
      <w:rFonts w:hint="eastAsia" w:ascii="Arial" w:hAnsi="Arial"/>
      <w:szCs w:val="20"/>
    </w:rPr>
  </w:style>
  <w:style w:type="paragraph" w:customStyle="1" w:styleId="3475">
    <w:name w:val="样式7表名"/>
    <w:next w:val="3476"/>
    <w:qFormat/>
    <w:uiPriority w:val="0"/>
    <w:pPr>
      <w:spacing w:before="120" w:line="360" w:lineRule="auto"/>
      <w:jc w:val="center"/>
    </w:pPr>
    <w:rPr>
      <w:rFonts w:ascii="黑体" w:hAnsi="Times New Roman" w:eastAsia="黑体" w:cs="Times New Roman"/>
      <w:spacing w:val="60"/>
      <w:kern w:val="2"/>
      <w:sz w:val="24"/>
      <w:szCs w:val="24"/>
      <w:lang w:val="en-US" w:eastAsia="zh-CN" w:bidi="ar-SA"/>
    </w:rPr>
  </w:style>
  <w:style w:type="paragraph" w:customStyle="1" w:styleId="3476">
    <w:name w:val="样式8表号"/>
    <w:next w:val="3477"/>
    <w:qFormat/>
    <w:uiPriority w:val="0"/>
    <w:pPr>
      <w:spacing w:line="360" w:lineRule="auto"/>
      <w:ind w:firstLine="510"/>
      <w:jc w:val="both"/>
    </w:pPr>
    <w:rPr>
      <w:rFonts w:ascii="Times New Roman" w:hAnsi="Times New Roman" w:eastAsia="宋体" w:cs="Times New Roman"/>
      <w:kern w:val="2"/>
      <w:sz w:val="24"/>
      <w:szCs w:val="24"/>
      <w:lang w:val="en-US" w:eastAsia="zh-CN" w:bidi="ar-SA"/>
    </w:rPr>
  </w:style>
  <w:style w:type="paragraph" w:customStyle="1" w:styleId="3477">
    <w:name w:val="样式9表格"/>
    <w:next w:val="1"/>
    <w:qFormat/>
    <w:uiPriority w:val="0"/>
    <w:pPr>
      <w:spacing w:before="120" w:line="300" w:lineRule="auto"/>
      <w:jc w:val="center"/>
    </w:pPr>
    <w:rPr>
      <w:rFonts w:ascii="Times New Roman" w:hAnsi="Times New Roman" w:eastAsia="宋体" w:cs="Times New Roman"/>
      <w:kern w:val="2"/>
      <w:sz w:val="24"/>
      <w:szCs w:val="24"/>
      <w:lang w:val="en-US" w:eastAsia="zh-CN" w:bidi="ar-SA"/>
    </w:rPr>
  </w:style>
  <w:style w:type="paragraph" w:customStyle="1" w:styleId="3478">
    <w:name w:val="Char Char Char Char Char Char Char Char1 Char Char Char Char Char Char Char"/>
    <w:basedOn w:val="1"/>
    <w:qFormat/>
    <w:uiPriority w:val="0"/>
    <w:pPr>
      <w:tabs>
        <w:tab w:val="clear" w:pos="480"/>
      </w:tabs>
    </w:pPr>
  </w:style>
  <w:style w:type="paragraph" w:customStyle="1" w:styleId="3479">
    <w:name w:val="单元格"/>
    <w:basedOn w:val="1"/>
    <w:qFormat/>
    <w:uiPriority w:val="0"/>
    <w:pPr>
      <w:widowControl/>
      <w:tabs>
        <w:tab w:val="clear" w:pos="480"/>
      </w:tabs>
      <w:adjustRightInd w:val="0"/>
      <w:snapToGrid w:val="0"/>
      <w:spacing w:line="320" w:lineRule="exact"/>
      <w:jc w:val="center"/>
    </w:pPr>
    <w:rPr>
      <w:rFonts w:ascii="宋体" w:hAnsi="宋体"/>
      <w:kern w:val="0"/>
      <w:szCs w:val="20"/>
    </w:rPr>
  </w:style>
  <w:style w:type="paragraph" w:customStyle="1" w:styleId="3480">
    <w:name w:val="正文居中"/>
    <w:basedOn w:val="1"/>
    <w:qFormat/>
    <w:uiPriority w:val="0"/>
    <w:pPr>
      <w:tabs>
        <w:tab w:val="clear" w:pos="480"/>
      </w:tabs>
      <w:adjustRightInd w:val="0"/>
      <w:snapToGrid w:val="0"/>
      <w:spacing w:beforeLines="50" w:afterLines="50" w:line="300" w:lineRule="auto"/>
      <w:jc w:val="center"/>
    </w:pPr>
    <w:rPr>
      <w:rFonts w:cs="宋体"/>
      <w:sz w:val="28"/>
      <w:szCs w:val="20"/>
    </w:rPr>
  </w:style>
  <w:style w:type="paragraph" w:customStyle="1" w:styleId="3481">
    <w:name w:val="封面表格"/>
    <w:basedOn w:val="1"/>
    <w:qFormat/>
    <w:uiPriority w:val="0"/>
    <w:pPr>
      <w:tabs>
        <w:tab w:val="clear" w:pos="480"/>
      </w:tabs>
      <w:adjustRightInd w:val="0"/>
      <w:snapToGrid w:val="0"/>
      <w:spacing w:beforeLines="50" w:afterLines="50" w:line="300" w:lineRule="auto"/>
      <w:jc w:val="center"/>
    </w:pPr>
    <w:rPr>
      <w:b/>
      <w:bCs/>
      <w:sz w:val="32"/>
      <w:szCs w:val="28"/>
    </w:rPr>
  </w:style>
  <w:style w:type="paragraph" w:customStyle="1" w:styleId="3482">
    <w:name w:val="页眉头"/>
    <w:basedOn w:val="57"/>
    <w:qFormat/>
    <w:uiPriority w:val="0"/>
    <w:pPr>
      <w:pBdr>
        <w:bottom w:val="none" w:color="auto" w:sz="0" w:space="0"/>
      </w:pBdr>
      <w:tabs>
        <w:tab w:val="clear" w:pos="480"/>
      </w:tabs>
      <w:adjustRightInd w:val="0"/>
      <w:spacing w:beforeLines="50" w:afterLines="50"/>
      <w:ind w:left="238" w:right="238" w:firstLine="454"/>
    </w:pPr>
    <w:rPr>
      <w:color w:val="000000"/>
      <w:kern w:val="0"/>
    </w:rPr>
  </w:style>
  <w:style w:type="paragraph" w:customStyle="1" w:styleId="3483">
    <w:name w:val="样式 表头居中 + 小四"/>
    <w:basedOn w:val="1"/>
    <w:qFormat/>
    <w:uiPriority w:val="0"/>
    <w:pPr>
      <w:tabs>
        <w:tab w:val="left" w:pos="4144"/>
        <w:tab w:val="clear" w:pos="480"/>
      </w:tabs>
      <w:overflowPunct w:val="0"/>
      <w:ind w:left="-1" w:leftChars="-1" w:hanging="2" w:hangingChars="1"/>
      <w:jc w:val="center"/>
    </w:pPr>
    <w:rPr>
      <w:rFonts w:hAnsi="宋体"/>
      <w:color w:val="000000"/>
      <w:kern w:val="0"/>
      <w:szCs w:val="21"/>
    </w:rPr>
  </w:style>
  <w:style w:type="paragraph" w:customStyle="1" w:styleId="3484">
    <w:name w:val="CM5"/>
    <w:basedOn w:val="151"/>
    <w:next w:val="151"/>
    <w:qFormat/>
    <w:uiPriority w:val="0"/>
    <w:pPr>
      <w:jc w:val="left"/>
    </w:pPr>
    <w:rPr>
      <w:rFonts w:ascii="宋体" w:eastAsia="宋体" w:cs="Times New Roman"/>
      <w:color w:val="auto"/>
    </w:rPr>
  </w:style>
  <w:style w:type="paragraph" w:customStyle="1" w:styleId="3485">
    <w:name w:val="样式 样式 样式 标题 4款标题1.1.1.1 + 段前: 0.25 行 段后: 0.25 行 + 段前: 0.25 行 段后:...3"/>
    <w:basedOn w:val="1"/>
    <w:qFormat/>
    <w:uiPriority w:val="0"/>
    <w:pPr>
      <w:tabs>
        <w:tab w:val="left" w:pos="283"/>
        <w:tab w:val="left" w:pos="5404"/>
        <w:tab w:val="clear" w:pos="480"/>
      </w:tabs>
      <w:snapToGrid w:val="0"/>
      <w:spacing w:beforeLines="25" w:afterLines="25" w:line="520" w:lineRule="atLeast"/>
      <w:ind w:left="5404" w:hanging="708"/>
      <w:outlineLvl w:val="3"/>
    </w:pPr>
    <w:rPr>
      <w:rFonts w:cs="宋体"/>
      <w:b/>
      <w:bCs/>
      <w:sz w:val="28"/>
      <w:szCs w:val="20"/>
    </w:rPr>
  </w:style>
  <w:style w:type="paragraph" w:customStyle="1" w:styleId="3486">
    <w:name w:val="默认段落字体 Para Char Char Char1 Char Char Char1 Char"/>
    <w:basedOn w:val="1"/>
    <w:qFormat/>
    <w:uiPriority w:val="0"/>
    <w:pPr>
      <w:tabs>
        <w:tab w:val="clear" w:pos="480"/>
      </w:tabs>
    </w:pPr>
  </w:style>
  <w:style w:type="paragraph" w:customStyle="1" w:styleId="3487">
    <w:name w:val="e"/>
    <w:basedOn w:val="1"/>
    <w:qFormat/>
    <w:uiPriority w:val="0"/>
    <w:pPr>
      <w:tabs>
        <w:tab w:val="clear" w:pos="480"/>
      </w:tabs>
      <w:jc w:val="center"/>
    </w:pPr>
    <w:rPr>
      <w:szCs w:val="20"/>
    </w:rPr>
  </w:style>
  <w:style w:type="paragraph" w:customStyle="1" w:styleId="3488">
    <w:name w:val="样式2－表格"/>
    <w:basedOn w:val="1"/>
    <w:next w:val="1"/>
    <w:qFormat/>
    <w:uiPriority w:val="0"/>
    <w:pPr>
      <w:tabs>
        <w:tab w:val="left" w:pos="427"/>
        <w:tab w:val="clear" w:pos="480"/>
      </w:tabs>
      <w:spacing w:line="360" w:lineRule="exact"/>
      <w:jc w:val="center"/>
    </w:pPr>
    <w:rPr>
      <w:kern w:val="28"/>
    </w:rPr>
  </w:style>
  <w:style w:type="paragraph" w:customStyle="1" w:styleId="3489">
    <w:name w:val="aaaaaaaaaa"/>
    <w:basedOn w:val="3490"/>
    <w:qFormat/>
    <w:uiPriority w:val="0"/>
    <w:pPr>
      <w:jc w:val="center"/>
    </w:pPr>
    <w:rPr>
      <w:rFonts w:cs="Times New Roman"/>
      <w:bCs w:val="0"/>
      <w:kern w:val="2"/>
      <w:sz w:val="36"/>
      <w:szCs w:val="36"/>
    </w:rPr>
  </w:style>
  <w:style w:type="paragraph" w:customStyle="1" w:styleId="3490">
    <w:name w:val="花1"/>
    <w:basedOn w:val="3491"/>
    <w:qFormat/>
    <w:uiPriority w:val="0"/>
    <w:pPr>
      <w:spacing w:beforeLines="0" w:afterLines="0"/>
    </w:pPr>
    <w:rPr>
      <w:rFonts w:cs="宋体"/>
      <w:bCs/>
      <w:szCs w:val="20"/>
    </w:rPr>
  </w:style>
  <w:style w:type="paragraph" w:customStyle="1" w:styleId="3491">
    <w:name w:val="LNG－标题1"/>
    <w:basedOn w:val="1"/>
    <w:qFormat/>
    <w:uiPriority w:val="0"/>
    <w:pPr>
      <w:tabs>
        <w:tab w:val="clear" w:pos="480"/>
      </w:tabs>
      <w:spacing w:beforeLines="50" w:afterLines="50"/>
      <w:textAlignment w:val="center"/>
    </w:pPr>
    <w:rPr>
      <w:b/>
      <w:kern w:val="0"/>
      <w:sz w:val="32"/>
      <w:szCs w:val="32"/>
    </w:rPr>
  </w:style>
  <w:style w:type="paragraph" w:customStyle="1" w:styleId="3492">
    <w:name w:val="样式 表头 + (中文) 黑体"/>
    <w:basedOn w:val="166"/>
    <w:qFormat/>
    <w:uiPriority w:val="0"/>
    <w:pPr>
      <w:adjustRightInd w:val="0"/>
      <w:snapToGrid w:val="0"/>
    </w:pPr>
    <w:rPr>
      <w:rFonts w:eastAsia="黑体"/>
      <w:snapToGrid/>
      <w:color w:val="auto"/>
      <w:spacing w:val="6"/>
      <w:position w:val="10"/>
      <w:sz w:val="24"/>
      <w:szCs w:val="24"/>
    </w:rPr>
  </w:style>
  <w:style w:type="paragraph" w:customStyle="1" w:styleId="3493">
    <w:name w:val="Char Char Char Char Char Char Char Char Char Char Char Char Char Char Char Char Char Char1 Char Char Char Char"/>
    <w:basedOn w:val="1"/>
    <w:qFormat/>
    <w:uiPriority w:val="0"/>
    <w:pPr>
      <w:tabs>
        <w:tab w:val="clear" w:pos="480"/>
      </w:tabs>
    </w:pPr>
  </w:style>
  <w:style w:type="paragraph" w:customStyle="1" w:styleId="3494">
    <w:name w:val="样式 标题 2 + 左侧:  0 厘米 首行缩进:  0 厘米"/>
    <w:basedOn w:val="1"/>
    <w:qFormat/>
    <w:uiPriority w:val="0"/>
    <w:pPr>
      <w:tabs>
        <w:tab w:val="clear" w:pos="480"/>
      </w:tabs>
    </w:pPr>
  </w:style>
  <w:style w:type="paragraph" w:customStyle="1" w:styleId="3495">
    <w:name w:val="规划正文"/>
    <w:basedOn w:val="1"/>
    <w:qFormat/>
    <w:uiPriority w:val="0"/>
    <w:pPr>
      <w:widowControl/>
      <w:tabs>
        <w:tab w:val="clear" w:pos="480"/>
      </w:tabs>
      <w:jc w:val="left"/>
    </w:pPr>
    <w:rPr>
      <w:kern w:val="0"/>
      <w:sz w:val="28"/>
      <w:szCs w:val="28"/>
    </w:rPr>
  </w:style>
  <w:style w:type="paragraph" w:customStyle="1" w:styleId="3496">
    <w:name w:val="观音岩正文段落"/>
    <w:basedOn w:val="1250"/>
    <w:qFormat/>
    <w:uiPriority w:val="0"/>
    <w:pPr>
      <w:widowControl w:val="0"/>
      <w:adjustRightInd w:val="0"/>
      <w:snapToGrid w:val="0"/>
      <w:spacing w:beforeLines="50" w:afterLines="50" w:line="360" w:lineRule="auto"/>
      <w:ind w:firstLine="200"/>
      <w:jc w:val="both"/>
    </w:pPr>
    <w:rPr>
      <w:rFonts w:hAnsi="Calibri"/>
      <w:kern w:val="2"/>
      <w:szCs w:val="20"/>
    </w:rPr>
  </w:style>
  <w:style w:type="paragraph" w:customStyle="1" w:styleId="3497">
    <w:name w:val="正文3号"/>
    <w:basedOn w:val="1"/>
    <w:qFormat/>
    <w:uiPriority w:val="0"/>
    <w:pPr>
      <w:tabs>
        <w:tab w:val="clear" w:pos="480"/>
      </w:tabs>
      <w:adjustRightInd w:val="0"/>
      <w:snapToGrid w:val="0"/>
      <w:spacing w:beforeLines="50" w:afterLines="50"/>
      <w:jc w:val="center"/>
    </w:pPr>
    <w:rPr>
      <w:bCs/>
      <w:sz w:val="32"/>
      <w:szCs w:val="28"/>
    </w:rPr>
  </w:style>
  <w:style w:type="paragraph" w:customStyle="1" w:styleId="3498">
    <w:name w:val="封面大标题"/>
    <w:basedOn w:val="1"/>
    <w:qFormat/>
    <w:uiPriority w:val="0"/>
    <w:pPr>
      <w:tabs>
        <w:tab w:val="clear" w:pos="480"/>
      </w:tabs>
      <w:adjustRightInd w:val="0"/>
      <w:snapToGrid w:val="0"/>
      <w:spacing w:beforeLines="50" w:afterLines="50" w:line="300" w:lineRule="auto"/>
      <w:jc w:val="center"/>
    </w:pPr>
    <w:rPr>
      <w:b/>
      <w:bCs/>
      <w:sz w:val="44"/>
      <w:szCs w:val="28"/>
    </w:rPr>
  </w:style>
  <w:style w:type="paragraph" w:customStyle="1" w:styleId="3499">
    <w:name w:val="封面6"/>
    <w:basedOn w:val="189"/>
    <w:next w:val="1"/>
    <w:qFormat/>
    <w:uiPriority w:val="0"/>
    <w:pPr>
      <w:tabs>
        <w:tab w:val="left" w:pos="4144"/>
        <w:tab w:val="clear" w:pos="432"/>
      </w:tabs>
      <w:adjustRightInd w:val="0"/>
      <w:snapToGrid w:val="0"/>
      <w:spacing w:beforeLines="50" w:afterLines="50" w:line="360" w:lineRule="auto"/>
      <w:ind w:firstLine="480" w:firstLineChars="200"/>
    </w:pPr>
    <w:rPr>
      <w:rFonts w:ascii="华文新魏" w:hAnsi="Times New Roman" w:eastAsia="华文新魏"/>
      <w:kern w:val="0"/>
      <w:sz w:val="32"/>
      <w:lang w:val="en-US"/>
    </w:rPr>
  </w:style>
  <w:style w:type="paragraph" w:customStyle="1" w:styleId="3500">
    <w:name w:val="样式 报告插图 + 首行缩进:  0 字符"/>
    <w:basedOn w:val="3501"/>
    <w:qFormat/>
    <w:uiPriority w:val="0"/>
    <w:pPr>
      <w:tabs>
        <w:tab w:val="left" w:pos="4144"/>
      </w:tabs>
      <w:ind w:firstLine="0"/>
    </w:pPr>
    <w:rPr>
      <w:rFonts w:cs="宋体"/>
      <w:bCs/>
      <w:szCs w:val="20"/>
    </w:rPr>
  </w:style>
  <w:style w:type="paragraph" w:customStyle="1" w:styleId="3501">
    <w:name w:val="报告插图"/>
    <w:basedOn w:val="211"/>
    <w:next w:val="211"/>
    <w:qFormat/>
    <w:uiPriority w:val="0"/>
    <w:pPr>
      <w:tabs>
        <w:tab w:val="left" w:pos="4144"/>
      </w:tabs>
      <w:spacing w:before="120" w:after="120"/>
      <w:ind w:firstLine="617"/>
      <w:jc w:val="center"/>
    </w:pPr>
    <w:rPr>
      <w:rFonts w:ascii="Times New Roman"/>
      <w:b/>
      <w:kern w:val="0"/>
      <w:szCs w:val="24"/>
    </w:rPr>
  </w:style>
  <w:style w:type="paragraph" w:customStyle="1" w:styleId="3502">
    <w:name w:val="样式 观音岩正文段落 + 段前: 0.5 行 段后: 0.5 行"/>
    <w:basedOn w:val="1"/>
    <w:qFormat/>
    <w:uiPriority w:val="0"/>
    <w:pPr>
      <w:tabs>
        <w:tab w:val="clear" w:pos="480"/>
      </w:tabs>
      <w:adjustRightInd w:val="0"/>
      <w:snapToGrid w:val="0"/>
      <w:ind w:firstLine="482"/>
    </w:pPr>
    <w:rPr>
      <w:rFonts w:ascii="Arial" w:hAnsi="Arial" w:cs="宋体"/>
      <w:szCs w:val="20"/>
    </w:rPr>
  </w:style>
  <w:style w:type="paragraph" w:customStyle="1" w:styleId="3503">
    <w:name w:val="默认段落字体 Para Char Char Char Char Char Char Char Char Char Char Char Char Char Char Char Char1 Char Char Char"/>
    <w:basedOn w:val="1"/>
    <w:qFormat/>
    <w:uiPriority w:val="0"/>
    <w:pPr>
      <w:tabs>
        <w:tab w:val="clear" w:pos="480"/>
      </w:tabs>
    </w:pPr>
  </w:style>
  <w:style w:type="paragraph" w:customStyle="1" w:styleId="3504">
    <w:name w:val="Char Char Char Char Char2 Char Char Char1 Char Char Char Char Char Char Char Char Char Char Char Char Char"/>
    <w:basedOn w:val="1"/>
    <w:qFormat/>
    <w:uiPriority w:val="0"/>
    <w:pPr>
      <w:tabs>
        <w:tab w:val="clear" w:pos="480"/>
      </w:tabs>
    </w:pPr>
  </w:style>
  <w:style w:type="paragraph" w:customStyle="1" w:styleId="3505">
    <w:name w:val="LNG-标题3"/>
    <w:basedOn w:val="1"/>
    <w:qFormat/>
    <w:uiPriority w:val="0"/>
    <w:pPr>
      <w:tabs>
        <w:tab w:val="left" w:pos="0"/>
        <w:tab w:val="clear" w:pos="480"/>
      </w:tabs>
      <w:outlineLvl w:val="2"/>
    </w:pPr>
    <w:rPr>
      <w:b/>
    </w:rPr>
  </w:style>
  <w:style w:type="paragraph" w:customStyle="1" w:styleId="3506">
    <w:name w:val="正文缩进3"/>
    <w:basedOn w:val="1"/>
    <w:qFormat/>
    <w:uiPriority w:val="0"/>
    <w:pPr>
      <w:tabs>
        <w:tab w:val="clear" w:pos="480"/>
      </w:tabs>
      <w:ind w:firstLine="420"/>
    </w:pPr>
  </w:style>
  <w:style w:type="paragraph" w:customStyle="1" w:styleId="3507">
    <w:name w:val="LNG－标题2"/>
    <w:basedOn w:val="1"/>
    <w:qFormat/>
    <w:uiPriority w:val="0"/>
    <w:pPr>
      <w:tabs>
        <w:tab w:val="clear" w:pos="480"/>
      </w:tabs>
    </w:pPr>
    <w:rPr>
      <w:b/>
      <w:kern w:val="0"/>
      <w:sz w:val="28"/>
      <w:szCs w:val="28"/>
    </w:rPr>
  </w:style>
  <w:style w:type="paragraph" w:customStyle="1" w:styleId="3508">
    <w:name w:val="Char Char1 Char Char Char Char Char Char Char Char Char Char Char Char Char Char Char Char"/>
    <w:basedOn w:val="1"/>
    <w:qFormat/>
    <w:uiPriority w:val="0"/>
    <w:pPr>
      <w:tabs>
        <w:tab w:val="clear" w:pos="480"/>
      </w:tabs>
    </w:pPr>
  </w:style>
  <w:style w:type="paragraph" w:customStyle="1" w:styleId="3509">
    <w:name w:val="Char Char Char Char Char Char Char Char Char Char Char Char Char Char Char1 Char Char Char Char Char Char Char Char Char Char Char Char Char Char Char Char Char Char Char Char Char Char Char"/>
    <w:basedOn w:val="1"/>
    <w:qFormat/>
    <w:uiPriority w:val="0"/>
    <w:pPr>
      <w:tabs>
        <w:tab w:val="clear" w:pos="480"/>
      </w:tabs>
    </w:pPr>
  </w:style>
  <w:style w:type="paragraph" w:customStyle="1" w:styleId="3510">
    <w:name w:val="送审样式"/>
    <w:basedOn w:val="3511"/>
    <w:next w:val="1"/>
    <w:qFormat/>
    <w:uiPriority w:val="0"/>
    <w:pPr/>
  </w:style>
  <w:style w:type="paragraph" w:customStyle="1" w:styleId="3511">
    <w:name w:val="报告题目1"/>
    <w:basedOn w:val="1"/>
    <w:next w:val="1"/>
    <w:qFormat/>
    <w:uiPriority w:val="0"/>
    <w:pPr>
      <w:tabs>
        <w:tab w:val="clear" w:pos="480"/>
      </w:tabs>
      <w:spacing w:before="1200" w:line="240" w:lineRule="atLeast"/>
      <w:ind w:firstLine="480"/>
      <w:jc w:val="center"/>
    </w:pPr>
    <w:rPr>
      <w:rFonts w:eastAsia="黑体"/>
      <w:bCs/>
      <w:caps/>
      <w:snapToGrid w:val="0"/>
      <w:kern w:val="10"/>
      <w:sz w:val="50"/>
      <w:szCs w:val="20"/>
    </w:rPr>
  </w:style>
  <w:style w:type="paragraph" w:customStyle="1" w:styleId="3512">
    <w:name w:val="样式 段前: 2.4 磅 段后: 2.4 磅"/>
    <w:basedOn w:val="1"/>
    <w:qFormat/>
    <w:uiPriority w:val="0"/>
    <w:pPr>
      <w:tabs>
        <w:tab w:val="clear" w:pos="480"/>
      </w:tabs>
      <w:adjustRightInd w:val="0"/>
      <w:snapToGrid w:val="0"/>
      <w:spacing w:before="168" w:afterLines="20"/>
      <w:ind w:firstLine="510"/>
    </w:pPr>
    <w:rPr>
      <w:spacing w:val="6"/>
      <w:kern w:val="0"/>
      <w:szCs w:val="20"/>
    </w:rPr>
  </w:style>
  <w:style w:type="paragraph" w:customStyle="1" w:styleId="3513">
    <w:name w:val="表文居中"/>
    <w:basedOn w:val="573"/>
    <w:qFormat/>
    <w:uiPriority w:val="0"/>
    <w:pPr>
      <w:tabs>
        <w:tab w:val="left" w:pos="840"/>
        <w:tab w:val="clear" w:pos="1021"/>
      </w:tabs>
      <w:snapToGrid/>
      <w:spacing w:line="240" w:lineRule="atLeast"/>
      <w:textAlignment w:val="baseline"/>
    </w:pPr>
    <w:rPr>
      <w:spacing w:val="0"/>
    </w:rPr>
  </w:style>
  <w:style w:type="paragraph" w:customStyle="1" w:styleId="3514">
    <w:name w:val="Char1 Char Char Char Char Char Char Char Char Char1 Char Char Char"/>
    <w:basedOn w:val="1"/>
    <w:qFormat/>
    <w:uiPriority w:val="0"/>
    <w:pPr>
      <w:tabs>
        <w:tab w:val="clear" w:pos="480"/>
      </w:tabs>
    </w:pPr>
  </w:style>
  <w:style w:type="paragraph" w:customStyle="1" w:styleId="3515">
    <w:name w:val="Char Char Char Char Char Char Char Char Char Char Char Char Char Char Char1 Char Char Char Char Char Char Char"/>
    <w:basedOn w:val="1"/>
    <w:qFormat/>
    <w:uiPriority w:val="0"/>
    <w:pPr>
      <w:tabs>
        <w:tab w:val="clear" w:pos="480"/>
      </w:tabs>
    </w:pPr>
  </w:style>
  <w:style w:type="paragraph" w:customStyle="1" w:styleId="3516">
    <w:name w:val="表格左齐"/>
    <w:basedOn w:val="1"/>
    <w:qFormat/>
    <w:uiPriority w:val="0"/>
    <w:pPr>
      <w:tabs>
        <w:tab w:val="left" w:pos="4144"/>
        <w:tab w:val="clear" w:pos="480"/>
      </w:tabs>
      <w:overflowPunct w:val="0"/>
      <w:spacing w:beforeLines="50" w:afterLines="50" w:line="240" w:lineRule="exact"/>
      <w:ind w:firstLine="480"/>
      <w:jc w:val="center"/>
    </w:pPr>
    <w:rPr>
      <w:kern w:val="0"/>
      <w:szCs w:val="21"/>
    </w:rPr>
  </w:style>
  <w:style w:type="paragraph" w:customStyle="1" w:styleId="3517">
    <w:name w:val="样式 标题 4款标题1.1.1.1 + 段前: 0.25 行 段后: 0.25 行"/>
    <w:basedOn w:val="6"/>
    <w:qFormat/>
    <w:uiPriority w:val="0"/>
    <w:pPr>
      <w:keepNext w:val="0"/>
      <w:keepLines w:val="0"/>
      <w:numPr>
        <w:ilvl w:val="0"/>
        <w:numId w:val="0"/>
      </w:numPr>
      <w:tabs>
        <w:tab w:val="left" w:pos="283"/>
        <w:tab w:val="clear" w:pos="480"/>
      </w:tabs>
      <w:spacing w:before="0" w:beforeLines="25" w:after="0" w:afterLines="25" w:line="520" w:lineRule="atLeast"/>
      <w:ind w:firstLine="200" w:firstLineChars="200"/>
    </w:pPr>
    <w:rPr>
      <w:rFonts w:ascii="Times New Roman" w:hAnsi="Times New Roman" w:cs="宋体"/>
      <w:b w:val="0"/>
      <w:sz w:val="24"/>
      <w:szCs w:val="20"/>
      <w:lang w:val="en-US"/>
    </w:rPr>
  </w:style>
  <w:style w:type="paragraph" w:customStyle="1" w:styleId="3518">
    <w:name w:val="Char Char Char Char Char Char1 Char1 Char Char Char Char Char Char"/>
    <w:basedOn w:val="1"/>
    <w:qFormat/>
    <w:uiPriority w:val="0"/>
    <w:pPr>
      <w:tabs>
        <w:tab w:val="clear" w:pos="480"/>
      </w:tabs>
    </w:pPr>
  </w:style>
  <w:style w:type="paragraph" w:customStyle="1" w:styleId="3519">
    <w:name w:val="样式 样式 宋体 小五 + 左侧:  1.5 字符"/>
    <w:basedOn w:val="1"/>
    <w:qFormat/>
    <w:uiPriority w:val="0"/>
    <w:pPr>
      <w:tabs>
        <w:tab w:val="clear" w:pos="480"/>
      </w:tabs>
      <w:ind w:firstLine="150" w:firstLineChars="150"/>
    </w:pPr>
    <w:rPr>
      <w:rFonts w:ascii="宋体" w:hAnsi="宋体" w:cs="宋体"/>
      <w:sz w:val="18"/>
      <w:szCs w:val="20"/>
    </w:rPr>
  </w:style>
  <w:style w:type="paragraph" w:customStyle="1" w:styleId="3520">
    <w:name w:val="Char Char1 Char Char Char Char Char Char Char Char Char Char Char Char Char Char Char Char Char Char Char Char Char Char Char Char Char Char Char Char"/>
    <w:basedOn w:val="1"/>
    <w:qFormat/>
    <w:uiPriority w:val="0"/>
    <w:pPr>
      <w:tabs>
        <w:tab w:val="clear" w:pos="480"/>
      </w:tabs>
    </w:pPr>
  </w:style>
  <w:style w:type="paragraph" w:customStyle="1" w:styleId="3521">
    <w:name w:val="Char Char Char Char Char Char Char Char Char Char Char Char Char Char Char1 Char Char Char Char Char Char Char Char Char Char Char Char Char Char Char Char Char Char Char Char"/>
    <w:basedOn w:val="1"/>
    <w:qFormat/>
    <w:uiPriority w:val="0"/>
    <w:pPr>
      <w:tabs>
        <w:tab w:val="clear" w:pos="480"/>
      </w:tabs>
    </w:pPr>
  </w:style>
  <w:style w:type="paragraph" w:customStyle="1" w:styleId="3522">
    <w:name w:val="Char Char Char Char1 Char"/>
    <w:basedOn w:val="1"/>
    <w:qFormat/>
    <w:uiPriority w:val="0"/>
    <w:pPr>
      <w:tabs>
        <w:tab w:val="clear" w:pos="480"/>
      </w:tabs>
    </w:pPr>
  </w:style>
  <w:style w:type="character" w:customStyle="1" w:styleId="3523">
    <w:name w:val="z-窗体底端 Char1"/>
    <w:semiHidden/>
    <w:qFormat/>
    <w:uiPriority w:val="99"/>
    <w:rPr>
      <w:rFonts w:ascii="Arial" w:hAnsi="Arial" w:cs="Arial"/>
      <w:vanish/>
      <w:sz w:val="16"/>
      <w:szCs w:val="16"/>
    </w:rPr>
  </w:style>
  <w:style w:type="paragraph" w:customStyle="1" w:styleId="3524">
    <w:name w:val="环评样式"/>
    <w:basedOn w:val="1"/>
    <w:qFormat/>
    <w:uiPriority w:val="0"/>
    <w:pPr>
      <w:tabs>
        <w:tab w:val="clear" w:pos="480"/>
      </w:tabs>
      <w:adjustRightInd w:val="0"/>
      <w:snapToGrid w:val="0"/>
      <w:outlineLvl w:val="0"/>
    </w:pPr>
    <w:rPr>
      <w:rFonts w:ascii="仿宋_GB2312" w:hAnsi="Alaska" w:eastAsia="仿宋_GB2312"/>
      <w:kern w:val="0"/>
      <w:sz w:val="30"/>
      <w:szCs w:val="20"/>
    </w:rPr>
  </w:style>
  <w:style w:type="paragraph" w:customStyle="1" w:styleId="3525">
    <w:name w:val="Char Char11 Char Char"/>
    <w:basedOn w:val="1"/>
    <w:qFormat/>
    <w:uiPriority w:val="0"/>
    <w:pPr>
      <w:tabs>
        <w:tab w:val="clear" w:pos="480"/>
      </w:tabs>
    </w:pPr>
  </w:style>
  <w:style w:type="paragraph" w:customStyle="1" w:styleId="3526">
    <w:name w:val="目录名"/>
    <w:basedOn w:val="1"/>
    <w:next w:val="59"/>
    <w:qFormat/>
    <w:uiPriority w:val="0"/>
    <w:pPr>
      <w:tabs>
        <w:tab w:val="clear" w:pos="480"/>
      </w:tabs>
      <w:topLinePunct/>
      <w:ind w:firstLine="480"/>
      <w:jc w:val="center"/>
    </w:pPr>
    <w:rPr>
      <w:rFonts w:eastAsia="黑体"/>
      <w:caps/>
      <w:snapToGrid w:val="0"/>
      <w:kern w:val="10"/>
      <w:sz w:val="32"/>
      <w:szCs w:val="20"/>
    </w:rPr>
  </w:style>
  <w:style w:type="paragraph" w:customStyle="1" w:styleId="3527">
    <w:name w:val="小表文"/>
    <w:basedOn w:val="1"/>
    <w:qFormat/>
    <w:uiPriority w:val="0"/>
    <w:pPr>
      <w:tabs>
        <w:tab w:val="clear" w:pos="480"/>
      </w:tabs>
      <w:autoSpaceDE w:val="0"/>
      <w:autoSpaceDN w:val="0"/>
      <w:adjustRightInd w:val="0"/>
      <w:textAlignment w:val="baseline"/>
    </w:pPr>
    <w:rPr>
      <w:kern w:val="0"/>
      <w:szCs w:val="21"/>
    </w:rPr>
  </w:style>
  <w:style w:type="paragraph" w:customStyle="1" w:styleId="3528">
    <w:name w:val="Char Char Char Char Char Char Char Char Char1 Char Char Char Char Char Char Char Char Char Char"/>
    <w:basedOn w:val="1"/>
    <w:qFormat/>
    <w:uiPriority w:val="0"/>
    <w:pPr>
      <w:tabs>
        <w:tab w:val="clear" w:pos="480"/>
      </w:tabs>
    </w:pPr>
    <w:rPr>
      <w:sz w:val="28"/>
      <w:szCs w:val="28"/>
    </w:rPr>
  </w:style>
  <w:style w:type="paragraph" w:customStyle="1" w:styleId="3529">
    <w:name w:val="BT2"/>
    <w:basedOn w:val="4"/>
    <w:next w:val="1"/>
    <w:qFormat/>
    <w:uiPriority w:val="0"/>
    <w:pPr>
      <w:tabs>
        <w:tab w:val="clear" w:pos="480"/>
        <w:tab w:val="clear" w:pos="630"/>
      </w:tabs>
      <w:spacing w:before="120" w:line="240" w:lineRule="auto"/>
      <w:ind w:firstLine="200" w:firstLineChars="200"/>
      <w:jc w:val="center"/>
    </w:pPr>
    <w:rPr>
      <w:rFonts w:ascii="黑体"/>
      <w:bCs w:val="0"/>
      <w:sz w:val="28"/>
      <w:lang w:val="en-US"/>
    </w:rPr>
  </w:style>
  <w:style w:type="paragraph" w:customStyle="1" w:styleId="3530">
    <w:name w:val="第三级"/>
    <w:basedOn w:val="1"/>
    <w:next w:val="1"/>
    <w:qFormat/>
    <w:uiPriority w:val="0"/>
    <w:pPr>
      <w:widowControl/>
      <w:tabs>
        <w:tab w:val="clear" w:pos="480"/>
      </w:tabs>
      <w:spacing w:beforeLines="500" w:after="100"/>
      <w:jc w:val="left"/>
    </w:pPr>
    <w:rPr>
      <w:rFonts w:ascii="Verdana" w:hAnsi="Verdana" w:eastAsia="黑体"/>
      <w:kern w:val="0"/>
      <w:szCs w:val="20"/>
      <w:lang w:eastAsia="en-US"/>
    </w:rPr>
  </w:style>
  <w:style w:type="paragraph" w:customStyle="1" w:styleId="3531">
    <w:name w:val="样式 标题 2 + 红色"/>
    <w:basedOn w:val="4"/>
    <w:qFormat/>
    <w:uiPriority w:val="0"/>
    <w:pPr>
      <w:keepNext w:val="0"/>
      <w:tabs>
        <w:tab w:val="left" w:pos="4144"/>
        <w:tab w:val="clear" w:pos="480"/>
        <w:tab w:val="clear" w:pos="630"/>
      </w:tabs>
      <w:adjustRightInd w:val="0"/>
      <w:spacing w:before="0" w:beforeLines="200" w:after="0" w:afterLines="50"/>
      <w:ind w:firstLine="480" w:firstLineChars="200"/>
      <w:contextualSpacing/>
      <w:jc w:val="center"/>
    </w:pPr>
    <w:rPr>
      <w:rFonts w:ascii="Arial" w:hAnsi="Arial" w:eastAsia="黑体"/>
      <w:b w:val="0"/>
      <w:color w:val="FF0000"/>
      <w:spacing w:val="20"/>
      <w:sz w:val="30"/>
      <w:szCs w:val="28"/>
      <w:lang w:val="en-US"/>
    </w:rPr>
  </w:style>
  <w:style w:type="paragraph" w:customStyle="1" w:styleId="3532">
    <w:name w:val="表头居中"/>
    <w:basedOn w:val="1"/>
    <w:qFormat/>
    <w:uiPriority w:val="0"/>
    <w:pPr>
      <w:tabs>
        <w:tab w:val="left" w:pos="4144"/>
        <w:tab w:val="clear" w:pos="480"/>
      </w:tabs>
      <w:overflowPunct w:val="0"/>
      <w:spacing w:beforeLines="50" w:afterLines="50" w:line="240" w:lineRule="exact"/>
      <w:ind w:left="-1" w:leftChars="-1" w:hanging="2" w:hangingChars="1"/>
      <w:jc w:val="center"/>
    </w:pPr>
    <w:rPr>
      <w:rFonts w:eastAsia="楷体_GB2312"/>
      <w:kern w:val="0"/>
      <w:sz w:val="18"/>
      <w:szCs w:val="18"/>
    </w:rPr>
  </w:style>
  <w:style w:type="paragraph" w:customStyle="1" w:styleId="3533">
    <w:name w:val="样式 目录 4 +"/>
    <w:basedOn w:val="1"/>
    <w:qFormat/>
    <w:uiPriority w:val="0"/>
    <w:pPr>
      <w:tabs>
        <w:tab w:val="left" w:pos="2415"/>
        <w:tab w:val="left" w:pos="4144"/>
        <w:tab w:val="right" w:leader="dot" w:pos="9060"/>
        <w:tab w:val="clear" w:pos="480"/>
      </w:tabs>
      <w:spacing w:beforeLines="50" w:afterLines="50"/>
      <w:ind w:left="300" w:leftChars="300" w:firstLine="480"/>
      <w:jc w:val="center"/>
    </w:pPr>
    <w:rPr>
      <w:kern w:val="0"/>
      <w:sz w:val="28"/>
      <w:szCs w:val="20"/>
    </w:rPr>
  </w:style>
  <w:style w:type="paragraph" w:customStyle="1" w:styleId="3534">
    <w:name w:val="正文段落 Char Char"/>
    <w:basedOn w:val="1"/>
    <w:qFormat/>
    <w:uiPriority w:val="0"/>
    <w:pPr>
      <w:tabs>
        <w:tab w:val="clear" w:pos="480"/>
      </w:tabs>
      <w:adjustRightInd w:val="0"/>
      <w:snapToGrid w:val="0"/>
      <w:spacing w:before="156" w:after="156" w:line="336" w:lineRule="auto"/>
      <w:ind w:firstLine="420"/>
      <w:jc w:val="center"/>
    </w:pPr>
    <w:rPr>
      <w:rFonts w:ascii="宋体" w:hAnsi="宋体"/>
      <w:bCs/>
      <w:szCs w:val="21"/>
    </w:rPr>
  </w:style>
  <w:style w:type="paragraph" w:customStyle="1" w:styleId="3535">
    <w:name w:val="Char1 Char Char Char Char Char Char Char Char Char Char Char Char Char Char Char Char Char Char Char Char Char"/>
    <w:basedOn w:val="1"/>
    <w:qFormat/>
    <w:uiPriority w:val="0"/>
    <w:pPr>
      <w:tabs>
        <w:tab w:val="clear" w:pos="480"/>
      </w:tabs>
    </w:pPr>
  </w:style>
  <w:style w:type="paragraph" w:customStyle="1" w:styleId="3536">
    <w:name w:val="BT3"/>
    <w:basedOn w:val="5"/>
    <w:next w:val="1"/>
    <w:qFormat/>
    <w:uiPriority w:val="0"/>
    <w:pPr>
      <w:keepNext w:val="0"/>
      <w:keepLines w:val="0"/>
      <w:tabs>
        <w:tab w:val="clear" w:pos="480"/>
        <w:tab w:val="clear" w:pos="840"/>
      </w:tabs>
      <w:spacing w:before="0" w:after="0" w:line="520" w:lineRule="exact"/>
      <w:ind w:firstLine="480" w:firstLineChars="200"/>
      <w:outlineLvl w:val="9"/>
    </w:pPr>
    <w:rPr>
      <w:rFonts w:ascii="宋体" w:hAnsi="宋体" w:eastAsia="宋体"/>
      <w:b w:val="0"/>
      <w:color w:val="000000"/>
      <w:sz w:val="24"/>
      <w:szCs w:val="24"/>
      <w:lang w:val="en-US"/>
    </w:rPr>
  </w:style>
  <w:style w:type="paragraph" w:customStyle="1" w:styleId="3537">
    <w:name w:val="通用正文1"/>
    <w:basedOn w:val="1"/>
    <w:qFormat/>
    <w:uiPriority w:val="0"/>
    <w:pPr>
      <w:tabs>
        <w:tab w:val="clear" w:pos="480"/>
      </w:tabs>
      <w:autoSpaceDE w:val="0"/>
      <w:autoSpaceDN w:val="0"/>
      <w:adjustRightInd w:val="0"/>
      <w:spacing w:line="500" w:lineRule="exact"/>
      <w:ind w:firstLine="480"/>
    </w:pPr>
  </w:style>
  <w:style w:type="paragraph" w:customStyle="1" w:styleId="3538">
    <w:name w:val="文1"/>
    <w:basedOn w:val="1"/>
    <w:qFormat/>
    <w:uiPriority w:val="0"/>
    <w:pPr>
      <w:tabs>
        <w:tab w:val="clear" w:pos="480"/>
      </w:tabs>
      <w:adjustRightInd w:val="0"/>
      <w:snapToGrid w:val="0"/>
      <w:spacing w:line="312" w:lineRule="auto"/>
      <w:ind w:firstLine="567"/>
    </w:pPr>
    <w:rPr>
      <w:rFonts w:hint="eastAsia" w:ascii="宋体" w:hAnsi="宋体"/>
      <w:bCs/>
      <w:spacing w:val="6"/>
      <w:sz w:val="28"/>
      <w:szCs w:val="28"/>
    </w:rPr>
  </w:style>
  <w:style w:type="paragraph" w:customStyle="1" w:styleId="3539">
    <w:name w:val="Char Char Char Char Char Char Char Char Char Char Char Char Char Char Char Char Char1"/>
    <w:basedOn w:val="1"/>
    <w:qFormat/>
    <w:uiPriority w:val="0"/>
    <w:pPr>
      <w:tabs>
        <w:tab w:val="clear" w:pos="480"/>
      </w:tabs>
    </w:pPr>
    <w:rPr>
      <w:szCs w:val="21"/>
    </w:rPr>
  </w:style>
  <w:style w:type="paragraph" w:customStyle="1" w:styleId="3540">
    <w:name w:val="Char Char Char Char Char Char Char Char1 Char Char Char Char"/>
    <w:basedOn w:val="1"/>
    <w:qFormat/>
    <w:uiPriority w:val="0"/>
    <w:pPr>
      <w:tabs>
        <w:tab w:val="clear" w:pos="480"/>
      </w:tabs>
    </w:pPr>
  </w:style>
  <w:style w:type="paragraph" w:customStyle="1" w:styleId="3541">
    <w:name w:val="封面-1"/>
    <w:basedOn w:val="1"/>
    <w:qFormat/>
    <w:uiPriority w:val="0"/>
    <w:pPr>
      <w:tabs>
        <w:tab w:val="clear" w:pos="480"/>
      </w:tabs>
      <w:adjustRightInd w:val="0"/>
      <w:snapToGrid w:val="0"/>
      <w:jc w:val="center"/>
    </w:pPr>
    <w:rPr>
      <w:rFonts w:eastAsia="隶书"/>
      <w:b/>
      <w:sz w:val="44"/>
    </w:rPr>
  </w:style>
  <w:style w:type="character" w:customStyle="1" w:styleId="3542">
    <w:name w:val="z-窗体顶端 Char1"/>
    <w:semiHidden/>
    <w:qFormat/>
    <w:uiPriority w:val="99"/>
    <w:rPr>
      <w:rFonts w:ascii="Arial" w:hAnsi="Arial" w:cs="Arial"/>
      <w:vanish/>
      <w:sz w:val="16"/>
      <w:szCs w:val="16"/>
    </w:rPr>
  </w:style>
  <w:style w:type="paragraph" w:customStyle="1" w:styleId="3543">
    <w:name w:val="样式 样式 LNG－标题1 + 段前: 0.5 行 段后: 0.5 行 + 段前: 0.5 行 段后: 0.5 行"/>
    <w:basedOn w:val="1"/>
    <w:qFormat/>
    <w:uiPriority w:val="0"/>
    <w:pPr>
      <w:numPr>
        <w:ilvl w:val="0"/>
        <w:numId w:val="40"/>
      </w:numPr>
      <w:tabs>
        <w:tab w:val="left" w:pos="425"/>
        <w:tab w:val="clear" w:pos="480"/>
      </w:tabs>
      <w:adjustRightInd w:val="0"/>
      <w:spacing w:beforeLines="50" w:afterLines="50"/>
      <w:ind w:firstLine="200"/>
      <w:jc w:val="center"/>
      <w:textAlignment w:val="center"/>
      <w:outlineLvl w:val="0"/>
    </w:pPr>
    <w:rPr>
      <w:rFonts w:cs="宋体"/>
      <w:b/>
      <w:bCs/>
      <w:kern w:val="0"/>
      <w:sz w:val="32"/>
      <w:szCs w:val="20"/>
    </w:rPr>
  </w:style>
  <w:style w:type="paragraph" w:customStyle="1" w:styleId="3544">
    <w:name w:val="样式 bbbbbbbbbb + 段前: 0.5 行 段后: 0.5 行"/>
    <w:basedOn w:val="1"/>
    <w:qFormat/>
    <w:uiPriority w:val="0"/>
    <w:pPr>
      <w:tabs>
        <w:tab w:val="left" w:pos="1050"/>
        <w:tab w:val="clear" w:pos="480"/>
      </w:tabs>
      <w:spacing w:beforeLines="50" w:afterLines="50"/>
      <w:ind w:right="105" w:rightChars="50" w:firstLine="422"/>
      <w:jc w:val="center"/>
      <w:textAlignment w:val="center"/>
      <w:outlineLvl w:val="1"/>
    </w:pPr>
    <w:rPr>
      <w:rFonts w:hAnsi="宋体"/>
      <w:b/>
      <w:bCs/>
      <w:snapToGrid w:val="0"/>
      <w:color w:val="000000"/>
      <w:kern w:val="0"/>
      <w:szCs w:val="21"/>
    </w:rPr>
  </w:style>
  <w:style w:type="paragraph" w:customStyle="1" w:styleId="3545">
    <w:name w:val="报告格式-表格内容"/>
    <w:basedOn w:val="1"/>
    <w:qFormat/>
    <w:uiPriority w:val="0"/>
    <w:pPr>
      <w:tabs>
        <w:tab w:val="clear" w:pos="480"/>
      </w:tabs>
      <w:jc w:val="center"/>
    </w:pPr>
    <w:rPr>
      <w:rFonts w:eastAsia="楷体"/>
      <w:szCs w:val="21"/>
    </w:rPr>
  </w:style>
  <w:style w:type="paragraph" w:customStyle="1" w:styleId="3546">
    <w:name w:val="Char1 Char Char Char Char Char Char Char Char Char Char Char Char Char Char Char Char Char Char"/>
    <w:basedOn w:val="1"/>
    <w:qFormat/>
    <w:uiPriority w:val="0"/>
    <w:pPr>
      <w:tabs>
        <w:tab w:val="clear" w:pos="480"/>
      </w:tabs>
    </w:pPr>
  </w:style>
  <w:style w:type="paragraph" w:customStyle="1" w:styleId="3547">
    <w:name w:val="条"/>
    <w:basedOn w:val="5"/>
    <w:next w:val="1"/>
    <w:qFormat/>
    <w:uiPriority w:val="0"/>
    <w:pPr>
      <w:keepNext w:val="0"/>
      <w:keepLines w:val="0"/>
      <w:tabs>
        <w:tab w:val="clear" w:pos="480"/>
        <w:tab w:val="clear" w:pos="840"/>
      </w:tabs>
      <w:topLinePunct/>
      <w:autoSpaceDE w:val="0"/>
      <w:autoSpaceDN w:val="0"/>
      <w:adjustRightInd w:val="0"/>
      <w:snapToGrid w:val="0"/>
      <w:spacing w:before="0" w:after="0" w:line="520" w:lineRule="exact"/>
      <w:ind w:firstLine="200" w:firstLineChars="200"/>
      <w:jc w:val="left"/>
    </w:pPr>
    <w:rPr>
      <w:rFonts w:ascii="Times New Roman" w:eastAsia="宋体" w:cs="宋体"/>
      <w:spacing w:val="1"/>
      <w:sz w:val="28"/>
      <w:szCs w:val="28"/>
      <w:lang w:val="en-US"/>
    </w:rPr>
  </w:style>
  <w:style w:type="paragraph" w:customStyle="1" w:styleId="3548">
    <w:name w:val="表题使用"/>
    <w:basedOn w:val="1"/>
    <w:qFormat/>
    <w:uiPriority w:val="0"/>
    <w:pPr>
      <w:tabs>
        <w:tab w:val="clear" w:pos="480"/>
      </w:tabs>
      <w:jc w:val="center"/>
    </w:pPr>
    <w:rPr>
      <w:rFonts w:cs="宋体"/>
      <w:b/>
      <w:bCs/>
      <w:color w:val="000000"/>
      <w:szCs w:val="20"/>
    </w:rPr>
  </w:style>
  <w:style w:type="paragraph" w:customStyle="1" w:styleId="3549">
    <w:name w:val="编制人员表"/>
    <w:basedOn w:val="1"/>
    <w:qFormat/>
    <w:uiPriority w:val="0"/>
    <w:pPr>
      <w:tabs>
        <w:tab w:val="clear" w:pos="480"/>
      </w:tabs>
      <w:jc w:val="center"/>
    </w:pPr>
    <w:rPr>
      <w:caps/>
      <w:snapToGrid w:val="0"/>
      <w:kern w:val="10"/>
      <w:sz w:val="28"/>
      <w:szCs w:val="20"/>
    </w:rPr>
  </w:style>
  <w:style w:type="paragraph" w:customStyle="1" w:styleId="3550">
    <w:name w:val="编制单位英文"/>
    <w:basedOn w:val="1"/>
    <w:next w:val="1"/>
    <w:qFormat/>
    <w:uiPriority w:val="0"/>
    <w:pPr>
      <w:tabs>
        <w:tab w:val="clear" w:pos="480"/>
      </w:tabs>
      <w:adjustRightInd w:val="0"/>
      <w:snapToGrid w:val="0"/>
      <w:spacing w:line="20" w:lineRule="atLeast"/>
    </w:pPr>
    <w:rPr>
      <w:rFonts w:ascii="黑体" w:eastAsia="黑体"/>
      <w:caps/>
      <w:snapToGrid w:val="0"/>
      <w:kern w:val="10"/>
      <w:sz w:val="26"/>
      <w:szCs w:val="20"/>
    </w:rPr>
  </w:style>
  <w:style w:type="paragraph" w:customStyle="1" w:styleId="3551">
    <w:name w:val="样式 单位 + 首行缩进:  2 字符"/>
    <w:basedOn w:val="3469"/>
    <w:qFormat/>
    <w:uiPriority w:val="0"/>
    <w:pPr>
      <w:ind w:firstLine="480"/>
    </w:pPr>
    <w:rPr>
      <w:rFonts w:cs="宋体"/>
      <w:sz w:val="21"/>
      <w:szCs w:val="21"/>
    </w:rPr>
  </w:style>
  <w:style w:type="paragraph" w:customStyle="1" w:styleId="3552">
    <w:name w:val="协作单位"/>
    <w:basedOn w:val="1"/>
    <w:qFormat/>
    <w:uiPriority w:val="0"/>
    <w:pPr>
      <w:tabs>
        <w:tab w:val="clear" w:pos="480"/>
      </w:tabs>
      <w:spacing w:beforeLines="50" w:afterLines="50" w:line="312" w:lineRule="auto"/>
      <w:ind w:firstLine="1260"/>
      <w:jc w:val="center"/>
    </w:pPr>
    <w:rPr>
      <w:rFonts w:eastAsia="黑体"/>
      <w:color w:val="000000"/>
      <w:kern w:val="0"/>
      <w:sz w:val="28"/>
      <w:szCs w:val="20"/>
    </w:rPr>
  </w:style>
  <w:style w:type="paragraph" w:customStyle="1" w:styleId="3553">
    <w:name w:val="样式 样式 目录 4 + + 左侧:  3 字符"/>
    <w:basedOn w:val="3533"/>
    <w:qFormat/>
    <w:uiPriority w:val="0"/>
    <w:pPr>
      <w:ind w:left="714"/>
    </w:pPr>
  </w:style>
  <w:style w:type="paragraph" w:customStyle="1" w:styleId="3554">
    <w:name w:val="报告题目11"/>
    <w:basedOn w:val="1"/>
    <w:next w:val="3555"/>
    <w:qFormat/>
    <w:uiPriority w:val="0"/>
    <w:pPr>
      <w:tabs>
        <w:tab w:val="clear" w:pos="480"/>
      </w:tabs>
      <w:spacing w:line="240" w:lineRule="atLeast"/>
      <w:ind w:firstLine="480"/>
      <w:jc w:val="center"/>
    </w:pPr>
    <w:rPr>
      <w:rFonts w:eastAsia="黑体"/>
      <w:bCs/>
      <w:snapToGrid w:val="0"/>
      <w:kern w:val="10"/>
      <w:sz w:val="50"/>
      <w:szCs w:val="20"/>
    </w:rPr>
  </w:style>
  <w:style w:type="paragraph" w:customStyle="1" w:styleId="3555">
    <w:name w:val="报告题目2"/>
    <w:basedOn w:val="1"/>
    <w:next w:val="1"/>
    <w:qFormat/>
    <w:uiPriority w:val="0"/>
    <w:pPr>
      <w:tabs>
        <w:tab w:val="clear" w:pos="480"/>
      </w:tabs>
      <w:spacing w:before="120"/>
      <w:ind w:firstLine="480"/>
      <w:jc w:val="center"/>
    </w:pPr>
    <w:rPr>
      <w:rFonts w:eastAsia="黑体"/>
      <w:bCs/>
      <w:caps/>
      <w:snapToGrid w:val="0"/>
      <w:kern w:val="10"/>
      <w:sz w:val="58"/>
      <w:szCs w:val="20"/>
    </w:rPr>
  </w:style>
  <w:style w:type="paragraph" w:customStyle="1" w:styleId="3556">
    <w:name w:val="N节＋2 Char Char Char"/>
    <w:basedOn w:val="1"/>
    <w:next w:val="1"/>
    <w:qFormat/>
    <w:uiPriority w:val="0"/>
    <w:pPr>
      <w:tabs>
        <w:tab w:val="clear" w:pos="480"/>
      </w:tabs>
      <w:outlineLvl w:val="3"/>
    </w:pPr>
    <w:rPr>
      <w:rFonts w:eastAsia="黑体"/>
    </w:rPr>
  </w:style>
  <w:style w:type="paragraph" w:customStyle="1" w:styleId="3557">
    <w:name w:val="表内首行"/>
    <w:basedOn w:val="1"/>
    <w:qFormat/>
    <w:uiPriority w:val="0"/>
    <w:pPr>
      <w:widowControl/>
      <w:tabs>
        <w:tab w:val="clear" w:pos="480"/>
      </w:tabs>
      <w:spacing w:beforeLines="50" w:afterLines="50"/>
      <w:jc w:val="center"/>
    </w:pPr>
    <w:rPr>
      <w:b/>
      <w:bCs/>
      <w:kern w:val="0"/>
      <w:szCs w:val="28"/>
    </w:rPr>
  </w:style>
  <w:style w:type="paragraph" w:customStyle="1" w:styleId="3558">
    <w:name w:val="样式 样式 普通文字 + 首行缩进:  0.85 厘米 + 首行缩进:  2 字符"/>
    <w:basedOn w:val="1"/>
    <w:qFormat/>
    <w:uiPriority w:val="0"/>
    <w:pPr>
      <w:tabs>
        <w:tab w:val="clear" w:pos="480"/>
      </w:tabs>
      <w:spacing w:line="400" w:lineRule="exact"/>
    </w:pPr>
    <w:rPr>
      <w:rFonts w:ascii="宋体" w:hAnsi="Courier New"/>
    </w:rPr>
  </w:style>
  <w:style w:type="paragraph" w:customStyle="1" w:styleId="3559">
    <w:name w:val="LNG－表格"/>
    <w:basedOn w:val="1"/>
    <w:qFormat/>
    <w:uiPriority w:val="0"/>
    <w:pPr>
      <w:tabs>
        <w:tab w:val="clear" w:pos="480"/>
      </w:tabs>
      <w:jc w:val="center"/>
    </w:pPr>
    <w:rPr>
      <w:kern w:val="0"/>
      <w:szCs w:val="21"/>
    </w:rPr>
  </w:style>
  <w:style w:type="paragraph" w:customStyle="1" w:styleId="3560">
    <w:name w:val="文本jl"/>
    <w:basedOn w:val="1"/>
    <w:next w:val="2"/>
    <w:qFormat/>
    <w:uiPriority w:val="0"/>
    <w:pPr>
      <w:tabs>
        <w:tab w:val="clear" w:pos="480"/>
      </w:tabs>
      <w:spacing w:line="560" w:lineRule="exact"/>
      <w:ind w:firstLine="480"/>
    </w:pPr>
    <w:rPr>
      <w:rFonts w:ascii="宋体" w:hAnsi="宋体" w:cs="宋体"/>
      <w:color w:val="FF0000"/>
      <w:kern w:val="0"/>
    </w:rPr>
  </w:style>
  <w:style w:type="paragraph" w:customStyle="1" w:styleId="3561">
    <w:name w:val="表格文字小"/>
    <w:basedOn w:val="1"/>
    <w:qFormat/>
    <w:uiPriority w:val="0"/>
    <w:pPr>
      <w:tabs>
        <w:tab w:val="clear" w:pos="480"/>
      </w:tabs>
      <w:spacing w:line="320" w:lineRule="exact"/>
      <w:jc w:val="center"/>
    </w:pPr>
    <w:rPr>
      <w:kern w:val="0"/>
      <w:szCs w:val="21"/>
    </w:rPr>
  </w:style>
  <w:style w:type="paragraph" w:customStyle="1" w:styleId="3562">
    <w:name w:val="样式 正文文本缩进 2 + 首行缩进:  2 字符"/>
    <w:basedOn w:val="51"/>
    <w:next w:val="51"/>
    <w:qFormat/>
    <w:uiPriority w:val="0"/>
    <w:pPr>
      <w:spacing w:before="60" w:line="360" w:lineRule="auto"/>
      <w:ind w:left="0" w:firstLine="480" w:firstLineChars="200"/>
      <w:jc w:val="left"/>
    </w:pPr>
    <w:rPr>
      <w:rFonts w:cs="宋体"/>
      <w:spacing w:val="0"/>
      <w:kern w:val="2"/>
      <w:sz w:val="24"/>
      <w:szCs w:val="20"/>
    </w:rPr>
  </w:style>
  <w:style w:type="paragraph" w:customStyle="1" w:styleId="3563">
    <w:name w:val="样式 LNG－标题1 + 居中 段前: 0.5 行 段后: 0.5 行1"/>
    <w:qFormat/>
    <w:uiPriority w:val="0"/>
    <w:pPr>
      <w:tabs>
        <w:tab w:val="left" w:pos="425"/>
      </w:tabs>
      <w:spacing w:before="156" w:after="156"/>
      <w:ind w:left="425" w:hanging="425"/>
      <w:jc w:val="center"/>
    </w:pPr>
    <w:rPr>
      <w:rFonts w:ascii="Times New Roman" w:hAnsi="Times New Roman" w:eastAsia="宋体" w:cs="宋体"/>
      <w:b/>
      <w:bCs/>
      <w:kern w:val="2"/>
      <w:sz w:val="32"/>
      <w:szCs w:val="24"/>
      <w:lang w:val="en-US" w:eastAsia="zh-CN" w:bidi="ar-SA"/>
    </w:rPr>
  </w:style>
  <w:style w:type="paragraph" w:customStyle="1" w:styleId="3564">
    <w:name w:val="Char Char1 Char Char Char Char Char Char Char Char Char Char Char Char Char Char Char Char Char Char"/>
    <w:basedOn w:val="1"/>
    <w:qFormat/>
    <w:uiPriority w:val="0"/>
    <w:pPr>
      <w:tabs>
        <w:tab w:val="clear" w:pos="480"/>
      </w:tabs>
    </w:pPr>
    <w:rPr>
      <w:rFonts w:ascii="宋体" w:hAnsi="宋体" w:cs="宋体"/>
    </w:rPr>
  </w:style>
  <w:style w:type="paragraph" w:customStyle="1" w:styleId="3565">
    <w:name w:val="编制人员表名"/>
    <w:basedOn w:val="1"/>
    <w:next w:val="3549"/>
    <w:qFormat/>
    <w:uiPriority w:val="0"/>
    <w:pPr>
      <w:tabs>
        <w:tab w:val="clear" w:pos="480"/>
      </w:tabs>
      <w:ind w:firstLine="480"/>
      <w:jc w:val="center"/>
    </w:pPr>
    <w:rPr>
      <w:b/>
      <w:bCs/>
      <w:caps/>
      <w:snapToGrid w:val="0"/>
      <w:kern w:val="10"/>
      <w:sz w:val="28"/>
      <w:szCs w:val="20"/>
    </w:rPr>
  </w:style>
  <w:style w:type="paragraph" w:customStyle="1" w:styleId="3566">
    <w:name w:val="编制单位中文"/>
    <w:basedOn w:val="1"/>
    <w:next w:val="1"/>
    <w:qFormat/>
    <w:uiPriority w:val="0"/>
    <w:pPr>
      <w:tabs>
        <w:tab w:val="clear" w:pos="480"/>
      </w:tabs>
      <w:adjustRightInd w:val="0"/>
      <w:snapToGrid w:val="0"/>
      <w:spacing w:line="0" w:lineRule="atLeast"/>
    </w:pPr>
    <w:rPr>
      <w:rFonts w:eastAsia="黑体"/>
      <w:caps/>
      <w:snapToGrid w:val="0"/>
      <w:kern w:val="10"/>
      <w:sz w:val="38"/>
      <w:szCs w:val="20"/>
    </w:rPr>
  </w:style>
  <w:style w:type="paragraph" w:customStyle="1" w:styleId="3567">
    <w:name w:val="范正文"/>
    <w:basedOn w:val="85"/>
    <w:qFormat/>
    <w:uiPriority w:val="0"/>
    <w:pPr>
      <w:spacing w:after="0" w:line="360" w:lineRule="auto"/>
      <w:ind w:firstLine="510" w:firstLineChars="200"/>
    </w:pPr>
    <w:rPr>
      <w:snapToGrid w:val="0"/>
      <w:color w:val="000000"/>
      <w:kern w:val="0"/>
      <w:sz w:val="24"/>
      <w:szCs w:val="20"/>
    </w:rPr>
  </w:style>
  <w:style w:type="paragraph" w:customStyle="1" w:styleId="3568">
    <w:name w:val="样式6 正文"/>
    <w:link w:val="3919"/>
    <w:qFormat/>
    <w:uiPriority w:val="0"/>
    <w:pPr>
      <w:spacing w:line="360" w:lineRule="auto"/>
      <w:ind w:firstLine="510"/>
      <w:jc w:val="both"/>
    </w:pPr>
    <w:rPr>
      <w:rFonts w:ascii="Times New Roman" w:hAnsi="Times New Roman" w:eastAsia="宋体" w:cs="Times New Roman"/>
      <w:kern w:val="2"/>
      <w:sz w:val="24"/>
      <w:szCs w:val="24"/>
      <w:lang w:val="en-US" w:eastAsia="zh-CN" w:bidi="ar-SA"/>
    </w:rPr>
  </w:style>
  <w:style w:type="paragraph" w:customStyle="1" w:styleId="3569">
    <w:name w:val="样式 小四 行距: 固定值 25 磅"/>
    <w:basedOn w:val="1"/>
    <w:qFormat/>
    <w:uiPriority w:val="0"/>
    <w:pPr>
      <w:tabs>
        <w:tab w:val="clear" w:pos="480"/>
      </w:tabs>
      <w:spacing w:line="500" w:lineRule="exact"/>
      <w:ind w:firstLine="640"/>
    </w:pPr>
    <w:rPr>
      <w:rFonts w:cs="宋体"/>
      <w:spacing w:val="20"/>
      <w:sz w:val="28"/>
      <w:szCs w:val="28"/>
    </w:rPr>
  </w:style>
  <w:style w:type="paragraph" w:customStyle="1" w:styleId="3570">
    <w:name w:val="bbbbbbbbbb"/>
    <w:basedOn w:val="3490"/>
    <w:qFormat/>
    <w:uiPriority w:val="0"/>
    <w:pPr>
      <w:ind w:firstLine="480"/>
      <w:outlineLvl w:val="1"/>
    </w:pPr>
    <w:rPr>
      <w:sz w:val="28"/>
      <w:szCs w:val="28"/>
    </w:rPr>
  </w:style>
  <w:style w:type="paragraph" w:customStyle="1" w:styleId="3571">
    <w:name w:val="正文使用"/>
    <w:basedOn w:val="1"/>
    <w:qFormat/>
    <w:uiPriority w:val="0"/>
    <w:pPr>
      <w:tabs>
        <w:tab w:val="clear" w:pos="480"/>
      </w:tabs>
      <w:adjustRightInd w:val="0"/>
      <w:snapToGrid w:val="0"/>
      <w:ind w:firstLine="480"/>
    </w:pPr>
    <w:rPr>
      <w:rFonts w:cs="宋体"/>
      <w:szCs w:val="20"/>
    </w:rPr>
  </w:style>
  <w:style w:type="paragraph" w:customStyle="1" w:styleId="3572">
    <w:name w:val="Char1 Char Char Char Char Char1 Char Char Char Char Char Char Char"/>
    <w:basedOn w:val="1"/>
    <w:qFormat/>
    <w:uiPriority w:val="0"/>
    <w:pPr>
      <w:tabs>
        <w:tab w:val="clear" w:pos="480"/>
      </w:tabs>
    </w:pPr>
    <w:rPr>
      <w:rFonts w:ascii="宋体" w:hAnsi="宋体" w:cs="宋体"/>
    </w:rPr>
  </w:style>
  <w:style w:type="paragraph" w:customStyle="1" w:styleId="3573">
    <w:name w:val="x正文"/>
    <w:basedOn w:val="1"/>
    <w:qFormat/>
    <w:uiPriority w:val="0"/>
    <w:pPr>
      <w:tabs>
        <w:tab w:val="clear" w:pos="480"/>
      </w:tabs>
      <w:adjustRightInd w:val="0"/>
      <w:ind w:firstLine="480"/>
      <w:textAlignment w:val="baseline"/>
    </w:pPr>
  </w:style>
  <w:style w:type="character" w:customStyle="1" w:styleId="3574">
    <w:name w:val="latinname1"/>
    <w:qFormat/>
    <w:uiPriority w:val="0"/>
    <w:rPr>
      <w:i/>
      <w:iCs/>
    </w:rPr>
  </w:style>
  <w:style w:type="character" w:customStyle="1" w:styleId="3575">
    <w:name w:val="splatinname1"/>
    <w:qFormat/>
    <w:uiPriority w:val="0"/>
    <w:rPr>
      <w:b/>
      <w:bCs/>
      <w:color w:val="006600"/>
    </w:rPr>
  </w:style>
  <w:style w:type="paragraph" w:customStyle="1" w:styleId="3576">
    <w:name w:val="bh"/>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3577">
    <w:name w:val="正文段落 Char"/>
    <w:qFormat/>
    <w:uiPriority w:val="0"/>
    <w:rPr>
      <w:rFonts w:ascii="Times New Roman" w:hAnsi="Times New Roman" w:eastAsia="宋体" w:cs="Times New Roman"/>
      <w:bCs/>
      <w:sz w:val="24"/>
      <w:szCs w:val="24"/>
    </w:rPr>
  </w:style>
  <w:style w:type="table" w:customStyle="1" w:styleId="3578">
    <w:name w:val="网格型6"/>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9">
    <w:name w:val="网格型12"/>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0">
    <w:name w:val="网格型2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网格型3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2">
    <w:name w:val="网格型4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3">
    <w:name w:val="网格型51"/>
    <w:basedOn w:val="8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84">
    <w:name w:val="不明显参考1"/>
    <w:qFormat/>
    <w:uiPriority w:val="31"/>
    <w:rPr>
      <w:smallCaps/>
      <w:color w:val="5A5A5A"/>
    </w:rPr>
  </w:style>
  <w:style w:type="paragraph" w:customStyle="1" w:styleId="3585">
    <w:name w:val="ZX 3 表标题"/>
    <w:basedOn w:val="1"/>
    <w:link w:val="3587"/>
    <w:qFormat/>
    <w:uiPriority w:val="0"/>
    <w:pPr>
      <w:numPr>
        <w:ilvl w:val="0"/>
        <w:numId w:val="41"/>
      </w:numPr>
      <w:adjustRightInd w:val="0"/>
      <w:snapToGrid w:val="0"/>
      <w:spacing w:line="240" w:lineRule="auto"/>
      <w:ind w:left="0" w:firstLine="0" w:firstLineChars="0"/>
      <w:jc w:val="center"/>
    </w:pPr>
    <w:rPr>
      <w:b/>
      <w:sz w:val="21"/>
    </w:rPr>
  </w:style>
  <w:style w:type="paragraph" w:customStyle="1" w:styleId="3586">
    <w:name w:val="ZX 4 表标题"/>
    <w:basedOn w:val="621"/>
    <w:link w:val="3589"/>
    <w:qFormat/>
    <w:uiPriority w:val="0"/>
    <w:pPr>
      <w:numPr>
        <w:numId w:val="42"/>
      </w:numPr>
      <w:ind w:left="0" w:firstLine="0"/>
    </w:pPr>
    <w:rPr>
      <w:rFonts w:cs="Times New Roman"/>
    </w:rPr>
  </w:style>
  <w:style w:type="character" w:customStyle="1" w:styleId="3587">
    <w:name w:val="ZX 3 表标题 Char"/>
    <w:link w:val="3585"/>
    <w:qFormat/>
    <w:uiPriority w:val="0"/>
    <w:rPr>
      <w:b/>
      <w:kern w:val="2"/>
      <w:sz w:val="21"/>
      <w:szCs w:val="24"/>
    </w:rPr>
  </w:style>
  <w:style w:type="paragraph" w:customStyle="1" w:styleId="3588">
    <w:name w:val="ZX 5 表标题"/>
    <w:basedOn w:val="3230"/>
    <w:link w:val="3591"/>
    <w:qFormat/>
    <w:uiPriority w:val="0"/>
    <w:pPr>
      <w:numPr>
        <w:ilvl w:val="0"/>
        <w:numId w:val="43"/>
      </w:numPr>
      <w:ind w:firstLine="0" w:firstLineChars="0"/>
    </w:pPr>
    <w:rPr>
      <w:rFonts w:cs="Times New Roman"/>
      <w:sz w:val="21"/>
    </w:rPr>
  </w:style>
  <w:style w:type="character" w:customStyle="1" w:styleId="3589">
    <w:name w:val="ZX 4 表标题 Char"/>
    <w:basedOn w:val="620"/>
    <w:link w:val="3586"/>
    <w:qFormat/>
    <w:uiPriority w:val="0"/>
    <w:rPr>
      <w:rFonts w:cs="宋体"/>
      <w:kern w:val="2"/>
      <w:sz w:val="21"/>
    </w:rPr>
  </w:style>
  <w:style w:type="paragraph" w:customStyle="1" w:styleId="3590">
    <w:name w:val="ZX 8表标题"/>
    <w:basedOn w:val="621"/>
    <w:link w:val="3593"/>
    <w:qFormat/>
    <w:uiPriority w:val="0"/>
    <w:pPr>
      <w:numPr>
        <w:numId w:val="44"/>
      </w:numPr>
    </w:pPr>
    <w:rPr>
      <w:rFonts w:cs="Times New Roman"/>
    </w:rPr>
  </w:style>
  <w:style w:type="character" w:customStyle="1" w:styleId="3591">
    <w:name w:val="ZX 5 表标题 Char"/>
    <w:link w:val="3588"/>
    <w:qFormat/>
    <w:uiPriority w:val="0"/>
    <w:rPr>
      <w:b/>
      <w:bCs/>
      <w:kern w:val="2"/>
      <w:sz w:val="21"/>
    </w:rPr>
  </w:style>
  <w:style w:type="paragraph" w:customStyle="1" w:styleId="3592">
    <w:name w:val="ZX 7 表标题"/>
    <w:basedOn w:val="621"/>
    <w:link w:val="3595"/>
    <w:qFormat/>
    <w:uiPriority w:val="0"/>
    <w:pPr>
      <w:numPr>
        <w:numId w:val="45"/>
      </w:numPr>
    </w:pPr>
    <w:rPr>
      <w:rFonts w:cs="Times New Roman"/>
    </w:rPr>
  </w:style>
  <w:style w:type="character" w:customStyle="1" w:styleId="3593">
    <w:name w:val="ZX 8表标题 Char"/>
    <w:basedOn w:val="620"/>
    <w:link w:val="3590"/>
    <w:qFormat/>
    <w:uiPriority w:val="0"/>
    <w:rPr>
      <w:rFonts w:cs="宋体"/>
      <w:kern w:val="2"/>
      <w:sz w:val="21"/>
    </w:rPr>
  </w:style>
  <w:style w:type="character" w:customStyle="1" w:styleId="3594">
    <w:name w:val="批注框文本 字符"/>
    <w:qFormat/>
    <w:uiPriority w:val="99"/>
    <w:rPr>
      <w:kern w:val="2"/>
      <w:sz w:val="18"/>
      <w:szCs w:val="18"/>
    </w:rPr>
  </w:style>
  <w:style w:type="character" w:customStyle="1" w:styleId="3595">
    <w:name w:val="ZX 7 表标题 Char"/>
    <w:basedOn w:val="620"/>
    <w:link w:val="3592"/>
    <w:qFormat/>
    <w:uiPriority w:val="0"/>
    <w:rPr>
      <w:rFonts w:cs="宋体"/>
      <w:kern w:val="2"/>
      <w:sz w:val="21"/>
    </w:rPr>
  </w:style>
  <w:style w:type="character" w:customStyle="1" w:styleId="3596">
    <w:name w:val="环科院正文 Char Char"/>
    <w:link w:val="3298"/>
    <w:qFormat/>
    <w:uiPriority w:val="0"/>
    <w:rPr>
      <w:rFonts w:ascii="宋体" w:hAnsi="宋体"/>
      <w:bCs/>
      <w:kern w:val="10"/>
      <w:sz w:val="24"/>
      <w:szCs w:val="24"/>
    </w:rPr>
  </w:style>
  <w:style w:type="character" w:customStyle="1" w:styleId="3597">
    <w:name w:val="报告表正文 Char Char"/>
    <w:link w:val="2869"/>
    <w:qFormat/>
    <w:uiPriority w:val="0"/>
    <w:rPr>
      <w:sz w:val="24"/>
    </w:rPr>
  </w:style>
  <w:style w:type="table" w:customStyle="1" w:styleId="3598">
    <w:name w:val="样式26"/>
    <w:basedOn w:val="88"/>
    <w:qFormat/>
    <w:uiPriority w:val="99"/>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table" w:customStyle="1" w:styleId="3599">
    <w:name w:val="样式261"/>
    <w:basedOn w:val="88"/>
    <w:qFormat/>
    <w:uiPriority w:val="99"/>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character" w:customStyle="1" w:styleId="3600">
    <w:name w:val="正文缩进 Char Char Char Char1"/>
    <w:qFormat/>
    <w:uiPriority w:val="0"/>
    <w:rPr>
      <w:rFonts w:ascii="Calibri" w:hAnsi="Calibri" w:eastAsia="宋体" w:cs="Times New Roman"/>
      <w:szCs w:val="21"/>
    </w:rPr>
  </w:style>
  <w:style w:type="character" w:customStyle="1" w:styleId="3601">
    <w:name w:val="font51"/>
    <w:qFormat/>
    <w:uiPriority w:val="0"/>
    <w:rPr>
      <w:rFonts w:hint="eastAsia" w:ascii="仿宋_GB2312" w:eastAsia="仿宋_GB2312"/>
      <w:color w:val="000000"/>
      <w:sz w:val="20"/>
      <w:szCs w:val="20"/>
      <w:u w:val="none"/>
    </w:rPr>
  </w:style>
  <w:style w:type="character" w:customStyle="1" w:styleId="3602">
    <w:name w:val="font121"/>
    <w:basedOn w:val="133"/>
    <w:qFormat/>
    <w:uiPriority w:val="0"/>
    <w:rPr>
      <w:rFonts w:hint="eastAsia" w:ascii="宋体" w:hAnsi="宋体" w:eastAsia="宋体" w:cs="宋体"/>
      <w:color w:val="000000"/>
      <w:sz w:val="22"/>
      <w:szCs w:val="22"/>
      <w:u w:val="none"/>
    </w:rPr>
  </w:style>
  <w:style w:type="character" w:customStyle="1" w:styleId="3603">
    <w:name w:val="font91"/>
    <w:basedOn w:val="133"/>
    <w:qFormat/>
    <w:uiPriority w:val="0"/>
    <w:rPr>
      <w:rFonts w:hint="default" w:ascii="Times New Roman" w:hAnsi="Times New Roman" w:cs="Times New Roman"/>
      <w:b/>
      <w:color w:val="000000"/>
      <w:sz w:val="22"/>
      <w:szCs w:val="22"/>
      <w:u w:val="none"/>
    </w:rPr>
  </w:style>
  <w:style w:type="character" w:customStyle="1" w:styleId="3604">
    <w:name w:val="font101"/>
    <w:basedOn w:val="133"/>
    <w:qFormat/>
    <w:uiPriority w:val="0"/>
    <w:rPr>
      <w:rFonts w:hint="eastAsia" w:ascii="宋体" w:hAnsi="宋体" w:eastAsia="宋体" w:cs="宋体"/>
      <w:color w:val="000000"/>
      <w:sz w:val="36"/>
      <w:szCs w:val="36"/>
      <w:u w:val="none"/>
    </w:rPr>
  </w:style>
  <w:style w:type="table" w:customStyle="1" w:styleId="3605">
    <w:name w:val="网格型刘1"/>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06">
    <w:name w:val="市环科院正文 Char"/>
    <w:link w:val="3607"/>
    <w:qFormat/>
    <w:uiPriority w:val="0"/>
    <w:rPr>
      <w:rFonts w:ascii="宋体" w:hAnsi="宋体" w:cs="宋体"/>
    </w:rPr>
  </w:style>
  <w:style w:type="paragraph" w:customStyle="1" w:styleId="3607">
    <w:name w:val="市环科院正文"/>
    <w:basedOn w:val="1"/>
    <w:link w:val="3606"/>
    <w:qFormat/>
    <w:uiPriority w:val="0"/>
    <w:pPr>
      <w:widowControl/>
      <w:tabs>
        <w:tab w:val="clear" w:pos="480"/>
      </w:tabs>
      <w:spacing w:line="300" w:lineRule="auto"/>
      <w:ind w:firstLine="480"/>
    </w:pPr>
    <w:rPr>
      <w:rFonts w:ascii="宋体" w:hAnsi="宋体" w:cs="宋体"/>
    </w:rPr>
  </w:style>
  <w:style w:type="table" w:customStyle="1" w:styleId="3608">
    <w:name w:val="网格型刘2"/>
    <w:basedOn w:val="8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09">
    <w:name w:val="表文字 Char"/>
    <w:link w:val="187"/>
    <w:qFormat/>
    <w:uiPriority w:val="0"/>
    <w:rPr>
      <w:kern w:val="0"/>
      <w:szCs w:val="20"/>
    </w:rPr>
  </w:style>
  <w:style w:type="character" w:customStyle="1" w:styleId="3610">
    <w:name w:val="报告书正文 Char2"/>
    <w:link w:val="1797"/>
    <w:qFormat/>
    <w:uiPriority w:val="0"/>
    <w:rPr>
      <w:rFonts w:ascii="宋体"/>
      <w:sz w:val="28"/>
    </w:rPr>
  </w:style>
  <w:style w:type="paragraph" w:customStyle="1" w:styleId="3611">
    <w:name w:val="ZX 0-表/图名"/>
    <w:basedOn w:val="1"/>
    <w:link w:val="3612"/>
    <w:qFormat/>
    <w:uiPriority w:val="0"/>
    <w:pPr>
      <w:widowControl/>
      <w:numPr>
        <w:ilvl w:val="0"/>
        <w:numId w:val="46"/>
      </w:numPr>
      <w:tabs>
        <w:tab w:val="clear" w:pos="480"/>
      </w:tabs>
      <w:spacing w:line="460" w:lineRule="exact"/>
      <w:ind w:firstLine="0" w:firstLineChars="0"/>
      <w:jc w:val="center"/>
    </w:pPr>
    <w:rPr>
      <w:b/>
      <w:sz w:val="21"/>
      <w:szCs w:val="22"/>
    </w:rPr>
  </w:style>
  <w:style w:type="character" w:customStyle="1" w:styleId="3612">
    <w:name w:val="ZX 0-表/图名 Char"/>
    <w:basedOn w:val="133"/>
    <w:link w:val="3611"/>
    <w:qFormat/>
    <w:uiPriority w:val="0"/>
    <w:rPr>
      <w:b/>
      <w:kern w:val="2"/>
      <w:sz w:val="21"/>
      <w:szCs w:val="22"/>
    </w:rPr>
  </w:style>
  <w:style w:type="paragraph" w:customStyle="1" w:styleId="3613">
    <w:name w:val="ZX 0-表内/图"/>
    <w:basedOn w:val="3611"/>
    <w:qFormat/>
    <w:uiPriority w:val="0"/>
    <w:pPr>
      <w:numPr>
        <w:numId w:val="0"/>
      </w:numPr>
      <w:spacing w:line="240" w:lineRule="auto"/>
    </w:pPr>
    <w:rPr>
      <w:sz w:val="18"/>
    </w:rPr>
  </w:style>
  <w:style w:type="character" w:customStyle="1" w:styleId="3614">
    <w:name w:val="公式 字符"/>
    <w:basedOn w:val="3612"/>
    <w:qFormat/>
    <w:uiPriority w:val="0"/>
    <w:rPr>
      <w:rFonts w:ascii="Times New Roman" w:hAnsi="Times New Roman" w:cs="Times New Roman"/>
      <w:kern w:val="2"/>
      <w:sz w:val="24"/>
      <w:szCs w:val="22"/>
    </w:rPr>
  </w:style>
  <w:style w:type="character" w:customStyle="1" w:styleId="3615">
    <w:name w:val="正文（布） Char"/>
    <w:link w:val="3616"/>
    <w:qFormat/>
    <w:uiPriority w:val="0"/>
    <w:rPr>
      <w:rFonts w:eastAsia="仿宋_GB2312"/>
      <w:sz w:val="28"/>
      <w:szCs w:val="28"/>
    </w:rPr>
  </w:style>
  <w:style w:type="paragraph" w:customStyle="1" w:styleId="3616">
    <w:name w:val="正文（布）"/>
    <w:basedOn w:val="1"/>
    <w:link w:val="3615"/>
    <w:qFormat/>
    <w:uiPriority w:val="0"/>
    <w:pPr>
      <w:tabs>
        <w:tab w:val="clear" w:pos="480"/>
      </w:tabs>
      <w:spacing w:line="520" w:lineRule="exact"/>
      <w:ind w:firstLine="560"/>
    </w:pPr>
    <w:rPr>
      <w:rFonts w:eastAsia="仿宋_GB2312"/>
      <w:kern w:val="0"/>
      <w:sz w:val="28"/>
      <w:szCs w:val="28"/>
    </w:rPr>
  </w:style>
  <w:style w:type="paragraph" w:customStyle="1" w:styleId="3617">
    <w:name w:val="修订2"/>
    <w:hidden/>
    <w:qFormat/>
    <w:uiPriority w:val="99"/>
    <w:rPr>
      <w:rFonts w:ascii="Times New Roman" w:hAnsi="Times New Roman" w:eastAsia="宋体" w:cs="Times New Roman"/>
      <w:kern w:val="2"/>
      <w:sz w:val="24"/>
      <w:szCs w:val="24"/>
      <w:lang w:val="en-US" w:eastAsia="zh-CN" w:bidi="ar-SA"/>
    </w:rPr>
  </w:style>
  <w:style w:type="paragraph" w:customStyle="1" w:styleId="3618">
    <w:name w:val="【正文】"/>
    <w:basedOn w:val="1"/>
    <w:link w:val="3619"/>
    <w:qFormat/>
    <w:uiPriority w:val="0"/>
    <w:pPr>
      <w:tabs>
        <w:tab w:val="clear" w:pos="480"/>
      </w:tabs>
      <w:ind w:firstLine="480"/>
    </w:pPr>
    <w:rPr>
      <w:rFonts w:ascii="宋体"/>
      <w:kern w:val="0"/>
      <w:lang w:val="zh-CN"/>
    </w:rPr>
  </w:style>
  <w:style w:type="character" w:customStyle="1" w:styleId="3619">
    <w:name w:val="【正文】 Char"/>
    <w:link w:val="3618"/>
    <w:qFormat/>
    <w:uiPriority w:val="0"/>
    <w:rPr>
      <w:rFonts w:ascii="宋体"/>
      <w:sz w:val="24"/>
      <w:szCs w:val="24"/>
      <w:lang w:val="zh-CN" w:eastAsia="zh-CN"/>
    </w:rPr>
  </w:style>
  <w:style w:type="paragraph" w:customStyle="1" w:styleId="3620">
    <w:name w:val="17"/>
    <w:basedOn w:val="3618"/>
    <w:link w:val="3621"/>
    <w:qFormat/>
    <w:uiPriority w:val="0"/>
    <w:pPr>
      <w:ind w:firstLine="0" w:firstLineChars="0"/>
      <w:jc w:val="center"/>
    </w:pPr>
    <w:rPr>
      <w:b/>
      <w:szCs w:val="21"/>
    </w:rPr>
  </w:style>
  <w:style w:type="character" w:customStyle="1" w:styleId="3621">
    <w:name w:val="17 Char"/>
    <w:basedOn w:val="3619"/>
    <w:link w:val="3620"/>
    <w:qFormat/>
    <w:uiPriority w:val="0"/>
    <w:rPr>
      <w:rFonts w:ascii="宋体"/>
      <w:b/>
      <w:sz w:val="24"/>
      <w:szCs w:val="21"/>
      <w:lang w:val="zh-CN" w:eastAsia="zh-CN"/>
    </w:rPr>
  </w:style>
  <w:style w:type="character" w:customStyle="1" w:styleId="3622">
    <w:name w:val="报告表正文 Char Char Char"/>
    <w:qFormat/>
    <w:uiPriority w:val="0"/>
    <w:rPr>
      <w:rFonts w:eastAsia="楷体_GB2312"/>
      <w:kern w:val="2"/>
      <w:sz w:val="24"/>
      <w:lang w:val="en-US" w:eastAsia="zh-CN"/>
    </w:rPr>
  </w:style>
  <w:style w:type="table" w:customStyle="1" w:styleId="3623">
    <w:name w:val="网格型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24">
    <w:name w:val="特殊标题３"/>
    <w:basedOn w:val="1"/>
    <w:qFormat/>
    <w:uiPriority w:val="0"/>
    <w:pPr>
      <w:overflowPunct w:val="0"/>
      <w:autoSpaceDE w:val="0"/>
      <w:autoSpaceDN w:val="0"/>
      <w:adjustRightInd w:val="0"/>
      <w:textAlignment w:val="baseline"/>
    </w:pPr>
    <w:rPr>
      <w:rFonts w:eastAsia="仿宋_GB2312"/>
      <w:kern w:val="0"/>
      <w:sz w:val="28"/>
      <w:szCs w:val="20"/>
    </w:rPr>
  </w:style>
  <w:style w:type="paragraph" w:customStyle="1" w:styleId="3625">
    <w:name w:val="表字体"/>
    <w:basedOn w:val="1"/>
    <w:next w:val="1"/>
    <w:link w:val="3635"/>
    <w:qFormat/>
    <w:uiPriority w:val="0"/>
    <w:pPr>
      <w:jc w:val="center"/>
    </w:pPr>
    <w:rPr>
      <w:kern w:val="0"/>
      <w:sz w:val="20"/>
      <w:szCs w:val="20"/>
    </w:rPr>
  </w:style>
  <w:style w:type="paragraph" w:customStyle="1" w:styleId="3626">
    <w:name w:val="WPSOffice手动目录 1"/>
    <w:qFormat/>
    <w:uiPriority w:val="0"/>
    <w:rPr>
      <w:rFonts w:ascii="Times New Roman" w:hAnsi="Times New Roman" w:eastAsia="宋体" w:cs="Times New Roman"/>
      <w:lang w:val="en-US" w:eastAsia="zh-CN" w:bidi="ar-SA"/>
    </w:rPr>
  </w:style>
  <w:style w:type="paragraph" w:customStyle="1" w:styleId="3627">
    <w:name w:val="正文表头"/>
    <w:basedOn w:val="1"/>
    <w:qFormat/>
    <w:uiPriority w:val="0"/>
    <w:pPr>
      <w:widowControl/>
      <w:autoSpaceDE w:val="0"/>
      <w:autoSpaceDN w:val="0"/>
      <w:adjustRightInd w:val="0"/>
      <w:spacing w:beforeLines="50" w:afterLines="50"/>
      <w:jc w:val="center"/>
    </w:pPr>
    <w:rPr>
      <w:b/>
      <w:color w:val="000000"/>
      <w:kern w:val="0"/>
    </w:rPr>
  </w:style>
  <w:style w:type="paragraph" w:customStyle="1" w:styleId="3628">
    <w:name w:val="样式 haydonli + 首行缩进:  2 字符"/>
    <w:basedOn w:val="1"/>
    <w:qFormat/>
    <w:uiPriority w:val="0"/>
    <w:pPr>
      <w:ind w:firstLine="420" w:firstLineChars="175"/>
    </w:pPr>
    <w:rPr>
      <w:color w:val="000000"/>
    </w:rPr>
  </w:style>
  <w:style w:type="paragraph" w:customStyle="1" w:styleId="3629">
    <w:name w:val="样式 样式 小四 行距: 1.5 倍行距 首行缩进:  2 字符1 + 13 磅 黑色 紧缩量  0.2 磅"/>
    <w:basedOn w:val="3630"/>
    <w:qFormat/>
    <w:uiPriority w:val="0"/>
    <w:pPr>
      <w:tabs>
        <w:tab w:val="left" w:pos="480"/>
      </w:tabs>
    </w:pPr>
    <w:rPr>
      <w:color w:val="000000"/>
      <w:spacing w:val="-4"/>
    </w:rPr>
  </w:style>
  <w:style w:type="paragraph" w:customStyle="1" w:styleId="3630">
    <w:name w:val="样式 小四 行距: 1.5 倍行距 首行缩进:  2 字符1"/>
    <w:basedOn w:val="1"/>
    <w:qFormat/>
    <w:uiPriority w:val="0"/>
    <w:pPr>
      <w:adjustRightInd w:val="0"/>
      <w:snapToGrid w:val="0"/>
    </w:pPr>
    <w:rPr>
      <w:rFonts w:cs="宋体"/>
      <w:kern w:val="0"/>
    </w:rPr>
  </w:style>
  <w:style w:type="table" w:customStyle="1" w:styleId="3631">
    <w:name w:val="Table Normal"/>
    <w:unhideWhenUsed/>
    <w:qFormat/>
    <w:uiPriority w:val="2"/>
    <w:tblPr>
      <w:tblCellMar>
        <w:top w:w="0" w:type="dxa"/>
        <w:left w:w="0" w:type="dxa"/>
        <w:bottom w:w="0" w:type="dxa"/>
        <w:right w:w="0" w:type="dxa"/>
      </w:tblCellMar>
    </w:tblPr>
  </w:style>
  <w:style w:type="paragraph" w:customStyle="1" w:styleId="3632">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3633">
    <w:name w:val="表标题"/>
    <w:basedOn w:val="1"/>
    <w:qFormat/>
    <w:uiPriority w:val="0"/>
    <w:pPr>
      <w:jc w:val="center"/>
    </w:pPr>
    <w:rPr>
      <w:b/>
      <w:kern w:val="0"/>
      <w:sz w:val="20"/>
      <w:szCs w:val="20"/>
    </w:rPr>
  </w:style>
  <w:style w:type="paragraph" w:customStyle="1" w:styleId="3634">
    <w:name w:val="表格内格式"/>
    <w:basedOn w:val="171"/>
    <w:next w:val="153"/>
    <w:qFormat/>
    <w:uiPriority w:val="0"/>
    <w:pPr>
      <w:spacing w:line="360" w:lineRule="exact"/>
    </w:pPr>
    <w:rPr>
      <w:szCs w:val="21"/>
    </w:rPr>
  </w:style>
  <w:style w:type="character" w:customStyle="1" w:styleId="3635">
    <w:name w:val="表字体 Char"/>
    <w:link w:val="3625"/>
    <w:qFormat/>
    <w:uiPriority w:val="0"/>
    <w:rPr>
      <w:rFonts w:ascii="Times New Roman" w:hAnsi="Times New Roman"/>
      <w:kern w:val="0"/>
      <w:sz w:val="20"/>
      <w:szCs w:val="20"/>
    </w:rPr>
  </w:style>
  <w:style w:type="character" w:customStyle="1" w:styleId="3636">
    <w:name w:val="font31"/>
    <w:basedOn w:val="133"/>
    <w:qFormat/>
    <w:uiPriority w:val="0"/>
    <w:rPr>
      <w:rFonts w:hint="eastAsia" w:ascii="宋体" w:hAnsi="宋体" w:eastAsia="宋体" w:cs="宋体"/>
      <w:b/>
      <w:bCs/>
      <w:color w:val="000000"/>
      <w:sz w:val="21"/>
      <w:szCs w:val="21"/>
      <w:u w:val="none"/>
    </w:rPr>
  </w:style>
  <w:style w:type="paragraph" w:customStyle="1" w:styleId="3637">
    <w:name w:val="ZX 6 表标题"/>
    <w:basedOn w:val="3230"/>
    <w:qFormat/>
    <w:uiPriority w:val="0"/>
    <w:pPr>
      <w:numPr>
        <w:ilvl w:val="0"/>
        <w:numId w:val="47"/>
      </w:numPr>
      <w:ind w:firstLine="0" w:firstLineChars="0"/>
    </w:pPr>
    <w:rPr>
      <w:sz w:val="21"/>
    </w:rPr>
  </w:style>
  <w:style w:type="paragraph" w:customStyle="1" w:styleId="3638">
    <w:name w:val="TCY-表内文字"/>
    <w:basedOn w:val="1"/>
    <w:next w:val="3639"/>
    <w:qFormat/>
    <w:uiPriority w:val="0"/>
    <w:pPr>
      <w:spacing w:line="360" w:lineRule="exact"/>
      <w:ind w:firstLine="0" w:firstLineChars="0"/>
      <w:jc w:val="center"/>
    </w:pPr>
    <w:rPr>
      <w:sz w:val="21"/>
    </w:rPr>
  </w:style>
  <w:style w:type="paragraph" w:customStyle="1" w:styleId="3639">
    <w:name w:val="标准正文"/>
    <w:basedOn w:val="182"/>
    <w:next w:val="2941"/>
    <w:qFormat/>
    <w:uiPriority w:val="0"/>
    <w:pPr>
      <w:spacing w:line="360" w:lineRule="auto"/>
      <w:ind w:firstLine="540" w:firstLineChars="225"/>
      <w:jc w:val="left"/>
    </w:pPr>
    <w:rPr>
      <w:rFonts w:ascii="Times New Roman"/>
      <w:szCs w:val="24"/>
    </w:rPr>
  </w:style>
  <w:style w:type="paragraph" w:customStyle="1" w:styleId="3640">
    <w:name w:val="TCY-报告表正文"/>
    <w:basedOn w:val="3639"/>
    <w:qFormat/>
    <w:uiPriority w:val="0"/>
    <w:pPr>
      <w:spacing w:line="560" w:lineRule="exact"/>
      <w:ind w:firstLine="960" w:firstLineChars="200"/>
      <w:jc w:val="both"/>
    </w:pPr>
  </w:style>
  <w:style w:type="paragraph" w:customStyle="1" w:styleId="3641">
    <w:name w:val="TCY-表题"/>
    <w:basedOn w:val="1"/>
    <w:next w:val="3640"/>
    <w:qFormat/>
    <w:uiPriority w:val="0"/>
    <w:pPr>
      <w:tabs>
        <w:tab w:val="left" w:pos="0"/>
        <w:tab w:val="clear" w:pos="480"/>
      </w:tabs>
      <w:adjustRightInd w:val="0"/>
      <w:ind w:firstLine="0" w:firstLineChars="0"/>
      <w:jc w:val="center"/>
    </w:pPr>
    <w:rPr>
      <w:b/>
      <w:kern w:val="24"/>
      <w:sz w:val="21"/>
      <w:lang w:val="zh-CN"/>
    </w:rPr>
  </w:style>
  <w:style w:type="paragraph" w:customStyle="1" w:styleId="3642">
    <w:name w:val="3级标题"/>
    <w:basedOn w:val="3643"/>
    <w:next w:val="3640"/>
    <w:qFormat/>
    <w:uiPriority w:val="0"/>
    <w:pPr>
      <w:tabs>
        <w:tab w:val="left" w:pos="480"/>
      </w:tabs>
      <w:outlineLvl w:val="9"/>
    </w:pPr>
    <w:rPr>
      <w:sz w:val="28"/>
    </w:rPr>
  </w:style>
  <w:style w:type="paragraph" w:customStyle="1" w:styleId="3643">
    <w:name w:val="2级标题"/>
    <w:basedOn w:val="3644"/>
    <w:next w:val="3639"/>
    <w:qFormat/>
    <w:uiPriority w:val="0"/>
    <w:pPr>
      <w:tabs>
        <w:tab w:val="left" w:pos="480"/>
      </w:tabs>
      <w:outlineLvl w:val="1"/>
    </w:pPr>
    <w:rPr>
      <w:rFonts w:eastAsia="宋体"/>
      <w:kern w:val="0"/>
      <w:sz w:val="30"/>
    </w:rPr>
  </w:style>
  <w:style w:type="paragraph" w:customStyle="1" w:styleId="3644">
    <w:name w:val="1级标题"/>
    <w:basedOn w:val="1"/>
    <w:next w:val="3640"/>
    <w:qFormat/>
    <w:uiPriority w:val="0"/>
    <w:pPr>
      <w:spacing w:before="50" w:beforeLines="50" w:line="560" w:lineRule="exact"/>
      <w:ind w:firstLine="0" w:firstLineChars="0"/>
      <w:outlineLvl w:val="0"/>
    </w:pPr>
    <w:rPr>
      <w:rFonts w:eastAsia="黑体"/>
      <w:b/>
      <w:sz w:val="32"/>
    </w:rPr>
  </w:style>
  <w:style w:type="paragraph" w:customStyle="1" w:styleId="3645">
    <w:name w:val="图表标题wj"/>
    <w:basedOn w:val="1"/>
    <w:qFormat/>
    <w:uiPriority w:val="0"/>
    <w:pPr>
      <w:adjustRightInd w:val="0"/>
      <w:snapToGrid w:val="0"/>
      <w:jc w:val="center"/>
    </w:pPr>
    <w:rPr>
      <w:rFonts w:ascii="黑体" w:eastAsia="黑体"/>
      <w:b/>
    </w:rPr>
  </w:style>
  <w:style w:type="paragraph" w:customStyle="1" w:styleId="3646">
    <w:name w:val="小题内容"/>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3647">
    <w:name w:val="HJ-表格"/>
    <w:basedOn w:val="3648"/>
    <w:qFormat/>
    <w:uiPriority w:val="0"/>
    <w:pPr>
      <w:tabs>
        <w:tab w:val="left" w:pos="480"/>
      </w:tabs>
    </w:pPr>
    <w:rPr>
      <w:rFonts w:ascii="Times New Roman" w:hAnsi="Times New Roman"/>
      <w:color w:val="auto"/>
    </w:rPr>
  </w:style>
  <w:style w:type="paragraph" w:customStyle="1" w:styleId="3648">
    <w:name w:val="表内文字小21"/>
    <w:basedOn w:val="1"/>
    <w:qFormat/>
    <w:uiPriority w:val="0"/>
    <w:pPr>
      <w:adjustRightInd w:val="0"/>
      <w:snapToGrid w:val="0"/>
      <w:jc w:val="center"/>
    </w:pPr>
    <w:rPr>
      <w:rFonts w:ascii="宋体" w:hAnsi="Times"/>
      <w:bCs/>
      <w:color w:val="000000"/>
      <w:szCs w:val="20"/>
    </w:rPr>
  </w:style>
  <w:style w:type="paragraph" w:customStyle="1" w:styleId="3649">
    <w:name w:val="表格标题7"/>
    <w:basedOn w:val="1"/>
    <w:qFormat/>
    <w:uiPriority w:val="0"/>
    <w:pPr>
      <w:numPr>
        <w:ilvl w:val="0"/>
        <w:numId w:val="48"/>
      </w:numPr>
      <w:tabs>
        <w:tab w:val="clear" w:pos="480"/>
      </w:tabs>
      <w:spacing w:line="240" w:lineRule="auto"/>
      <w:ind w:firstLine="482"/>
      <w:jc w:val="center"/>
    </w:pPr>
    <w:rPr>
      <w:rFonts w:ascii="宋体" w:hAnsi="宋体"/>
      <w:b/>
      <w:bCs/>
      <w:sz w:val="21"/>
      <w:szCs w:val="20"/>
    </w:rPr>
  </w:style>
  <w:style w:type="paragraph" w:customStyle="1" w:styleId="3650">
    <w:name w:val="表格文本1"/>
    <w:basedOn w:val="1"/>
    <w:qFormat/>
    <w:uiPriority w:val="0"/>
    <w:pPr>
      <w:spacing w:line="240" w:lineRule="auto"/>
      <w:ind w:firstLine="0" w:firstLineChars="0"/>
      <w:jc w:val="center"/>
    </w:pPr>
    <w:rPr>
      <w:sz w:val="21"/>
      <w:szCs w:val="21"/>
    </w:rPr>
  </w:style>
  <w:style w:type="paragraph" w:customStyle="1" w:styleId="3651">
    <w:name w:val="ZX9表标题"/>
    <w:basedOn w:val="1"/>
    <w:qFormat/>
    <w:uiPriority w:val="0"/>
    <w:pPr>
      <w:numPr>
        <w:ilvl w:val="0"/>
        <w:numId w:val="49"/>
      </w:numPr>
      <w:tabs>
        <w:tab w:val="clear" w:pos="480"/>
      </w:tabs>
      <w:ind w:left="0" w:firstLine="0" w:firstLineChars="0"/>
      <w:jc w:val="center"/>
    </w:pPr>
    <w:rPr>
      <w:b/>
      <w:sz w:val="21"/>
      <w:szCs w:val="21"/>
    </w:rPr>
  </w:style>
  <w:style w:type="paragraph" w:customStyle="1" w:styleId="3652">
    <w:name w:val="样式262"/>
    <w:basedOn w:val="1"/>
    <w:qFormat/>
    <w:uiPriority w:val="0"/>
  </w:style>
  <w:style w:type="paragraph" w:customStyle="1" w:styleId="3653">
    <w:name w:val="样式 小四 行距: 1.5 倍行距 首行缩进:  2 字符"/>
    <w:basedOn w:val="1"/>
    <w:qFormat/>
    <w:uiPriority w:val="0"/>
    <w:pPr>
      <w:adjustRightInd w:val="0"/>
      <w:snapToGrid w:val="0"/>
    </w:pPr>
    <w:rPr>
      <w:rFonts w:cs="宋体"/>
    </w:rPr>
  </w:style>
  <w:style w:type="paragraph" w:customStyle="1" w:styleId="3654">
    <w:name w:val="样式 样式 小四 行距: 1.5 倍行距 首行缩进:  2 字符 + 加粗"/>
    <w:basedOn w:val="3653"/>
    <w:qFormat/>
    <w:uiPriority w:val="0"/>
    <w:rPr>
      <w:bCs/>
    </w:rPr>
  </w:style>
  <w:style w:type="paragraph" w:customStyle="1" w:styleId="3655">
    <w:name w:val="样式 蓝色 首行缩进:  0.85 厘米"/>
    <w:basedOn w:val="1"/>
    <w:qFormat/>
    <w:uiPriority w:val="0"/>
    <w:rPr>
      <w:rFonts w:cs="宋体"/>
      <w:color w:val="0000FF"/>
      <w:szCs w:val="20"/>
    </w:rPr>
  </w:style>
  <w:style w:type="paragraph" w:customStyle="1" w:styleId="3656">
    <w:name w:val="样式 小四 行距: 1.5 倍行距 首行缩进:  2 字符2"/>
    <w:basedOn w:val="1"/>
    <w:qFormat/>
    <w:uiPriority w:val="0"/>
    <w:pPr>
      <w:adjustRightInd w:val="0"/>
      <w:snapToGrid w:val="0"/>
    </w:pPr>
    <w:rPr>
      <w:rFonts w:cs="宋体"/>
    </w:rPr>
  </w:style>
  <w:style w:type="paragraph" w:customStyle="1" w:styleId="3657">
    <w:name w:val="样式 样式 小四 行距: 1.5 倍行距 首行缩进:  2 字符2 + 加粗"/>
    <w:basedOn w:val="3656"/>
    <w:qFormat/>
    <w:uiPriority w:val="0"/>
    <w:rPr>
      <w:bCs/>
    </w:rPr>
  </w:style>
  <w:style w:type="paragraph" w:customStyle="1" w:styleId="3658">
    <w:name w:val="表格格"/>
    <w:basedOn w:val="161"/>
    <w:qFormat/>
    <w:uiPriority w:val="0"/>
    <w:pPr/>
  </w:style>
  <w:style w:type="paragraph" w:customStyle="1" w:styleId="3659">
    <w:name w:val="样式 图名 + (西文) Times New Roman"/>
    <w:basedOn w:val="1540"/>
    <w:qFormat/>
    <w:uiPriority w:val="0"/>
    <w:pPr/>
  </w:style>
  <w:style w:type="paragraph" w:customStyle="1" w:styleId="3660">
    <w:name w:val="1正文阳选清"/>
    <w:basedOn w:val="1"/>
    <w:link w:val="3675"/>
    <w:qFormat/>
    <w:uiPriority w:val="0"/>
    <w:pPr>
      <w:adjustRightInd w:val="0"/>
      <w:snapToGrid w:val="0"/>
      <w:ind w:left="20" w:leftChars="20" w:right="20" w:rightChars="20"/>
    </w:pPr>
    <w:rPr>
      <w:rFonts w:cs="Arial"/>
      <w:kern w:val="0"/>
      <w:lang w:val="sq-AL" w:bidi="en-US"/>
    </w:rPr>
  </w:style>
  <w:style w:type="paragraph" w:customStyle="1" w:styleId="3661">
    <w:name w:val="表标注5号"/>
    <w:basedOn w:val="1"/>
    <w:qFormat/>
    <w:uiPriority w:val="0"/>
    <w:pPr>
      <w:jc w:val="center"/>
    </w:pPr>
    <w:rPr>
      <w:kern w:val="0"/>
      <w:szCs w:val="21"/>
    </w:rPr>
  </w:style>
  <w:style w:type="paragraph" w:customStyle="1" w:styleId="3662">
    <w:name w:val="正文文字"/>
    <w:basedOn w:val="21"/>
    <w:link w:val="4058"/>
    <w:qFormat/>
    <w:uiPriority w:val="0"/>
    <w:pPr>
      <w:tabs>
        <w:tab w:val="left" w:pos="1021"/>
        <w:tab w:val="clear" w:pos="480"/>
      </w:tabs>
      <w:ind w:firstLine="200"/>
    </w:pPr>
  </w:style>
  <w:style w:type="paragraph" w:customStyle="1" w:styleId="3663">
    <w:name w:val="5表名阳选清"/>
    <w:qFormat/>
    <w:uiPriority w:val="0"/>
    <w:pPr>
      <w:widowControl w:val="0"/>
      <w:adjustRightInd w:val="0"/>
      <w:snapToGrid w:val="0"/>
      <w:jc w:val="center"/>
    </w:pPr>
    <w:rPr>
      <w:rFonts w:ascii="Times New Roman" w:hAnsi="Times New Roman" w:eastAsia="宋体" w:cs="Times New Roman"/>
      <w:color w:val="000000"/>
      <w:kern w:val="2"/>
      <w:sz w:val="21"/>
      <w:szCs w:val="21"/>
      <w:lang w:val="en-US" w:eastAsia="zh-CN" w:bidi="ar-SA"/>
    </w:rPr>
  </w:style>
  <w:style w:type="paragraph" w:customStyle="1" w:styleId="3664">
    <w:name w:val="样式 样式 行距: 固定值 26 磅 + 宋体 首行缩进:  2 字符"/>
    <w:basedOn w:val="1"/>
    <w:qFormat/>
    <w:uiPriority w:val="0"/>
    <w:pPr>
      <w:spacing w:line="520" w:lineRule="exact"/>
      <w:ind w:firstLine="504"/>
    </w:pPr>
    <w:rPr>
      <w:rFonts w:ascii="宋体" w:hAnsi="宋体" w:cs="宋体"/>
      <w:spacing w:val="6"/>
      <w:szCs w:val="20"/>
    </w:rPr>
  </w:style>
  <w:style w:type="paragraph" w:customStyle="1" w:styleId="3665">
    <w:name w:val="wxy正文"/>
    <w:basedOn w:val="1"/>
    <w:qFormat/>
    <w:uiPriority w:val="0"/>
    <w:pPr>
      <w:ind w:firstLine="480"/>
    </w:pPr>
    <w:rPr>
      <w:snapToGrid w:val="0"/>
      <w:szCs w:val="20"/>
    </w:rPr>
  </w:style>
  <w:style w:type="paragraph" w:customStyle="1" w:styleId="3666">
    <w:name w:val="图片标题1"/>
    <w:basedOn w:val="1"/>
    <w:link w:val="3861"/>
    <w:qFormat/>
    <w:uiPriority w:val="0"/>
    <w:pPr>
      <w:tabs>
        <w:tab w:val="left" w:pos="1320"/>
        <w:tab w:val="clear" w:pos="480"/>
      </w:tabs>
      <w:ind w:firstLine="0" w:firstLineChars="0"/>
      <w:jc w:val="center"/>
    </w:pPr>
    <w:rPr>
      <w:rFonts w:ascii="Calibri" w:hAnsi="Calibri" w:eastAsia="黑体"/>
      <w:szCs w:val="20"/>
    </w:rPr>
  </w:style>
  <w:style w:type="paragraph" w:customStyle="1" w:styleId="3667">
    <w:name w:val="正文标准"/>
    <w:qFormat/>
    <w:uiPriority w:val="0"/>
    <w:pPr>
      <w:spacing w:line="360" w:lineRule="auto"/>
      <w:ind w:firstLine="200" w:firstLineChars="200"/>
      <w:jc w:val="both"/>
    </w:pPr>
    <w:rPr>
      <w:rFonts w:ascii="Times New Roman" w:hAnsi="Times New Roman" w:eastAsia="宋体" w:cs="Times New Roman"/>
      <w:kern w:val="44"/>
      <w:sz w:val="28"/>
      <w:szCs w:val="28"/>
      <w:lang w:val="zh-CN" w:eastAsia="zh-CN" w:bidi="ar-SA"/>
    </w:rPr>
  </w:style>
  <w:style w:type="paragraph" w:customStyle="1" w:styleId="3668">
    <w:name w:val="样式 行距: 固定值 24 磅 首行缩进:  2 字符"/>
    <w:basedOn w:val="1"/>
    <w:qFormat/>
    <w:uiPriority w:val="0"/>
    <w:pPr>
      <w:spacing w:line="480" w:lineRule="exact"/>
      <w:ind w:firstLine="480"/>
    </w:pPr>
    <w:rPr>
      <w:rFonts w:cs="宋体"/>
      <w:szCs w:val="20"/>
    </w:rPr>
  </w:style>
  <w:style w:type="character" w:customStyle="1" w:styleId="3669">
    <w:name w:val="标题 1 字符1"/>
    <w:qFormat/>
    <w:locked/>
    <w:uiPriority w:val="9"/>
    <w:rPr>
      <w:b/>
      <w:bCs/>
      <w:kern w:val="44"/>
      <w:sz w:val="44"/>
      <w:szCs w:val="44"/>
    </w:rPr>
  </w:style>
  <w:style w:type="table" w:customStyle="1" w:styleId="3670">
    <w:name w:val="Table Normal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671">
    <w:name w:val="Table Normal2"/>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672">
    <w:name w:val="XZW"/>
    <w:basedOn w:val="1"/>
    <w:qFormat/>
    <w:uiPriority w:val="0"/>
    <w:pPr>
      <w:tabs>
        <w:tab w:val="clear" w:pos="480"/>
      </w:tabs>
      <w:adjustRightInd w:val="0"/>
      <w:snapToGrid w:val="0"/>
    </w:pPr>
    <w:rPr>
      <w:rFonts w:eastAsia="仿宋_GB2312"/>
      <w:kern w:val="0"/>
      <w:sz w:val="28"/>
    </w:rPr>
  </w:style>
  <w:style w:type="table" w:customStyle="1" w:styleId="3673">
    <w:name w:val="Table Normal3"/>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3674">
    <w:name w:val="Table Normal4"/>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character" w:customStyle="1" w:styleId="3675">
    <w:name w:val="1正文阳选清 Char"/>
    <w:link w:val="3660"/>
    <w:locked/>
    <w:uiPriority w:val="0"/>
    <w:rPr>
      <w:rFonts w:cs="Arial"/>
      <w:sz w:val="24"/>
      <w:szCs w:val="24"/>
      <w:lang w:val="sq-AL" w:bidi="en-US"/>
    </w:rPr>
  </w:style>
  <w:style w:type="table" w:customStyle="1" w:styleId="3676">
    <w:name w:val="Table Normal5"/>
    <w:semiHidden/>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paragraph" w:customStyle="1" w:styleId="3677">
    <w:name w:val="书正文"/>
    <w:basedOn w:val="1"/>
    <w:qFormat/>
    <w:uiPriority w:val="0"/>
    <w:pPr>
      <w:tabs>
        <w:tab w:val="clear" w:pos="480"/>
      </w:tabs>
      <w:adjustRightInd w:val="0"/>
      <w:snapToGrid w:val="0"/>
      <w:ind w:firstLine="480"/>
    </w:pPr>
    <w:rPr>
      <w:rFonts w:ascii="Calibri" w:hAnsi="Calibri"/>
      <w:szCs w:val="22"/>
    </w:rPr>
  </w:style>
  <w:style w:type="table" w:customStyle="1" w:styleId="3678">
    <w:name w:val="Table Normal6"/>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679">
    <w:name w:val="段落1"/>
    <w:basedOn w:val="1"/>
    <w:qFormat/>
    <w:uiPriority w:val="0"/>
    <w:pPr>
      <w:tabs>
        <w:tab w:val="clear" w:pos="480"/>
      </w:tabs>
      <w:spacing w:line="450" w:lineRule="exact"/>
      <w:ind w:firstLine="560"/>
    </w:pPr>
    <w:rPr>
      <w:rFonts w:eastAsia="仿宋_GB2312"/>
    </w:rPr>
  </w:style>
  <w:style w:type="table" w:customStyle="1" w:styleId="3680">
    <w:name w:val="Table Normal7"/>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681">
    <w:name w:val="Table Normal8"/>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682">
    <w:name w:val="Table Normal9"/>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683">
    <w:name w:val="Table Normal10"/>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684">
    <w:name w:val="网格型9"/>
    <w:basedOn w:val="8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85">
    <w:name w:val="正文文本 Char"/>
    <w:locked/>
    <w:uiPriority w:val="0"/>
    <w:rPr>
      <w:sz w:val="18"/>
    </w:rPr>
  </w:style>
  <w:style w:type="character" w:customStyle="1" w:styleId="3686">
    <w:name w:val="标题 1 Char"/>
    <w:uiPriority w:val="9"/>
    <w:rPr>
      <w:rFonts w:ascii="Times New Roman" w:hAnsi="Times New Roman"/>
      <w:bCs/>
      <w:color w:val="000000"/>
      <w:kern w:val="44"/>
      <w:sz w:val="32"/>
      <w:szCs w:val="30"/>
    </w:rPr>
  </w:style>
  <w:style w:type="character" w:customStyle="1" w:styleId="3687">
    <w:name w:val="标题 3 Char"/>
    <w:uiPriority w:val="9"/>
    <w:rPr>
      <w:rFonts w:ascii="Times New Roman" w:hAnsi="Times New Roman" w:eastAsia="宋体"/>
      <w:b/>
      <w:kern w:val="24"/>
      <w:sz w:val="21"/>
    </w:rPr>
  </w:style>
  <w:style w:type="character" w:customStyle="1" w:styleId="3688">
    <w:name w:val="标题 4 Char"/>
    <w:uiPriority w:val="9"/>
    <w:rPr>
      <w:rFonts w:ascii="Times New Roman" w:hAnsi="Times New Roman" w:eastAsia="宋体"/>
      <w:b/>
      <w:color w:val="000000"/>
      <w:sz w:val="21"/>
      <w:szCs w:val="28"/>
    </w:rPr>
  </w:style>
  <w:style w:type="character" w:customStyle="1" w:styleId="3689">
    <w:name w:val="正文文本缩进 Char"/>
    <w:semiHidden/>
    <w:locked/>
    <w:uiPriority w:val="0"/>
    <w:rPr>
      <w:rFonts w:ascii="Times New Roman" w:hAnsi="Times New Roman" w:eastAsia="宋体" w:cs="Times New Roman"/>
      <w:sz w:val="24"/>
      <w:szCs w:val="24"/>
    </w:rPr>
  </w:style>
  <w:style w:type="paragraph" w:customStyle="1" w:styleId="3690">
    <w:name w:val="正本"/>
    <w:basedOn w:val="1"/>
    <w:qFormat/>
    <w:uiPriority w:val="0"/>
    <w:pPr>
      <w:tabs>
        <w:tab w:val="clear" w:pos="480"/>
      </w:tabs>
      <w:adjustRightInd w:val="0"/>
      <w:snapToGrid w:val="0"/>
    </w:pPr>
    <w:rPr>
      <w:rFonts w:ascii="宋体" w:hAnsi="宋体"/>
    </w:rPr>
  </w:style>
  <w:style w:type="character" w:customStyle="1" w:styleId="3691">
    <w:name w:val="页脚 Char"/>
    <w:locked/>
    <w:uiPriority w:val="99"/>
    <w:rPr>
      <w:rFonts w:cs="Times New Roman"/>
      <w:sz w:val="18"/>
      <w:szCs w:val="18"/>
    </w:rPr>
  </w:style>
  <w:style w:type="character" w:customStyle="1" w:styleId="3692">
    <w:name w:val="页眉 Char"/>
    <w:locked/>
    <w:uiPriority w:val="99"/>
    <w:rPr>
      <w:rFonts w:cs="Times New Roman"/>
      <w:sz w:val="18"/>
      <w:szCs w:val="18"/>
    </w:rPr>
  </w:style>
  <w:style w:type="paragraph" w:customStyle="1" w:styleId="3693">
    <w:name w:val="1"/>
    <w:basedOn w:val="1"/>
    <w:next w:val="1"/>
    <w:uiPriority w:val="0"/>
    <w:pPr>
      <w:tabs>
        <w:tab w:val="clear" w:pos="480"/>
      </w:tabs>
      <w:ind w:left="420" w:leftChars="200" w:firstLine="720"/>
    </w:pPr>
    <w:rPr>
      <w:sz w:val="21"/>
    </w:rPr>
  </w:style>
  <w:style w:type="character" w:customStyle="1" w:styleId="3694">
    <w:name w:val="普通(网站) 字符"/>
    <w:link w:val="81"/>
    <w:locked/>
    <w:uiPriority w:val="0"/>
    <w:rPr>
      <w:rFonts w:ascii="Arial Unicode MS" w:hAnsi="Arial Unicode MS" w:eastAsia="Arial Unicode MS" w:cs="Arial Unicode MS"/>
      <w:sz w:val="24"/>
      <w:szCs w:val="24"/>
    </w:rPr>
  </w:style>
  <w:style w:type="table" w:customStyle="1" w:styleId="3695">
    <w:name w:val="网格型8"/>
    <w:basedOn w:val="8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96">
    <w:name w:val="font01"/>
    <w:uiPriority w:val="0"/>
    <w:rPr>
      <w:rFonts w:hint="default" w:ascii="Times New Roman" w:hAnsi="Times New Roman" w:cs="Times New Roman"/>
      <w:color w:val="000000"/>
      <w:sz w:val="21"/>
      <w:szCs w:val="21"/>
      <w:u w:val="none"/>
    </w:rPr>
  </w:style>
  <w:style w:type="paragraph" w:customStyle="1" w:styleId="3697">
    <w:name w:val="Other|2"/>
    <w:basedOn w:val="1"/>
    <w:qFormat/>
    <w:uiPriority w:val="0"/>
    <w:pPr>
      <w:tabs>
        <w:tab w:val="clear" w:pos="480"/>
      </w:tabs>
      <w:ind w:firstLine="220"/>
    </w:pPr>
    <w:rPr>
      <w:rFonts w:ascii="宋体" w:hAnsi="宋体" w:cs="宋体"/>
      <w:sz w:val="20"/>
      <w:szCs w:val="20"/>
      <w:lang w:val="zh-TW" w:eastAsia="zh-TW" w:bidi="zh-TW"/>
    </w:rPr>
  </w:style>
  <w:style w:type="paragraph" w:customStyle="1" w:styleId="3698">
    <w:name w:val="中大表格内容"/>
    <w:basedOn w:val="1"/>
    <w:qFormat/>
    <w:uiPriority w:val="0"/>
    <w:pPr>
      <w:widowControl/>
      <w:tabs>
        <w:tab w:val="clear" w:pos="480"/>
      </w:tabs>
      <w:autoSpaceDE w:val="0"/>
      <w:autoSpaceDN w:val="0"/>
      <w:adjustRightInd w:val="0"/>
      <w:ind w:firstLine="720"/>
      <w:jc w:val="center"/>
    </w:pPr>
    <w:rPr>
      <w:rFonts w:ascii="宋体" w:hAnsi="宋体" w:cs="宋体"/>
      <w:kern w:val="0"/>
      <w:sz w:val="21"/>
      <w:szCs w:val="21"/>
      <w:lang w:val="zh-CN"/>
    </w:rPr>
  </w:style>
  <w:style w:type="paragraph" w:customStyle="1" w:styleId="3699">
    <w:name w:val="Body text|1"/>
    <w:basedOn w:val="1"/>
    <w:qFormat/>
    <w:uiPriority w:val="0"/>
    <w:pPr>
      <w:tabs>
        <w:tab w:val="clear" w:pos="480"/>
      </w:tabs>
      <w:spacing w:line="403" w:lineRule="auto"/>
      <w:ind w:firstLine="400"/>
      <w:jc w:val="left"/>
    </w:pPr>
    <w:rPr>
      <w:rFonts w:hint="eastAsia" w:ascii="宋体" w:hAnsi="宋体"/>
      <w:kern w:val="0"/>
      <w:sz w:val="26"/>
      <w:szCs w:val="26"/>
    </w:rPr>
  </w:style>
  <w:style w:type="paragraph" w:customStyle="1" w:styleId="3700">
    <w:name w:val="WPSOffice手动目录 2"/>
    <w:uiPriority w:val="0"/>
    <w:pPr>
      <w:ind w:left="200" w:leftChars="200"/>
    </w:pPr>
    <w:rPr>
      <w:rFonts w:ascii="Times New Roman" w:hAnsi="Times New Roman" w:eastAsia="宋体" w:cs="Times New Roman"/>
      <w:lang w:val="en-US" w:eastAsia="zh-CN" w:bidi="ar-SA"/>
    </w:rPr>
  </w:style>
  <w:style w:type="paragraph" w:customStyle="1" w:styleId="3701">
    <w:name w:val="Header or footer|1"/>
    <w:basedOn w:val="1"/>
    <w:qFormat/>
    <w:uiPriority w:val="0"/>
    <w:pPr>
      <w:tabs>
        <w:tab w:val="clear" w:pos="480"/>
      </w:tabs>
      <w:ind w:firstLine="720"/>
    </w:pPr>
    <w:rPr>
      <w:sz w:val="22"/>
      <w:szCs w:val="22"/>
      <w:lang w:val="zh-TW" w:eastAsia="zh-TW" w:bidi="zh-TW"/>
    </w:rPr>
  </w:style>
  <w:style w:type="paragraph" w:customStyle="1" w:styleId="3702">
    <w:name w:val="Other|1"/>
    <w:basedOn w:val="1"/>
    <w:qFormat/>
    <w:uiPriority w:val="0"/>
    <w:pPr>
      <w:tabs>
        <w:tab w:val="clear" w:pos="480"/>
      </w:tabs>
      <w:spacing w:line="449" w:lineRule="auto"/>
      <w:ind w:firstLine="400"/>
    </w:pPr>
    <w:rPr>
      <w:rFonts w:ascii="宋体" w:hAnsi="宋体" w:cs="宋体"/>
      <w:sz w:val="26"/>
      <w:szCs w:val="26"/>
      <w:lang w:val="zh-TW" w:eastAsia="zh-TW" w:bidi="zh-TW"/>
    </w:rPr>
  </w:style>
  <w:style w:type="character" w:customStyle="1" w:styleId="3703">
    <w:name w:val="Default Char"/>
    <w:link w:val="151"/>
    <w:locked/>
    <w:uiPriority w:val="0"/>
    <w:rPr>
      <w:rFonts w:ascii="Sim Sun+ 2" w:eastAsia="Sim Sun+ 2" w:cs="Sim Sun+ 2"/>
      <w:color w:val="000000"/>
      <w:kern w:val="2"/>
      <w:sz w:val="24"/>
      <w:szCs w:val="24"/>
    </w:rPr>
  </w:style>
  <w:style w:type="character" w:customStyle="1" w:styleId="3704">
    <w:name w:val="题注 Char"/>
    <w:qFormat/>
    <w:uiPriority w:val="35"/>
    <w:rPr>
      <w:rFonts w:ascii="Arial" w:hAnsi="Arial" w:eastAsia="黑体" w:cs="Arial"/>
      <w:kern w:val="2"/>
      <w:sz w:val="21"/>
    </w:rPr>
  </w:style>
  <w:style w:type="character" w:customStyle="1" w:styleId="3705">
    <w:name w:val="样式 样式 样式 样式 表内字 + 首行缩进:  2 字符 + 段前: 2.4 磅 段后: 2.4 磅 行距: 单倍行距 + 段... Char"/>
    <w:link w:val="3706"/>
    <w:qFormat/>
    <w:uiPriority w:val="0"/>
    <w:rPr>
      <w:rFonts w:ascii="宋体" w:hAnsi="宋体" w:eastAsia="楷体_GB2312"/>
      <w:color w:val="000000"/>
      <w:sz w:val="24"/>
      <w:szCs w:val="24"/>
      <w:lang w:val="zh-CN"/>
    </w:rPr>
  </w:style>
  <w:style w:type="paragraph" w:customStyle="1" w:styleId="3706">
    <w:name w:val="样式 样式 样式 样式 表内字 + 首行缩进:  2 字符 + 段前: 2.4 磅 段后: 2.4 磅 行距: 单倍行距 + 段..."/>
    <w:basedOn w:val="1"/>
    <w:link w:val="3705"/>
    <w:uiPriority w:val="0"/>
    <w:pPr>
      <w:tabs>
        <w:tab w:val="clear" w:pos="480"/>
      </w:tabs>
      <w:autoSpaceDE w:val="0"/>
      <w:autoSpaceDN w:val="0"/>
      <w:adjustRightInd w:val="0"/>
      <w:snapToGrid w:val="0"/>
      <w:spacing w:beforeLines="20" w:afterLines="20" w:line="240" w:lineRule="auto"/>
      <w:ind w:firstLine="0" w:firstLineChars="0"/>
      <w:jc w:val="center"/>
    </w:pPr>
    <w:rPr>
      <w:rFonts w:ascii="宋体" w:hAnsi="宋体" w:eastAsia="楷体_GB2312"/>
      <w:color w:val="000000"/>
      <w:kern w:val="0"/>
      <w:lang w:val="zh-CN"/>
    </w:rPr>
  </w:style>
  <w:style w:type="table" w:customStyle="1" w:styleId="3707">
    <w:name w:val="Table Normal1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08">
    <w:name w:val="Table Normal12"/>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09">
    <w:name w:val="Table Normal13"/>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10">
    <w:name w:val="Table Normal14"/>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3711">
    <w:name w:val="p0 Char Char"/>
    <w:link w:val="1515"/>
    <w:qFormat/>
    <w:uiPriority w:val="0"/>
  </w:style>
  <w:style w:type="character" w:customStyle="1" w:styleId="3712">
    <w:name w:val="列表段落 字符"/>
    <w:link w:val="602"/>
    <w:qFormat/>
    <w:locked/>
    <w:uiPriority w:val="0"/>
    <w:rPr>
      <w:rFonts w:ascii="Calibri" w:hAnsi="Calibri"/>
      <w:kern w:val="2"/>
      <w:sz w:val="21"/>
      <w:szCs w:val="22"/>
    </w:rPr>
  </w:style>
  <w:style w:type="table" w:customStyle="1" w:styleId="3713">
    <w:name w:val="网格型1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4">
    <w:name w:val="Table Normal15"/>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15">
    <w:name w:val="Table Normal16"/>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16">
    <w:name w:val="Table Normal17"/>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17">
    <w:name w:val="Table Normal18"/>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18">
    <w:name w:val="Table Normal19"/>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19">
    <w:name w:val="Table Normal20"/>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20">
    <w:name w:val="Table Normal2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21">
    <w:name w:val="Table Normal22"/>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22">
    <w:name w:val="Table Normal23"/>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23">
    <w:name w:val="Table Normal24"/>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724">
    <w:name w:val="修订3"/>
    <w:hidden/>
    <w:semiHidden/>
    <w:uiPriority w:val="99"/>
    <w:rPr>
      <w:rFonts w:ascii="Times New Roman" w:hAnsi="Times New Roman" w:eastAsia="宋体" w:cs="Times New Roman"/>
      <w:kern w:val="2"/>
      <w:sz w:val="24"/>
      <w:szCs w:val="24"/>
      <w:lang w:val="en-US" w:eastAsia="zh-CN" w:bidi="ar-SA"/>
    </w:rPr>
  </w:style>
  <w:style w:type="character" w:customStyle="1" w:styleId="3725">
    <w:name w:val="纯文本 Char"/>
    <w:uiPriority w:val="0"/>
    <w:rPr>
      <w:rFonts w:ascii="宋体" w:hAnsi="Courier New"/>
      <w:kern w:val="2"/>
      <w:sz w:val="21"/>
    </w:rPr>
  </w:style>
  <w:style w:type="table" w:customStyle="1" w:styleId="3726">
    <w:name w:val="Table Normal25"/>
    <w:semiHidden/>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727">
    <w:name w:val="Table Normal26"/>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728">
    <w:name w:val="guo-正文缩进2"/>
    <w:basedOn w:val="1"/>
    <w:qFormat/>
    <w:uiPriority w:val="0"/>
    <w:pPr>
      <w:tabs>
        <w:tab w:val="left" w:pos="1021"/>
        <w:tab w:val="clear" w:pos="480"/>
      </w:tabs>
      <w:ind w:firstLine="562"/>
    </w:pPr>
  </w:style>
  <w:style w:type="paragraph" w:customStyle="1" w:styleId="3729">
    <w:name w:val="环评正文文字"/>
    <w:basedOn w:val="1"/>
    <w:link w:val="3730"/>
    <w:qFormat/>
    <w:uiPriority w:val="0"/>
    <w:pPr>
      <w:tabs>
        <w:tab w:val="clear" w:pos="480"/>
      </w:tabs>
      <w:ind w:firstLine="480"/>
    </w:pPr>
    <w:rPr>
      <w:kern w:val="0"/>
      <w:szCs w:val="20"/>
      <w:lang w:val="zh-CN"/>
    </w:rPr>
  </w:style>
  <w:style w:type="character" w:customStyle="1" w:styleId="3730">
    <w:name w:val="环评正文文字 Char"/>
    <w:link w:val="3729"/>
    <w:qFormat/>
    <w:uiPriority w:val="0"/>
    <w:rPr>
      <w:sz w:val="24"/>
      <w:lang w:val="zh-CN" w:eastAsia="zh-CN"/>
    </w:rPr>
  </w:style>
  <w:style w:type="paragraph" w:customStyle="1" w:styleId="3731">
    <w:name w:val="正文MS"/>
    <w:basedOn w:val="1"/>
    <w:qFormat/>
    <w:uiPriority w:val="0"/>
    <w:pPr>
      <w:tabs>
        <w:tab w:val="clear" w:pos="480"/>
      </w:tabs>
      <w:adjustRightInd w:val="0"/>
      <w:snapToGrid w:val="0"/>
      <w:spacing w:line="480" w:lineRule="exact"/>
      <w:ind w:firstLine="482" w:firstLineChars="0"/>
    </w:pPr>
    <w:rPr>
      <w:rFonts w:eastAsia="仿宋" w:cs="宋体"/>
      <w:kern w:val="0"/>
    </w:rPr>
  </w:style>
  <w:style w:type="table" w:customStyle="1" w:styleId="3732">
    <w:name w:val="网格型14"/>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3">
    <w:name w:val="表格主题2"/>
    <w:basedOn w:val="88"/>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4">
    <w:name w:val="彩色型 11"/>
    <w:basedOn w:val="88"/>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cPr>
        <w:shd w:val="solid" w:color="000000" w:fill="FFFFFF"/>
      </w:tcPr>
    </w:tblStylePr>
    <w:tblStylePr w:type="firstCol">
      <w:rPr>
        <w:b/>
        <w:bCs/>
        <w:i/>
        <w:iCs/>
      </w:rPr>
      <w:tcPr>
        <w:shd w:val="solid" w:color="000080" w:fill="FFFFFF"/>
      </w:tcPr>
    </w:tblStylePr>
    <w:tblStylePr w:type="nwCell">
      <w:tcPr>
        <w:shd w:val="solid" w:color="00000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735">
    <w:name w:val="典雅型1"/>
    <w:basedOn w:val="88"/>
    <w:uiPriority w:val="0"/>
    <w:pPr>
      <w:widowControl w:val="0"/>
      <w:jc w:val="both"/>
    </w:pPr>
    <w:rPr>
      <w:rFonts w:ascii="Arial" w:hAnsi="Arial" w:cs="Arial"/>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6">
    <w:name w:val="古典型 11"/>
    <w:basedOn w:val="88"/>
    <w:uiPriority w:val="0"/>
    <w:pPr>
      <w:widowControl w:val="0"/>
      <w:jc w:val="both"/>
    </w:pPr>
    <w:rPr>
      <w:rFonts w:ascii="Arial" w:hAnsi="Arial" w:cs="Arial"/>
    </w:r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37">
    <w:name w:val="简明型 11"/>
    <w:basedOn w:val="88"/>
    <w:uiPriority w:val="0"/>
    <w:pPr>
      <w:widowControl w:val="0"/>
      <w:jc w:val="both"/>
    </w:pPr>
    <w:rPr>
      <w:rFonts w:ascii="Arial" w:hAnsi="Arial" w:cs="Arial"/>
    </w:rPr>
    <w:tblPr>
      <w:tblBorders>
        <w:top w:val="single" w:color="008000" w:sz="12" w:space="0"/>
        <w:bottom w:val="single" w:color="008000" w:sz="12"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738">
    <w:name w:val="列表型 31"/>
    <w:basedOn w:val="88"/>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top w:val="nil"/>
          <w:left w:val="nil"/>
          <w:bottom w:val="single" w:color="000000" w:sz="12" w:space="0"/>
          <w:right w:val="nil"/>
          <w:insideH w:val="nil"/>
          <w:insideV w:val="nil"/>
          <w:tl2br w:val="nil"/>
          <w:tr2bl w:val="nil"/>
        </w:tcBorders>
      </w:tcPr>
    </w:tblStylePr>
    <w:tblStylePr w:type="lastRow">
      <w:tcPr>
        <w:tcBorders>
          <w:top w:val="single" w:color="000000" w:sz="12" w:space="0"/>
          <w:left w:val="nil"/>
          <w:bottom w:val="nil"/>
          <w:right w:val="nil"/>
          <w:insideH w:val="nil"/>
          <w:insideV w:val="nil"/>
          <w:tl2br w:val="nil"/>
          <w:tr2bl w:val="nil"/>
        </w:tcBorders>
      </w:tcPr>
    </w:tblStylePr>
    <w:tblStylePr w:type="swCell">
      <w:rPr>
        <w:i/>
        <w:iCs/>
        <w:color w:val="000080"/>
      </w:rPr>
      <w:tcPr>
        <w:tcBorders>
          <w:top w:val="nil"/>
          <w:left w:val="nil"/>
          <w:bottom w:val="nil"/>
          <w:right w:val="nil"/>
          <w:insideH w:val="nil"/>
          <w:insideV w:val="nil"/>
          <w:tl2br w:val="nil"/>
          <w:tr2bl w:val="nil"/>
        </w:tcBorders>
      </w:tcPr>
    </w:tblStylePr>
  </w:style>
  <w:style w:type="table" w:customStyle="1" w:styleId="3739">
    <w:name w:val="列表型 41"/>
    <w:basedOn w:val="88"/>
    <w:uiPriority w:val="0"/>
    <w:pPr>
      <w:widowControl w:val="0"/>
      <w:snapToGrid w:val="0"/>
      <w:spacing w:line="360" w:lineRule="auto"/>
      <w:ind w:firstLine="480" w:firstLineChars="200"/>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cPr>
        <w:tcBorders>
          <w:top w:val="nil"/>
          <w:left w:val="nil"/>
          <w:bottom w:val="single" w:color="000000" w:sz="12" w:space="0"/>
          <w:right w:val="nil"/>
          <w:insideH w:val="nil"/>
          <w:insideV w:val="nil"/>
          <w:tl2br w:val="nil"/>
          <w:tr2bl w:val="nil"/>
        </w:tcBorders>
        <w:shd w:val="solid" w:color="808080" w:fill="FFFFFF"/>
      </w:tcPr>
    </w:tblStylePr>
  </w:style>
  <w:style w:type="table" w:customStyle="1" w:styleId="3740">
    <w:name w:val="网格型 11"/>
    <w:basedOn w:val="88"/>
    <w:uiPriority w:val="0"/>
    <w:pPr>
      <w:widowControl w:val="0"/>
      <w:spacing w:line="300" w:lineRule="auto"/>
      <w:ind w:firstLine="200" w:firstLineChars="200"/>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741">
    <w:name w:val="专业型1"/>
    <w:basedOn w:val="88"/>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character" w:customStyle="1" w:styleId="3742">
    <w:name w:val="ourfont"/>
    <w:uiPriority w:val="0"/>
  </w:style>
  <w:style w:type="character" w:customStyle="1" w:styleId="3743">
    <w:name w:val="表头编号 Char Char3"/>
    <w:uiPriority w:val="0"/>
    <w:rPr>
      <w:rFonts w:ascii="Arial" w:hAnsi="Arial" w:eastAsia="宋体" w:cs="Arial"/>
      <w:b/>
      <w:color w:val="000000"/>
      <w:spacing w:val="-2"/>
      <w:kern w:val="2"/>
      <w:sz w:val="24"/>
      <w:szCs w:val="24"/>
      <w:lang w:val="en-US" w:eastAsia="zh-CN" w:bidi="ar-SA"/>
    </w:rPr>
  </w:style>
  <w:style w:type="character" w:customStyle="1" w:styleId="3744">
    <w:name w:val="图片文字 Char Char1 Char Char Char Char Char Char"/>
    <w:uiPriority w:val="0"/>
    <w:rPr>
      <w:rFonts w:ascii="Arial" w:hAnsi="Arial" w:eastAsia="黑体" w:cs="Arial"/>
      <w:b/>
      <w:color w:val="FF0000"/>
      <w:kern w:val="28"/>
      <w:sz w:val="24"/>
      <w:lang w:val="en-US" w:eastAsia="zh-CN" w:bidi="ar-SA"/>
    </w:rPr>
  </w:style>
  <w:style w:type="character" w:customStyle="1" w:styleId="3745">
    <w:name w:val="font61"/>
    <w:uiPriority w:val="0"/>
    <w:rPr>
      <w:rFonts w:hint="eastAsia" w:ascii="Times New Roman" w:hAnsi="Times New Roman" w:cs="Times New Roman"/>
      <w:color w:val="000000"/>
      <w:sz w:val="22"/>
      <w:szCs w:val="22"/>
      <w:u w:val="none"/>
    </w:rPr>
  </w:style>
  <w:style w:type="character" w:customStyle="1" w:styleId="3746">
    <w:name w:val="标题4.1 Char Char"/>
    <w:uiPriority w:val="0"/>
    <w:rPr>
      <w:rFonts w:ascii="楷体_GB2312" w:hAnsi="宋体" w:eastAsia="楷体_GB2312" w:cs="宋体"/>
      <w:b/>
      <w:spacing w:val="16"/>
      <w:sz w:val="28"/>
      <w:szCs w:val="28"/>
      <w:lang w:val="en-US" w:eastAsia="zh-CN" w:bidi="ar-SA"/>
    </w:rPr>
  </w:style>
  <w:style w:type="character" w:customStyle="1" w:styleId="3747">
    <w:name w:val="标题5 Char Char3 Char"/>
    <w:link w:val="3748"/>
    <w:uiPriority w:val="0"/>
    <w:rPr>
      <w:color w:val="000000"/>
      <w:sz w:val="24"/>
      <w:szCs w:val="24"/>
    </w:rPr>
  </w:style>
  <w:style w:type="paragraph" w:customStyle="1" w:styleId="3748">
    <w:name w:val="标题5 Char Char3"/>
    <w:basedOn w:val="1"/>
    <w:link w:val="3747"/>
    <w:uiPriority w:val="0"/>
    <w:pPr>
      <w:tabs>
        <w:tab w:val="clear" w:pos="480"/>
      </w:tabs>
      <w:adjustRightInd w:val="0"/>
      <w:snapToGrid w:val="0"/>
      <w:ind w:left="-28" w:firstLine="425" w:firstLineChars="0"/>
      <w:outlineLvl w:val="4"/>
    </w:pPr>
    <w:rPr>
      <w:color w:val="000000"/>
      <w:kern w:val="0"/>
    </w:rPr>
  </w:style>
  <w:style w:type="character" w:customStyle="1" w:styleId="3749">
    <w:name w:val="样式47 Char"/>
    <w:link w:val="3750"/>
    <w:uiPriority w:val="0"/>
    <w:rPr>
      <w:sz w:val="24"/>
      <w:szCs w:val="24"/>
    </w:rPr>
  </w:style>
  <w:style w:type="paragraph" w:customStyle="1" w:styleId="3750">
    <w:name w:val="样式47"/>
    <w:basedOn w:val="1164"/>
    <w:link w:val="3749"/>
    <w:qFormat/>
    <w:uiPriority w:val="0"/>
    <w:pPr>
      <w:keepNext w:val="0"/>
      <w:keepLines w:val="0"/>
      <w:widowControl w:val="0"/>
      <w:adjustRightInd/>
      <w:spacing w:before="0" w:after="0" w:line="460" w:lineRule="exact"/>
      <w:ind w:firstLine="480" w:firstLineChars="200"/>
      <w:jc w:val="both"/>
      <w:textAlignment w:val="auto"/>
      <w:outlineLvl w:val="9"/>
    </w:pPr>
    <w:rPr>
      <w:rFonts w:ascii="Times New Roman" w:hAnsi="Times New Roman" w:cs="Times New Roman"/>
      <w:b w:val="0"/>
      <w:lang w:val="en-US"/>
    </w:rPr>
  </w:style>
  <w:style w:type="character" w:customStyle="1" w:styleId="3751">
    <w:name w:val="title9"/>
    <w:uiPriority w:val="0"/>
  </w:style>
  <w:style w:type="character" w:customStyle="1" w:styleId="3752">
    <w:name w:val="标题 3 Char2"/>
    <w:uiPriority w:val="0"/>
    <w:rPr>
      <w:rFonts w:eastAsia="宋体"/>
      <w:b/>
      <w:bCs/>
      <w:spacing w:val="6"/>
      <w:sz w:val="28"/>
      <w:szCs w:val="28"/>
      <w:lang w:val="en-US" w:eastAsia="zh-CN" w:bidi="ar-SA"/>
    </w:rPr>
  </w:style>
  <w:style w:type="character" w:customStyle="1" w:styleId="3753">
    <w:name w:val="z-窗体底端 字符"/>
    <w:uiPriority w:val="0"/>
    <w:rPr>
      <w:rFonts w:ascii="方正小标宋_GBK" w:hAnsi="方正小标宋_GBK" w:eastAsia="宋体" w:cs="方正小标宋_GBK"/>
      <w:vanish/>
      <w:kern w:val="0"/>
      <w:sz w:val="16"/>
      <w:szCs w:val="16"/>
    </w:rPr>
  </w:style>
  <w:style w:type="character" w:customStyle="1" w:styleId="3754">
    <w:name w:val="样式53 Char"/>
    <w:link w:val="3755"/>
    <w:qFormat/>
    <w:uiPriority w:val="0"/>
    <w:rPr>
      <w:rFonts w:eastAsia="黑体"/>
      <w:bCs/>
      <w:sz w:val="24"/>
      <w:szCs w:val="24"/>
    </w:rPr>
  </w:style>
  <w:style w:type="paragraph" w:customStyle="1" w:styleId="3755">
    <w:name w:val="样式53"/>
    <w:basedOn w:val="3756"/>
    <w:link w:val="3754"/>
    <w:qFormat/>
    <w:uiPriority w:val="0"/>
    <w:pPr/>
    <w:rPr>
      <w:snapToGrid/>
      <w14:ligatures w14:val="none"/>
    </w:rPr>
  </w:style>
  <w:style w:type="paragraph" w:customStyle="1" w:styleId="3756">
    <w:name w:val="样式48"/>
    <w:basedOn w:val="1165"/>
    <w:qFormat/>
    <w:uiPriority w:val="0"/>
    <w:pPr>
      <w:widowControl w:val="0"/>
      <w:numPr>
        <w:ilvl w:val="0"/>
      </w:numPr>
      <w:snapToGrid w:val="0"/>
      <w:spacing w:before="0" w:after="60" w:line="460" w:lineRule="exact"/>
      <w:jc w:val="center"/>
      <w:textAlignment w:val="auto"/>
      <w:outlineLvl w:val="5"/>
    </w:pPr>
    <w:rPr>
      <w:rFonts w:ascii="Times New Roman" w:hAnsi="Times New Roman" w:eastAsia="黑体" w:cs="Times New Roman"/>
      <w:b w:val="0"/>
      <w:bCs/>
      <w:snapToGrid w:val="0"/>
      <w:lang w:val="en-US"/>
      <w14:ligatures w14:val="standardContextual"/>
    </w:rPr>
  </w:style>
  <w:style w:type="character" w:customStyle="1" w:styleId="3757">
    <w:name w:val="表头编号 Char Char2 Char Char Char1"/>
    <w:qFormat/>
    <w:uiPriority w:val="0"/>
    <w:rPr>
      <w:rFonts w:ascii="Arial" w:hAnsi="Arial" w:eastAsia="宋体" w:cs="Arial"/>
      <w:b/>
      <w:color w:val="000000"/>
      <w:spacing w:val="-2"/>
      <w:kern w:val="2"/>
      <w:sz w:val="24"/>
      <w:szCs w:val="24"/>
      <w:lang w:val="en-US" w:eastAsia="zh-CN" w:bidi="ar-SA"/>
    </w:rPr>
  </w:style>
  <w:style w:type="character" w:customStyle="1" w:styleId="3758">
    <w:name w:val="Char Char111"/>
    <w:semiHidden/>
    <w:qFormat/>
    <w:uiPriority w:val="0"/>
    <w:rPr>
      <w:rFonts w:ascii="Calibri" w:hAnsi="Calibri" w:eastAsia="宋体"/>
      <w:kern w:val="2"/>
      <w:sz w:val="21"/>
      <w:szCs w:val="22"/>
      <w:lang w:val="en-US" w:eastAsia="zh-CN" w:bidi="ar-SA"/>
    </w:rPr>
  </w:style>
  <w:style w:type="character" w:customStyle="1" w:styleId="3759">
    <w:name w:val="a12"/>
    <w:uiPriority w:val="0"/>
  </w:style>
  <w:style w:type="character" w:customStyle="1" w:styleId="3760">
    <w:name w:val="表头 Char Char Char Char"/>
    <w:uiPriority w:val="0"/>
    <w:rPr>
      <w:rFonts w:ascii="宋体" w:hAnsi="Times New Roman"/>
      <w:b/>
      <w:color w:val="000000"/>
      <w:spacing w:val="4"/>
      <w:sz w:val="24"/>
      <w:szCs w:val="24"/>
    </w:rPr>
  </w:style>
  <w:style w:type="character" w:customStyle="1" w:styleId="3761">
    <w:name w:val="样式 首行缩进:  2 字符2 Char"/>
    <w:uiPriority w:val="0"/>
    <w:rPr>
      <w:rFonts w:ascii="宋体" w:hAnsi="Times New Roman" w:eastAsia="宋体" w:cs="宋体"/>
      <w:color w:val="000000"/>
      <w:kern w:val="0"/>
      <w:sz w:val="24"/>
      <w:szCs w:val="28"/>
    </w:rPr>
  </w:style>
  <w:style w:type="character" w:customStyle="1" w:styleId="3762">
    <w:name w:val="特点标题 Char Char"/>
    <w:uiPriority w:val="0"/>
    <w:rPr>
      <w:rFonts w:eastAsia="宋体"/>
      <w:kern w:val="2"/>
      <w:sz w:val="24"/>
      <w:lang w:val="en-US" w:eastAsia="zh-CN" w:bidi="ar-SA"/>
    </w:rPr>
  </w:style>
  <w:style w:type="character" w:customStyle="1" w:styleId="3763">
    <w:name w:val="标题 6 字符2"/>
    <w:semiHidden/>
    <w:qFormat/>
    <w:uiPriority w:val="9"/>
    <w:rPr>
      <w:rFonts w:ascii="等线 Light" w:hAnsi="等线 Light" w:eastAsia="等线 Light" w:cs="Times New Roman"/>
      <w:b/>
      <w:bCs/>
      <w:kern w:val="2"/>
      <w:sz w:val="24"/>
      <w:szCs w:val="24"/>
    </w:rPr>
  </w:style>
  <w:style w:type="character" w:customStyle="1" w:styleId="3764">
    <w:name w:val="Char1 Char Char21"/>
    <w:qFormat/>
    <w:uiPriority w:val="0"/>
    <w:rPr>
      <w:rFonts w:hint="default" w:ascii="Times New Roman" w:hAnsi="Times New Roman" w:eastAsia="宋体" w:cs="Times New Roman"/>
      <w:b/>
      <w:color w:val="0000FF"/>
      <w:kern w:val="28"/>
      <w:sz w:val="28"/>
      <w:szCs w:val="20"/>
    </w:rPr>
  </w:style>
  <w:style w:type="character" w:customStyle="1" w:styleId="3765">
    <w:name w:val="表头编号 Char Char2 Char Char Char Char Char Char"/>
    <w:qFormat/>
    <w:uiPriority w:val="0"/>
    <w:rPr>
      <w:rFonts w:ascii="Arial" w:hAnsi="Arial" w:eastAsia="宋体" w:cs="Arial"/>
      <w:b/>
      <w:color w:val="000000"/>
      <w:spacing w:val="-2"/>
      <w:kern w:val="2"/>
      <w:sz w:val="24"/>
      <w:szCs w:val="24"/>
      <w:lang w:val="en-US" w:eastAsia="zh-CN" w:bidi="ar-SA"/>
    </w:rPr>
  </w:style>
  <w:style w:type="character" w:customStyle="1" w:styleId="3766">
    <w:name w:val="标题 3 水电 Char"/>
    <w:uiPriority w:val="0"/>
    <w:rPr>
      <w:rFonts w:ascii="宋体" w:hAnsi="宋体" w:eastAsia="宋体" w:cs="Times New Roman"/>
      <w:b/>
      <w:bCs/>
      <w:color w:val="0000FF"/>
      <w:sz w:val="28"/>
      <w:szCs w:val="28"/>
    </w:rPr>
  </w:style>
  <w:style w:type="character" w:customStyle="1" w:styleId="3767">
    <w:name w:val="桥位 Char Char Char"/>
    <w:uiPriority w:val="0"/>
    <w:rPr>
      <w:rFonts w:ascii="宋体" w:hAnsi="宋体" w:eastAsia="黑体" w:cs="宋体"/>
      <w:b/>
      <w:bCs/>
      <w:color w:val="FF0000"/>
      <w:kern w:val="2"/>
      <w:sz w:val="48"/>
      <w:szCs w:val="24"/>
      <w:lang w:val="en-US" w:eastAsia="zh-CN" w:bidi="ar-SA"/>
    </w:rPr>
  </w:style>
  <w:style w:type="character" w:customStyle="1" w:styleId="3768">
    <w:name w:val="图编号 Char Char Char Char Char"/>
    <w:link w:val="3769"/>
    <w:qFormat/>
    <w:uiPriority w:val="0"/>
    <w:rPr>
      <w:rFonts w:ascii="Arial" w:hAnsi="Arial" w:eastAsia="幼圆" w:cs="Arial"/>
      <w:color w:val="000000"/>
      <w:sz w:val="24"/>
      <w:szCs w:val="24"/>
    </w:rPr>
  </w:style>
  <w:style w:type="paragraph" w:customStyle="1" w:styleId="3769">
    <w:name w:val="图编号 Char Char Char Char"/>
    <w:basedOn w:val="23"/>
    <w:next w:val="23"/>
    <w:link w:val="3768"/>
    <w:uiPriority w:val="0"/>
    <w:pPr>
      <w:widowControl w:val="0"/>
      <w:adjustRightInd/>
      <w:spacing w:after="0" w:afterLines="20"/>
      <w:ind w:firstLine="0" w:firstLineChars="0"/>
    </w:pPr>
    <w:rPr>
      <w:rFonts w:eastAsia="幼圆"/>
      <w:kern w:val="0"/>
      <w:szCs w:val="24"/>
    </w:rPr>
  </w:style>
  <w:style w:type="character" w:customStyle="1" w:styleId="3770">
    <w:name w:val="Char Char62"/>
    <w:uiPriority w:val="0"/>
    <w:rPr>
      <w:rFonts w:eastAsia="宋体"/>
      <w:kern w:val="2"/>
      <w:sz w:val="24"/>
      <w:lang w:val="en-US" w:eastAsia="zh-CN" w:bidi="ar-SA"/>
    </w:rPr>
  </w:style>
  <w:style w:type="character" w:customStyle="1" w:styleId="3771">
    <w:name w:val="交评正文 Char"/>
    <w:link w:val="3772"/>
    <w:qFormat/>
    <w:uiPriority w:val="0"/>
    <w:rPr>
      <w:color w:val="000000"/>
      <w:sz w:val="24"/>
      <w:szCs w:val="24"/>
    </w:rPr>
  </w:style>
  <w:style w:type="paragraph" w:customStyle="1" w:styleId="3772">
    <w:name w:val="交评正文"/>
    <w:basedOn w:val="1"/>
    <w:link w:val="3771"/>
    <w:uiPriority w:val="0"/>
    <w:pPr>
      <w:tabs>
        <w:tab w:val="clear" w:pos="480"/>
      </w:tabs>
      <w:spacing w:before="100" w:beforeAutospacing="1" w:afterLines="20" w:afterAutospacing="1"/>
    </w:pPr>
    <w:rPr>
      <w:color w:val="000000"/>
      <w:kern w:val="0"/>
    </w:rPr>
  </w:style>
  <w:style w:type="character" w:customStyle="1" w:styleId="3773">
    <w:name w:val="Char Char42"/>
    <w:uiPriority w:val="0"/>
    <w:rPr>
      <w:rFonts w:eastAsia="宋体"/>
      <w:kern w:val="2"/>
      <w:sz w:val="18"/>
      <w:lang w:val="en-US" w:eastAsia="zh-CN" w:bidi="ar-SA"/>
    </w:rPr>
  </w:style>
  <w:style w:type="character" w:customStyle="1" w:styleId="3774">
    <w:name w:val="ZW Char Char"/>
    <w:qFormat/>
    <w:uiPriority w:val="0"/>
    <w:rPr>
      <w:rFonts w:ascii="仿宋_GB2312" w:eastAsia="仿宋_GB2312"/>
      <w:snapToGrid w:val="0"/>
      <w:sz w:val="28"/>
      <w:szCs w:val="24"/>
      <w:lang w:val="en-US" w:eastAsia="zh-CN"/>
    </w:rPr>
  </w:style>
  <w:style w:type="character" w:customStyle="1" w:styleId="3775">
    <w:name w:val="样式 (中文) 仿宋_GB2312 小四 加粗 Char"/>
    <w:link w:val="3776"/>
    <w:uiPriority w:val="0"/>
    <w:rPr>
      <w:rFonts w:eastAsia="仿宋_GB2312"/>
      <w:b/>
      <w:color w:val="000000"/>
      <w:sz w:val="24"/>
      <w:szCs w:val="24"/>
    </w:rPr>
  </w:style>
  <w:style w:type="paragraph" w:customStyle="1" w:styleId="3776">
    <w:name w:val="样式 (中文) 仿宋_GB2312 小四 加粗"/>
    <w:basedOn w:val="1"/>
    <w:link w:val="3775"/>
    <w:uiPriority w:val="0"/>
    <w:pPr>
      <w:tabs>
        <w:tab w:val="clear" w:pos="480"/>
      </w:tabs>
      <w:spacing w:afterLines="50" w:line="240" w:lineRule="auto"/>
      <w:ind w:firstLine="0" w:firstLineChars="0"/>
      <w:jc w:val="center"/>
    </w:pPr>
    <w:rPr>
      <w:rFonts w:eastAsia="仿宋_GB2312"/>
      <w:b/>
      <w:color w:val="000000"/>
      <w:kern w:val="0"/>
    </w:rPr>
  </w:style>
  <w:style w:type="character" w:customStyle="1" w:styleId="3777">
    <w:name w:val="批注文字 字符1"/>
    <w:qFormat/>
    <w:uiPriority w:val="99"/>
    <w:rPr>
      <w:szCs w:val="24"/>
    </w:rPr>
  </w:style>
  <w:style w:type="character" w:customStyle="1" w:styleId="3778">
    <w:name w:val="表头编号 Char Char3 Char3"/>
    <w:qFormat/>
    <w:uiPriority w:val="0"/>
    <w:rPr>
      <w:rFonts w:ascii="Arial" w:hAnsi="Arial" w:eastAsia="宋体" w:cs="Arial"/>
      <w:b/>
      <w:color w:val="000000"/>
      <w:spacing w:val="-2"/>
      <w:kern w:val="2"/>
      <w:sz w:val="24"/>
      <w:szCs w:val="24"/>
      <w:lang w:val="en-US" w:eastAsia="zh-CN" w:bidi="ar-SA"/>
    </w:rPr>
  </w:style>
  <w:style w:type="character" w:customStyle="1" w:styleId="3779">
    <w:name w:val="样式31 Char"/>
    <w:uiPriority w:val="0"/>
    <w:rPr>
      <w:rFonts w:ascii="宋体" w:hAnsi="宋体" w:eastAsia="仿宋_GB2312" w:cs="Times New Roman"/>
      <w:color w:val="000000"/>
      <w:sz w:val="28"/>
      <w:szCs w:val="24"/>
    </w:rPr>
  </w:style>
  <w:style w:type="character" w:customStyle="1" w:styleId="3780">
    <w:name w:val="count3"/>
    <w:qFormat/>
    <w:uiPriority w:val="0"/>
  </w:style>
  <w:style w:type="character" w:customStyle="1" w:styleId="3781">
    <w:name w:val="样式 ZW + 首行缩进:  2 字符 字距调整四号 Char Char"/>
    <w:link w:val="3782"/>
    <w:qFormat/>
    <w:uiPriority w:val="0"/>
    <w:rPr>
      <w:rFonts w:ascii="仿宋_GB2312" w:eastAsia="仿宋_GB2312" w:cs="宋体"/>
      <w:kern w:val="28"/>
      <w:sz w:val="28"/>
      <w:szCs w:val="24"/>
    </w:rPr>
  </w:style>
  <w:style w:type="paragraph" w:customStyle="1" w:styleId="3782">
    <w:name w:val="样式 ZW + 首行缩进:  2 字符 字距调整四号"/>
    <w:basedOn w:val="3783"/>
    <w:link w:val="3781"/>
    <w:uiPriority w:val="0"/>
    <w:pPr>
      <w:autoSpaceDE/>
      <w:autoSpaceDN/>
      <w:jc w:val="left"/>
    </w:pPr>
    <w:rPr>
      <w:rFonts w:hAnsi="Times New Roman" w:cs="宋体"/>
      <w:color w:val="auto"/>
      <w:kern w:val="28"/>
      <w:szCs w:val="24"/>
      <w14:ligatures w14:val="none"/>
    </w:rPr>
  </w:style>
  <w:style w:type="paragraph" w:customStyle="1" w:styleId="3783">
    <w:name w:val="ZW"/>
    <w:basedOn w:val="1"/>
    <w:link w:val="3795"/>
    <w:uiPriority w:val="0"/>
    <w:pPr>
      <w:tabs>
        <w:tab w:val="clear" w:pos="480"/>
      </w:tabs>
      <w:autoSpaceDE w:val="0"/>
      <w:autoSpaceDN w:val="0"/>
      <w:adjustRightInd w:val="0"/>
      <w:snapToGrid w:val="0"/>
      <w:spacing w:line="560" w:lineRule="exact"/>
    </w:pPr>
    <w:rPr>
      <w:rFonts w:ascii="仿宋_GB2312" w:hAnsi="宋体" w:eastAsia="仿宋_GB2312"/>
      <w:color w:val="000000"/>
      <w:sz w:val="28"/>
      <w:szCs w:val="28"/>
      <w14:ligatures w14:val="standardContextual"/>
    </w:rPr>
  </w:style>
  <w:style w:type="character" w:customStyle="1" w:styleId="3784">
    <w:name w:val="图片文字 Char Char1"/>
    <w:uiPriority w:val="0"/>
    <w:rPr>
      <w:rFonts w:ascii="Arial" w:hAnsi="Arial" w:eastAsia="黑体" w:cs="Arial"/>
      <w:b/>
      <w:color w:val="FF0000"/>
      <w:kern w:val="28"/>
      <w:sz w:val="24"/>
      <w:lang w:val="en-US" w:eastAsia="zh-CN" w:bidi="ar-SA"/>
    </w:rPr>
  </w:style>
  <w:style w:type="character" w:customStyle="1" w:styleId="3785">
    <w:name w:val="图片文字 Char Char1 Char2"/>
    <w:uiPriority w:val="0"/>
    <w:rPr>
      <w:rFonts w:ascii="黑体" w:hAnsi="宋体" w:eastAsia="黑体" w:cs="Arial"/>
      <w:b/>
      <w:bCs/>
      <w:color w:val="FF0000"/>
      <w:kern w:val="2"/>
      <w:sz w:val="24"/>
      <w:szCs w:val="24"/>
      <w:lang w:val="en-US" w:eastAsia="zh-CN" w:bidi="ar-SA"/>
    </w:rPr>
  </w:style>
  <w:style w:type="character" w:customStyle="1" w:styleId="3786">
    <w:name w:val="z-窗体顶端 字符"/>
    <w:uiPriority w:val="0"/>
    <w:rPr>
      <w:rFonts w:ascii="Arial" w:hAnsi="Arial" w:eastAsia="宋体" w:cs="Arial"/>
      <w:vanish/>
      <w:kern w:val="0"/>
      <w:sz w:val="16"/>
      <w:szCs w:val="16"/>
    </w:rPr>
  </w:style>
  <w:style w:type="character" w:customStyle="1" w:styleId="3787">
    <w:name w:val="表头编号 Char Char2 Char1"/>
    <w:qFormat/>
    <w:uiPriority w:val="0"/>
    <w:rPr>
      <w:rFonts w:ascii="Arial" w:hAnsi="Arial" w:eastAsia="宋体" w:cs="Arial"/>
      <w:b/>
      <w:color w:val="000000"/>
      <w:spacing w:val="-2"/>
      <w:kern w:val="2"/>
      <w:sz w:val="24"/>
      <w:szCs w:val="24"/>
      <w:lang w:val="en-US" w:eastAsia="zh-CN" w:bidi="ar-SA"/>
    </w:rPr>
  </w:style>
  <w:style w:type="character" w:customStyle="1" w:styleId="3788">
    <w:name w:val="Char Char32"/>
    <w:uiPriority w:val="0"/>
    <w:rPr>
      <w:rFonts w:eastAsia="宋体"/>
      <w:b/>
      <w:color w:val="000000"/>
      <w:kern w:val="2"/>
      <w:sz w:val="24"/>
      <w:lang w:val="en-US" w:eastAsia="zh-CN" w:bidi="ar-SA"/>
    </w:rPr>
  </w:style>
  <w:style w:type="character" w:customStyle="1" w:styleId="3789">
    <w:name w:val="标题 1 字符2"/>
    <w:qFormat/>
    <w:uiPriority w:val="9"/>
    <w:rPr>
      <w:b/>
      <w:bCs/>
      <w:kern w:val="44"/>
      <w:sz w:val="44"/>
      <w:szCs w:val="44"/>
    </w:rPr>
  </w:style>
  <w:style w:type="character" w:customStyle="1" w:styleId="3790">
    <w:name w:val="Char19"/>
    <w:qFormat/>
    <w:uiPriority w:val="0"/>
    <w:rPr>
      <w:rFonts w:ascii="楷体_GB2312" w:hAnsi="Arial" w:eastAsia="楷体_GB2312" w:cs="Times New Roman"/>
      <w:b/>
      <w:sz w:val="44"/>
      <w:szCs w:val="20"/>
    </w:rPr>
  </w:style>
  <w:style w:type="character" w:customStyle="1" w:styleId="3791">
    <w:name w:val="表格文字 Char Char Char Char Char Char"/>
    <w:uiPriority w:val="0"/>
    <w:rPr>
      <w:rFonts w:ascii="Arial" w:hAnsi="Arial" w:eastAsia="宋体" w:cs="Arial"/>
      <w:sz w:val="21"/>
      <w:szCs w:val="21"/>
      <w:lang w:val="en-US" w:eastAsia="zh-CN" w:bidi="ar-SA"/>
    </w:rPr>
  </w:style>
  <w:style w:type="character" w:customStyle="1" w:styleId="3792">
    <w:name w:val="图编号 Char Char1"/>
    <w:uiPriority w:val="0"/>
    <w:rPr>
      <w:rFonts w:ascii="Arial" w:hAnsi="Arial" w:eastAsia="幼圆" w:cs="Arial"/>
      <w:kern w:val="2"/>
      <w:sz w:val="24"/>
      <w:lang w:val="en-US" w:eastAsia="zh-CN" w:bidi="ar-SA"/>
    </w:rPr>
  </w:style>
  <w:style w:type="character" w:customStyle="1" w:styleId="3793">
    <w:name w:val="公正文 Char"/>
    <w:link w:val="3794"/>
    <w:uiPriority w:val="0"/>
    <w:rPr>
      <w:rFonts w:ascii="宋体" w:hAnsi="宋体" w:eastAsia="仿宋_GB2312"/>
      <w:sz w:val="28"/>
      <w:szCs w:val="24"/>
      <w:u w:color="000000"/>
    </w:rPr>
  </w:style>
  <w:style w:type="paragraph" w:customStyle="1" w:styleId="3794">
    <w:name w:val="公正文"/>
    <w:basedOn w:val="21"/>
    <w:link w:val="3793"/>
    <w:uiPriority w:val="0"/>
    <w:pPr>
      <w:tabs>
        <w:tab w:val="clear" w:pos="480"/>
      </w:tabs>
      <w:adjustRightInd w:val="0"/>
      <w:snapToGrid w:val="0"/>
      <w:spacing w:line="355" w:lineRule="auto"/>
      <w:ind w:firstLine="200"/>
    </w:pPr>
    <w:rPr>
      <w:rFonts w:ascii="宋体" w:hAnsi="宋体" w:eastAsia="仿宋_GB2312"/>
      <w:kern w:val="0"/>
      <w:sz w:val="28"/>
      <w:u w:color="000000"/>
    </w:rPr>
  </w:style>
  <w:style w:type="character" w:customStyle="1" w:styleId="3795">
    <w:name w:val="ZW Char"/>
    <w:link w:val="3783"/>
    <w:uiPriority w:val="0"/>
    <w:rPr>
      <w:rFonts w:ascii="仿宋_GB2312" w:hAnsi="宋体" w:eastAsia="仿宋_GB2312"/>
      <w:color w:val="000000"/>
      <w:kern w:val="2"/>
      <w:sz w:val="28"/>
      <w:szCs w:val="28"/>
      <w14:ligatures w14:val="standardContextual"/>
    </w:rPr>
  </w:style>
  <w:style w:type="character" w:customStyle="1" w:styleId="3796">
    <w:name w:val="标题 8 字符2"/>
    <w:semiHidden/>
    <w:uiPriority w:val="9"/>
    <w:rPr>
      <w:rFonts w:ascii="等线 Light" w:hAnsi="等线 Light" w:eastAsia="等线 Light" w:cs="Times New Roman"/>
      <w:kern w:val="2"/>
      <w:sz w:val="24"/>
      <w:szCs w:val="24"/>
    </w:rPr>
  </w:style>
  <w:style w:type="character" w:customStyle="1" w:styleId="3797">
    <w:name w:val="djen2"/>
    <w:uiPriority w:val="0"/>
    <w:rPr>
      <w:color w:val="3476CD"/>
    </w:rPr>
  </w:style>
  <w:style w:type="character" w:customStyle="1" w:styleId="3798">
    <w:name w:val="表头编号 Char Char1 Char Char"/>
    <w:qFormat/>
    <w:uiPriority w:val="0"/>
    <w:rPr>
      <w:rFonts w:ascii="Arial" w:hAnsi="Arial" w:eastAsia="宋体" w:cs="Arial"/>
      <w:b/>
      <w:color w:val="000000"/>
      <w:spacing w:val="-2"/>
      <w:kern w:val="2"/>
      <w:sz w:val="24"/>
      <w:szCs w:val="24"/>
      <w:lang w:val="en-US" w:eastAsia="zh-CN" w:bidi="ar-SA"/>
    </w:rPr>
  </w:style>
  <w:style w:type="character" w:customStyle="1" w:styleId="3799">
    <w:name w:val="Char Char82"/>
    <w:qFormat/>
    <w:uiPriority w:val="0"/>
    <w:rPr>
      <w:rFonts w:ascii="Arial" w:hAnsi="Arial" w:eastAsia="宋体"/>
      <w:kern w:val="2"/>
      <w:sz w:val="21"/>
      <w:lang w:val="zh-CN" w:eastAsia="zh-CN" w:bidi="ar-SA"/>
    </w:rPr>
  </w:style>
  <w:style w:type="character" w:customStyle="1" w:styleId="3800">
    <w:name w:val="tb_content_title1"/>
    <w:qFormat/>
    <w:uiPriority w:val="0"/>
    <w:rPr>
      <w:rFonts w:hint="eastAsia" w:ascii="黑体" w:eastAsia="黑体"/>
      <w:color w:val="000000"/>
      <w:sz w:val="36"/>
    </w:rPr>
  </w:style>
  <w:style w:type="character" w:customStyle="1" w:styleId="3801">
    <w:name w:val="符号 Char Char"/>
    <w:link w:val="3802"/>
    <w:uiPriority w:val="0"/>
    <w:rPr>
      <w:rFonts w:ascii="新宋体" w:eastAsia="新宋体"/>
      <w:iCs/>
      <w:color w:val="000000"/>
      <w:sz w:val="24"/>
      <w:szCs w:val="24"/>
    </w:rPr>
  </w:style>
  <w:style w:type="paragraph" w:customStyle="1" w:styleId="3802">
    <w:name w:val="符号 Char"/>
    <w:basedOn w:val="2"/>
    <w:link w:val="3801"/>
    <w:uiPriority w:val="0"/>
    <w:pPr>
      <w:widowControl/>
      <w:tabs>
        <w:tab w:val="left" w:pos="280"/>
        <w:tab w:val="left" w:pos="560"/>
      </w:tabs>
      <w:spacing w:after="120" w:afterLines="20" w:line="360" w:lineRule="auto"/>
      <w:ind w:firstLine="480"/>
    </w:pPr>
    <w:rPr>
      <w:rFonts w:ascii="新宋体" w:hAnsi="Times New Roman" w:eastAsia="新宋体"/>
      <w:iCs/>
      <w:color w:val="000000"/>
      <w:kern w:val="0"/>
      <w:sz w:val="24"/>
      <w:szCs w:val="24"/>
    </w:rPr>
  </w:style>
  <w:style w:type="character" w:customStyle="1" w:styleId="3803">
    <w:name w:val="样式 小括号 + 首行缩进:  2 字符 Char Char"/>
    <w:link w:val="3804"/>
    <w:uiPriority w:val="0"/>
    <w:rPr>
      <w:rFonts w:ascii="楷体_GB2312" w:eastAsia="楷体_GB2312" w:cs="宋体"/>
      <w:sz w:val="28"/>
      <w:szCs w:val="24"/>
    </w:rPr>
  </w:style>
  <w:style w:type="paragraph" w:customStyle="1" w:styleId="3804">
    <w:name w:val="样式 小括号 + 首行缩进:  2 字符"/>
    <w:basedOn w:val="1"/>
    <w:link w:val="3803"/>
    <w:uiPriority w:val="0"/>
    <w:pPr>
      <w:tabs>
        <w:tab w:val="clear" w:pos="480"/>
      </w:tabs>
      <w:adjustRightInd w:val="0"/>
      <w:snapToGrid w:val="0"/>
      <w:spacing w:line="560" w:lineRule="exact"/>
      <w:jc w:val="left"/>
    </w:pPr>
    <w:rPr>
      <w:rFonts w:ascii="楷体_GB2312" w:eastAsia="楷体_GB2312" w:cs="宋体"/>
      <w:kern w:val="0"/>
      <w:sz w:val="28"/>
    </w:rPr>
  </w:style>
  <w:style w:type="character" w:customStyle="1" w:styleId="3805">
    <w:name w:val="123YJ Char Char2"/>
    <w:qFormat/>
    <w:uiPriority w:val="0"/>
    <w:rPr>
      <w:rFonts w:eastAsia="宋体"/>
      <w:kern w:val="2"/>
      <w:sz w:val="18"/>
      <w:szCs w:val="18"/>
      <w:lang w:val="en-US" w:eastAsia="zh-CN" w:bidi="ar-SA"/>
    </w:rPr>
  </w:style>
  <w:style w:type="character" w:customStyle="1" w:styleId="3806">
    <w:name w:val="图表名 Char Char Char Char Char Char Char"/>
    <w:qFormat/>
    <w:uiPriority w:val="0"/>
    <w:rPr>
      <w:rFonts w:ascii="Arial" w:hAnsi="Arial" w:eastAsia="宋体" w:cs="Arial"/>
      <w:b/>
      <w:bCs/>
      <w:spacing w:val="8"/>
      <w:kern w:val="2"/>
      <w:sz w:val="24"/>
      <w:szCs w:val="24"/>
      <w:lang w:val="en-US" w:eastAsia="zh-CN" w:bidi="ar-SA"/>
    </w:rPr>
  </w:style>
  <w:style w:type="character" w:customStyle="1" w:styleId="3807">
    <w:name w:val="表头编号 Char Char1 Char Char Char Char2"/>
    <w:qFormat/>
    <w:uiPriority w:val="0"/>
    <w:rPr>
      <w:rFonts w:ascii="Arial" w:hAnsi="Arial" w:eastAsia="宋体" w:cs="Arial"/>
      <w:b/>
      <w:color w:val="000000"/>
      <w:spacing w:val="-2"/>
      <w:kern w:val="2"/>
      <w:sz w:val="24"/>
      <w:szCs w:val="24"/>
      <w:lang w:val="en-US" w:eastAsia="zh-CN" w:bidi="ar-SA"/>
    </w:rPr>
  </w:style>
  <w:style w:type="character" w:customStyle="1" w:styleId="3808">
    <w:name w:val="表格文字2 Char Char Char Char Char"/>
    <w:uiPriority w:val="0"/>
    <w:rPr>
      <w:rFonts w:ascii="Arial" w:hAnsi="Arial" w:eastAsia="宋体" w:cs="宋体"/>
      <w:sz w:val="21"/>
      <w:szCs w:val="21"/>
      <w:lang w:val="en-US" w:eastAsia="zh-CN" w:bidi="ar-SA"/>
    </w:rPr>
  </w:style>
  <w:style w:type="character" w:customStyle="1" w:styleId="3809">
    <w:name w:val="样式 正文1 + 首行缩进:  2 字符 Char"/>
    <w:qFormat/>
    <w:uiPriority w:val="0"/>
    <w:rPr>
      <w:rFonts w:ascii="楷体_GB2312" w:eastAsia="楷体_GB2312" w:cs="宋体"/>
      <w:sz w:val="28"/>
    </w:rPr>
  </w:style>
  <w:style w:type="character" w:customStyle="1" w:styleId="3810">
    <w:name w:val="样式 样式 仿宋_GB2312 四号 首行缩进:  0.99 厘米 行距: 固定值 28 磅 + 首行缩进:  2 字符1 Char"/>
    <w:link w:val="3811"/>
    <w:qFormat/>
    <w:uiPriority w:val="0"/>
    <w:rPr>
      <w:rFonts w:ascii="宋体" w:hAnsi="宋体" w:eastAsia="仿宋_GB2312"/>
      <w:color w:val="000000"/>
      <w:sz w:val="28"/>
      <w:szCs w:val="24"/>
    </w:rPr>
  </w:style>
  <w:style w:type="paragraph" w:customStyle="1" w:styleId="3811">
    <w:name w:val="样式 样式 仿宋_GB2312 四号 首行缩进:  0.99 厘米 行距: 固定值 28 磅 + 首行缩进:  2 字符1"/>
    <w:basedOn w:val="1"/>
    <w:link w:val="3810"/>
    <w:uiPriority w:val="0"/>
    <w:pPr>
      <w:tabs>
        <w:tab w:val="clear" w:pos="480"/>
      </w:tabs>
      <w:adjustRightInd w:val="0"/>
      <w:snapToGrid w:val="0"/>
      <w:spacing w:line="355" w:lineRule="auto"/>
    </w:pPr>
    <w:rPr>
      <w:rFonts w:ascii="宋体" w:hAnsi="宋体" w:eastAsia="仿宋_GB2312"/>
      <w:color w:val="000000"/>
      <w:kern w:val="0"/>
      <w:sz w:val="28"/>
    </w:rPr>
  </w:style>
  <w:style w:type="character" w:customStyle="1" w:styleId="3812">
    <w:name w:val="表头编号 Char Char1 Char Char1"/>
    <w:qFormat/>
    <w:uiPriority w:val="0"/>
    <w:rPr>
      <w:rFonts w:ascii="Arial" w:hAnsi="Arial" w:eastAsia="宋体" w:cs="Arial"/>
      <w:b/>
      <w:color w:val="000000"/>
      <w:spacing w:val="-2"/>
      <w:kern w:val="2"/>
      <w:sz w:val="24"/>
      <w:szCs w:val="24"/>
      <w:lang w:val="en-US" w:eastAsia="zh-CN" w:bidi="ar-SA"/>
    </w:rPr>
  </w:style>
  <w:style w:type="character" w:customStyle="1" w:styleId="3813">
    <w:name w:val="样式 样式 样式 公表头 + + 首行缩进:  1 字符 + 首行缩进:  1 字符 Char"/>
    <w:link w:val="3814"/>
    <w:qFormat/>
    <w:uiPriority w:val="0"/>
    <w:rPr>
      <w:rFonts w:ascii="黑体" w:hAnsi="宋体" w:eastAsia="黑体"/>
      <w:color w:val="000000"/>
      <w:sz w:val="24"/>
      <w:szCs w:val="24"/>
    </w:rPr>
  </w:style>
  <w:style w:type="paragraph" w:customStyle="1" w:styleId="3814">
    <w:name w:val="样式 样式 样式 公表头 + + 首行缩进:  1 字符 + 首行缩进:  1 字符"/>
    <w:basedOn w:val="1"/>
    <w:link w:val="3813"/>
    <w:uiPriority w:val="0"/>
    <w:pPr>
      <w:tabs>
        <w:tab w:val="clear" w:pos="480"/>
      </w:tabs>
      <w:adjustRightInd w:val="0"/>
      <w:snapToGrid w:val="0"/>
      <w:spacing w:line="300" w:lineRule="auto"/>
      <w:ind w:firstLine="240" w:firstLineChars="100"/>
    </w:pPr>
    <w:rPr>
      <w:rFonts w:ascii="黑体" w:hAnsi="宋体" w:eastAsia="黑体"/>
      <w:color w:val="000000"/>
      <w:kern w:val="0"/>
    </w:rPr>
  </w:style>
  <w:style w:type="character" w:customStyle="1" w:styleId="3815">
    <w:name w:val="cur6"/>
    <w:qFormat/>
    <w:uiPriority w:val="0"/>
    <w:rPr>
      <w:rFonts w:hint="default" w:ascii="ˎ̥" w:hAnsi="ˎ̥"/>
      <w:sz w:val="18"/>
      <w:szCs w:val="18"/>
    </w:rPr>
  </w:style>
  <w:style w:type="character" w:customStyle="1" w:styleId="3816">
    <w:name w:val="文本条款"/>
    <w:uiPriority w:val="0"/>
    <w:rPr>
      <w:rFonts w:eastAsia="宋体"/>
      <w:kern w:val="2"/>
      <w:sz w:val="21"/>
      <w:lang w:val="en-US" w:eastAsia="zh-CN" w:bidi="ar-SA"/>
    </w:rPr>
  </w:style>
  <w:style w:type="character" w:customStyle="1" w:styleId="3817">
    <w:name w:val="css14_high261"/>
    <w:qFormat/>
    <w:uiPriority w:val="0"/>
    <w:rPr>
      <w:sz w:val="21"/>
      <w:szCs w:val="21"/>
    </w:rPr>
  </w:style>
  <w:style w:type="character" w:customStyle="1" w:styleId="3818">
    <w:name w:val="样式 (西文) 仿宋_GB2312"/>
    <w:uiPriority w:val="0"/>
    <w:rPr>
      <w:rFonts w:ascii="仿宋_GB2312" w:eastAsia="宋体"/>
    </w:rPr>
  </w:style>
  <w:style w:type="character" w:customStyle="1" w:styleId="3819">
    <w:name w:val="Char Char142"/>
    <w:qFormat/>
    <w:uiPriority w:val="0"/>
    <w:rPr>
      <w:rFonts w:eastAsia="宋体"/>
      <w:kern w:val="2"/>
      <w:sz w:val="18"/>
      <w:lang w:val="en-US" w:eastAsia="zh-CN" w:bidi="ar-SA"/>
    </w:rPr>
  </w:style>
  <w:style w:type="character" w:customStyle="1" w:styleId="3820">
    <w:name w:val="表头编号 Char Char1 Char Char Char Char Char Char2"/>
    <w:uiPriority w:val="0"/>
    <w:rPr>
      <w:rFonts w:ascii="Arial" w:hAnsi="Arial" w:eastAsia="宋体" w:cs="Arial"/>
      <w:b/>
      <w:color w:val="000000"/>
      <w:spacing w:val="-2"/>
      <w:kern w:val="2"/>
      <w:sz w:val="24"/>
      <w:szCs w:val="24"/>
      <w:lang w:val="en-US" w:eastAsia="zh-CN" w:bidi="ar-SA"/>
    </w:rPr>
  </w:style>
  <w:style w:type="character" w:customStyle="1" w:styleId="3821">
    <w:name w:val="图片文字 Char Char1 Char3 Char Char2 Char Char Char"/>
    <w:uiPriority w:val="0"/>
    <w:rPr>
      <w:rFonts w:ascii="黑体" w:hAnsi="宋体" w:eastAsia="黑体" w:cs="Arial"/>
      <w:b/>
      <w:bCs/>
      <w:color w:val="FF0000"/>
      <w:kern w:val="2"/>
      <w:sz w:val="24"/>
      <w:szCs w:val="24"/>
      <w:lang w:val="en-US" w:eastAsia="zh-CN" w:bidi="ar-SA"/>
    </w:rPr>
  </w:style>
  <w:style w:type="character" w:customStyle="1" w:styleId="3822">
    <w:name w:val="题注1 Char2"/>
    <w:uiPriority w:val="0"/>
    <w:rPr>
      <w:rFonts w:hint="default" w:ascii="Arial" w:hAnsi="Arial" w:eastAsia="黑体" w:cs="Arial"/>
      <w:kern w:val="2"/>
      <w:lang w:val="en-US" w:eastAsia="zh-CN" w:bidi="ar-SA"/>
    </w:rPr>
  </w:style>
  <w:style w:type="character" w:customStyle="1" w:styleId="3823">
    <w:name w:val="mw-headline"/>
    <w:uiPriority w:val="0"/>
  </w:style>
  <w:style w:type="character" w:customStyle="1" w:styleId="3824">
    <w:name w:val="桥位 Char Char Char Char Char Char Char"/>
    <w:uiPriority w:val="0"/>
    <w:rPr>
      <w:rFonts w:ascii="宋体" w:hAnsi="宋体" w:eastAsia="黑体" w:cs="宋体"/>
      <w:b/>
      <w:bCs/>
      <w:color w:val="FF0000"/>
      <w:kern w:val="2"/>
      <w:sz w:val="48"/>
      <w:lang w:val="en-US" w:eastAsia="zh-CN" w:bidi="ar-SA"/>
    </w:rPr>
  </w:style>
  <w:style w:type="character" w:customStyle="1" w:styleId="3825">
    <w:name w:val="小括号 Char Char"/>
    <w:link w:val="3826"/>
    <w:uiPriority w:val="0"/>
    <w:rPr>
      <w:rFonts w:ascii="楷体_GB2312" w:eastAsia="楷体_GB2312"/>
      <w:sz w:val="28"/>
      <w:szCs w:val="24"/>
    </w:rPr>
  </w:style>
  <w:style w:type="paragraph" w:customStyle="1" w:styleId="3826">
    <w:name w:val="小括号"/>
    <w:basedOn w:val="1"/>
    <w:link w:val="3825"/>
    <w:uiPriority w:val="0"/>
    <w:pPr>
      <w:tabs>
        <w:tab w:val="clear" w:pos="480"/>
      </w:tabs>
      <w:adjustRightInd w:val="0"/>
      <w:snapToGrid w:val="0"/>
      <w:spacing w:line="560" w:lineRule="exact"/>
      <w:jc w:val="left"/>
    </w:pPr>
    <w:rPr>
      <w:rFonts w:ascii="楷体_GB2312" w:eastAsia="楷体_GB2312"/>
      <w:kern w:val="0"/>
      <w:sz w:val="28"/>
    </w:rPr>
  </w:style>
  <w:style w:type="character" w:customStyle="1" w:styleId="3827">
    <w:name w:val="图片文字 Char Char1 Char1"/>
    <w:uiPriority w:val="0"/>
    <w:rPr>
      <w:rFonts w:ascii="黑体" w:hAnsi="宋体" w:eastAsia="黑体" w:cs="Arial"/>
      <w:b/>
      <w:bCs/>
      <w:color w:val="FF0000"/>
      <w:kern w:val="2"/>
      <w:sz w:val="24"/>
      <w:szCs w:val="24"/>
      <w:lang w:val="en-US" w:eastAsia="zh-CN" w:bidi="ar-SA"/>
    </w:rPr>
  </w:style>
  <w:style w:type="character" w:customStyle="1" w:styleId="3828">
    <w:name w:val="font41"/>
    <w:uiPriority w:val="0"/>
    <w:rPr>
      <w:rFonts w:hint="default" w:ascii="Times New Roman" w:hAnsi="Times New Roman" w:cs="Times New Roman"/>
      <w:i/>
      <w:iCs/>
      <w:color w:val="000000"/>
      <w:sz w:val="21"/>
      <w:szCs w:val="21"/>
      <w:u w:val="none"/>
    </w:rPr>
  </w:style>
  <w:style w:type="character" w:customStyle="1" w:styleId="3829">
    <w:name w:val="样式 样式 首行缩进:  2 字符2 + 首行缩进:  2 字符1 Char"/>
    <w:uiPriority w:val="0"/>
  </w:style>
  <w:style w:type="character" w:customStyle="1" w:styleId="3830">
    <w:name w:val="表格文字 Char Char Char1"/>
    <w:uiPriority w:val="0"/>
    <w:rPr>
      <w:rFonts w:ascii="Arial" w:hAnsi="Arial" w:eastAsia="宋体" w:cs="Arial"/>
      <w:kern w:val="2"/>
      <w:sz w:val="21"/>
      <w:szCs w:val="21"/>
      <w:lang w:val="en-US" w:eastAsia="zh-CN" w:bidi="ar-SA"/>
    </w:rPr>
  </w:style>
  <w:style w:type="character" w:customStyle="1" w:styleId="3831">
    <w:name w:val="标准正文 Char Char Char Char Char Char"/>
    <w:uiPriority w:val="0"/>
    <w:rPr>
      <w:rFonts w:ascii="Arial" w:hAnsi="Arial" w:eastAsia="宋体" w:cs="宋体"/>
      <w:kern w:val="2"/>
      <w:sz w:val="24"/>
      <w:lang w:val="en-US" w:eastAsia="zh-CN" w:bidi="ar-SA"/>
    </w:rPr>
  </w:style>
  <w:style w:type="character" w:customStyle="1" w:styleId="3832">
    <w:name w:val="样式 正文文本正文文字 Char Char"/>
    <w:uiPriority w:val="0"/>
    <w:rPr>
      <w:rFonts w:eastAsia="宋体"/>
      <w:bCs/>
      <w:kern w:val="2"/>
      <w:sz w:val="21"/>
      <w:szCs w:val="24"/>
      <w:lang w:val="en-US" w:eastAsia="zh-CN" w:bidi="ar-SA"/>
    </w:rPr>
  </w:style>
  <w:style w:type="character" w:customStyle="1" w:styleId="3833">
    <w:name w:val="正文文本3"/>
    <w:uiPriority w:val="0"/>
    <w:rPr>
      <w:rFonts w:eastAsia="宋体"/>
      <w:kern w:val="2"/>
      <w:sz w:val="21"/>
      <w:szCs w:val="24"/>
      <w:lang w:val="en-US" w:eastAsia="zh-CN" w:bidi="ar-SA"/>
    </w:rPr>
  </w:style>
  <w:style w:type="character" w:customStyle="1" w:styleId="3834">
    <w:name w:val="表头编号 Char Char1 Char Char Char1"/>
    <w:uiPriority w:val="0"/>
    <w:rPr>
      <w:rFonts w:ascii="Arial" w:hAnsi="Arial" w:eastAsia="宋体" w:cs="Arial"/>
      <w:b/>
      <w:color w:val="000000"/>
      <w:spacing w:val="-2"/>
      <w:kern w:val="2"/>
      <w:sz w:val="24"/>
      <w:szCs w:val="24"/>
      <w:lang w:val="en-US" w:eastAsia="zh-CN" w:bidi="ar-SA"/>
    </w:rPr>
  </w:style>
  <w:style w:type="character" w:customStyle="1" w:styleId="3835">
    <w:name w:val="正文缩进 列表 Char Char"/>
    <w:link w:val="3836"/>
    <w:uiPriority w:val="0"/>
    <w:rPr>
      <w:rFonts w:ascii="宋体" w:hAnsi="宋体"/>
      <w:color w:val="000000"/>
      <w:sz w:val="24"/>
      <w:szCs w:val="24"/>
    </w:rPr>
  </w:style>
  <w:style w:type="paragraph" w:customStyle="1" w:styleId="3836">
    <w:name w:val="正文缩进 列表"/>
    <w:basedOn w:val="1"/>
    <w:next w:val="21"/>
    <w:link w:val="3835"/>
    <w:uiPriority w:val="0"/>
    <w:pPr>
      <w:widowControl/>
      <w:tabs>
        <w:tab w:val="left" w:pos="900"/>
        <w:tab w:val="clear" w:pos="480"/>
      </w:tabs>
      <w:spacing w:afterLines="20" w:line="400" w:lineRule="exact"/>
      <w:ind w:left="900" w:hanging="420" w:firstLineChars="0"/>
      <w:jc w:val="left"/>
    </w:pPr>
    <w:rPr>
      <w:rFonts w:ascii="宋体" w:hAnsi="宋体"/>
      <w:color w:val="000000"/>
      <w:kern w:val="0"/>
    </w:rPr>
  </w:style>
  <w:style w:type="character" w:customStyle="1" w:styleId="3837">
    <w:name w:val="H2 Char2"/>
    <w:uiPriority w:val="0"/>
    <w:rPr>
      <w:rFonts w:ascii="Arial" w:hAnsi="Arial" w:eastAsia="黑体"/>
      <w:b/>
      <w:bCs/>
      <w:kern w:val="2"/>
      <w:sz w:val="32"/>
      <w:szCs w:val="32"/>
      <w:lang w:val="en-US" w:eastAsia="zh-CN" w:bidi="ar-SA"/>
    </w:rPr>
  </w:style>
  <w:style w:type="character" w:customStyle="1" w:styleId="3838">
    <w:name w:val="Char1 Char Char3"/>
    <w:uiPriority w:val="0"/>
    <w:rPr>
      <w:rFonts w:ascii="Arial" w:hAnsi="Arial" w:eastAsia="黑体"/>
      <w:b/>
      <w:bCs/>
      <w:kern w:val="2"/>
      <w:sz w:val="28"/>
      <w:szCs w:val="28"/>
      <w:lang w:val="en-US" w:eastAsia="zh-CN" w:bidi="ar-SA"/>
    </w:rPr>
  </w:style>
  <w:style w:type="character" w:customStyle="1" w:styleId="3839">
    <w:name w:val="hei141"/>
    <w:uiPriority w:val="0"/>
    <w:rPr>
      <w:color w:val="000000"/>
      <w:sz w:val="19"/>
      <w:szCs w:val="19"/>
    </w:rPr>
  </w:style>
  <w:style w:type="character" w:customStyle="1" w:styleId="3840">
    <w:name w:val="Char1 Char Char2"/>
    <w:uiPriority w:val="0"/>
    <w:rPr>
      <w:rFonts w:ascii="Times New Roman" w:hAnsi="Times New Roman" w:eastAsia="宋体" w:cs="Times New Roman"/>
      <w:b/>
      <w:color w:val="0000FF"/>
      <w:kern w:val="28"/>
      <w:sz w:val="28"/>
      <w:szCs w:val="20"/>
    </w:rPr>
  </w:style>
  <w:style w:type="character" w:customStyle="1" w:styleId="3841">
    <w:name w:val="swy11"/>
    <w:uiPriority w:val="0"/>
    <w:rPr>
      <w:rFonts w:hint="eastAsia" w:ascii="宋体" w:hAnsi="宋体" w:eastAsia="宋体"/>
      <w:sz w:val="24"/>
    </w:rPr>
  </w:style>
  <w:style w:type="character" w:customStyle="1" w:styleId="3842">
    <w:name w:val="p12"/>
    <w:uiPriority w:val="0"/>
  </w:style>
  <w:style w:type="character" w:customStyle="1" w:styleId="3843">
    <w:name w:val="正文A Char2"/>
    <w:uiPriority w:val="0"/>
    <w:rPr>
      <w:b/>
      <w:sz w:val="21"/>
    </w:rPr>
  </w:style>
  <w:style w:type="character" w:customStyle="1" w:styleId="3844">
    <w:name w:val="12line"/>
    <w:uiPriority w:val="0"/>
  </w:style>
  <w:style w:type="character" w:customStyle="1" w:styleId="3845">
    <w:name w:val="目录2 Char Char"/>
    <w:link w:val="3846"/>
    <w:uiPriority w:val="0"/>
    <w:rPr>
      <w:color w:val="000000"/>
      <w:sz w:val="24"/>
      <w:szCs w:val="24"/>
      <w:u w:color="000000"/>
    </w:rPr>
  </w:style>
  <w:style w:type="paragraph" w:customStyle="1" w:styleId="3846">
    <w:name w:val="目录2"/>
    <w:basedOn w:val="1"/>
    <w:next w:val="1"/>
    <w:link w:val="3845"/>
    <w:uiPriority w:val="0"/>
    <w:pPr>
      <w:widowControl/>
      <w:tabs>
        <w:tab w:val="left" w:leader="dot" w:pos="8503"/>
        <w:tab w:val="clear" w:pos="480"/>
      </w:tabs>
      <w:spacing w:line="317" w:lineRule="atLeast"/>
      <w:ind w:left="419" w:firstLine="419" w:firstLineChars="0"/>
      <w:textAlignment w:val="baseline"/>
    </w:pPr>
    <w:rPr>
      <w:color w:val="000000"/>
      <w:kern w:val="0"/>
      <w:u w:color="000000"/>
    </w:rPr>
  </w:style>
  <w:style w:type="character" w:customStyle="1" w:styleId="3847">
    <w:name w:val="Char1 Char Char11"/>
    <w:uiPriority w:val="0"/>
    <w:rPr>
      <w:rFonts w:ascii="Arial" w:hAnsi="Arial" w:eastAsia="宋体"/>
      <w:b/>
      <w:color w:val="0000FF"/>
      <w:kern w:val="2"/>
      <w:sz w:val="28"/>
      <w:lang w:val="en-US" w:eastAsia="zh-CN"/>
    </w:rPr>
  </w:style>
  <w:style w:type="character" w:customStyle="1" w:styleId="3848">
    <w:name w:val="表头编号 Char Char1 Char Char Char"/>
    <w:uiPriority w:val="0"/>
    <w:rPr>
      <w:rFonts w:ascii="Arial" w:hAnsi="Arial" w:eastAsia="宋体" w:cs="Arial"/>
      <w:b/>
      <w:color w:val="000000"/>
      <w:spacing w:val="-2"/>
      <w:kern w:val="2"/>
      <w:sz w:val="24"/>
      <w:szCs w:val="24"/>
      <w:lang w:val="en-US" w:eastAsia="zh-CN" w:bidi="ar-SA"/>
    </w:rPr>
  </w:style>
  <w:style w:type="character" w:customStyle="1" w:styleId="3849">
    <w:name w:val="wxy图名 Char"/>
    <w:link w:val="3850"/>
    <w:uiPriority w:val="0"/>
    <w:rPr>
      <w:rFonts w:eastAsia="黑体"/>
      <w:sz w:val="24"/>
      <w:szCs w:val="28"/>
      <w:lang w:bidi="en-US"/>
    </w:rPr>
  </w:style>
  <w:style w:type="paragraph" w:customStyle="1" w:styleId="3850">
    <w:name w:val="wxy图名"/>
    <w:basedOn w:val="1"/>
    <w:link w:val="3849"/>
    <w:qFormat/>
    <w:uiPriority w:val="0"/>
    <w:pPr>
      <w:tabs>
        <w:tab w:val="clear" w:pos="480"/>
      </w:tabs>
      <w:adjustRightInd w:val="0"/>
      <w:snapToGrid w:val="0"/>
      <w:spacing w:beforeLines="50" w:line="240" w:lineRule="auto"/>
      <w:ind w:firstLine="480"/>
      <w:jc w:val="center"/>
      <w:outlineLvl w:val="8"/>
    </w:pPr>
    <w:rPr>
      <w:rFonts w:eastAsia="黑体"/>
      <w:kern w:val="0"/>
      <w:szCs w:val="28"/>
      <w:lang w:bidi="en-US"/>
    </w:rPr>
  </w:style>
  <w:style w:type="character" w:customStyle="1" w:styleId="3851">
    <w:name w:val="不明显强调1"/>
    <w:qFormat/>
    <w:uiPriority w:val="0"/>
    <w:rPr>
      <w:i/>
      <w:iCs/>
      <w:color w:val="808080"/>
    </w:rPr>
  </w:style>
  <w:style w:type="character" w:customStyle="1" w:styleId="3852">
    <w:name w:val="纯文本2 Char"/>
    <w:uiPriority w:val="0"/>
    <w:rPr>
      <w:rFonts w:ascii="宋体" w:hAnsi="Courier New" w:eastAsia="宋体" w:cs="Courier New"/>
      <w:kern w:val="2"/>
      <w:sz w:val="21"/>
      <w:szCs w:val="21"/>
      <w:lang w:val="en-US" w:eastAsia="zh-CN" w:bidi="ar-SA"/>
    </w:rPr>
  </w:style>
  <w:style w:type="character" w:customStyle="1" w:styleId="3853">
    <w:name w:val="批注主题 字符3"/>
    <w:uiPriority w:val="99"/>
    <w:rPr>
      <w:b/>
      <w:bCs/>
    </w:rPr>
  </w:style>
  <w:style w:type="character" w:customStyle="1" w:styleId="3854">
    <w:name w:val="HTML 地址 Char1"/>
    <w:semiHidden/>
    <w:uiPriority w:val="0"/>
    <w:rPr>
      <w:rFonts w:ascii="Times New Roman" w:hAnsi="Times New Roman" w:eastAsia="宋体" w:cs="Times New Roman"/>
      <w:i/>
      <w:iCs/>
      <w:kern w:val="0"/>
      <w:sz w:val="20"/>
      <w:szCs w:val="24"/>
      <w:lang w:val="zh-CN" w:eastAsia="zh-CN"/>
    </w:rPr>
  </w:style>
  <w:style w:type="character" w:customStyle="1" w:styleId="3855">
    <w:name w:val="批注框文本 字符3"/>
    <w:uiPriority w:val="99"/>
    <w:rPr>
      <w:sz w:val="18"/>
      <w:szCs w:val="18"/>
    </w:rPr>
  </w:style>
  <w:style w:type="character" w:customStyle="1" w:styleId="3856">
    <w:name w:val="Char Char24"/>
    <w:uiPriority w:val="0"/>
    <w:rPr>
      <w:rFonts w:eastAsia="宋体"/>
      <w:kern w:val="2"/>
      <w:sz w:val="18"/>
      <w:szCs w:val="18"/>
      <w:lang w:val="en-US" w:eastAsia="zh-CN" w:bidi="ar-SA"/>
    </w:rPr>
  </w:style>
  <w:style w:type="character" w:customStyle="1" w:styleId="3857">
    <w:name w:val="标题 3 字符2"/>
    <w:uiPriority w:val="9"/>
    <w:rPr>
      <w:rFonts w:ascii="Calibri" w:hAnsi="Calibri" w:eastAsia="宋体" w:cs="Times New Roman"/>
      <w:b/>
      <w:bCs/>
      <w:sz w:val="32"/>
      <w:szCs w:val="32"/>
      <w14:ligatures w14:val="none"/>
    </w:rPr>
  </w:style>
  <w:style w:type="character" w:customStyle="1" w:styleId="3858">
    <w:name w:val="样式安江 Char"/>
    <w:link w:val="3859"/>
    <w:uiPriority w:val="0"/>
    <w:rPr>
      <w:sz w:val="24"/>
      <w:szCs w:val="24"/>
    </w:rPr>
  </w:style>
  <w:style w:type="paragraph" w:customStyle="1" w:styleId="3859">
    <w:name w:val="样式安江"/>
    <w:basedOn w:val="1"/>
    <w:link w:val="3858"/>
    <w:uiPriority w:val="0"/>
    <w:pPr>
      <w:tabs>
        <w:tab w:val="clear" w:pos="480"/>
      </w:tabs>
      <w:spacing w:beforeLines="50"/>
      <w:ind w:firstLine="480"/>
    </w:pPr>
    <w:rPr>
      <w:kern w:val="0"/>
    </w:rPr>
  </w:style>
  <w:style w:type="character" w:customStyle="1" w:styleId="3860">
    <w:name w:val="无间隔 字符1"/>
    <w:uiPriority w:val="0"/>
    <w:rPr>
      <w:rFonts w:ascii="Times New Roman" w:hAnsi="Times New Roman"/>
      <w:szCs w:val="21"/>
    </w:rPr>
  </w:style>
  <w:style w:type="character" w:customStyle="1" w:styleId="3861">
    <w:name w:val="图片标题1 Char"/>
    <w:link w:val="3666"/>
    <w:uiPriority w:val="0"/>
    <w:rPr>
      <w:rFonts w:ascii="Calibri" w:hAnsi="Calibri" w:eastAsia="黑体"/>
      <w:kern w:val="2"/>
      <w:sz w:val="24"/>
    </w:rPr>
  </w:style>
  <w:style w:type="character" w:customStyle="1" w:styleId="3862">
    <w:name w:val="标题 4 字符2"/>
    <w:uiPriority w:val="9"/>
    <w:rPr>
      <w:rFonts w:ascii="Calibri Light" w:hAnsi="Calibri Light" w:eastAsia="宋体" w:cs="Times New Roman"/>
      <w:b/>
      <w:bCs/>
      <w:sz w:val="28"/>
      <w:szCs w:val="28"/>
      <w14:ligatures w14:val="none"/>
    </w:rPr>
  </w:style>
  <w:style w:type="character" w:customStyle="1" w:styleId="3863">
    <w:name w:val="正文（WTX） Char Char"/>
    <w:link w:val="3864"/>
    <w:uiPriority w:val="0"/>
    <w:rPr>
      <w:color w:val="000000"/>
      <w:sz w:val="24"/>
      <w:szCs w:val="24"/>
      <w:u w:color="CCFFCC"/>
    </w:rPr>
  </w:style>
  <w:style w:type="paragraph" w:customStyle="1" w:styleId="3864">
    <w:name w:val="正文（WTX）"/>
    <w:basedOn w:val="1"/>
    <w:link w:val="3863"/>
    <w:qFormat/>
    <w:uiPriority w:val="0"/>
    <w:pPr>
      <w:tabs>
        <w:tab w:val="clear" w:pos="480"/>
      </w:tabs>
      <w:adjustRightInd w:val="0"/>
      <w:snapToGrid w:val="0"/>
    </w:pPr>
    <w:rPr>
      <w:color w:val="000000"/>
      <w:kern w:val="0"/>
      <w:u w:color="CCFFCC"/>
    </w:rPr>
  </w:style>
  <w:style w:type="character" w:customStyle="1" w:styleId="3865">
    <w:name w:val="纯文本 字符3"/>
    <w:uiPriority w:val="99"/>
    <w:rPr>
      <w:rFonts w:ascii="宋体" w:hAnsi="Courier New" w:cs="宋体"/>
      <w:szCs w:val="21"/>
    </w:rPr>
  </w:style>
  <w:style w:type="character" w:customStyle="1" w:styleId="3866">
    <w:name w:val="ca-52"/>
    <w:uiPriority w:val="0"/>
  </w:style>
  <w:style w:type="character" w:customStyle="1" w:styleId="3867">
    <w:name w:val="图名 Char"/>
    <w:uiPriority w:val="0"/>
    <w:rPr>
      <w:rFonts w:ascii="Century Gothic" w:hAnsi="Century Gothic"/>
    </w:rPr>
  </w:style>
  <w:style w:type="character" w:customStyle="1" w:styleId="3868">
    <w:name w:val="表格名称 Char"/>
    <w:link w:val="1543"/>
    <w:uiPriority w:val="0"/>
    <w:rPr>
      <w:b/>
      <w:kern w:val="2"/>
      <w:sz w:val="24"/>
    </w:rPr>
  </w:style>
  <w:style w:type="character" w:customStyle="1" w:styleId="3869">
    <w:name w:val="标题 2 Char"/>
    <w:uiPriority w:val="9"/>
    <w:rPr>
      <w:rFonts w:ascii="Calibri Light" w:hAnsi="Calibri Light" w:eastAsia="宋体" w:cs="Times New Roman"/>
      <w:b/>
      <w:bCs/>
      <w:kern w:val="2"/>
      <w:sz w:val="32"/>
      <w:szCs w:val="32"/>
    </w:rPr>
  </w:style>
  <w:style w:type="character" w:customStyle="1" w:styleId="3870">
    <w:name w:val="普通(网站) Char"/>
    <w:uiPriority w:val="0"/>
    <w:rPr>
      <w:rFonts w:ascii="Calibri" w:hAnsi="Calibri" w:eastAsia="宋体" w:cs="Times New Roman"/>
      <w:kern w:val="0"/>
      <w:sz w:val="24"/>
      <w:szCs w:val="24"/>
      <w:lang w:val="zh-CN" w:eastAsia="zh-CN"/>
    </w:rPr>
  </w:style>
  <w:style w:type="character" w:customStyle="1" w:styleId="3871">
    <w:name w:val="标题 5 Char"/>
    <w:semiHidden/>
    <w:uiPriority w:val="9"/>
    <w:rPr>
      <w:b/>
      <w:bCs/>
      <w:kern w:val="2"/>
      <w:sz w:val="28"/>
      <w:szCs w:val="28"/>
    </w:rPr>
  </w:style>
  <w:style w:type="character" w:customStyle="1" w:styleId="3872">
    <w:name w:val="标题 6 Char"/>
    <w:semiHidden/>
    <w:uiPriority w:val="9"/>
    <w:rPr>
      <w:rFonts w:ascii="Calibri Light" w:hAnsi="Calibri Light" w:eastAsia="宋体" w:cs="Times New Roman"/>
      <w:b/>
      <w:bCs/>
      <w:kern w:val="2"/>
      <w:sz w:val="24"/>
      <w:szCs w:val="24"/>
    </w:rPr>
  </w:style>
  <w:style w:type="character" w:customStyle="1" w:styleId="3873">
    <w:name w:val="ca-32"/>
    <w:uiPriority w:val="0"/>
  </w:style>
  <w:style w:type="character" w:customStyle="1" w:styleId="3874">
    <w:name w:val="标题 7 Char"/>
    <w:semiHidden/>
    <w:uiPriority w:val="9"/>
    <w:rPr>
      <w:b/>
      <w:bCs/>
      <w:kern w:val="2"/>
      <w:sz w:val="24"/>
      <w:szCs w:val="24"/>
    </w:rPr>
  </w:style>
  <w:style w:type="character" w:customStyle="1" w:styleId="3875">
    <w:name w:val="标题 9 Char"/>
    <w:semiHidden/>
    <w:uiPriority w:val="9"/>
    <w:rPr>
      <w:rFonts w:ascii="Calibri Light" w:hAnsi="Calibri Light" w:eastAsia="宋体" w:cs="Times New Roman"/>
      <w:kern w:val="2"/>
      <w:sz w:val="21"/>
      <w:szCs w:val="21"/>
    </w:rPr>
  </w:style>
  <w:style w:type="character" w:customStyle="1" w:styleId="3876">
    <w:name w:val="z-窗体顶端 字符1"/>
    <w:uiPriority w:val="0"/>
    <w:rPr>
      <w:rFonts w:ascii="Arial" w:hAnsi="Arial" w:eastAsia="宋体" w:cs="Times New Roman"/>
      <w:vanish/>
      <w:kern w:val="0"/>
      <w:sz w:val="16"/>
      <w:szCs w:val="16"/>
      <w:lang w:val="zh-CN" w:eastAsia="zh-CN"/>
    </w:rPr>
  </w:style>
  <w:style w:type="character" w:customStyle="1" w:styleId="3877">
    <w:name w:val="标题 2 字符2"/>
    <w:uiPriority w:val="9"/>
    <w:rPr>
      <w:rFonts w:ascii="等线 Light" w:hAnsi="等线 Light" w:eastAsia="等线 Light" w:cs="Times New Roman"/>
      <w:b/>
      <w:bCs/>
      <w:sz w:val="32"/>
      <w:szCs w:val="32"/>
      <w14:ligatures w14:val="none"/>
    </w:rPr>
  </w:style>
  <w:style w:type="character" w:customStyle="1" w:styleId="3878">
    <w:name w:val="ca-12"/>
    <w:uiPriority w:val="0"/>
  </w:style>
  <w:style w:type="character" w:customStyle="1" w:styleId="3879">
    <w:name w:val="z-窗体底端 字符1"/>
    <w:uiPriority w:val="0"/>
    <w:rPr>
      <w:rFonts w:ascii="方正小标宋_GBK" w:hAnsi="方正小标宋_GBK" w:eastAsia="宋体" w:cs="Times New Roman"/>
      <w:vanish/>
      <w:kern w:val="0"/>
      <w:sz w:val="16"/>
      <w:szCs w:val="16"/>
      <w:lang w:val="zh-CN" w:eastAsia="zh-CN"/>
    </w:rPr>
  </w:style>
  <w:style w:type="character" w:customStyle="1" w:styleId="3880">
    <w:name w:val="页眉 Char2"/>
    <w:uiPriority w:val="0"/>
    <w:rPr>
      <w:rFonts w:eastAsia="宋体"/>
      <w:kern w:val="2"/>
      <w:sz w:val="18"/>
      <w:lang w:val="en-US" w:eastAsia="zh-CN" w:bidi="ar-SA"/>
    </w:rPr>
  </w:style>
  <w:style w:type="character" w:customStyle="1" w:styleId="3881">
    <w:name w:val="正  文 Char"/>
    <w:link w:val="3882"/>
    <w:locked/>
    <w:uiPriority w:val="0"/>
    <w:rPr>
      <w:rFonts w:eastAsia="仿宋_GB2312"/>
      <w:sz w:val="28"/>
      <w:szCs w:val="24"/>
    </w:rPr>
  </w:style>
  <w:style w:type="paragraph" w:customStyle="1" w:styleId="3882">
    <w:name w:val="正  文"/>
    <w:basedOn w:val="1"/>
    <w:link w:val="3881"/>
    <w:qFormat/>
    <w:uiPriority w:val="0"/>
    <w:pPr>
      <w:tabs>
        <w:tab w:val="clear" w:pos="480"/>
      </w:tabs>
      <w:spacing w:line="240" w:lineRule="auto"/>
      <w:textAlignment w:val="baseline"/>
    </w:pPr>
    <w:rPr>
      <w:rFonts w:eastAsia="仿宋_GB2312"/>
      <w:kern w:val="0"/>
      <w:sz w:val="28"/>
    </w:rPr>
  </w:style>
  <w:style w:type="character" w:customStyle="1" w:styleId="3883">
    <w:name w:val="引江正文 Char"/>
    <w:link w:val="3884"/>
    <w:uiPriority w:val="0"/>
    <w:rPr>
      <w:sz w:val="24"/>
    </w:rPr>
  </w:style>
  <w:style w:type="paragraph" w:customStyle="1" w:styleId="3884">
    <w:name w:val="引江正文"/>
    <w:basedOn w:val="1"/>
    <w:link w:val="3883"/>
    <w:qFormat/>
    <w:uiPriority w:val="0"/>
    <w:pPr>
      <w:tabs>
        <w:tab w:val="clear" w:pos="480"/>
      </w:tabs>
      <w:ind w:firstLine="480"/>
    </w:pPr>
    <w:rPr>
      <w:kern w:val="0"/>
      <w:szCs w:val="20"/>
    </w:rPr>
  </w:style>
  <w:style w:type="character" w:customStyle="1" w:styleId="3885">
    <w:name w:val="普通(网站) 字符1"/>
    <w:uiPriority w:val="0"/>
    <w:rPr>
      <w:sz w:val="24"/>
      <w:szCs w:val="24"/>
    </w:rPr>
  </w:style>
  <w:style w:type="character" w:customStyle="1" w:styleId="3886">
    <w:name w:val="电子邮件签名 Char"/>
    <w:semiHidden/>
    <w:uiPriority w:val="99"/>
    <w:rPr>
      <w:kern w:val="2"/>
      <w:sz w:val="21"/>
      <w:szCs w:val="22"/>
    </w:rPr>
  </w:style>
  <w:style w:type="character" w:customStyle="1" w:styleId="3887">
    <w:name w:val="表格 Char Char Char Char Char Char"/>
    <w:uiPriority w:val="0"/>
    <w:rPr>
      <w:rFonts w:ascii="宋体" w:hAnsi="宋体" w:eastAsia="宋体" w:cs="Times New Roman"/>
      <w:color w:val="000000"/>
      <w:sz w:val="24"/>
    </w:rPr>
  </w:style>
  <w:style w:type="character" w:customStyle="1" w:styleId="3888">
    <w:name w:val="电子邮件签名 字符"/>
    <w:semiHidden/>
    <w:uiPriority w:val="0"/>
    <w:rPr>
      <w:kern w:val="2"/>
      <w:sz w:val="21"/>
      <w:szCs w:val="22"/>
    </w:rPr>
  </w:style>
  <w:style w:type="character" w:customStyle="1" w:styleId="3889">
    <w:name w:val="链接"/>
    <w:uiPriority w:val="0"/>
    <w:rPr>
      <w:rFonts w:ascii="Times New Roman" w:eastAsia="宋体"/>
      <w:color w:val="0000FF"/>
      <w:sz w:val="21"/>
      <w:u w:val="single" w:color="0000FF"/>
      <w:lang w:val="en-US" w:eastAsia="zh-CN"/>
    </w:rPr>
  </w:style>
  <w:style w:type="character" w:customStyle="1" w:styleId="3890">
    <w:name w:val="文档结构图 Char"/>
    <w:uiPriority w:val="99"/>
    <w:rPr>
      <w:rFonts w:ascii="Microsoft YaHei UI" w:eastAsia="Microsoft YaHei UI"/>
      <w:kern w:val="2"/>
      <w:sz w:val="18"/>
      <w:szCs w:val="18"/>
    </w:rPr>
  </w:style>
  <w:style w:type="character" w:customStyle="1" w:styleId="3891">
    <w:name w:val="正文A Char"/>
    <w:link w:val="3892"/>
    <w:uiPriority w:val="0"/>
    <w:rPr>
      <w:color w:val="000000"/>
      <w:sz w:val="24"/>
      <w:szCs w:val="24"/>
    </w:rPr>
  </w:style>
  <w:style w:type="paragraph" w:customStyle="1" w:styleId="3892">
    <w:name w:val="正文A"/>
    <w:basedOn w:val="1"/>
    <w:link w:val="3891"/>
    <w:uiPriority w:val="0"/>
    <w:pPr>
      <w:tabs>
        <w:tab w:val="clear" w:pos="480"/>
      </w:tabs>
      <w:adjustRightInd w:val="0"/>
      <w:spacing w:line="480" w:lineRule="exact"/>
      <w:textAlignment w:val="baseline"/>
    </w:pPr>
    <w:rPr>
      <w:color w:val="000000"/>
      <w:kern w:val="0"/>
    </w:rPr>
  </w:style>
  <w:style w:type="character" w:customStyle="1" w:styleId="3893">
    <w:name w:val="标题 6 Char1"/>
    <w:uiPriority w:val="0"/>
    <w:rPr>
      <w:rFonts w:ascii="仿宋_GB2312" w:hAnsi="Arial" w:eastAsia="仿宋_GB2312"/>
      <w:bCs/>
      <w:snapToGrid w:val="0"/>
      <w:color w:val="000000"/>
      <w:kern w:val="2"/>
      <w:sz w:val="28"/>
      <w:szCs w:val="24"/>
    </w:rPr>
  </w:style>
  <w:style w:type="character" w:customStyle="1" w:styleId="3894">
    <w:name w:val="称呼 Char"/>
    <w:semiHidden/>
    <w:uiPriority w:val="99"/>
    <w:rPr>
      <w:kern w:val="2"/>
      <w:sz w:val="21"/>
      <w:szCs w:val="22"/>
    </w:rPr>
  </w:style>
  <w:style w:type="character" w:customStyle="1" w:styleId="3895">
    <w:name w:val="样式 样式3 + 首行缩进:  2 字符1 Char"/>
    <w:uiPriority w:val="0"/>
    <w:rPr>
      <w:lang w:val="en-US" w:eastAsia="zh-CN" w:bidi="ar-SA"/>
    </w:rPr>
  </w:style>
  <w:style w:type="character" w:customStyle="1" w:styleId="3896">
    <w:name w:val="样式2 Char Char"/>
    <w:uiPriority w:val="0"/>
    <w:rPr>
      <w:rFonts w:eastAsia="宋体"/>
      <w:sz w:val="24"/>
      <w:szCs w:val="24"/>
    </w:rPr>
  </w:style>
  <w:style w:type="character" w:customStyle="1" w:styleId="3897">
    <w:name w:val="结束语 Char"/>
    <w:semiHidden/>
    <w:uiPriority w:val="99"/>
    <w:rPr>
      <w:kern w:val="2"/>
      <w:sz w:val="21"/>
      <w:szCs w:val="22"/>
    </w:rPr>
  </w:style>
  <w:style w:type="character" w:customStyle="1" w:styleId="3898">
    <w:name w:val="结束语 字符"/>
    <w:semiHidden/>
    <w:uiPriority w:val="0"/>
    <w:rPr>
      <w:kern w:val="2"/>
      <w:sz w:val="21"/>
      <w:szCs w:val="22"/>
    </w:rPr>
  </w:style>
  <w:style w:type="character" w:customStyle="1" w:styleId="3899">
    <w:name w:val="标题 2 + (西文) 黑体 (中文) 黑体 四号 非加粗 Char"/>
    <w:uiPriority w:val="0"/>
    <w:rPr>
      <w:rFonts w:eastAsia="黑体"/>
      <w:b/>
      <w:kern w:val="2"/>
      <w:sz w:val="28"/>
      <w:lang w:val="en-US" w:eastAsia="zh-CN" w:bidi="ar-SA"/>
    </w:rPr>
  </w:style>
  <w:style w:type="character" w:customStyle="1" w:styleId="3900">
    <w:name w:val="特点2"/>
    <w:uiPriority w:val="0"/>
    <w:rPr>
      <w:rFonts w:eastAsia="宋体"/>
      <w:kern w:val="2"/>
      <w:sz w:val="24"/>
      <w:lang w:val="en-US" w:eastAsia="zh-CN" w:bidi="ar-SA"/>
    </w:rPr>
  </w:style>
  <w:style w:type="character" w:customStyle="1" w:styleId="3901">
    <w:name w:val="样式 (中文) 黑体 一号 加粗 加宽量  12.75 磅 适应文字: 无"/>
    <w:uiPriority w:val="0"/>
    <w:rPr>
      <w:rFonts w:eastAsia="黑体"/>
      <w:b/>
      <w:bCs/>
      <w:spacing w:val="0"/>
      <w:kern w:val="0"/>
      <w:sz w:val="52"/>
      <w:szCs w:val="52"/>
    </w:rPr>
  </w:style>
  <w:style w:type="character" w:customStyle="1" w:styleId="3902">
    <w:name w:val="webkit-html-tag"/>
    <w:uiPriority w:val="0"/>
  </w:style>
  <w:style w:type="character" w:customStyle="1" w:styleId="3903">
    <w:name w:val="HTML 地址 Char"/>
    <w:semiHidden/>
    <w:uiPriority w:val="99"/>
    <w:rPr>
      <w:i/>
      <w:iCs/>
      <w:kern w:val="2"/>
      <w:sz w:val="21"/>
      <w:szCs w:val="22"/>
    </w:rPr>
  </w:style>
  <w:style w:type="character" w:customStyle="1" w:styleId="3904">
    <w:name w:val="Char Char23"/>
    <w:uiPriority w:val="0"/>
    <w:rPr>
      <w:rFonts w:eastAsia="宋体"/>
      <w:kern w:val="2"/>
      <w:sz w:val="21"/>
      <w:lang w:val="en-US" w:eastAsia="zh-CN" w:bidi="ar-SA"/>
    </w:rPr>
  </w:style>
  <w:style w:type="character" w:customStyle="1" w:styleId="3905">
    <w:name w:val="列表 字符1"/>
    <w:uiPriority w:val="0"/>
    <w:rPr>
      <w:rFonts w:ascii="Arial" w:hAnsi="Arial"/>
      <w:sz w:val="28"/>
    </w:rPr>
  </w:style>
  <w:style w:type="character" w:customStyle="1" w:styleId="3906">
    <w:name w:val="HTML 地址 字符"/>
    <w:semiHidden/>
    <w:uiPriority w:val="0"/>
    <w:rPr>
      <w:i/>
      <w:iCs/>
      <w:kern w:val="2"/>
      <w:sz w:val="21"/>
      <w:szCs w:val="22"/>
    </w:rPr>
  </w:style>
  <w:style w:type="character" w:customStyle="1" w:styleId="3907">
    <w:name w:val="样式 正文首行缩进 + 首行缩进:  1 字符 Char"/>
    <w:link w:val="1247"/>
    <w:uiPriority w:val="0"/>
    <w:rPr>
      <w:rFonts w:ascii="Arial" w:hAnsi="Arial" w:cs="宋体"/>
      <w:sz w:val="24"/>
      <w:szCs w:val="24"/>
    </w:rPr>
  </w:style>
  <w:style w:type="character" w:customStyle="1" w:styleId="3908">
    <w:name w:val="正文文字缩进 2 Char Char"/>
    <w:uiPriority w:val="0"/>
    <w:rPr>
      <w:rFonts w:ascii="Calibri" w:hAnsi="Calibri" w:eastAsia="宋体" w:cs="Times New Roman"/>
    </w:rPr>
  </w:style>
  <w:style w:type="character" w:customStyle="1" w:styleId="3909">
    <w:name w:val="XCHG论文正文 Char"/>
    <w:uiPriority w:val="0"/>
    <w:rPr>
      <w:rFonts w:eastAsia="宋体"/>
      <w:color w:val="000000"/>
      <w:kern w:val="2"/>
      <w:sz w:val="24"/>
      <w:szCs w:val="24"/>
      <w:lang w:val="en-US" w:eastAsia="zh-CN" w:bidi="ar-SA"/>
    </w:rPr>
  </w:style>
  <w:style w:type="character" w:customStyle="1" w:styleId="3910">
    <w:name w:val="style15"/>
    <w:uiPriority w:val="0"/>
  </w:style>
  <w:style w:type="character" w:customStyle="1" w:styleId="3911">
    <w:name w:val="alan正文 Char"/>
    <w:link w:val="3912"/>
    <w:uiPriority w:val="0"/>
    <w:rPr>
      <w:sz w:val="28"/>
      <w:szCs w:val="24"/>
    </w:rPr>
  </w:style>
  <w:style w:type="paragraph" w:customStyle="1" w:styleId="3912">
    <w:name w:val="alan正文"/>
    <w:basedOn w:val="1"/>
    <w:link w:val="3911"/>
    <w:uiPriority w:val="0"/>
    <w:pPr>
      <w:tabs>
        <w:tab w:val="clear" w:pos="480"/>
      </w:tabs>
      <w:spacing w:line="520" w:lineRule="exact"/>
    </w:pPr>
    <w:rPr>
      <w:kern w:val="0"/>
      <w:sz w:val="28"/>
    </w:rPr>
  </w:style>
  <w:style w:type="character" w:customStyle="1" w:styleId="3913">
    <w:name w:val="gyy表名图名 Char"/>
    <w:uiPriority w:val="0"/>
    <w:rPr>
      <w:rFonts w:eastAsia="黑体"/>
      <w:kern w:val="2"/>
      <w:sz w:val="24"/>
      <w:szCs w:val="24"/>
      <w:lang w:val="en-US" w:eastAsia="zh-CN" w:bidi="ar-SA"/>
    </w:rPr>
  </w:style>
  <w:style w:type="character" w:customStyle="1" w:styleId="3914">
    <w:name w:val="标题 4 Char1"/>
    <w:uiPriority w:val="0"/>
    <w:rPr>
      <w:rFonts w:ascii="Arial" w:hAnsi="Arial" w:eastAsia="黑体"/>
      <w:b/>
      <w:bCs/>
      <w:snapToGrid w:val="0"/>
      <w:color w:val="000000"/>
      <w:kern w:val="2"/>
      <w:sz w:val="28"/>
      <w:szCs w:val="28"/>
    </w:rPr>
  </w:style>
  <w:style w:type="character" w:customStyle="1" w:styleId="3915">
    <w:name w:val="标题 3- Char"/>
    <w:link w:val="3916"/>
    <w:uiPriority w:val="0"/>
    <w:rPr>
      <w:rFonts w:eastAsia="黑体"/>
      <w:bCs/>
      <w:sz w:val="24"/>
      <w:szCs w:val="24"/>
    </w:rPr>
  </w:style>
  <w:style w:type="paragraph" w:customStyle="1" w:styleId="3916">
    <w:name w:val="标题 3-"/>
    <w:basedOn w:val="5"/>
    <w:link w:val="3915"/>
    <w:uiPriority w:val="0"/>
    <w:pPr>
      <w:tabs>
        <w:tab w:val="clear" w:pos="480"/>
        <w:tab w:val="clear" w:pos="840"/>
      </w:tabs>
      <w:adjustRightInd w:val="0"/>
      <w:snapToGrid w:val="0"/>
      <w:spacing w:before="60" w:after="60" w:line="460" w:lineRule="exact"/>
      <w:jc w:val="left"/>
    </w:pPr>
    <w:rPr>
      <w:rFonts w:ascii="Times New Roman" w:eastAsia="黑体"/>
      <w:b w:val="0"/>
      <w:kern w:val="0"/>
      <w:sz w:val="24"/>
      <w:szCs w:val="24"/>
      <w:lang w:val="en-US"/>
    </w:rPr>
  </w:style>
  <w:style w:type="character" w:customStyle="1" w:styleId="3917">
    <w:name w:val="样式 标题 3标题 3 Char1标题 3XW Char1标题 3XW Char Char1标题 3XW Char Ch... Char"/>
    <w:uiPriority w:val="0"/>
    <w:rPr>
      <w:rFonts w:ascii="Arial" w:hAnsi="Arial" w:eastAsia="黑体"/>
      <w:bCs/>
      <w:kern w:val="2"/>
      <w:sz w:val="28"/>
      <w:szCs w:val="28"/>
      <w:lang w:val="en-US" w:eastAsia="zh-CN" w:bidi="ar-SA"/>
    </w:rPr>
  </w:style>
  <w:style w:type="character" w:customStyle="1" w:styleId="3918">
    <w:name w:val="页眉2 Char Char"/>
    <w:uiPriority w:val="0"/>
    <w:rPr>
      <w:sz w:val="18"/>
      <w:szCs w:val="18"/>
    </w:rPr>
  </w:style>
  <w:style w:type="character" w:customStyle="1" w:styleId="3919">
    <w:name w:val="样式6 正文 Char"/>
    <w:link w:val="3568"/>
    <w:uiPriority w:val="0"/>
    <w:rPr>
      <w:kern w:val="2"/>
      <w:sz w:val="24"/>
      <w:szCs w:val="24"/>
    </w:rPr>
  </w:style>
  <w:style w:type="character" w:customStyle="1" w:styleId="3920">
    <w:name w:val="宋体-小四 Char"/>
    <w:link w:val="3921"/>
    <w:uiPriority w:val="0"/>
    <w:rPr>
      <w:sz w:val="24"/>
      <w:szCs w:val="24"/>
    </w:rPr>
  </w:style>
  <w:style w:type="paragraph" w:customStyle="1" w:styleId="3921">
    <w:name w:val="宋体-小四"/>
    <w:basedOn w:val="3922"/>
    <w:link w:val="3920"/>
    <w:qFormat/>
    <w:uiPriority w:val="0"/>
    <w:pPr>
      <w:spacing w:line="360" w:lineRule="auto"/>
    </w:pPr>
    <w:rPr>
      <w:rFonts w:eastAsia="宋体"/>
      <w:kern w:val="0"/>
      <w14:ligatures w14:val="none"/>
    </w:rPr>
  </w:style>
  <w:style w:type="paragraph" w:customStyle="1" w:styleId="3922">
    <w:name w:val="宋体小四-1.5行距"/>
    <w:basedOn w:val="1"/>
    <w:link w:val="3958"/>
    <w:qFormat/>
    <w:uiPriority w:val="0"/>
    <w:pPr>
      <w:tabs>
        <w:tab w:val="clear" w:pos="480"/>
      </w:tabs>
      <w:spacing w:line="500" w:lineRule="exact"/>
      <w:ind w:firstLine="480"/>
    </w:pPr>
    <w:rPr>
      <w:rFonts w:eastAsia="等线"/>
      <w14:ligatures w14:val="standardContextual"/>
    </w:rPr>
  </w:style>
  <w:style w:type="character" w:customStyle="1" w:styleId="3923">
    <w:name w:val="普通文字 Char Char C"/>
    <w:uiPriority w:val="0"/>
    <w:rPr>
      <w:rFonts w:ascii="宋体" w:hAnsi="Courier New" w:eastAsia="宋体"/>
      <w:kern w:val="2"/>
      <w:sz w:val="21"/>
      <w:szCs w:val="21"/>
      <w:lang w:val="en-US" w:eastAsia="zh-CN" w:bidi="ar-SA"/>
    </w:rPr>
  </w:style>
  <w:style w:type="character" w:customStyle="1" w:styleId="3924">
    <w:name w:val="尾注文本 Char"/>
    <w:semiHidden/>
    <w:uiPriority w:val="99"/>
    <w:rPr>
      <w:kern w:val="2"/>
      <w:sz w:val="21"/>
      <w:szCs w:val="22"/>
    </w:rPr>
  </w:style>
  <w:style w:type="character" w:customStyle="1" w:styleId="3925">
    <w:name w:val="gyy正文 Char1"/>
    <w:uiPriority w:val="0"/>
    <w:rPr>
      <w:rFonts w:eastAsia="宋体"/>
      <w:kern w:val="2"/>
      <w:sz w:val="24"/>
      <w:szCs w:val="24"/>
      <w:lang w:val="en-US" w:eastAsia="zh-CN" w:bidi="ar-SA"/>
    </w:rPr>
  </w:style>
  <w:style w:type="character" w:customStyle="1" w:styleId="3926">
    <w:name w:val="尾注文本 字符"/>
    <w:uiPriority w:val="0"/>
    <w:rPr>
      <w:kern w:val="2"/>
      <w:sz w:val="21"/>
      <w:szCs w:val="22"/>
    </w:rPr>
  </w:style>
  <w:style w:type="character" w:customStyle="1" w:styleId="3927">
    <w:name w:val="Char Char171"/>
    <w:uiPriority w:val="0"/>
    <w:rPr>
      <w:rFonts w:eastAsia="黑体"/>
      <w:bCs/>
      <w:kern w:val="2"/>
      <w:sz w:val="28"/>
      <w:szCs w:val="28"/>
      <w:lang w:val="en-US" w:eastAsia="zh-CN" w:bidi="ar-SA"/>
    </w:rPr>
  </w:style>
  <w:style w:type="character" w:customStyle="1" w:styleId="3928">
    <w:name w:val="Char Char331"/>
    <w:uiPriority w:val="0"/>
    <w:rPr>
      <w:rFonts w:ascii="宋体" w:hAnsi="宋体"/>
      <w:kern w:val="2"/>
      <w:sz w:val="24"/>
      <w:szCs w:val="28"/>
    </w:rPr>
  </w:style>
  <w:style w:type="character" w:customStyle="1" w:styleId="3929">
    <w:name w:val="Char Char71"/>
    <w:uiPriority w:val="0"/>
    <w:rPr>
      <w:rFonts w:eastAsia="宋体"/>
      <w:kern w:val="2"/>
      <w:sz w:val="21"/>
      <w:szCs w:val="24"/>
      <w:lang w:val="en-US" w:eastAsia="zh-CN" w:bidi="ar-SA"/>
    </w:rPr>
  </w:style>
  <w:style w:type="character" w:customStyle="1" w:styleId="3930">
    <w:name w:val="样式 样式4 + 宋体 Char"/>
    <w:uiPriority w:val="0"/>
    <w:rPr>
      <w:rFonts w:ascii="宋体" w:hAnsi="宋体" w:eastAsia="宋体" w:cs="Arial"/>
      <w:b/>
      <w:bCs/>
      <w:kern w:val="44"/>
      <w:sz w:val="28"/>
      <w:szCs w:val="28"/>
      <w:lang w:val="en-US" w:eastAsia="zh-CN" w:bidi="ar-SA"/>
    </w:rPr>
  </w:style>
  <w:style w:type="character" w:customStyle="1" w:styleId="3931">
    <w:name w:val="Char Char91"/>
    <w:uiPriority w:val="0"/>
    <w:rPr>
      <w:rFonts w:eastAsia="宋体"/>
      <w:kern w:val="2"/>
      <w:sz w:val="18"/>
      <w:szCs w:val="18"/>
      <w:lang w:val="en-US" w:eastAsia="zh-CN" w:bidi="ar-SA"/>
    </w:rPr>
  </w:style>
  <w:style w:type="character" w:customStyle="1" w:styleId="3932">
    <w:name w:val="Char Char181"/>
    <w:uiPriority w:val="0"/>
    <w:rPr>
      <w:rFonts w:eastAsia="黑体"/>
      <w:bCs/>
      <w:snapToGrid w:val="0"/>
      <w:sz w:val="32"/>
      <w:szCs w:val="32"/>
      <w:lang w:val="sq-AL" w:eastAsia="zh-CN" w:bidi="ar-SA"/>
    </w:rPr>
  </w:style>
  <w:style w:type="character" w:customStyle="1" w:styleId="3933">
    <w:name w:val="标题3， Char"/>
    <w:uiPriority w:val="0"/>
    <w:rPr>
      <w:rFonts w:eastAsia="黑体"/>
      <w:bCs/>
      <w:snapToGrid/>
      <w:kern w:val="2"/>
      <w:sz w:val="24"/>
      <w:szCs w:val="24"/>
      <w:lang w:val="en-US" w:eastAsia="zh-CN" w:bidi="ar-SA"/>
    </w:rPr>
  </w:style>
  <w:style w:type="character" w:customStyle="1" w:styleId="3934">
    <w:name w:val="签名 Char"/>
    <w:semiHidden/>
    <w:uiPriority w:val="99"/>
    <w:rPr>
      <w:kern w:val="2"/>
      <w:sz w:val="21"/>
      <w:szCs w:val="22"/>
    </w:rPr>
  </w:style>
  <w:style w:type="character" w:customStyle="1" w:styleId="3935">
    <w:name w:val="Char Char33"/>
    <w:uiPriority w:val="0"/>
    <w:rPr>
      <w:rFonts w:ascii="宋体" w:hAnsi="宋体"/>
      <w:kern w:val="2"/>
      <w:sz w:val="24"/>
      <w:szCs w:val="28"/>
    </w:rPr>
  </w:style>
  <w:style w:type="character" w:customStyle="1" w:styleId="3936">
    <w:name w:val="正文文本2"/>
    <w:uiPriority w:val="0"/>
    <w:rPr>
      <w:rFonts w:eastAsia="宋体"/>
      <w:kern w:val="2"/>
      <w:sz w:val="21"/>
      <w:szCs w:val="24"/>
      <w:lang w:val="en-US" w:eastAsia="zh-CN" w:bidi="ar-SA"/>
    </w:rPr>
  </w:style>
  <w:style w:type="character" w:customStyle="1" w:styleId="3937">
    <w:name w:val="Char Char271"/>
    <w:uiPriority w:val="0"/>
    <w:rPr>
      <w:rFonts w:ascii="Times New Roman" w:hAnsi="Times New Roman" w:eastAsia="宋体" w:cs="Times New Roman"/>
      <w:b/>
      <w:bCs/>
      <w:snapToGrid w:val="0"/>
      <w:kern w:val="44"/>
      <w:sz w:val="44"/>
      <w:szCs w:val="44"/>
      <w:lang w:val="en-US" w:eastAsia="zh-CN" w:bidi="ar-SA"/>
    </w:rPr>
  </w:style>
  <w:style w:type="character" w:customStyle="1" w:styleId="3938">
    <w:name w:val="签名 字符"/>
    <w:uiPriority w:val="0"/>
    <w:rPr>
      <w:kern w:val="2"/>
      <w:sz w:val="21"/>
      <w:szCs w:val="22"/>
    </w:rPr>
  </w:style>
  <w:style w:type="character" w:customStyle="1" w:styleId="3939">
    <w:name w:val="style_index_bt011"/>
    <w:uiPriority w:val="0"/>
    <w:rPr>
      <w:b/>
      <w:bCs/>
      <w:sz w:val="21"/>
      <w:szCs w:val="21"/>
      <w:u w:val="none"/>
    </w:rPr>
  </w:style>
  <w:style w:type="character" w:customStyle="1" w:styleId="3940">
    <w:name w:val="Char Char31"/>
    <w:uiPriority w:val="0"/>
    <w:rPr>
      <w:rFonts w:eastAsia="宋体"/>
      <w:szCs w:val="24"/>
      <w:lang w:bidi="ar-SA"/>
    </w:rPr>
  </w:style>
  <w:style w:type="character" w:customStyle="1" w:styleId="3941">
    <w:name w:val="ca-42"/>
    <w:uiPriority w:val="0"/>
  </w:style>
  <w:style w:type="character" w:customStyle="1" w:styleId="3942">
    <w:name w:val="默认段落字体1"/>
    <w:uiPriority w:val="0"/>
    <w:rPr>
      <w:rFonts w:ascii="Times New Roman" w:eastAsia="宋体"/>
      <w:color w:val="000000"/>
      <w:spacing w:val="0"/>
      <w:w w:val="100"/>
      <w:sz w:val="21"/>
      <w:u w:val="none" w:color="000000"/>
      <w:lang w:val="en-US" w:eastAsia="zh-CN"/>
    </w:rPr>
  </w:style>
  <w:style w:type="character" w:customStyle="1" w:styleId="3943">
    <w:name w:val="Char10 Char Char1"/>
    <w:semiHidden/>
    <w:uiPriority w:val="0"/>
    <w:rPr>
      <w:rFonts w:eastAsia="宋体"/>
      <w:kern w:val="2"/>
      <w:sz w:val="21"/>
      <w:szCs w:val="24"/>
      <w:lang w:val="en-US" w:eastAsia="zh-CN" w:bidi="ar-SA"/>
    </w:rPr>
  </w:style>
  <w:style w:type="character" w:customStyle="1" w:styleId="3944">
    <w:name w:val="副标题 字符"/>
    <w:uiPriority w:val="0"/>
    <w:rPr>
      <w:rFonts w:ascii="等线 Light" w:hAnsi="等线 Light" w:cs="Times New Roman"/>
      <w:b/>
      <w:bCs/>
      <w:kern w:val="28"/>
      <w:sz w:val="32"/>
      <w:szCs w:val="32"/>
    </w:rPr>
  </w:style>
  <w:style w:type="character" w:customStyle="1" w:styleId="3945">
    <w:name w:val="unnamednews1"/>
    <w:uiPriority w:val="0"/>
    <w:rPr>
      <w:rFonts w:hint="default"/>
      <w:color w:val="000000"/>
      <w:sz w:val="28"/>
      <w:szCs w:val="28"/>
      <w:u w:val="none"/>
    </w:rPr>
  </w:style>
  <w:style w:type="character" w:customStyle="1" w:styleId="3946">
    <w:name w:val="a121"/>
    <w:uiPriority w:val="0"/>
    <w:rPr>
      <w:sz w:val="24"/>
      <w:szCs w:val="24"/>
    </w:rPr>
  </w:style>
  <w:style w:type="character" w:customStyle="1" w:styleId="3947">
    <w:name w:val="脚注文本 Char"/>
    <w:semiHidden/>
    <w:uiPriority w:val="99"/>
    <w:rPr>
      <w:kern w:val="2"/>
      <w:sz w:val="18"/>
      <w:szCs w:val="18"/>
    </w:rPr>
  </w:style>
  <w:style w:type="character" w:customStyle="1" w:styleId="3948">
    <w:name w:val="标题4.1 Char"/>
    <w:uiPriority w:val="0"/>
    <w:rPr>
      <w:rFonts w:eastAsia="宋体"/>
      <w:kern w:val="2"/>
      <w:sz w:val="24"/>
      <w:lang w:val="en-US" w:eastAsia="zh-CN" w:bidi="ar-SA"/>
    </w:rPr>
  </w:style>
  <w:style w:type="character" w:customStyle="1" w:styleId="3949">
    <w:name w:val="Char10 Char Char2"/>
    <w:semiHidden/>
    <w:uiPriority w:val="0"/>
    <w:rPr>
      <w:rFonts w:ascii="Times New Roman" w:hAnsi="Times New Roman" w:eastAsia="宋体" w:cs="Times New Roman"/>
      <w:szCs w:val="24"/>
    </w:rPr>
  </w:style>
  <w:style w:type="character" w:customStyle="1" w:styleId="3950">
    <w:name w:val="lh22px"/>
    <w:uiPriority w:val="0"/>
  </w:style>
  <w:style w:type="character" w:customStyle="1" w:styleId="3951">
    <w:name w:val="样式 (西文) 宋体 首行缩进:  2 字符 Char"/>
    <w:link w:val="3952"/>
    <w:uiPriority w:val="0"/>
    <w:rPr>
      <w:rFonts w:ascii="仿宋_GB2312" w:hAnsi="宋体" w:eastAsia="仿宋_GB2312"/>
      <w:color w:val="000000"/>
      <w:sz w:val="28"/>
      <w:szCs w:val="28"/>
    </w:rPr>
  </w:style>
  <w:style w:type="paragraph" w:customStyle="1" w:styleId="3952">
    <w:name w:val="样式 (西文) 宋体 首行缩进:  2 字符"/>
    <w:basedOn w:val="1"/>
    <w:link w:val="3951"/>
    <w:uiPriority w:val="0"/>
    <w:pPr>
      <w:tabs>
        <w:tab w:val="clear" w:pos="480"/>
      </w:tabs>
      <w:spacing w:line="560" w:lineRule="exact"/>
    </w:pPr>
    <w:rPr>
      <w:rFonts w:ascii="仿宋_GB2312" w:hAnsi="宋体" w:eastAsia="仿宋_GB2312"/>
      <w:color w:val="000000"/>
      <w:kern w:val="0"/>
      <w:sz w:val="28"/>
      <w:szCs w:val="28"/>
    </w:rPr>
  </w:style>
  <w:style w:type="character" w:customStyle="1" w:styleId="3953">
    <w:name w:val="正文文本缩进 3 Char"/>
    <w:semiHidden/>
    <w:uiPriority w:val="99"/>
    <w:rPr>
      <w:kern w:val="2"/>
      <w:sz w:val="16"/>
      <w:szCs w:val="16"/>
    </w:rPr>
  </w:style>
  <w:style w:type="character" w:customStyle="1" w:styleId="3954">
    <w:name w:val="font14 color-shblue"/>
    <w:uiPriority w:val="0"/>
  </w:style>
  <w:style w:type="character" w:customStyle="1" w:styleId="3955">
    <w:name w:val="zhengw1"/>
    <w:uiPriority w:val="0"/>
    <w:rPr>
      <w:rFonts w:hint="default"/>
      <w:sz w:val="24"/>
      <w:szCs w:val="24"/>
    </w:rPr>
  </w:style>
  <w:style w:type="character" w:customStyle="1" w:styleId="3956">
    <w:name w:val="Char Char191"/>
    <w:uiPriority w:val="0"/>
    <w:rPr>
      <w:rFonts w:ascii="Arial" w:hAnsi="Arial" w:eastAsia="黑体"/>
      <w:bCs/>
      <w:snapToGrid w:val="0"/>
      <w:kern w:val="2"/>
      <w:sz w:val="24"/>
      <w:szCs w:val="24"/>
      <w:lang w:val="en-US" w:eastAsia="zh-CN" w:bidi="ar-SA"/>
    </w:rPr>
  </w:style>
  <w:style w:type="character" w:customStyle="1" w:styleId="3957">
    <w:name w:val="标题 7 Char Char Char Char Char Char Char Char1"/>
    <w:uiPriority w:val="0"/>
    <w:rPr>
      <w:rFonts w:ascii="楷体_GB2312" w:hAnsi="Arial" w:eastAsia="楷体_GB2312"/>
      <w:b/>
      <w:bCs/>
      <w:snapToGrid/>
      <w:kern w:val="2"/>
      <w:sz w:val="24"/>
      <w:szCs w:val="24"/>
      <w:lang w:val="en-US" w:eastAsia="zh-CN" w:bidi="ar-SA"/>
    </w:rPr>
  </w:style>
  <w:style w:type="character" w:customStyle="1" w:styleId="3958">
    <w:name w:val="宋体小四-1.5行距 Char"/>
    <w:link w:val="3922"/>
    <w:uiPriority w:val="0"/>
    <w:rPr>
      <w:rFonts w:eastAsia="等线"/>
      <w:kern w:val="2"/>
      <w:sz w:val="24"/>
      <w:szCs w:val="24"/>
      <w14:ligatures w14:val="standardContextual"/>
    </w:rPr>
  </w:style>
  <w:style w:type="character" w:customStyle="1" w:styleId="3959">
    <w:name w:val="Char Char221"/>
    <w:uiPriority w:val="0"/>
    <w:rPr>
      <w:rFonts w:eastAsia="黑体"/>
      <w:bCs/>
      <w:kern w:val="2"/>
      <w:sz w:val="28"/>
      <w:szCs w:val="32"/>
      <w:lang w:val="en-US" w:eastAsia="zh-CN" w:bidi="ar-SA"/>
    </w:rPr>
  </w:style>
  <w:style w:type="character" w:customStyle="1" w:styleId="3960">
    <w:name w:val="图编号 Char Char"/>
    <w:link w:val="3961"/>
    <w:uiPriority w:val="0"/>
    <w:rPr>
      <w:rFonts w:ascii="Arial" w:hAnsi="Arial" w:eastAsia="幼圆" w:cs="Arial"/>
      <w:color w:val="000000"/>
      <w:sz w:val="24"/>
      <w:szCs w:val="24"/>
    </w:rPr>
  </w:style>
  <w:style w:type="paragraph" w:customStyle="1" w:styleId="3961">
    <w:name w:val="图编号 Char"/>
    <w:basedOn w:val="23"/>
    <w:next w:val="23"/>
    <w:link w:val="3960"/>
    <w:uiPriority w:val="0"/>
    <w:pPr>
      <w:widowControl w:val="0"/>
      <w:adjustRightInd/>
      <w:spacing w:after="0" w:afterLines="20"/>
      <w:ind w:firstLine="0" w:firstLineChars="0"/>
    </w:pPr>
    <w:rPr>
      <w:rFonts w:eastAsia="幼圆"/>
      <w:kern w:val="0"/>
      <w:szCs w:val="24"/>
    </w:rPr>
  </w:style>
  <w:style w:type="character" w:customStyle="1" w:styleId="3962">
    <w:name w:val="信息标题 Char"/>
    <w:semiHidden/>
    <w:uiPriority w:val="99"/>
    <w:rPr>
      <w:rFonts w:ascii="Calibri Light" w:hAnsi="Calibri Light" w:eastAsia="宋体" w:cs="Times New Roman"/>
      <w:kern w:val="2"/>
      <w:sz w:val="24"/>
      <w:szCs w:val="24"/>
      <w:shd w:val="pct20" w:color="auto" w:fill="auto"/>
    </w:rPr>
  </w:style>
  <w:style w:type="character" w:customStyle="1" w:styleId="3963">
    <w:name w:val="正文小4缩进 Char1"/>
    <w:qFormat/>
    <w:uiPriority w:val="0"/>
    <w:rPr>
      <w:rFonts w:eastAsia="宋体"/>
      <w:kern w:val="2"/>
      <w:sz w:val="24"/>
      <w:szCs w:val="24"/>
      <w:lang w:val="en-US" w:eastAsia="zh-CN" w:bidi="ar-SA"/>
    </w:rPr>
  </w:style>
  <w:style w:type="character" w:customStyle="1" w:styleId="3964">
    <w:name w:val="Char Char53"/>
    <w:uiPriority w:val="0"/>
    <w:rPr>
      <w:sz w:val="24"/>
    </w:rPr>
  </w:style>
  <w:style w:type="character" w:customStyle="1" w:styleId="3965">
    <w:name w:val="题目 Char Char"/>
    <w:uiPriority w:val="0"/>
    <w:rPr>
      <w:rFonts w:ascii="Arial" w:hAnsi="Arial" w:cs="Arial"/>
      <w:b/>
      <w:bCs/>
      <w:kern w:val="28"/>
      <w:sz w:val="32"/>
      <w:szCs w:val="32"/>
    </w:rPr>
  </w:style>
  <w:style w:type="character" w:customStyle="1" w:styleId="3966">
    <w:name w:val="表标题1 Char"/>
    <w:link w:val="1367"/>
    <w:uiPriority w:val="0"/>
    <w:rPr>
      <w:b/>
      <w:spacing w:val="2"/>
      <w:sz w:val="28"/>
    </w:rPr>
  </w:style>
  <w:style w:type="character" w:customStyle="1" w:styleId="3967">
    <w:name w:val="标题1.1.1.1.1.1 Char1"/>
    <w:uiPriority w:val="0"/>
    <w:rPr>
      <w:rFonts w:eastAsia="黑体"/>
      <w:bCs/>
      <w:kern w:val="2"/>
      <w:sz w:val="24"/>
      <w:szCs w:val="24"/>
      <w:lang w:val="en-US" w:eastAsia="zh-CN" w:bidi="ar-SA"/>
    </w:rPr>
  </w:style>
  <w:style w:type="character" w:customStyle="1" w:styleId="3968">
    <w:name w:val="Char Char41"/>
    <w:uiPriority w:val="0"/>
    <w:rPr>
      <w:kern w:val="2"/>
      <w:sz w:val="21"/>
      <w:szCs w:val="24"/>
    </w:rPr>
  </w:style>
  <w:style w:type="character" w:customStyle="1" w:styleId="3969">
    <w:name w:val="标题 33 Char Char"/>
    <w:uiPriority w:val="0"/>
    <w:rPr>
      <w:rFonts w:ascii="楷体_GB2312" w:hAnsi="Garamond" w:eastAsia="楷体_GB2312"/>
      <w:b/>
      <w:kern w:val="2"/>
      <w:sz w:val="28"/>
      <w:szCs w:val="24"/>
      <w:lang w:val="en-US" w:eastAsia="zh-CN" w:bidi="ar-SA"/>
    </w:rPr>
  </w:style>
  <w:style w:type="character" w:customStyle="1" w:styleId="3970">
    <w:name w:val="页眉2 Char Char1"/>
    <w:uiPriority w:val="0"/>
    <w:rPr>
      <w:rFonts w:eastAsia="宋体"/>
      <w:kern w:val="2"/>
      <w:sz w:val="18"/>
      <w:szCs w:val="18"/>
      <w:lang w:val="en-US" w:eastAsia="zh-CN" w:bidi="ar-SA"/>
    </w:rPr>
  </w:style>
  <w:style w:type="character" w:customStyle="1" w:styleId="3971">
    <w:name w:val="22222222 Char"/>
    <w:link w:val="3972"/>
    <w:uiPriority w:val="0"/>
    <w:rPr>
      <w:rFonts w:eastAsia="黑体"/>
      <w:sz w:val="24"/>
      <w:szCs w:val="24"/>
    </w:rPr>
  </w:style>
  <w:style w:type="paragraph" w:customStyle="1" w:styleId="3972">
    <w:name w:val="22222222"/>
    <w:basedOn w:val="1"/>
    <w:link w:val="3971"/>
    <w:uiPriority w:val="0"/>
    <w:pPr>
      <w:tabs>
        <w:tab w:val="clear" w:pos="480"/>
      </w:tabs>
      <w:spacing w:line="460" w:lineRule="exact"/>
      <w:ind w:firstLine="0" w:firstLineChars="0"/>
      <w:jc w:val="center"/>
      <w:outlineLvl w:val="1"/>
    </w:pPr>
    <w:rPr>
      <w:rFonts w:eastAsia="黑体"/>
      <w:kern w:val="0"/>
    </w:rPr>
  </w:style>
  <w:style w:type="character" w:customStyle="1" w:styleId="3973">
    <w:name w:val="目标题 1) Char Char1"/>
    <w:uiPriority w:val="0"/>
    <w:rPr>
      <w:rFonts w:ascii="Arial" w:hAnsi="Arial" w:eastAsia="黑体"/>
      <w:snapToGrid/>
      <w:sz w:val="24"/>
      <w:lang w:val="en-US" w:eastAsia="zh-CN" w:bidi="ar-SA"/>
    </w:rPr>
  </w:style>
  <w:style w:type="character" w:customStyle="1" w:styleId="3974">
    <w:name w:val="普通文字 Char Char Char Char Char Char Char Char Char Char Char Char Char Char Char Char Char Char Char Char Char Char Char Char1 Char Char Char"/>
    <w:uiPriority w:val="0"/>
    <w:rPr>
      <w:rFonts w:ascii="宋体" w:hAnsi="Courier New" w:eastAsia="宋体"/>
      <w:kern w:val="2"/>
      <w:sz w:val="21"/>
      <w:lang w:val="en-US" w:eastAsia="zh-CN" w:bidi="ar-SA"/>
    </w:rPr>
  </w:style>
  <w:style w:type="character" w:customStyle="1" w:styleId="3975">
    <w:name w:val="catalog"/>
    <w:uiPriority w:val="0"/>
  </w:style>
  <w:style w:type="character" w:customStyle="1" w:styleId="3976">
    <w:name w:val="标题 字符"/>
    <w:uiPriority w:val="0"/>
    <w:rPr>
      <w:rFonts w:ascii="等线 Light" w:hAnsi="等线 Light" w:cs="Times New Roman"/>
      <w:b/>
      <w:bCs/>
      <w:kern w:val="2"/>
      <w:sz w:val="32"/>
      <w:szCs w:val="32"/>
    </w:rPr>
  </w:style>
  <w:style w:type="character" w:customStyle="1" w:styleId="3977">
    <w:name w:val="fontcontent1"/>
    <w:uiPriority w:val="0"/>
    <w:rPr>
      <w:color w:val="FFFFFF"/>
      <w:sz w:val="22"/>
    </w:rPr>
  </w:style>
  <w:style w:type="character" w:customStyle="1" w:styleId="3978">
    <w:name w:val="正文文本1 Char1 Char Char Char Char Char Char Char Char"/>
    <w:uiPriority w:val="0"/>
    <w:rPr>
      <w:rFonts w:eastAsia="宋体"/>
      <w:kern w:val="2"/>
      <w:sz w:val="21"/>
      <w:szCs w:val="24"/>
      <w:lang w:val="en-US" w:eastAsia="zh-CN" w:bidi="ar-SA"/>
    </w:rPr>
  </w:style>
  <w:style w:type="character" w:customStyle="1" w:styleId="3979">
    <w:name w:val="introtxt1"/>
    <w:uiPriority w:val="0"/>
    <w:rPr>
      <w:sz w:val="21"/>
    </w:rPr>
  </w:style>
  <w:style w:type="character" w:customStyle="1" w:styleId="3980">
    <w:name w:val="样式 黑色"/>
    <w:uiPriority w:val="0"/>
    <w:rPr>
      <w:rFonts w:eastAsia="宋体"/>
      <w:color w:val="000000"/>
      <w:sz w:val="24"/>
      <w:szCs w:val="24"/>
      <w:u w:val="none"/>
    </w:rPr>
  </w:style>
  <w:style w:type="character" w:customStyle="1" w:styleId="3981">
    <w:name w:val="标题 3 字符1"/>
    <w:uiPriority w:val="9"/>
    <w:rPr>
      <w:b/>
      <w:bCs/>
      <w:sz w:val="28"/>
      <w:szCs w:val="32"/>
    </w:rPr>
  </w:style>
  <w:style w:type="character" w:customStyle="1" w:styleId="3982">
    <w:name w:val="ef21"/>
    <w:uiPriority w:val="0"/>
    <w:rPr>
      <w:rFonts w:hint="default" w:ascii="Verdana" w:hAnsi="Verdana"/>
      <w:sz w:val="18"/>
    </w:rPr>
  </w:style>
  <w:style w:type="character" w:customStyle="1" w:styleId="3983">
    <w:name w:val="Char Char51"/>
    <w:uiPriority w:val="0"/>
    <w:rPr>
      <w:sz w:val="24"/>
    </w:rPr>
  </w:style>
  <w:style w:type="character" w:customStyle="1" w:styleId="3984">
    <w:name w:val="viewinfo"/>
    <w:uiPriority w:val="0"/>
    <w:rPr>
      <w:rFonts w:hint="default"/>
      <w:sz w:val="18"/>
      <w:szCs w:val="18"/>
      <w:u w:val="none"/>
    </w:rPr>
  </w:style>
  <w:style w:type="character" w:customStyle="1" w:styleId="3985">
    <w:name w:val="ef1"/>
    <w:uiPriority w:val="0"/>
    <w:rPr>
      <w:rFonts w:hint="default" w:ascii="Arial" w:hAnsi="Arial"/>
      <w:sz w:val="24"/>
      <w:u w:val="none"/>
    </w:rPr>
  </w:style>
  <w:style w:type="character" w:customStyle="1" w:styleId="3986">
    <w:name w:val="文档结构图 字符2"/>
    <w:uiPriority w:val="99"/>
    <w:rPr>
      <w:rFonts w:ascii="宋体" w:hAnsi="Times New Roman"/>
      <w:sz w:val="18"/>
      <w:szCs w:val="18"/>
    </w:rPr>
  </w:style>
  <w:style w:type="character" w:customStyle="1" w:styleId="3987">
    <w:name w:val="11p"/>
    <w:uiPriority w:val="0"/>
  </w:style>
  <w:style w:type="character" w:customStyle="1" w:styleId="3988">
    <w:name w:val="tabletext1"/>
    <w:uiPriority w:val="0"/>
    <w:rPr>
      <w:sz w:val="21"/>
    </w:rPr>
  </w:style>
  <w:style w:type="character" w:customStyle="1" w:styleId="3989">
    <w:name w:val="标题 2 字符1"/>
    <w:qFormat/>
    <w:uiPriority w:val="0"/>
    <w:rPr>
      <w:rFonts w:cs="Times New Roman"/>
      <w:b/>
      <w:bCs/>
      <w:sz w:val="30"/>
      <w:szCs w:val="32"/>
    </w:rPr>
  </w:style>
  <w:style w:type="character" w:customStyle="1" w:styleId="3990">
    <w:name w:val="XCHG论文正文 Char Char"/>
    <w:uiPriority w:val="0"/>
    <w:rPr>
      <w:color w:val="000000"/>
      <w:kern w:val="2"/>
      <w:sz w:val="24"/>
      <w:szCs w:val="24"/>
    </w:rPr>
  </w:style>
  <w:style w:type="character" w:customStyle="1" w:styleId="3991">
    <w:name w:val="标题 4 字符1"/>
    <w:uiPriority w:val="0"/>
    <w:rPr>
      <w:rFonts w:cs="Times New Roman"/>
      <w:b/>
      <w:bCs/>
      <w:sz w:val="24"/>
      <w:szCs w:val="28"/>
    </w:rPr>
  </w:style>
  <w:style w:type="character" w:customStyle="1" w:styleId="3992">
    <w:name w:val="文章 Char"/>
    <w:link w:val="1134"/>
    <w:uiPriority w:val="0"/>
    <w:rPr>
      <w:rFonts w:ascii="宋体" w:hAnsi="宋体" w:cs="宋体"/>
      <w:sz w:val="24"/>
      <w:szCs w:val="24"/>
    </w:rPr>
  </w:style>
  <w:style w:type="character" w:customStyle="1" w:styleId="3993">
    <w:name w:val="正文文本1 Char1 Char Char Char Char Char Char Char Char Char"/>
    <w:uiPriority w:val="0"/>
    <w:rPr>
      <w:rFonts w:eastAsia="宋体"/>
      <w:kern w:val="2"/>
      <w:sz w:val="21"/>
      <w:szCs w:val="24"/>
      <w:lang w:val="en-US" w:eastAsia="zh-CN" w:bidi="ar-SA"/>
    </w:rPr>
  </w:style>
  <w:style w:type="character" w:customStyle="1" w:styleId="3994">
    <w:name w:val="页眉 字符1"/>
    <w:qFormat/>
    <w:uiPriority w:val="0"/>
    <w:rPr>
      <w:sz w:val="18"/>
      <w:szCs w:val="18"/>
    </w:rPr>
  </w:style>
  <w:style w:type="character" w:customStyle="1" w:styleId="3995">
    <w:name w:val="XCHG论文正文 Char Char Char Char Char Char"/>
    <w:uiPriority w:val="0"/>
    <w:rPr>
      <w:rFonts w:eastAsia="宋体"/>
      <w:color w:val="000000"/>
      <w:kern w:val="2"/>
      <w:sz w:val="24"/>
      <w:szCs w:val="24"/>
      <w:lang w:val="en-US" w:eastAsia="zh-CN" w:bidi="ar-SA"/>
    </w:rPr>
  </w:style>
  <w:style w:type="character" w:customStyle="1" w:styleId="3996">
    <w:name w:val="页脚 字符1"/>
    <w:uiPriority w:val="99"/>
    <w:rPr>
      <w:sz w:val="18"/>
      <w:szCs w:val="18"/>
    </w:rPr>
  </w:style>
  <w:style w:type="character" w:customStyle="1" w:styleId="3997">
    <w:name w:val="自定义正文 Char"/>
    <w:link w:val="3998"/>
    <w:uiPriority w:val="0"/>
    <w:rPr>
      <w:rFonts w:ascii="宋体" w:hAnsi="RomanD" w:eastAsia="Times New Roman"/>
      <w:color w:val="000000"/>
      <w:sz w:val="24"/>
      <w:szCs w:val="24"/>
    </w:rPr>
  </w:style>
  <w:style w:type="paragraph" w:customStyle="1" w:styleId="3998">
    <w:name w:val="自定义正文"/>
    <w:link w:val="3997"/>
    <w:uiPriority w:val="0"/>
    <w:pPr>
      <w:tabs>
        <w:tab w:val="left" w:pos="0"/>
      </w:tabs>
      <w:spacing w:afterLines="50" w:line="360" w:lineRule="auto"/>
      <w:ind w:firstLine="480" w:firstLineChars="200"/>
    </w:pPr>
    <w:rPr>
      <w:rFonts w:ascii="宋体" w:hAnsi="RomanD" w:eastAsia="Times New Roman" w:cs="Times New Roman"/>
      <w:color w:val="000000"/>
      <w:sz w:val="24"/>
      <w:szCs w:val="24"/>
      <w:lang w:val="en-US" w:eastAsia="zh-CN" w:bidi="ar-SA"/>
    </w:rPr>
  </w:style>
  <w:style w:type="character" w:customStyle="1" w:styleId="3999">
    <w:name w:val="正文文字缩进 2 Char Char Char"/>
    <w:uiPriority w:val="0"/>
    <w:rPr>
      <w:rFonts w:ascii="宋体" w:eastAsia="宋体"/>
      <w:kern w:val="2"/>
      <w:sz w:val="24"/>
      <w:lang w:val="en-US" w:eastAsia="zh-CN" w:bidi="ar-SA"/>
    </w:rPr>
  </w:style>
  <w:style w:type="character" w:customStyle="1" w:styleId="4000">
    <w:name w:val="标题 5 字符1"/>
    <w:uiPriority w:val="0"/>
    <w:rPr>
      <w:rFonts w:ascii="Times New Roman" w:hAnsi="Times New Roman" w:eastAsia="宋体" w:cs="Times New Roman"/>
      <w:b/>
      <w:bCs/>
      <w:sz w:val="28"/>
      <w:szCs w:val="28"/>
      <w14:ligatures w14:val="none"/>
    </w:rPr>
  </w:style>
  <w:style w:type="character" w:customStyle="1" w:styleId="4001">
    <w:name w:val="标题-小节 Char"/>
    <w:link w:val="4002"/>
    <w:uiPriority w:val="0"/>
    <w:rPr>
      <w:rFonts w:ascii="Arial" w:hAnsi="Arial" w:eastAsia="黑体"/>
      <w:b/>
      <w:bCs/>
      <w:color w:val="000000"/>
      <w:sz w:val="24"/>
      <w:szCs w:val="24"/>
    </w:rPr>
  </w:style>
  <w:style w:type="paragraph" w:customStyle="1" w:styleId="4002">
    <w:name w:val="标题-小节"/>
    <w:next w:val="1"/>
    <w:link w:val="4001"/>
    <w:qFormat/>
    <w:uiPriority w:val="0"/>
    <w:pPr>
      <w:spacing w:line="360" w:lineRule="auto"/>
      <w:ind w:firstLine="200" w:firstLineChars="200"/>
      <w:outlineLvl w:val="4"/>
    </w:pPr>
    <w:rPr>
      <w:rFonts w:ascii="Arial" w:hAnsi="Arial" w:eastAsia="黑体" w:cs="Times New Roman"/>
      <w:b/>
      <w:bCs/>
      <w:color w:val="000000"/>
      <w:sz w:val="24"/>
      <w:szCs w:val="24"/>
      <w:lang w:val="en-US" w:eastAsia="zh-CN" w:bidi="ar-SA"/>
    </w:rPr>
  </w:style>
  <w:style w:type="character" w:customStyle="1" w:styleId="4003">
    <w:name w:val="标题 6 字符1"/>
    <w:qFormat/>
    <w:uiPriority w:val="0"/>
    <w:rPr>
      <w:rFonts w:ascii="Cambria" w:hAnsi="Cambria" w:eastAsia="宋体" w:cs="Times New Roman"/>
      <w:b/>
      <w:bCs/>
      <w:kern w:val="0"/>
      <w:sz w:val="24"/>
      <w:szCs w:val="24"/>
      <w14:ligatures w14:val="none"/>
    </w:rPr>
  </w:style>
  <w:style w:type="character" w:customStyle="1" w:styleId="4004">
    <w:name w:val="表号 Char"/>
    <w:uiPriority w:val="0"/>
    <w:rPr>
      <w:rFonts w:eastAsia="宋体"/>
      <w:b/>
      <w:kern w:val="32"/>
      <w:sz w:val="24"/>
      <w:lang w:val="en-US" w:eastAsia="zh-CN" w:bidi="ar-SA"/>
    </w:rPr>
  </w:style>
  <w:style w:type="character" w:customStyle="1" w:styleId="4005">
    <w:name w:val="五号居中 Char"/>
    <w:link w:val="4006"/>
    <w:uiPriority w:val="0"/>
    <w:rPr>
      <w:color w:val="000000"/>
      <w:szCs w:val="24"/>
    </w:rPr>
  </w:style>
  <w:style w:type="paragraph" w:customStyle="1" w:styleId="4006">
    <w:name w:val="五号居中"/>
    <w:basedOn w:val="1"/>
    <w:link w:val="4005"/>
    <w:uiPriority w:val="0"/>
    <w:pPr>
      <w:tabs>
        <w:tab w:val="clear" w:pos="480"/>
      </w:tabs>
      <w:spacing w:beforeLines="50" w:afterLines="50"/>
      <w:ind w:firstLine="0" w:firstLineChars="0"/>
      <w:jc w:val="center"/>
    </w:pPr>
    <w:rPr>
      <w:color w:val="000000"/>
      <w:kern w:val="0"/>
      <w:sz w:val="20"/>
    </w:rPr>
  </w:style>
  <w:style w:type="character" w:customStyle="1" w:styleId="4007">
    <w:name w:val="标题 7 字符1"/>
    <w:uiPriority w:val="0"/>
    <w:rPr>
      <w:rFonts w:ascii="Times New Roman" w:hAnsi="Times New Roman" w:eastAsia="宋体" w:cs="Times New Roman"/>
      <w:b/>
      <w:bCs/>
      <w:sz w:val="24"/>
      <w:szCs w:val="24"/>
      <w14:ligatures w14:val="none"/>
    </w:rPr>
  </w:style>
  <w:style w:type="character" w:customStyle="1" w:styleId="4008">
    <w:name w:val="f91"/>
    <w:uiPriority w:val="0"/>
    <w:rPr>
      <w:color w:val="747474"/>
      <w:spacing w:val="0"/>
      <w:sz w:val="18"/>
    </w:rPr>
  </w:style>
  <w:style w:type="character" w:customStyle="1" w:styleId="4009">
    <w:name w:val="123YJ Char Char"/>
    <w:uiPriority w:val="0"/>
    <w:rPr>
      <w:rFonts w:eastAsia="宋体"/>
      <w:sz w:val="18"/>
      <w:lang w:val="en-US" w:eastAsia="zh-CN" w:bidi="ar-SA"/>
    </w:rPr>
  </w:style>
  <w:style w:type="character" w:customStyle="1" w:styleId="4010">
    <w:name w:val="标题 8 字符1"/>
    <w:uiPriority w:val="0"/>
    <w:rPr>
      <w:rFonts w:ascii="Cambria" w:hAnsi="Cambria" w:eastAsia="宋体" w:cs="Times New Roman"/>
      <w:kern w:val="0"/>
      <w:sz w:val="24"/>
      <w:szCs w:val="24"/>
      <w14:ligatures w14:val="none"/>
    </w:rPr>
  </w:style>
  <w:style w:type="character" w:customStyle="1" w:styleId="4011">
    <w:name w:val="正文化 Char"/>
    <w:link w:val="4012"/>
    <w:uiPriority w:val="0"/>
    <w:rPr>
      <w:rFonts w:ascii="新宋体" w:hAnsi="新宋体"/>
      <w:color w:val="000000"/>
      <w:spacing w:val="6"/>
      <w:kern w:val="24"/>
      <w:sz w:val="24"/>
      <w:szCs w:val="24"/>
    </w:rPr>
  </w:style>
  <w:style w:type="paragraph" w:customStyle="1" w:styleId="4012">
    <w:name w:val="正文化"/>
    <w:basedOn w:val="1"/>
    <w:link w:val="4011"/>
    <w:uiPriority w:val="0"/>
    <w:pPr>
      <w:tabs>
        <w:tab w:val="left" w:pos="146"/>
        <w:tab w:val="clear" w:pos="480"/>
      </w:tabs>
      <w:adjustRightInd w:val="0"/>
      <w:snapToGrid w:val="0"/>
      <w:spacing w:afterLines="20" w:line="400" w:lineRule="exact"/>
      <w:ind w:firstLine="504"/>
    </w:pPr>
    <w:rPr>
      <w:rFonts w:ascii="新宋体" w:hAnsi="新宋体"/>
      <w:color w:val="000000"/>
      <w:spacing w:val="6"/>
      <w:kern w:val="24"/>
    </w:rPr>
  </w:style>
  <w:style w:type="character" w:customStyle="1" w:styleId="4013">
    <w:name w:val="标题 9 字符1"/>
    <w:uiPriority w:val="0"/>
    <w:rPr>
      <w:rFonts w:ascii="Cambria" w:hAnsi="Cambria" w:eastAsia="宋体" w:cs="Times New Roman"/>
      <w:kern w:val="0"/>
      <w:sz w:val="20"/>
      <w:szCs w:val="20"/>
      <w14:ligatures w14:val="none"/>
    </w:rPr>
  </w:style>
  <w:style w:type="character" w:customStyle="1" w:styleId="4014">
    <w:name w:val="标题51"/>
    <w:uiPriority w:val="0"/>
  </w:style>
  <w:style w:type="character" w:customStyle="1" w:styleId="4015">
    <w:name w:val="批注文字 字符2"/>
    <w:uiPriority w:val="99"/>
    <w:rPr>
      <w:szCs w:val="24"/>
    </w:rPr>
  </w:style>
  <w:style w:type="character" w:customStyle="1" w:styleId="4016">
    <w:name w:val="Char Char81"/>
    <w:uiPriority w:val="0"/>
    <w:rPr>
      <w:rFonts w:ascii="Arial" w:hAnsi="Arial"/>
      <w:kern w:val="2"/>
      <w:sz w:val="24"/>
      <w:szCs w:val="24"/>
    </w:rPr>
  </w:style>
  <w:style w:type="character" w:customStyle="1" w:styleId="4017">
    <w:name w:val="Char20"/>
    <w:uiPriority w:val="0"/>
    <w:rPr>
      <w:rFonts w:ascii="Arial" w:hAnsi="Arial"/>
      <w:color w:val="800080"/>
      <w:sz w:val="28"/>
      <w:lang w:val="en-US" w:eastAsia="zh-CN" w:bidi="ar-SA"/>
    </w:rPr>
  </w:style>
  <w:style w:type="character" w:customStyle="1" w:styleId="4018">
    <w:name w:val="Char24"/>
    <w:uiPriority w:val="0"/>
    <w:rPr>
      <w:rFonts w:ascii="Times New Roman" w:hAnsi="Times New Roman" w:eastAsia="宋体" w:cs="Times New Roman"/>
      <w:b/>
      <w:sz w:val="28"/>
      <w:szCs w:val="20"/>
    </w:rPr>
  </w:style>
  <w:style w:type="character" w:customStyle="1" w:styleId="4019">
    <w:name w:val="纯文本 字符1"/>
    <w:qFormat/>
    <w:uiPriority w:val="0"/>
    <w:rPr>
      <w:rFonts w:ascii="宋体" w:hAnsi="宋体"/>
      <w:color w:val="000000"/>
      <w:kern w:val="21"/>
      <w:sz w:val="24"/>
      <w:szCs w:val="21"/>
      <w:lang w:val="de-DE"/>
    </w:rPr>
  </w:style>
  <w:style w:type="character" w:customStyle="1" w:styleId="4020">
    <w:name w:val="表格 Char Char Char Char"/>
    <w:uiPriority w:val="0"/>
    <w:rPr>
      <w:rFonts w:ascii="宋体" w:hAnsi="宋体" w:eastAsia="宋体"/>
      <w:kern w:val="2"/>
      <w:sz w:val="21"/>
      <w:szCs w:val="21"/>
      <w:lang w:val="en-US" w:eastAsia="zh-CN" w:bidi="ar-SA"/>
    </w:rPr>
  </w:style>
  <w:style w:type="character" w:customStyle="1" w:styleId="4021">
    <w:name w:val="样式 标题 3河石管道小标题小节标题H3H31H32H33u3标题 3 Char Char Char标题 3... Char"/>
    <w:link w:val="4022"/>
    <w:uiPriority w:val="0"/>
    <w:rPr>
      <w:rFonts w:eastAsia="黑体"/>
      <w:sz w:val="24"/>
    </w:rPr>
  </w:style>
  <w:style w:type="paragraph" w:customStyle="1" w:styleId="4022">
    <w:name w:val="样式 标题 3河石管道小标题小节标题H3H31H32H33u3标题 3 Char Char Char标题 3..."/>
    <w:basedOn w:val="5"/>
    <w:link w:val="4021"/>
    <w:uiPriority w:val="0"/>
    <w:pPr>
      <w:keepNext w:val="0"/>
      <w:keepLines w:val="0"/>
      <w:tabs>
        <w:tab w:val="clear" w:pos="480"/>
        <w:tab w:val="clear" w:pos="840"/>
      </w:tabs>
      <w:adjustRightInd w:val="0"/>
      <w:snapToGrid w:val="0"/>
      <w:spacing w:before="60" w:after="60" w:line="460" w:lineRule="exact"/>
      <w:outlineLvl w:val="9"/>
    </w:pPr>
    <w:rPr>
      <w:rFonts w:ascii="Times New Roman" w:eastAsia="黑体"/>
      <w:b w:val="0"/>
      <w:bCs w:val="0"/>
      <w:kern w:val="0"/>
      <w:sz w:val="24"/>
      <w:szCs w:val="20"/>
      <w:lang w:val="en-US"/>
    </w:rPr>
  </w:style>
  <w:style w:type="character" w:customStyle="1" w:styleId="4023">
    <w:name w:val="Char Char61"/>
    <w:uiPriority w:val="0"/>
    <w:rPr>
      <w:rFonts w:eastAsia="宋体"/>
      <w:kern w:val="2"/>
      <w:sz w:val="18"/>
      <w:szCs w:val="18"/>
      <w:lang w:val="en-US" w:eastAsia="zh-CN" w:bidi="ar-SA"/>
    </w:rPr>
  </w:style>
  <w:style w:type="character" w:customStyle="1" w:styleId="4024">
    <w:name w:val="脚注文本 字符2"/>
    <w:uiPriority w:val="0"/>
    <w:rPr>
      <w:rFonts w:ascii="Times New Roman" w:hAnsi="Times New Roman"/>
      <w:sz w:val="18"/>
      <w:szCs w:val="18"/>
    </w:rPr>
  </w:style>
  <w:style w:type="character" w:customStyle="1" w:styleId="4025">
    <w:name w:val="图片文字 Char Char Char3 Char Char Char Char1 Char"/>
    <w:uiPriority w:val="0"/>
    <w:rPr>
      <w:rFonts w:ascii="黑体" w:hAnsi="宋体" w:eastAsia="黑体" w:cs="Arial"/>
      <w:b/>
      <w:bCs/>
      <w:color w:val="FF0000"/>
      <w:kern w:val="2"/>
      <w:sz w:val="24"/>
      <w:szCs w:val="24"/>
      <w:lang w:val="en-US" w:eastAsia="zh-CN" w:bidi="ar-SA"/>
    </w:rPr>
  </w:style>
  <w:style w:type="character" w:customStyle="1" w:styleId="4026">
    <w:name w:val="XCHG论文正文 Char Char Char Char Char"/>
    <w:uiPriority w:val="0"/>
    <w:rPr>
      <w:rFonts w:eastAsia="宋体"/>
      <w:color w:val="000000"/>
      <w:kern w:val="2"/>
      <w:sz w:val="24"/>
      <w:szCs w:val="24"/>
      <w:lang w:val="en-US" w:eastAsia="zh-CN" w:bidi="ar-SA"/>
    </w:rPr>
  </w:style>
  <w:style w:type="character" w:customStyle="1" w:styleId="4027">
    <w:name w:val="s4 Char Char1"/>
    <w:uiPriority w:val="0"/>
    <w:rPr>
      <w:rFonts w:eastAsia="宋体"/>
      <w:kern w:val="2"/>
      <w:sz w:val="24"/>
      <w:lang w:val="en-US" w:eastAsia="zh-CN" w:bidi="ar-SA"/>
    </w:rPr>
  </w:style>
  <w:style w:type="character" w:customStyle="1" w:styleId="4028">
    <w:name w:val="表格文字 Char Char"/>
    <w:uiPriority w:val="0"/>
    <w:rPr>
      <w:rFonts w:ascii="Arial" w:hAnsi="Arial" w:eastAsia="宋体" w:cs="Arial"/>
      <w:kern w:val="2"/>
      <w:sz w:val="21"/>
      <w:szCs w:val="21"/>
      <w:lang w:val="en-US" w:eastAsia="zh-CN" w:bidi="ar-SA"/>
    </w:rPr>
  </w:style>
  <w:style w:type="character" w:customStyle="1" w:styleId="4029">
    <w:name w:val="XCHG论文正文 Char Char Char Char Char Char Char Char"/>
    <w:uiPriority w:val="0"/>
    <w:rPr>
      <w:rFonts w:ascii="Times New Roman" w:hAnsi="Times New Roman" w:eastAsia="宋体" w:cs="Times New Roman"/>
      <w:color w:val="000000"/>
      <w:sz w:val="24"/>
      <w:szCs w:val="24"/>
    </w:rPr>
  </w:style>
  <w:style w:type="character" w:customStyle="1" w:styleId="4030">
    <w:name w:val="图片文字 Char Char1 Char3 Char Char2 Char Char Char Char"/>
    <w:uiPriority w:val="0"/>
    <w:rPr>
      <w:rFonts w:ascii="黑体" w:hAnsi="宋体" w:eastAsia="黑体" w:cs="Arial"/>
      <w:b/>
      <w:bCs/>
      <w:color w:val="FF0000"/>
      <w:kern w:val="2"/>
      <w:sz w:val="24"/>
      <w:szCs w:val="24"/>
      <w:lang w:val="en-US" w:eastAsia="zh-CN" w:bidi="ar-SA"/>
    </w:rPr>
  </w:style>
  <w:style w:type="character" w:customStyle="1" w:styleId="4031">
    <w:name w:val="小四正文 Char"/>
    <w:link w:val="4032"/>
    <w:uiPriority w:val="0"/>
    <w:rPr>
      <w:rFonts w:ascii="宋体" w:hAnsi="宋体"/>
      <w:color w:val="000000"/>
      <w:sz w:val="24"/>
    </w:rPr>
  </w:style>
  <w:style w:type="paragraph" w:customStyle="1" w:styleId="4032">
    <w:name w:val="小四正文"/>
    <w:link w:val="4031"/>
    <w:uiPriority w:val="0"/>
    <w:pPr>
      <w:spacing w:line="440" w:lineRule="exact"/>
      <w:ind w:firstLine="480" w:firstLineChars="200"/>
      <w:jc w:val="both"/>
    </w:pPr>
    <w:rPr>
      <w:rFonts w:ascii="宋体" w:hAnsi="宋体" w:eastAsia="宋体" w:cs="Times New Roman"/>
      <w:color w:val="000000"/>
      <w:sz w:val="24"/>
      <w:lang w:val="en-US" w:eastAsia="zh-CN" w:bidi="ar-SA"/>
    </w:rPr>
  </w:style>
  <w:style w:type="character" w:customStyle="1" w:styleId="4033">
    <w:name w:val="插图表 Char Char Char Char Char Char"/>
    <w:uiPriority w:val="0"/>
    <w:rPr>
      <w:rFonts w:ascii="Arial" w:hAnsi="Arial" w:eastAsia="宋体" w:cs="Arial"/>
      <w:b/>
      <w:kern w:val="2"/>
      <w:sz w:val="24"/>
      <w:lang w:val="en-US" w:eastAsia="zh-CN" w:bidi="ar-SA"/>
    </w:rPr>
  </w:style>
  <w:style w:type="character" w:customStyle="1" w:styleId="4034">
    <w:name w:val="dc1"/>
    <w:uiPriority w:val="0"/>
    <w:rPr>
      <w:rFonts w:hint="eastAsia" w:ascii="宋体" w:hAnsi="宋体" w:eastAsia="宋体"/>
      <w:sz w:val="18"/>
      <w:szCs w:val="18"/>
    </w:rPr>
  </w:style>
  <w:style w:type="character" w:customStyle="1" w:styleId="4035">
    <w:name w:val="正文缩进 字符1"/>
    <w:uiPriority w:val="0"/>
    <w:rPr>
      <w:rFonts w:ascii="Times New Roman" w:hAnsi="Times New Roman"/>
      <w:sz w:val="24"/>
      <w:szCs w:val="21"/>
    </w:rPr>
  </w:style>
  <w:style w:type="character" w:customStyle="1" w:styleId="4036">
    <w:name w:val="图片文字 Char Char Char3 Char Char Char Char1"/>
    <w:qFormat/>
    <w:uiPriority w:val="0"/>
    <w:rPr>
      <w:rFonts w:ascii="Arial" w:hAnsi="Arial" w:eastAsia="黑体" w:cs="Arial"/>
      <w:b/>
      <w:color w:val="FF0000"/>
      <w:kern w:val="28"/>
      <w:sz w:val="24"/>
      <w:szCs w:val="24"/>
      <w:lang w:val="en-US" w:eastAsia="zh-CN" w:bidi="ar-SA"/>
    </w:rPr>
  </w:style>
  <w:style w:type="character" w:customStyle="1" w:styleId="4037">
    <w:name w:val="纯文本 Char Char"/>
    <w:link w:val="188"/>
    <w:uiPriority w:val="0"/>
    <w:rPr>
      <w:rFonts w:ascii="宋体" w:hAnsi="Courier New"/>
      <w:kern w:val="2"/>
      <w:sz w:val="21"/>
    </w:rPr>
  </w:style>
  <w:style w:type="character" w:customStyle="1" w:styleId="4038">
    <w:name w:val="标准正文 Char1 Char Char Char Char Char"/>
    <w:uiPriority w:val="0"/>
    <w:rPr>
      <w:rFonts w:ascii="宋体" w:hAnsi="宋体" w:eastAsia="宋体" w:cs="Arial"/>
      <w:sz w:val="24"/>
      <w:szCs w:val="24"/>
      <w:lang w:val="en-US" w:eastAsia="zh-CN" w:bidi="ar-SA"/>
    </w:rPr>
  </w:style>
  <w:style w:type="character" w:customStyle="1" w:styleId="4039">
    <w:name w:val="样式 样式 表头 + 段前: 0 磅 行距: 固定值 22 磅 + 段前: 0.5 行 Char Char"/>
    <w:uiPriority w:val="0"/>
  </w:style>
  <w:style w:type="character" w:customStyle="1" w:styleId="4040">
    <w:name w:val="图片文字 Char Char1 Char3 Char Char1"/>
    <w:uiPriority w:val="0"/>
    <w:rPr>
      <w:rFonts w:ascii="黑体" w:hAnsi="宋体" w:eastAsia="黑体" w:cs="Arial"/>
      <w:b/>
      <w:bCs/>
      <w:color w:val="FF0000"/>
      <w:kern w:val="2"/>
      <w:sz w:val="24"/>
      <w:szCs w:val="24"/>
      <w:lang w:val="en-US" w:eastAsia="zh-CN" w:bidi="ar-SA"/>
    </w:rPr>
  </w:style>
  <w:style w:type="character" w:customStyle="1" w:styleId="4041">
    <w:name w:val="图片文字 Char Char1 Char3"/>
    <w:uiPriority w:val="0"/>
    <w:rPr>
      <w:rFonts w:ascii="黑体" w:hAnsi="宋体" w:eastAsia="黑体" w:cs="Arial"/>
      <w:b/>
      <w:bCs/>
      <w:color w:val="FF0000"/>
      <w:kern w:val="2"/>
      <w:sz w:val="24"/>
      <w:szCs w:val="24"/>
      <w:lang w:val="en-US" w:eastAsia="zh-CN" w:bidi="ar-SA"/>
    </w:rPr>
  </w:style>
  <w:style w:type="character" w:customStyle="1" w:styleId="4042">
    <w:name w:val="readnewstitle"/>
    <w:uiPriority w:val="0"/>
  </w:style>
  <w:style w:type="paragraph" w:customStyle="1" w:styleId="4043">
    <w:name w:val="正文文本首行缩进1"/>
    <w:basedOn w:val="2"/>
    <w:next w:val="85"/>
    <w:uiPriority w:val="0"/>
    <w:pPr>
      <w:spacing w:after="120"/>
      <w:ind w:firstLine="420" w:firstLineChars="100"/>
    </w:pPr>
    <w:rPr>
      <w:rFonts w:ascii="等线" w:hAnsi="等线" w:eastAsia="等线"/>
      <w:szCs w:val="24"/>
      <w14:ligatures w14:val="standardContextual"/>
    </w:rPr>
  </w:style>
  <w:style w:type="character" w:customStyle="1" w:styleId="4044">
    <w:name w:val="图片文字 Char Char Char"/>
    <w:uiPriority w:val="0"/>
    <w:rPr>
      <w:rFonts w:ascii="Arial" w:hAnsi="Arial" w:eastAsia="黑体" w:cs="Arial"/>
      <w:b/>
      <w:color w:val="FF0000"/>
      <w:kern w:val="28"/>
      <w:sz w:val="24"/>
      <w:szCs w:val="24"/>
      <w:lang w:val="en-US" w:eastAsia="zh-CN" w:bidi="ar-SA"/>
    </w:rPr>
  </w:style>
  <w:style w:type="character" w:customStyle="1" w:styleId="4045">
    <w:name w:val="s4 Char C"/>
    <w:uiPriority w:val="0"/>
    <w:rPr>
      <w:rFonts w:eastAsia="宋体"/>
      <w:kern w:val="2"/>
      <w:sz w:val="24"/>
      <w:lang w:val="en-US" w:eastAsia="zh-CN" w:bidi="ar-SA"/>
    </w:rPr>
  </w:style>
  <w:style w:type="character" w:customStyle="1" w:styleId="4046">
    <w:name w:val="图片文字 Char Char Char Char"/>
    <w:uiPriority w:val="0"/>
    <w:rPr>
      <w:rFonts w:ascii="Arial" w:hAnsi="Arial" w:eastAsia="黑体" w:cs="Arial"/>
      <w:b/>
      <w:color w:val="FF0000"/>
      <w:kern w:val="28"/>
      <w:sz w:val="24"/>
      <w:szCs w:val="24"/>
      <w:lang w:val="en-US" w:eastAsia="zh-CN" w:bidi="ar-SA"/>
    </w:rPr>
  </w:style>
  <w:style w:type="character" w:customStyle="1" w:styleId="4047">
    <w:name w:val="正文文本缩进 3 字符2"/>
    <w:uiPriority w:val="0"/>
    <w:rPr>
      <w:rFonts w:ascii="Times New Roman" w:hAnsi="Times New Roman"/>
      <w:sz w:val="16"/>
      <w:szCs w:val="16"/>
    </w:rPr>
  </w:style>
  <w:style w:type="character" w:customStyle="1" w:styleId="4048">
    <w:name w:val="表格标题 Char Char Char Char Char Char Char Char"/>
    <w:uiPriority w:val="0"/>
    <w:rPr>
      <w:rFonts w:ascii="Arial" w:hAnsi="Arial" w:eastAsia="宋体" w:cs="Arial"/>
      <w:b/>
      <w:kern w:val="28"/>
      <w:sz w:val="24"/>
      <w:szCs w:val="24"/>
      <w:lang w:val="en-US" w:eastAsia="zh-CN" w:bidi="ar-SA"/>
    </w:rPr>
  </w:style>
  <w:style w:type="character" w:customStyle="1" w:styleId="4049">
    <w:name w:val="正文文本 2 字符2"/>
    <w:uiPriority w:val="0"/>
    <w:rPr>
      <w:rFonts w:ascii="Times New Roman" w:hAnsi="Times New Roman"/>
      <w:szCs w:val="24"/>
    </w:rPr>
  </w:style>
  <w:style w:type="character" w:customStyle="1" w:styleId="4050">
    <w:name w:val="图片文字 Char Char2"/>
    <w:uiPriority w:val="0"/>
    <w:rPr>
      <w:rFonts w:ascii="黑体" w:hAnsi="宋体" w:eastAsia="黑体" w:cs="Arial"/>
      <w:b/>
      <w:bCs/>
      <w:color w:val="FF0000"/>
      <w:sz w:val="24"/>
      <w:szCs w:val="24"/>
      <w:lang w:val="en-US" w:eastAsia="zh-CN" w:bidi="ar-SA"/>
    </w:rPr>
  </w:style>
  <w:style w:type="character" w:customStyle="1" w:styleId="4051">
    <w:name w:val="特点标题 Char1"/>
    <w:uiPriority w:val="0"/>
    <w:rPr>
      <w:rFonts w:eastAsia="宋体"/>
      <w:kern w:val="2"/>
      <w:sz w:val="21"/>
      <w:szCs w:val="24"/>
      <w:lang w:val="en-US" w:eastAsia="zh-CN" w:bidi="ar-SA"/>
    </w:rPr>
  </w:style>
  <w:style w:type="character" w:customStyle="1" w:styleId="4052">
    <w:name w:val="题注 Char1 Char2"/>
    <w:uiPriority w:val="0"/>
    <w:rPr>
      <w:rFonts w:ascii="Arial" w:hAnsi="Arial" w:eastAsia="黑体" w:cs="Arial"/>
      <w:kern w:val="2"/>
      <w:lang w:val="en-US" w:eastAsia="zh-CN" w:bidi="ar-SA"/>
    </w:rPr>
  </w:style>
  <w:style w:type="character" w:customStyle="1" w:styleId="4053">
    <w:name w:val="图编号 Char Char1 Char"/>
    <w:uiPriority w:val="0"/>
    <w:rPr>
      <w:rFonts w:ascii="Arial" w:hAnsi="Arial" w:eastAsia="幼圆" w:cs="Arial"/>
      <w:kern w:val="2"/>
      <w:sz w:val="24"/>
      <w:szCs w:val="24"/>
      <w:lang w:val="en-US" w:eastAsia="zh-CN" w:bidi="ar-SA"/>
    </w:rPr>
  </w:style>
  <w:style w:type="character" w:customStyle="1" w:styleId="4054">
    <w:name w:val="批注主题 字符1"/>
    <w:uiPriority w:val="99"/>
    <w:rPr>
      <w:rFonts w:ascii="Times New Roman" w:hAnsi="Times New Roman"/>
      <w:b/>
      <w:bCs/>
      <w:kern w:val="2"/>
      <w:sz w:val="21"/>
      <w:szCs w:val="24"/>
    </w:rPr>
  </w:style>
  <w:style w:type="character" w:customStyle="1" w:styleId="4055">
    <w:name w:val="zye"/>
    <w:uiPriority w:val="0"/>
  </w:style>
  <w:style w:type="character" w:customStyle="1" w:styleId="4056">
    <w:name w:val="标准正文 Arial Char Char Char Char Char Char"/>
    <w:uiPriority w:val="0"/>
    <w:rPr>
      <w:rFonts w:ascii="Arial" w:hAnsi="Arial" w:eastAsia="宋体" w:cs="Arial"/>
      <w:sz w:val="24"/>
      <w:szCs w:val="24"/>
      <w:lang w:val="en-US" w:eastAsia="zh-CN" w:bidi="ar-SA"/>
    </w:rPr>
  </w:style>
  <w:style w:type="character" w:customStyle="1" w:styleId="4057">
    <w:name w:val="正文文本 3 字符2"/>
    <w:uiPriority w:val="0"/>
    <w:rPr>
      <w:rFonts w:ascii="Times New Roman" w:hAnsi="Times New Roman"/>
      <w:sz w:val="16"/>
      <w:szCs w:val="16"/>
    </w:rPr>
  </w:style>
  <w:style w:type="character" w:customStyle="1" w:styleId="4058">
    <w:name w:val="正文文字 Char"/>
    <w:link w:val="3662"/>
    <w:uiPriority w:val="0"/>
    <w:rPr>
      <w:kern w:val="2"/>
      <w:sz w:val="24"/>
      <w:szCs w:val="24"/>
    </w:rPr>
  </w:style>
  <w:style w:type="character" w:customStyle="1" w:styleId="4059">
    <w:name w:val="题注 字符1"/>
    <w:uiPriority w:val="0"/>
    <w:rPr>
      <w:rFonts w:ascii="Arial" w:hAnsi="Arial" w:eastAsia="黑体" w:cs="Arial"/>
      <w:szCs w:val="21"/>
    </w:rPr>
  </w:style>
  <w:style w:type="character" w:customStyle="1" w:styleId="4060">
    <w:name w:val="标准正文 Char Char Char"/>
    <w:uiPriority w:val="0"/>
    <w:rPr>
      <w:rFonts w:ascii="Arial" w:hAnsi="Arial" w:eastAsia="宋体" w:cs="宋体"/>
      <w:kern w:val="2"/>
      <w:sz w:val="24"/>
      <w:lang w:val="en-US" w:eastAsia="zh-CN" w:bidi="ar-SA"/>
    </w:rPr>
  </w:style>
  <w:style w:type="character" w:customStyle="1" w:styleId="4061">
    <w:name w:val="0"/>
    <w:uiPriority w:val="0"/>
    <w:rPr>
      <w:sz w:val="18"/>
    </w:rPr>
  </w:style>
  <w:style w:type="character" w:customStyle="1" w:styleId="4062">
    <w:name w:val="标准正文 Char Char Char1"/>
    <w:uiPriority w:val="0"/>
    <w:rPr>
      <w:rFonts w:ascii="Arial" w:hAnsi="Arial" w:eastAsia="宋体" w:cs="宋体"/>
      <w:kern w:val="2"/>
      <w:sz w:val="24"/>
      <w:szCs w:val="24"/>
      <w:lang w:val="en-US" w:eastAsia="zh-CN" w:bidi="ar-SA"/>
    </w:rPr>
  </w:style>
  <w:style w:type="character" w:customStyle="1" w:styleId="4063">
    <w:name w:val="样式 标题 2节1.1 标题 2节标题 1.1h2l22nd levelTitre22Header 2节标题... Char Char"/>
    <w:link w:val="4064"/>
    <w:uiPriority w:val="0"/>
    <w:rPr>
      <w:rFonts w:eastAsia="黑体"/>
      <w:b/>
      <w:kern w:val="24"/>
      <w:sz w:val="28"/>
      <w:szCs w:val="28"/>
    </w:rPr>
  </w:style>
  <w:style w:type="paragraph" w:customStyle="1" w:styleId="4064">
    <w:name w:val="样式 标题 2节1.1 标题 2节标题 1.1h2l22nd levelTitre22Header 2节标题..."/>
    <w:basedOn w:val="4"/>
    <w:link w:val="4063"/>
    <w:uiPriority w:val="0"/>
    <w:pPr>
      <w:keepNext w:val="0"/>
      <w:tabs>
        <w:tab w:val="clear" w:pos="480"/>
        <w:tab w:val="clear" w:pos="630"/>
      </w:tabs>
      <w:adjustRightInd w:val="0"/>
      <w:snapToGrid w:val="0"/>
      <w:spacing w:before="120" w:after="60" w:line="460" w:lineRule="exact"/>
      <w:ind w:left="104" w:hanging="104" w:hangingChars="37"/>
    </w:pPr>
    <w:rPr>
      <w:rFonts w:eastAsia="黑体"/>
      <w:bCs w:val="0"/>
      <w:kern w:val="24"/>
      <w:sz w:val="28"/>
      <w:szCs w:val="28"/>
      <w:lang w:val="en-US"/>
    </w:rPr>
  </w:style>
  <w:style w:type="character" w:customStyle="1" w:styleId="4065">
    <w:name w:val="表格文字2 Char Char"/>
    <w:qFormat/>
    <w:uiPriority w:val="0"/>
    <w:rPr>
      <w:rFonts w:ascii="Arial" w:hAnsi="Arial" w:eastAsia="宋体" w:cs="宋体"/>
      <w:sz w:val="21"/>
      <w:szCs w:val="21"/>
      <w:lang w:val="en-US" w:eastAsia="zh-CN" w:bidi="ar-SA"/>
    </w:rPr>
  </w:style>
  <w:style w:type="character" w:customStyle="1" w:styleId="4066">
    <w:name w:val="表格文字 Char Char Char"/>
    <w:uiPriority w:val="0"/>
    <w:rPr>
      <w:rFonts w:ascii="Arial" w:hAnsi="Arial" w:eastAsia="宋体" w:cs="Arial"/>
      <w:sz w:val="21"/>
      <w:szCs w:val="21"/>
      <w:lang w:val="en-US" w:eastAsia="zh-CN" w:bidi="ar-SA"/>
    </w:rPr>
  </w:style>
  <w:style w:type="character" w:customStyle="1" w:styleId="4067">
    <w:name w:val="报告书正文 Char"/>
    <w:uiPriority w:val="0"/>
    <w:rPr>
      <w:sz w:val="24"/>
    </w:rPr>
  </w:style>
  <w:style w:type="character" w:customStyle="1" w:styleId="4068">
    <w:name w:val="标准正文 Char1 Char Char"/>
    <w:uiPriority w:val="0"/>
    <w:rPr>
      <w:rFonts w:ascii="宋体" w:hAnsi="宋体" w:eastAsia="宋体" w:cs="Arial"/>
      <w:sz w:val="24"/>
      <w:szCs w:val="24"/>
      <w:lang w:val="en-US" w:eastAsia="zh-CN" w:bidi="ar-SA"/>
    </w:rPr>
  </w:style>
  <w:style w:type="character" w:customStyle="1" w:styleId="4069">
    <w:name w:val="表格 Char1"/>
    <w:uiPriority w:val="0"/>
    <w:rPr>
      <w:rFonts w:eastAsia="宋体"/>
      <w:snapToGrid/>
      <w:sz w:val="21"/>
      <w:szCs w:val="21"/>
      <w:lang w:val="en-US" w:eastAsia="zh-CN" w:bidi="ar-SA"/>
    </w:rPr>
  </w:style>
  <w:style w:type="character" w:customStyle="1" w:styleId="4070">
    <w:name w:val="图片文字 Char Char1 Char3 Char Char"/>
    <w:uiPriority w:val="0"/>
    <w:rPr>
      <w:rFonts w:ascii="黑体" w:hAnsi="宋体" w:eastAsia="黑体" w:cs="Arial"/>
      <w:b/>
      <w:bCs/>
      <w:color w:val="FF0000"/>
      <w:kern w:val="2"/>
      <w:sz w:val="24"/>
      <w:szCs w:val="24"/>
      <w:lang w:val="en-US" w:eastAsia="zh-CN" w:bidi="ar-SA"/>
    </w:rPr>
  </w:style>
  <w:style w:type="character" w:customStyle="1" w:styleId="4071">
    <w:name w:val="brown4"/>
    <w:uiPriority w:val="0"/>
  </w:style>
  <w:style w:type="character" w:customStyle="1" w:styleId="4072">
    <w:name w:val="图表名 Char Char Char Char"/>
    <w:uiPriority w:val="0"/>
    <w:rPr>
      <w:rFonts w:ascii="Arial" w:hAnsi="Arial" w:eastAsia="宋体" w:cs="Arial"/>
      <w:b/>
      <w:bCs/>
      <w:spacing w:val="8"/>
      <w:kern w:val="2"/>
      <w:sz w:val="24"/>
      <w:szCs w:val="24"/>
      <w:lang w:val="en-US" w:eastAsia="zh-CN" w:bidi="ar-SA"/>
    </w:rPr>
  </w:style>
  <w:style w:type="character" w:customStyle="1" w:styleId="4073">
    <w:name w:val="表格文字2 Char Char1"/>
    <w:uiPriority w:val="0"/>
    <w:rPr>
      <w:rFonts w:ascii="Arial" w:hAnsi="Arial" w:eastAsia="宋体" w:cs="宋体"/>
      <w:kern w:val="2"/>
      <w:sz w:val="21"/>
      <w:szCs w:val="21"/>
      <w:lang w:val="en-US" w:eastAsia="zh-CN" w:bidi="ar-SA"/>
    </w:rPr>
  </w:style>
  <w:style w:type="character" w:customStyle="1" w:styleId="4074">
    <w:name w:val="HTML 预设格式 字符2"/>
    <w:uiPriority w:val="0"/>
    <w:rPr>
      <w:rFonts w:ascii="Courier New" w:hAnsi="Courier New" w:cs="Courier New"/>
      <w:szCs w:val="21"/>
    </w:rPr>
  </w:style>
  <w:style w:type="character" w:customStyle="1" w:styleId="4075">
    <w:name w:val="图表名 Char Char Char"/>
    <w:uiPriority w:val="0"/>
    <w:rPr>
      <w:rFonts w:ascii="Arial" w:hAnsi="Arial" w:eastAsia="宋体" w:cs="Arial"/>
      <w:b/>
      <w:bCs/>
      <w:spacing w:val="8"/>
      <w:kern w:val="2"/>
      <w:sz w:val="24"/>
      <w:szCs w:val="24"/>
      <w:lang w:val="en-US" w:eastAsia="zh-CN" w:bidi="ar-SA"/>
    </w:rPr>
  </w:style>
  <w:style w:type="character" w:customStyle="1" w:styleId="4076">
    <w:name w:val="样式 居中 Char"/>
    <w:link w:val="2092"/>
    <w:uiPriority w:val="0"/>
    <w:rPr>
      <w:kern w:val="44"/>
      <w:sz w:val="24"/>
    </w:rPr>
  </w:style>
  <w:style w:type="character" w:customStyle="1" w:styleId="4077">
    <w:name w:val="标准正文 Char1 Char"/>
    <w:uiPriority w:val="0"/>
    <w:rPr>
      <w:rFonts w:ascii="宋体" w:hAnsi="宋体" w:eastAsia="宋体" w:cs="Arial"/>
      <w:kern w:val="2"/>
      <w:sz w:val="24"/>
      <w:szCs w:val="24"/>
      <w:lang w:val="en-US" w:eastAsia="zh-CN" w:bidi="ar-SA"/>
    </w:rPr>
  </w:style>
  <w:style w:type="character" w:customStyle="1" w:styleId="4078">
    <w:name w:val="报告书正文 Char Char Char Char"/>
    <w:link w:val="4079"/>
    <w:uiPriority w:val="0"/>
    <w:rPr>
      <w:rFonts w:ascii="宋体" w:hAnsi="宋体"/>
      <w:sz w:val="24"/>
      <w:szCs w:val="24"/>
    </w:rPr>
  </w:style>
  <w:style w:type="paragraph" w:customStyle="1" w:styleId="4079">
    <w:name w:val="报告书正文 Char Char Char"/>
    <w:basedOn w:val="1"/>
    <w:link w:val="4078"/>
    <w:uiPriority w:val="0"/>
    <w:pPr>
      <w:tabs>
        <w:tab w:val="clear" w:pos="480"/>
      </w:tabs>
      <w:spacing w:line="300" w:lineRule="auto"/>
      <w:ind w:firstLine="480"/>
    </w:pPr>
    <w:rPr>
      <w:rFonts w:ascii="宋体" w:hAnsi="宋体"/>
      <w:kern w:val="0"/>
    </w:rPr>
  </w:style>
  <w:style w:type="character" w:customStyle="1" w:styleId="4080">
    <w:name w:val="插图表 Char Char"/>
    <w:uiPriority w:val="0"/>
    <w:rPr>
      <w:rFonts w:ascii="Arial" w:hAnsi="Arial" w:eastAsia="宋体" w:cs="Arial"/>
      <w:b/>
      <w:kern w:val="2"/>
      <w:sz w:val="24"/>
      <w:szCs w:val="24"/>
      <w:lang w:val="en-US" w:eastAsia="zh-CN" w:bidi="ar-SA"/>
    </w:rPr>
  </w:style>
  <w:style w:type="character" w:customStyle="1" w:styleId="4081">
    <w:name w:val="正文文字 3 Char Char Char"/>
    <w:uiPriority w:val="0"/>
    <w:rPr>
      <w:rFonts w:eastAsia="宋体"/>
      <w:kern w:val="2"/>
      <w:sz w:val="21"/>
      <w:lang w:val="en-US" w:eastAsia="zh-CN" w:bidi="ar-SA"/>
    </w:rPr>
  </w:style>
  <w:style w:type="character" w:customStyle="1" w:styleId="4082">
    <w:name w:val="表格标题 Char Char Char Char Char1"/>
    <w:uiPriority w:val="0"/>
    <w:rPr>
      <w:rFonts w:ascii="Arial" w:hAnsi="Arial" w:eastAsia="宋体" w:cs="Arial"/>
      <w:b/>
      <w:kern w:val="28"/>
      <w:sz w:val="24"/>
      <w:szCs w:val="24"/>
      <w:lang w:val="en-US" w:eastAsia="zh-CN" w:bidi="ar-SA"/>
    </w:rPr>
  </w:style>
  <w:style w:type="character" w:customStyle="1" w:styleId="4083">
    <w:name w:val="样式 标题 3条标题1.1.13h33rd levelH3l3CT段1.1.1物探标题3 Char Char...1 Char Char"/>
    <w:uiPriority w:val="0"/>
    <w:rPr>
      <w:rFonts w:eastAsia="黑体"/>
      <w:bCs/>
      <w:snapToGrid/>
      <w:color w:val="000000"/>
      <w:sz w:val="24"/>
      <w:szCs w:val="24"/>
      <w:lang w:val="en-US" w:eastAsia="zh-CN"/>
    </w:rPr>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9" Type="http://schemas.openxmlformats.org/officeDocument/2006/relationships/oleObject" Target="embeddings/oleObject24.bin"/><Relationship Id="rId98" Type="http://schemas.openxmlformats.org/officeDocument/2006/relationships/image" Target="media/image61.wmf"/><Relationship Id="rId97" Type="http://schemas.openxmlformats.org/officeDocument/2006/relationships/oleObject" Target="embeddings/oleObject23.bin"/><Relationship Id="rId96" Type="http://schemas.openxmlformats.org/officeDocument/2006/relationships/image" Target="media/image60.wmf"/><Relationship Id="rId95" Type="http://schemas.openxmlformats.org/officeDocument/2006/relationships/oleObject" Target="embeddings/oleObject22.bin"/><Relationship Id="rId94" Type="http://schemas.openxmlformats.org/officeDocument/2006/relationships/image" Target="media/image59.wmf"/><Relationship Id="rId93" Type="http://schemas.openxmlformats.org/officeDocument/2006/relationships/oleObject" Target="embeddings/oleObject21.bin"/><Relationship Id="rId92" Type="http://schemas.openxmlformats.org/officeDocument/2006/relationships/image" Target="media/image58.wmf"/><Relationship Id="rId91" Type="http://schemas.openxmlformats.org/officeDocument/2006/relationships/oleObject" Target="embeddings/oleObject20.bin"/><Relationship Id="rId90" Type="http://schemas.openxmlformats.org/officeDocument/2006/relationships/image" Target="media/image57.wmf"/><Relationship Id="rId9" Type="http://schemas.openxmlformats.org/officeDocument/2006/relationships/footer" Target="footer2.xml"/><Relationship Id="rId89" Type="http://schemas.openxmlformats.org/officeDocument/2006/relationships/oleObject" Target="embeddings/oleObject19.bin"/><Relationship Id="rId88" Type="http://schemas.openxmlformats.org/officeDocument/2006/relationships/image" Target="media/image56.wmf"/><Relationship Id="rId87" Type="http://schemas.openxmlformats.org/officeDocument/2006/relationships/oleObject" Target="embeddings/oleObject18.bin"/><Relationship Id="rId86" Type="http://schemas.openxmlformats.org/officeDocument/2006/relationships/image" Target="media/image55.wmf"/><Relationship Id="rId85" Type="http://schemas.openxmlformats.org/officeDocument/2006/relationships/oleObject" Target="embeddings/oleObject17.bin"/><Relationship Id="rId84" Type="http://schemas.openxmlformats.org/officeDocument/2006/relationships/image" Target="media/image54.wmf"/><Relationship Id="rId83" Type="http://schemas.openxmlformats.org/officeDocument/2006/relationships/oleObject" Target="embeddings/oleObject16.bin"/><Relationship Id="rId82" Type="http://schemas.openxmlformats.org/officeDocument/2006/relationships/image" Target="media/image53.wmf"/><Relationship Id="rId81" Type="http://schemas.openxmlformats.org/officeDocument/2006/relationships/oleObject" Target="embeddings/oleObject15.bin"/><Relationship Id="rId80" Type="http://schemas.openxmlformats.org/officeDocument/2006/relationships/image" Target="media/image52.wmf"/><Relationship Id="rId8" Type="http://schemas.openxmlformats.org/officeDocument/2006/relationships/footer" Target="footer1.xml"/><Relationship Id="rId79" Type="http://schemas.openxmlformats.org/officeDocument/2006/relationships/oleObject" Target="embeddings/oleObject14.bin"/><Relationship Id="rId78" Type="http://schemas.openxmlformats.org/officeDocument/2006/relationships/image" Target="media/image51.wmf"/><Relationship Id="rId77" Type="http://schemas.openxmlformats.org/officeDocument/2006/relationships/oleObject" Target="embeddings/oleObject13.bin"/><Relationship Id="rId76" Type="http://schemas.openxmlformats.org/officeDocument/2006/relationships/image" Target="media/image50.wmf"/><Relationship Id="rId75" Type="http://schemas.openxmlformats.org/officeDocument/2006/relationships/oleObject" Target="embeddings/oleObject12.bin"/><Relationship Id="rId74" Type="http://schemas.openxmlformats.org/officeDocument/2006/relationships/image" Target="media/image49.wmf"/><Relationship Id="rId73" Type="http://schemas.openxmlformats.org/officeDocument/2006/relationships/oleObject" Target="embeddings/oleObject11.bin"/><Relationship Id="rId72" Type="http://schemas.openxmlformats.org/officeDocument/2006/relationships/image" Target="media/image48.wmf"/><Relationship Id="rId71" Type="http://schemas.openxmlformats.org/officeDocument/2006/relationships/oleObject" Target="embeddings/oleObject10.bin"/><Relationship Id="rId70" Type="http://schemas.openxmlformats.org/officeDocument/2006/relationships/image" Target="media/image47.wmf"/><Relationship Id="rId7" Type="http://schemas.openxmlformats.org/officeDocument/2006/relationships/header" Target="header3.xml"/><Relationship Id="rId69" Type="http://schemas.openxmlformats.org/officeDocument/2006/relationships/oleObject" Target="embeddings/oleObject9.bin"/><Relationship Id="rId68" Type="http://schemas.openxmlformats.org/officeDocument/2006/relationships/image" Target="media/image46.wmf"/><Relationship Id="rId67" Type="http://schemas.openxmlformats.org/officeDocument/2006/relationships/oleObject" Target="embeddings/oleObject8.bin"/><Relationship Id="rId66" Type="http://schemas.openxmlformats.org/officeDocument/2006/relationships/image" Target="media/image45.wmf"/><Relationship Id="rId65" Type="http://schemas.openxmlformats.org/officeDocument/2006/relationships/oleObject" Target="embeddings/oleObject7.bin"/><Relationship Id="rId64" Type="http://schemas.openxmlformats.org/officeDocument/2006/relationships/image" Target="media/image44.wmf"/><Relationship Id="rId63" Type="http://schemas.openxmlformats.org/officeDocument/2006/relationships/oleObject" Target="embeddings/oleObject6.bin"/><Relationship Id="rId62" Type="http://schemas.openxmlformats.org/officeDocument/2006/relationships/image" Target="media/image43.wmf"/><Relationship Id="rId61" Type="http://schemas.openxmlformats.org/officeDocument/2006/relationships/oleObject" Target="embeddings/oleObject5.bin"/><Relationship Id="rId60" Type="http://schemas.openxmlformats.org/officeDocument/2006/relationships/image" Target="media/image42.emf"/><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emf"/><Relationship Id="rId33" Type="http://schemas.openxmlformats.org/officeDocument/2006/relationships/oleObject" Target="embeddings/oleObject4.bin"/><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emf"/><Relationship Id="rId3" Type="http://schemas.openxmlformats.org/officeDocument/2006/relationships/footnotes" Target="footnotes.xml"/><Relationship Id="rId29" Type="http://schemas.openxmlformats.org/officeDocument/2006/relationships/oleObject" Target="embeddings/oleObject3.bin"/><Relationship Id="rId28" Type="http://schemas.openxmlformats.org/officeDocument/2006/relationships/image" Target="media/image12.jpeg"/><Relationship Id="rId27" Type="http://schemas.openxmlformats.org/officeDocument/2006/relationships/image" Target="media/image11.emf"/><Relationship Id="rId26" Type="http://schemas.openxmlformats.org/officeDocument/2006/relationships/oleObject" Target="embeddings/oleObject2.bin"/><Relationship Id="rId25" Type="http://schemas.openxmlformats.org/officeDocument/2006/relationships/image" Target="file:///C:\Users\Administrator\AppData\Roaming\Tencent\Users\447882309\QQ\WinTemp\RichOle\RG8RRJS3AGY7(W1W$Z%252525252525257d$%252525252525257d~A.png" TargetMode="External"/><Relationship Id="rId24" Type="http://schemas.openxmlformats.org/officeDocument/2006/relationships/image" Target="media/image10.png"/><Relationship Id="rId23" Type="http://schemas.openxmlformats.org/officeDocument/2006/relationships/image" Target="media/image9.jpeg"/><Relationship Id="rId22" Type="http://schemas.openxmlformats.org/officeDocument/2006/relationships/image" Target="media/image8.emf"/><Relationship Id="rId21" Type="http://schemas.openxmlformats.org/officeDocument/2006/relationships/oleObject" Target="embeddings/oleObject1.bin"/><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jpe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3" Type="http://schemas.openxmlformats.org/officeDocument/2006/relationships/fontTable" Target="fontTable.xml"/><Relationship Id="rId132" Type="http://schemas.microsoft.com/office/2006/relationships/keyMapCustomizations" Target="customizations.xml"/><Relationship Id="rId131" Type="http://schemas.openxmlformats.org/officeDocument/2006/relationships/customXml" Target="../customXml/item2.xml"/><Relationship Id="rId130" Type="http://schemas.openxmlformats.org/officeDocument/2006/relationships/numbering" Target="numbering.xml"/><Relationship Id="rId13" Type="http://schemas.openxmlformats.org/officeDocument/2006/relationships/theme" Target="theme/theme1.xml"/><Relationship Id="rId129" Type="http://schemas.openxmlformats.org/officeDocument/2006/relationships/customXml" Target="../customXml/item1.xml"/><Relationship Id="rId128" Type="http://schemas.openxmlformats.org/officeDocument/2006/relationships/image" Target="media/image81.png"/><Relationship Id="rId127" Type="http://schemas.openxmlformats.org/officeDocument/2006/relationships/image" Target="media/image80.png"/><Relationship Id="rId126" Type="http://schemas.openxmlformats.org/officeDocument/2006/relationships/image" Target="media/image79.png"/><Relationship Id="rId125" Type="http://schemas.openxmlformats.org/officeDocument/2006/relationships/image" Target="media/image78.png"/><Relationship Id="rId124" Type="http://schemas.openxmlformats.org/officeDocument/2006/relationships/image" Target="media/image77.png"/><Relationship Id="rId123" Type="http://schemas.openxmlformats.org/officeDocument/2006/relationships/image" Target="media/image76.png"/><Relationship Id="rId122" Type="http://schemas.openxmlformats.org/officeDocument/2006/relationships/image" Target="media/image75.png"/><Relationship Id="rId121" Type="http://schemas.openxmlformats.org/officeDocument/2006/relationships/image" Target="media/image74.png"/><Relationship Id="rId120" Type="http://schemas.openxmlformats.org/officeDocument/2006/relationships/image" Target="media/image73.jpeg"/><Relationship Id="rId12" Type="http://schemas.openxmlformats.org/officeDocument/2006/relationships/footer" Target="footer5.xml"/><Relationship Id="rId119" Type="http://schemas.openxmlformats.org/officeDocument/2006/relationships/image" Target="media/image72.jpeg"/><Relationship Id="rId118" Type="http://schemas.openxmlformats.org/officeDocument/2006/relationships/image" Target="media/image71.png"/><Relationship Id="rId117" Type="http://schemas.openxmlformats.org/officeDocument/2006/relationships/oleObject" Target="embeddings/oleObject33.bin"/><Relationship Id="rId116" Type="http://schemas.openxmlformats.org/officeDocument/2006/relationships/image" Target="media/image70.wmf"/><Relationship Id="rId115" Type="http://schemas.openxmlformats.org/officeDocument/2006/relationships/oleObject" Target="embeddings/oleObject32.bin"/><Relationship Id="rId114" Type="http://schemas.openxmlformats.org/officeDocument/2006/relationships/image" Target="media/image69.wmf"/><Relationship Id="rId113" Type="http://schemas.openxmlformats.org/officeDocument/2006/relationships/oleObject" Target="embeddings/oleObject31.bin"/><Relationship Id="rId112" Type="http://schemas.openxmlformats.org/officeDocument/2006/relationships/image" Target="media/image68.wmf"/><Relationship Id="rId111" Type="http://schemas.openxmlformats.org/officeDocument/2006/relationships/oleObject" Target="embeddings/oleObject30.bin"/><Relationship Id="rId110" Type="http://schemas.openxmlformats.org/officeDocument/2006/relationships/image" Target="media/image67.wmf"/><Relationship Id="rId11" Type="http://schemas.openxmlformats.org/officeDocument/2006/relationships/footer" Target="footer4.xml"/><Relationship Id="rId109" Type="http://schemas.openxmlformats.org/officeDocument/2006/relationships/oleObject" Target="embeddings/oleObject29.bin"/><Relationship Id="rId108" Type="http://schemas.openxmlformats.org/officeDocument/2006/relationships/image" Target="media/image66.wmf"/><Relationship Id="rId107" Type="http://schemas.openxmlformats.org/officeDocument/2006/relationships/oleObject" Target="embeddings/oleObject28.bin"/><Relationship Id="rId106" Type="http://schemas.openxmlformats.org/officeDocument/2006/relationships/image" Target="media/image65.wmf"/><Relationship Id="rId105" Type="http://schemas.openxmlformats.org/officeDocument/2006/relationships/oleObject" Target="embeddings/oleObject27.bin"/><Relationship Id="rId104" Type="http://schemas.openxmlformats.org/officeDocument/2006/relationships/image" Target="media/image64.wmf"/><Relationship Id="rId103" Type="http://schemas.openxmlformats.org/officeDocument/2006/relationships/oleObject" Target="embeddings/oleObject26.bin"/><Relationship Id="rId102" Type="http://schemas.openxmlformats.org/officeDocument/2006/relationships/image" Target="media/image63.wmf"/><Relationship Id="rId101" Type="http://schemas.openxmlformats.org/officeDocument/2006/relationships/oleObject" Target="embeddings/oleObject25.bin"/><Relationship Id="rId100" Type="http://schemas.openxmlformats.org/officeDocument/2006/relationships/image" Target="media/image62.wmf"/><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E74071-898B-43B7-93C2-132A1B01892B}">
  <ds:schemaRefs/>
</ds:datastoreItem>
</file>

<file path=docProps/app.xml><?xml version="1.0" encoding="utf-8"?>
<Properties xmlns="http://schemas.openxmlformats.org/officeDocument/2006/extended-properties" xmlns:vt="http://schemas.openxmlformats.org/officeDocument/2006/docPropsVTypes">
  <Template>Normal</Template>
  <Company>GZETEI Ltd.</Company>
  <Pages>260</Pages>
  <Words>4465</Words>
  <Characters>4921</Characters>
  <Lines>1531</Lines>
  <Paragraphs>431</Paragraphs>
  <TotalTime>63</TotalTime>
  <ScaleCrop>false</ScaleCrop>
  <LinksUpToDate>false</LinksUpToDate>
  <CharactersWithSpaces>5017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2021-03-07T22:12:00Z</dcterms:created>
  <dc:creator>clock98</dc:creator>
  <cp:lastModifiedBy>邓婷</cp:lastModifiedBy>
  <cp:lastPrinted>2023-08-31T01:07:00Z</cp:lastPrinted>
  <dcterms:modified xsi:type="dcterms:W3CDTF">2025-07-11T07:32:35Z</dcterms:modified>
  <dc:title>目录</dc:title>
  <cp:revision>145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6476947F993F4ED0B6BDE20F5FF484A1</vt:lpwstr>
  </property>
  <property fmtid="{D5CDD505-2E9C-101B-9397-08002B2CF9AE}" pid="4" name="KSOTemplateDocerSaveRecord">
    <vt:lpwstr>eyJoZGlkIjoiZTY2MWM4MWY1Nzc3YTU2NWFiNzU3MWZmM2EwMGNkMjgiLCJ1c2VySWQiOiIxMDY5MjgzMDcxIn0=</vt:lpwstr>
  </property>
</Properties>
</file>